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24/09/2026 à 09:21</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C00000"/>
          <w:sz w:val="19"/>
        </w:rPr>
        <w:t>BAISSIER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BOAS  (score 89/100)</w:t>
      </w:r>
    </w:p>
    <w:p>
      <w:pPr>
        <w:spacing w:before="20" w:after="20"/>
        <w:ind w:left="360" w:right="360"/>
        <w:shd w:val="clear" w:color="auto" w:fill="EBF5FB"/>
      </w:pPr>
      <w:r>
        <w:rPr>
          <w:b/>
          <w:sz w:val="19"/>
        </w:rPr>
        <w:t xml:space="preserve">Secteur surperformant :  </w:t>
      </w:r>
      <w:r>
        <w:rPr>
          <w:color w:val="008000"/>
          <w:sz w:val="19"/>
        </w:rPr>
        <w:t>SERVICES PUBLICS  (+62.2%)</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2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516.29 points </w:t>
      </w:r>
      <w:r>
        <w:rPr>
          <w:color w:val="C00000"/>
        </w:rPr>
        <w:t>(-3.66%)</w:t>
      </w:r>
      <w:r>
        <w:t xml:space="preserve"> sur la séance. </w:t>
      </w:r>
      <w:r>
        <w:t>La capitalisation globale du marché atteint 19 908,816 milliards FCFA.</w:t>
      </w:r>
    </w:p>
    <w:p/>
    <w:p>
      <w:pPr>
        <w:pStyle w:val="Heading3"/>
      </w:pPr>
      <w:r>
        <w:t>📊 Évolution de l'indice BRVM Composite (100 derniers jours)</w:t>
      </w:r>
    </w:p>
    <w:p>
      <w:r>
        <w:rPr>
          <w:b/>
        </w:rPr>
        <w:t xml:space="preserve">BRVM Composite — </w:t>
      </w:r>
      <w:r>
        <w:t xml:space="preserve">Sur les 100 derniers jours de cotation (2026-04-29 au 2026-09-23), l'indice BRVM Composite a évolué de </w:t>
      </w:r>
      <w:r>
        <w:rPr>
          <w:b/>
          <w:color w:val="008000"/>
        </w:rPr>
        <w:t>+27.99%</w:t>
      </w:r>
      <w:r>
        <w:t>, passant de 403.38 pts à 516.29 pts. Le plus haut atteint est 555.90 pts et le plus bas 401.60 pts. Sur l'ensemble de la période, la moyenne de l'indice s'établit à 473.19 pts, la médiane à 474.20 pts et le mode à 401.60 pts</w:t>
      </w:r>
      <w:r>
        <w:t xml:space="preserve"> (distribution symétrique). </w:t>
      </w:r>
      <w:r>
        <w:t xml:space="preserve">L'écart-type de 47.26 pts (CV=10.0%) traduit une modérée dispersion des cotations. Le kurtosis de -1.08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+28.00%</w:t>
      </w:r>
      <w:r>
        <w:t xml:space="preserve"> sur la période, passant de 15 553,484 Mds FCFA à 19 908,816 Mds FCFA. Le pic de capitalisation observé est de 21 436,336 Mds FCFA et le plancher de 15 482,993 Mds FCFA. La moyenne de la capitalisation sur la période s'établit à 18 238,098 Mds FCFA, la médiane à 18 267,575 Mds FCFA et le mode à 15 482,993 Mds FCFA</w:t>
      </w:r>
      <w:r>
        <w:t xml:space="preserve"> (distribution symétrique). </w:t>
      </w:r>
      <w:r>
        <w:t>L'écart-type de 1 825,047 Mds FCFA (CV=10.0%) reflète une modérée variabilité de la valorisation du marché. Le kurtosis de -1.08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PRSC - PRSC - TRACTAFRIC MOTORS CI</w:t>
      </w:r>
      <w:r>
        <w:t xml:space="preserve"> | Prix: 4200 FCFA | </w:t>
      </w:r>
      <w:r>
        <w:rPr>
          <w:b/>
          <w:color w:val="008000"/>
        </w:rPr>
        <w:t>ACHAT FORT</w:t>
      </w:r>
      <w:r>
        <w:t xml:space="preserve"> | Confiance: Élevée | Risque: Moyen</w:t>
      </w:r>
    </w:p>
    <w:p>
      <w:pPr>
        <w:pStyle w:val="ListNumber"/>
      </w:pPr>
      <w:r>
        <w:rPr>
          <w:b/>
        </w:rPr>
        <w:t>SLBC - SLBC - SOLIBRA COTE D'IVOIRE</w:t>
      </w:r>
      <w:r>
        <w:t xml:space="preserve"> | Prix: 37885 FCFA | </w:t>
      </w:r>
      <w:r>
        <w:rPr>
          <w:b/>
          <w:color w:val="008000"/>
        </w:rPr>
        <w:t>ACHAT FORT</w:t>
      </w:r>
      <w:r>
        <w:t xml:space="preserve"> | Confiance: Faible | Risque: Faible</w:t>
      </w:r>
    </w:p>
    <w:p>
      <w:pPr>
        <w:pStyle w:val="ListNumber"/>
      </w:pPr>
      <w:r>
        <w:rPr>
          <w:b/>
        </w:rPr>
        <w:t>ABJC - ABJC - SERVAIR ABIDJAN CI</w:t>
      </w:r>
      <w:r>
        <w:t xml:space="preserve"> | Prix: 3930 FCFA | </w:t>
      </w:r>
      <w:r>
        <w:rPr>
          <w:b/>
          <w:color w:val="008000"/>
        </w:rPr>
        <w:t>ACHAT</w:t>
      </w:r>
      <w:r>
        <w:t xml:space="preserve"> | Confiance: Élevée | Risque: Faible</w:t>
      </w:r>
    </w:p>
    <w:p>
      <w:pPr>
        <w:pStyle w:val="ListNumber"/>
      </w:pPr>
      <w:r>
        <w:rPr>
          <w:b/>
        </w:rPr>
        <w:t>BICB - BIIC BN - Banque internationale pour le commerce du benin</w:t>
      </w:r>
      <w:r>
        <w:t xml:space="preserve"> | Prix: 8560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29745 FCFA | </w:t>
      </w:r>
      <w:r>
        <w:rPr>
          <w:b/>
          <w:color w:val="008000"/>
        </w:rPr>
        <w:t>ACHAT</w:t>
      </w:r>
      <w:r>
        <w:t xml:space="preserve"> | Confiance: Élevée | Risque: Moyen</w:t>
      </w:r>
    </w:p>
    <w:p>
      <w:pPr>
        <w:pStyle w:val="ListNumber"/>
      </w:pPr>
      <w:r>
        <w:rPr>
          <w:b/>
        </w:rPr>
        <w:t>BNBC - BNBC - BERNABE CI</w:t>
      </w:r>
      <w:r>
        <w:t xml:space="preserve"> | Prix: 1890 FCFA | </w:t>
      </w:r>
      <w:r>
        <w:rPr>
          <w:b/>
          <w:color w:val="008000"/>
        </w:rPr>
        <w:t>ACHAT</w:t>
      </w:r>
      <w:r>
        <w:t xml:space="preserve"> | Confiance: Élevée | Risque: Faible</w:t>
      </w:r>
    </w:p>
    <w:p>
      <w:pPr>
        <w:pStyle w:val="ListNumber"/>
      </w:pPr>
      <w:r>
        <w:rPr>
          <w:b/>
        </w:rPr>
        <w:t>BOAB - BANK OF AFRICA BENIN</w:t>
      </w:r>
      <w:r>
        <w:t xml:space="preserve"> | Prix: 8790 FCFA | </w:t>
      </w:r>
      <w:r>
        <w:rPr>
          <w:b/>
          <w:color w:val="008000"/>
        </w:rPr>
        <w:t>ACHAT</w:t>
      </w:r>
      <w:r>
        <w:t xml:space="preserve"> | Confiance: Élevée | Risque: Faible</w:t>
      </w:r>
    </w:p>
    <w:p>
      <w:pPr>
        <w:pStyle w:val="ListNumber"/>
      </w:pPr>
      <w:r>
        <w:rPr>
          <w:b/>
        </w:rPr>
        <w:t>BOABF - BANK OF AFRICA BURKINA FASO</w:t>
      </w:r>
      <w:r>
        <w:t xml:space="preserve"> | Prix: 7400 FCFA | </w:t>
      </w:r>
      <w:r>
        <w:rPr>
          <w:b/>
          <w:color w:val="008000"/>
        </w:rPr>
        <w:t>ACHAT</w:t>
      </w:r>
      <w:r>
        <w:t xml:space="preserve"> | Confiance: Élevée | Risque: Moyen</w:t>
      </w:r>
    </w:p>
    <w:p>
      <w:pPr>
        <w:pStyle w:val="ListNumber"/>
      </w:pPr>
      <w:r>
        <w:rPr>
          <w:b/>
        </w:rPr>
        <w:t>BOAC - BANK OF AFRICA COTE D'IVOIRE</w:t>
      </w:r>
      <w:r>
        <w:t xml:space="preserve"> | Prix: 10800 FCFA | </w:t>
      </w:r>
      <w:r>
        <w:rPr>
          <w:b/>
          <w:color w:val="008000"/>
        </w:rPr>
        <w:t>ACHAT</w:t>
      </w:r>
      <w:r>
        <w:t xml:space="preserve"> | Confiance: Élevée | Risque: Moyen</w:t>
      </w:r>
    </w:p>
    <w:p>
      <w:pPr>
        <w:pStyle w:val="ListNumber"/>
      </w:pPr>
      <w:r>
        <w:rPr>
          <w:b/>
        </w:rPr>
        <w:t>BOAM - BANK OF AFRICA MALI</w:t>
      </w:r>
      <w:r>
        <w:t xml:space="preserve"> | Prix: 5470 FCFA | </w:t>
      </w:r>
      <w:r>
        <w:rPr>
          <w:b/>
          <w:color w:val="008000"/>
        </w:rPr>
        <w:t>ACHAT</w:t>
      </w:r>
      <w:r>
        <w:t xml:space="preserve"> | Confiance: Élevée | Risque: Faible</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62.16%</w:t>
      </w:r>
      <w:r>
        <w:t xml:space="preserve">  |  </w:t>
      </w:r>
      <w:r>
        <w:rPr>
          <w:b/>
        </w:rPr>
        <w:t xml:space="preserve">vs BRVM Composite: </w:t>
      </w:r>
      <w:r>
        <w:rPr>
          <w:b/>
          <w:color w:val="008000"/>
        </w:rPr>
        <w:t>+34.17%  🟢 Surperformance</w:t>
      </w:r>
      <w:r>
        <w:br/>
      </w:r>
      <w:r>
        <w:rPr>
          <w:b/>
        </w:rPr>
        <w:t xml:space="preserve">Sentiment général: </w:t>
      </w:r>
      <w:r>
        <w:t xml:space="preserve">ACHAT  |  </w:t>
      </w:r>
      <w:r>
        <w:rPr>
          <w:b/>
        </w:rPr>
        <w:t xml:space="preserve">Risque moyen: </w:t>
      </w:r>
      <w:r>
        <w:t xml:space="preserve">Moyen  |  </w:t>
      </w:r>
      <w:r>
        <w:rPr>
          <w:b/>
        </w:rPr>
        <w:t xml:space="preserve">Prix moyen: </w:t>
      </w:r>
      <w:r>
        <w:t>8685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28.61%</w:t>
      </w:r>
      <w:r>
        <w:t xml:space="preserve">  |  </w:t>
      </w:r>
      <w:r>
        <w:rPr>
          <w:b/>
        </w:rPr>
        <w:t xml:space="preserve">vs BRVM Composite: </w:t>
      </w:r>
      <w:r>
        <w:rPr>
          <w:b/>
          <w:color w:val="008000"/>
        </w:rPr>
        <w:t>+0.62%  🟢 Surperformance</w:t>
      </w:r>
      <w:r>
        <w:br/>
      </w:r>
      <w:r>
        <w:rPr>
          <w:b/>
        </w:rPr>
        <w:t xml:space="preserve">Sentiment général: </w:t>
      </w:r>
      <w:r>
        <w:t xml:space="preserve">ACHAT  |  </w:t>
      </w:r>
      <w:r>
        <w:rPr>
          <w:b/>
        </w:rPr>
        <w:t xml:space="preserve">Risque moyen: </w:t>
      </w:r>
      <w:r>
        <w:t xml:space="preserve">Moyen  |  </w:t>
      </w:r>
      <w:r>
        <w:rPr>
          <w:b/>
        </w:rPr>
        <w:t xml:space="preserve">Prix moyen: </w:t>
      </w:r>
      <w:r>
        <w:t>12662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27.40%</w:t>
      </w:r>
      <w:r>
        <w:t xml:space="preserve">  |  </w:t>
      </w:r>
      <w:r>
        <w:rPr>
          <w:b/>
        </w:rPr>
        <w:t xml:space="preserve">vs BRVM Composite: </w:t>
      </w:r>
      <w:r>
        <w:rPr>
          <w:b/>
          <w:color w:val="C00000"/>
        </w:rPr>
        <w:t>-0.59%  🔴 Sous-performance</w:t>
      </w:r>
      <w:r>
        <w:br/>
      </w:r>
      <w:r>
        <w:rPr>
          <w:b/>
        </w:rPr>
        <w:t xml:space="preserve">Sentiment général: </w:t>
      </w:r>
      <w:r>
        <w:t xml:space="preserve">ACHAT  |  </w:t>
      </w:r>
      <w:r>
        <w:rPr>
          <w:b/>
        </w:rPr>
        <w:t xml:space="preserve">Risque moyen: </w:t>
      </w:r>
      <w:r>
        <w:t xml:space="preserve">Moyen  |  </w:t>
      </w:r>
      <w:r>
        <w:rPr>
          <w:b/>
        </w:rPr>
        <w:t xml:space="preserve">Prix moyen: </w:t>
      </w:r>
      <w:r>
        <w:t>21400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19.32%</w:t>
      </w:r>
      <w:r>
        <w:t xml:space="preserve">  |  </w:t>
      </w:r>
      <w:r>
        <w:rPr>
          <w:b/>
        </w:rPr>
        <w:t xml:space="preserve">vs BRVM Composite: </w:t>
      </w:r>
      <w:r>
        <w:rPr>
          <w:b/>
          <w:color w:val="C00000"/>
        </w:rPr>
        <w:t>-8.67%  🔴 Sous-performance</w:t>
      </w:r>
      <w:r>
        <w:br/>
      </w:r>
      <w:r>
        <w:rPr>
          <w:b/>
        </w:rPr>
        <w:t xml:space="preserve">Sentiment général: </w:t>
      </w:r>
      <w:r>
        <w:t xml:space="preserve">ACHAT  |  </w:t>
      </w:r>
      <w:r>
        <w:rPr>
          <w:b/>
        </w:rPr>
        <w:t xml:space="preserve">Risque moyen: </w:t>
      </w:r>
      <w:r>
        <w:t xml:space="preserve">Moyen  |  </w:t>
      </w:r>
      <w:r>
        <w:rPr>
          <w:b/>
        </w:rPr>
        <w:t xml:space="preserve">Prix moyen: </w:t>
      </w:r>
      <w:r>
        <w:t>5971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15.20%</w:t>
      </w:r>
      <w:r>
        <w:t xml:space="preserve">  |  </w:t>
      </w:r>
      <w:r>
        <w:rPr>
          <w:b/>
        </w:rPr>
        <w:t xml:space="preserve">vs BRVM Composite: </w:t>
      </w:r>
      <w:r>
        <w:rPr>
          <w:b/>
          <w:color w:val="C00000"/>
        </w:rPr>
        <w:t>-12.79%  🔴 Sous-performance</w:t>
      </w:r>
      <w:r>
        <w:br/>
      </w:r>
      <w:r>
        <w:rPr>
          <w:b/>
        </w:rPr>
        <w:t xml:space="preserve">Sentiment général: </w:t>
      </w:r>
      <w:r>
        <w:t xml:space="preserve">ACHAT  |  </w:t>
      </w:r>
      <w:r>
        <w:rPr>
          <w:b/>
        </w:rPr>
        <w:t xml:space="preserve">Risque moyen: </w:t>
      </w:r>
      <w:r>
        <w:t xml:space="preserve">Faible  |  </w:t>
      </w:r>
      <w:r>
        <w:rPr>
          <w:b/>
        </w:rPr>
        <w:t xml:space="preserve">Prix moyen: </w:t>
      </w:r>
      <w:r>
        <w:t>17363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8.68%</w:t>
      </w:r>
      <w:r>
        <w:t xml:space="preserve">  |  </w:t>
      </w:r>
      <w:r>
        <w:rPr>
          <w:b/>
        </w:rPr>
        <w:t xml:space="preserve">vs BRVM Composite: </w:t>
      </w:r>
      <w:r>
        <w:rPr>
          <w:b/>
          <w:color w:val="C00000"/>
        </w:rPr>
        <w:t>-19.32%  🔴 Sous-performance</w:t>
      </w:r>
      <w:r>
        <w:br/>
      </w:r>
      <w:r>
        <w:rPr>
          <w:b/>
        </w:rPr>
        <w:t xml:space="preserve">Sentiment général: </w:t>
      </w:r>
      <w:r>
        <w:t xml:space="preserve">ACHAT  |  </w:t>
      </w:r>
      <w:r>
        <w:rPr>
          <w:b/>
        </w:rPr>
        <w:t xml:space="preserve">Risque moyen: </w:t>
      </w:r>
      <w:r>
        <w:t xml:space="preserve">Faible  |  </w:t>
      </w:r>
      <w:r>
        <w:rPr>
          <w:b/>
        </w:rPr>
        <w:t xml:space="preserve">Prix moyen: </w:t>
      </w:r>
      <w:r>
        <w:t>2829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-7.01%</w:t>
      </w:r>
      <w:r>
        <w:t xml:space="preserve">  |  </w:t>
      </w:r>
      <w:r>
        <w:rPr>
          <w:b/>
        </w:rPr>
        <w:t xml:space="preserve">vs BRVM Composite: </w:t>
      </w:r>
      <w:r>
        <w:rPr>
          <w:b/>
          <w:color w:val="C00000"/>
        </w:rPr>
        <w:t>-35.00%  🔴 Sous-performance</w:t>
      </w:r>
      <w:r>
        <w:br/>
      </w:r>
      <w:r>
        <w:rPr>
          <w:b/>
        </w:rPr>
        <w:t xml:space="preserve">Sentiment général: </w:t>
      </w:r>
      <w:r>
        <w:t xml:space="preserve">ACHAT  |  </w:t>
      </w:r>
      <w:r>
        <w:rPr>
          <w:b/>
        </w:rPr>
        <w:t xml:space="preserve">Risque moyen: </w:t>
      </w:r>
      <w:r>
        <w:t xml:space="preserve">Moyen  |  </w:t>
      </w:r>
      <w:r>
        <w:rPr>
          <w:b/>
        </w:rPr>
        <w:t xml:space="preserve">Prix moyen: </w:t>
      </w:r>
      <w:r>
        <w:t>2264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BICC, BNBC, BOAB, BOABF, BOAC, BOAM, BOAN, BOAS, CABC, CBIBF, CFAC, CIEC, ECOC, ETIT, FTSC, NEIC, NSBC, ONTBF, ORAC, ORGT, SAFC, SCRC, SDCC, SDSC, SGBC, SHEC, SIBC, SIVC, SMBC, SNTS, SOGC, SPHC, TTLC, TTLS,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LNBB, NTLC, PALC, PRSC, SEMC, STAC, STBC,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SICC, SLBC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2034586</w:t>
            </w:r>
          </w:p>
        </w:tc>
        <w:tc>
          <w:tcPr>
            <w:tcW w:type="dxa" w:w="1728"/>
          </w:tcPr>
          <w:p>
            <w:r>
              <w:t>137812064 FCFA</w:t>
            </w:r>
          </w:p>
        </w:tc>
        <w:tc>
          <w:tcPr>
            <w:tcW w:type="dxa" w:w="1728"/>
          </w:tcPr>
          <w:p>
            <w:r>
              <w:t>120.69%</w:t>
            </w:r>
          </w:p>
        </w:tc>
        <w:tc>
          <w:tcPr>
            <w:tcW w:type="dxa" w:w="1728"/>
          </w:tcPr>
          <w:p>
            <w:r>
              <w:t>ACHAT</w:t>
            </w:r>
          </w:p>
        </w:tc>
      </w:tr>
      <w:tr>
        <w:tc>
          <w:tcPr>
            <w:tcW w:type="dxa" w:w="1728"/>
          </w:tcPr>
          <w:p>
            <w:r>
              <w:t>SNTS (SNTS - SONATEL SN)</w:t>
            </w:r>
          </w:p>
        </w:tc>
        <w:tc>
          <w:tcPr>
            <w:tcW w:type="dxa" w:w="1728"/>
          </w:tcPr>
          <w:p>
            <w:r>
              <w:t>18488</w:t>
            </w:r>
          </w:p>
        </w:tc>
        <w:tc>
          <w:tcPr>
            <w:tcW w:type="dxa" w:w="1728"/>
          </w:tcPr>
          <w:p>
            <w:r>
              <w:t>732364851 FCFA</w:t>
            </w:r>
          </w:p>
        </w:tc>
        <w:tc>
          <w:tcPr>
            <w:tcW w:type="dxa" w:w="1728"/>
          </w:tcPr>
          <w:p>
            <w:r>
              <w:t>42.86%</w:t>
            </w:r>
          </w:p>
        </w:tc>
        <w:tc>
          <w:tcPr>
            <w:tcW w:type="dxa" w:w="1728"/>
          </w:tcPr>
          <w:p>
            <w:r>
              <w:t>ACHAT</w:t>
            </w:r>
          </w:p>
        </w:tc>
      </w:tr>
      <w:tr>
        <w:tc>
          <w:tcPr>
            <w:tcW w:type="dxa" w:w="1728"/>
          </w:tcPr>
          <w:p>
            <w:r>
              <w:t>SDSC (SDSC - AFRICA GLOBAL LOGISTICS CI)</w:t>
            </w:r>
          </w:p>
        </w:tc>
        <w:tc>
          <w:tcPr>
            <w:tcW w:type="dxa" w:w="1728"/>
          </w:tcPr>
          <w:p>
            <w:r>
              <w:t>17509</w:t>
            </w:r>
          </w:p>
        </w:tc>
        <w:tc>
          <w:tcPr>
            <w:tcW w:type="dxa" w:w="1728"/>
          </w:tcPr>
          <w:p>
            <w:r>
              <w:t>50357790 FCFA</w:t>
            </w:r>
          </w:p>
        </w:tc>
        <w:tc>
          <w:tcPr>
            <w:tcW w:type="dxa" w:w="1728"/>
          </w:tcPr>
          <w:p>
            <w:r>
              <w:t>57.75%</w:t>
            </w:r>
          </w:p>
        </w:tc>
        <w:tc>
          <w:tcPr>
            <w:tcW w:type="dxa" w:w="1728"/>
          </w:tcPr>
          <w:p>
            <w:r>
              <w:t>ACHAT</w:t>
            </w:r>
          </w:p>
        </w:tc>
      </w:tr>
      <w:tr>
        <w:tc>
          <w:tcPr>
            <w:tcW w:type="dxa" w:w="1728"/>
          </w:tcPr>
          <w:p>
            <w:r>
              <w:t>SIBC (SIBC - SOCIETE IVOIRIENNE DE BANQUE)</w:t>
            </w:r>
          </w:p>
        </w:tc>
        <w:tc>
          <w:tcPr>
            <w:tcW w:type="dxa" w:w="1728"/>
          </w:tcPr>
          <w:p>
            <w:r>
              <w:t>15254</w:t>
            </w:r>
          </w:p>
        </w:tc>
        <w:tc>
          <w:tcPr>
            <w:tcW w:type="dxa" w:w="1728"/>
          </w:tcPr>
          <w:p>
            <w:r>
              <w:t>139346814 FCFA</w:t>
            </w:r>
          </w:p>
        </w:tc>
        <w:tc>
          <w:tcPr>
            <w:tcW w:type="dxa" w:w="1728"/>
          </w:tcPr>
          <w:p>
            <w:r>
              <w:t>19.86%</w:t>
            </w:r>
          </w:p>
        </w:tc>
        <w:tc>
          <w:tcPr>
            <w:tcW w:type="dxa" w:w="1728"/>
          </w:tcPr>
          <w:p>
            <w:r>
              <w:t>ACHAT</w:t>
            </w:r>
          </w:p>
        </w:tc>
      </w:tr>
      <w:tr>
        <w:tc>
          <w:tcPr>
            <w:tcW w:type="dxa" w:w="1728"/>
          </w:tcPr>
          <w:p>
            <w:r>
              <w:t>BOAS (BANK OF AFRICA SENEGAL)</w:t>
            </w:r>
          </w:p>
        </w:tc>
        <w:tc>
          <w:tcPr>
            <w:tcW w:type="dxa" w:w="1728"/>
          </w:tcPr>
          <w:p>
            <w:r>
              <w:t>13623</w:t>
            </w:r>
          </w:p>
        </w:tc>
        <w:tc>
          <w:tcPr>
            <w:tcW w:type="dxa" w:w="1728"/>
          </w:tcPr>
          <w:p>
            <w:r>
              <w:t>112080950 FCFA</w:t>
            </w:r>
          </w:p>
        </w:tc>
        <w:tc>
          <w:tcPr>
            <w:tcW w:type="dxa" w:w="1728"/>
          </w:tcPr>
          <w:p>
            <w:r>
              <w:t>9.29%</w:t>
            </w:r>
          </w:p>
        </w:tc>
        <w:tc>
          <w:tcPr>
            <w:tcW w:type="dxa" w:w="1728"/>
          </w:tcPr>
          <w:p>
            <w:r>
              <w:t>ACHAT</w:t>
            </w:r>
          </w:p>
        </w:tc>
      </w:tr>
      <w:tr>
        <w:tc>
          <w:tcPr>
            <w:tcW w:type="dxa" w:w="1728"/>
          </w:tcPr>
          <w:p>
            <w:r>
              <w:t>UNXC (UNXC - UNIWAX COTE D'IVOIRE)</w:t>
            </w:r>
          </w:p>
        </w:tc>
        <w:tc>
          <w:tcPr>
            <w:tcW w:type="dxa" w:w="1728"/>
          </w:tcPr>
          <w:p>
            <w:r>
              <w:t>12240</w:t>
            </w:r>
          </w:p>
        </w:tc>
        <w:tc>
          <w:tcPr>
            <w:tcW w:type="dxa" w:w="1728"/>
          </w:tcPr>
          <w:p>
            <w:r>
              <w:t>28956644 FCFA</w:t>
            </w:r>
          </w:p>
        </w:tc>
        <w:tc>
          <w:tcPr>
            <w:tcW w:type="dxa" w:w="1728"/>
          </w:tcPr>
          <w:p>
            <w:r>
              <w:t>11.39%</w:t>
            </w:r>
          </w:p>
        </w:tc>
        <w:tc>
          <w:tcPr>
            <w:tcW w:type="dxa" w:w="1728"/>
          </w:tcPr>
          <w:p>
            <w:r>
              <w:t>ACHAT</w:t>
            </w:r>
          </w:p>
        </w:tc>
      </w:tr>
      <w:tr>
        <w:tc>
          <w:tcPr>
            <w:tcW w:type="dxa" w:w="1728"/>
          </w:tcPr>
          <w:p>
            <w:r>
              <w:t>SAFC (SAFCA CI)</w:t>
            </w:r>
          </w:p>
        </w:tc>
        <w:tc>
          <w:tcPr>
            <w:tcW w:type="dxa" w:w="1728"/>
          </w:tcPr>
          <w:p>
            <w:r>
              <w:t>12104</w:t>
            </w:r>
          </w:p>
        </w:tc>
        <w:tc>
          <w:tcPr>
            <w:tcW w:type="dxa" w:w="1728"/>
          </w:tcPr>
          <w:p>
            <w:r>
              <w:t>65736218 FCFA</w:t>
            </w:r>
          </w:p>
        </w:tc>
        <w:tc>
          <w:tcPr>
            <w:tcW w:type="dxa" w:w="1728"/>
          </w:tcPr>
          <w:p>
            <w:r>
              <w:t>2.05%</w:t>
            </w:r>
          </w:p>
        </w:tc>
        <w:tc>
          <w:tcPr>
            <w:tcW w:type="dxa" w:w="1728"/>
          </w:tcPr>
          <w:p>
            <w:r>
              <w:t>ACHAT</w:t>
            </w:r>
          </w:p>
        </w:tc>
      </w:tr>
      <w:tr>
        <w:tc>
          <w:tcPr>
            <w:tcW w:type="dxa" w:w="1728"/>
          </w:tcPr>
          <w:p>
            <w:r>
              <w:t>BICB (BIIC BN - Banque internationale pour le commerce du benin)</w:t>
            </w:r>
          </w:p>
        </w:tc>
        <w:tc>
          <w:tcPr>
            <w:tcW w:type="dxa" w:w="1728"/>
          </w:tcPr>
          <w:p>
            <w:r>
              <w:t>11589</w:t>
            </w:r>
          </w:p>
        </w:tc>
        <w:tc>
          <w:tcPr>
            <w:tcW w:type="dxa" w:w="1728"/>
          </w:tcPr>
          <w:p>
            <w:r>
              <w:t>113197666 FCFA</w:t>
            </w:r>
          </w:p>
        </w:tc>
        <w:tc>
          <w:tcPr>
            <w:tcW w:type="dxa" w:w="1728"/>
          </w:tcPr>
          <w:p>
            <w:r>
              <w:t>55.92%</w:t>
            </w:r>
          </w:p>
        </w:tc>
        <w:tc>
          <w:tcPr>
            <w:tcW w:type="dxa" w:w="1728"/>
          </w:tcPr>
          <w:p>
            <w:r>
              <w:t>ACHAT</w:t>
            </w:r>
          </w:p>
        </w:tc>
      </w:tr>
      <w:tr>
        <w:tc>
          <w:tcPr>
            <w:tcW w:type="dxa" w:w="1728"/>
          </w:tcPr>
          <w:p>
            <w:r>
              <w:t>BOAC (BANK OF AFRICA COTE D'IVOIRE)</w:t>
            </w:r>
          </w:p>
        </w:tc>
        <w:tc>
          <w:tcPr>
            <w:tcW w:type="dxa" w:w="1728"/>
          </w:tcPr>
          <w:p>
            <w:r>
              <w:t>10362</w:t>
            </w:r>
          </w:p>
        </w:tc>
        <w:tc>
          <w:tcPr>
            <w:tcW w:type="dxa" w:w="1728"/>
          </w:tcPr>
          <w:p>
            <w:r>
              <w:t>126531180 FCFA</w:t>
            </w:r>
          </w:p>
        </w:tc>
        <w:tc>
          <w:tcPr>
            <w:tcW w:type="dxa" w:w="1728"/>
          </w:tcPr>
          <w:p>
            <w:r>
              <w:t>17.46%</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3985</w:t>
            </w:r>
          </w:p>
        </w:tc>
        <w:tc>
          <w:tcPr>
            <w:tcW w:type="dxa" w:w="1728"/>
          </w:tcPr>
          <w:p>
            <w:r>
              <w:t>15575750 FCFA</w:t>
            </w:r>
          </w:p>
        </w:tc>
        <w:tc>
          <w:tcPr>
            <w:tcW w:type="dxa" w:w="1728"/>
          </w:tcPr>
          <w:p>
            <w:r>
              <w:t>21.30%</w:t>
            </w:r>
          </w:p>
        </w:tc>
        <w:tc>
          <w:tcPr>
            <w:tcW w:type="dxa" w:w="1728"/>
          </w:tcPr>
          <w:p>
            <w:r>
              <w:t>ACHAT</w:t>
            </w:r>
          </w:p>
        </w:tc>
      </w:tr>
      <w:tr>
        <w:tc>
          <w:tcPr>
            <w:tcW w:type="dxa" w:w="1728"/>
          </w:tcPr>
          <w:p>
            <w:r>
              <w:t>STBC (STBC - SITAB COTE D'IVOIRE)</w:t>
            </w:r>
          </w:p>
        </w:tc>
        <w:tc>
          <w:tcPr>
            <w:tcW w:type="dxa" w:w="1728"/>
          </w:tcPr>
          <w:p>
            <w:r>
              <w:t>3757</w:t>
            </w:r>
          </w:p>
        </w:tc>
        <w:tc>
          <w:tcPr>
            <w:tcW w:type="dxa" w:w="1728"/>
          </w:tcPr>
          <w:p>
            <w:r>
              <w:t>81988058 FCFA</w:t>
            </w:r>
          </w:p>
        </w:tc>
        <w:tc>
          <w:tcPr>
            <w:tcW w:type="dxa" w:w="1728"/>
          </w:tcPr>
          <w:p>
            <w:r>
              <w:t>4.47%</w:t>
            </w:r>
          </w:p>
        </w:tc>
        <w:tc>
          <w:tcPr>
            <w:tcW w:type="dxa" w:w="1728"/>
          </w:tcPr>
          <w:p>
            <w:r>
              <w:t>ACHAT</w:t>
            </w:r>
          </w:p>
        </w:tc>
      </w:tr>
      <w:tr>
        <w:tc>
          <w:tcPr>
            <w:tcW w:type="dxa" w:w="1728"/>
          </w:tcPr>
          <w:p>
            <w:r>
              <w:t>SOGC (SOGC - Société des caoutchoucs de Grand-Béréby)</w:t>
            </w:r>
          </w:p>
        </w:tc>
        <w:tc>
          <w:tcPr>
            <w:tcW w:type="dxa" w:w="1728"/>
          </w:tcPr>
          <w:p>
            <w:r>
              <w:t>3702</w:t>
            </w:r>
          </w:p>
        </w:tc>
        <w:tc>
          <w:tcPr>
            <w:tcW w:type="dxa" w:w="1728"/>
          </w:tcPr>
          <w:p>
            <w:r>
              <w:t>30466768 FCFA</w:t>
            </w:r>
          </w:p>
        </w:tc>
        <w:tc>
          <w:tcPr>
            <w:tcW w:type="dxa" w:w="1728"/>
          </w:tcPr>
          <w:p>
            <w:r>
              <w:t>-4.89%</w:t>
            </w:r>
          </w:p>
        </w:tc>
        <w:tc>
          <w:tcPr>
            <w:tcW w:type="dxa" w:w="1728"/>
          </w:tcPr>
          <w:p>
            <w:r>
              <w:t>ACHAT</w:t>
            </w:r>
          </w:p>
        </w:tc>
      </w:tr>
      <w:tr>
        <w:tc>
          <w:tcPr>
            <w:tcW w:type="dxa" w:w="1728"/>
          </w:tcPr>
          <w:p>
            <w:r>
              <w:t>PALC (PALC - PALM COTE D'IVOIRE)</w:t>
            </w:r>
          </w:p>
        </w:tc>
        <w:tc>
          <w:tcPr>
            <w:tcW w:type="dxa" w:w="1728"/>
          </w:tcPr>
          <w:p>
            <w:r>
              <w:t>3562</w:t>
            </w:r>
          </w:p>
        </w:tc>
        <w:tc>
          <w:tcPr>
            <w:tcW w:type="dxa" w:w="1728"/>
          </w:tcPr>
          <w:p>
            <w:r>
              <w:t>30627365 FCFA</w:t>
            </w:r>
          </w:p>
        </w:tc>
        <w:tc>
          <w:tcPr>
            <w:tcW w:type="dxa" w:w="1728"/>
          </w:tcPr>
          <w:p>
            <w:r>
              <w:t>2.53%</w:t>
            </w:r>
          </w:p>
        </w:tc>
        <w:tc>
          <w:tcPr>
            <w:tcW w:type="dxa" w:w="1728"/>
          </w:tcPr>
          <w:p>
            <w:r>
              <w:t>ACHAT</w:t>
            </w:r>
          </w:p>
        </w:tc>
      </w:tr>
      <w:tr>
        <w:tc>
          <w:tcPr>
            <w:tcW w:type="dxa" w:w="1728"/>
          </w:tcPr>
          <w:p>
            <w:r>
              <w:t>CFAC (CFAC - CFAO MOTORS CI)</w:t>
            </w:r>
          </w:p>
        </w:tc>
        <w:tc>
          <w:tcPr>
            <w:tcW w:type="dxa" w:w="1728"/>
          </w:tcPr>
          <w:p>
            <w:r>
              <w:t>3528</w:t>
            </w:r>
          </w:p>
        </w:tc>
        <w:tc>
          <w:tcPr>
            <w:tcW w:type="dxa" w:w="1728"/>
          </w:tcPr>
          <w:p>
            <w:r>
              <w:t>6003117 FCFA</w:t>
            </w:r>
          </w:p>
        </w:tc>
        <w:tc>
          <w:tcPr>
            <w:tcW w:type="dxa" w:w="1728"/>
          </w:tcPr>
          <w:p>
            <w:r>
              <w:t>-3.27%</w:t>
            </w:r>
          </w:p>
        </w:tc>
        <w:tc>
          <w:tcPr>
            <w:tcW w:type="dxa" w:w="1728"/>
          </w:tcPr>
          <w:p>
            <w:r>
              <w:t>ACHAT</w:t>
            </w:r>
          </w:p>
        </w:tc>
      </w:tr>
      <w:tr>
        <w:tc>
          <w:tcPr>
            <w:tcW w:type="dxa" w:w="1728"/>
          </w:tcPr>
          <w:p>
            <w:r>
              <w:t>ECOC (ECOC - ECOBANK COTE D'IVOIRE)</w:t>
            </w:r>
          </w:p>
        </w:tc>
        <w:tc>
          <w:tcPr>
            <w:tcW w:type="dxa" w:w="1728"/>
          </w:tcPr>
          <w:p>
            <w:r>
              <w:t>3292</w:t>
            </w:r>
          </w:p>
        </w:tc>
        <w:tc>
          <w:tcPr>
            <w:tcW w:type="dxa" w:w="1728"/>
          </w:tcPr>
          <w:p>
            <w:r>
              <w:t>55943777 FCFA</w:t>
            </w:r>
          </w:p>
        </w:tc>
        <w:tc>
          <w:tcPr>
            <w:tcW w:type="dxa" w:w="1728"/>
          </w:tcPr>
          <w:p>
            <w:r>
              <w:t>4.67%</w:t>
            </w:r>
          </w:p>
        </w:tc>
        <w:tc>
          <w:tcPr>
            <w:tcW w:type="dxa" w:w="1728"/>
          </w:tcPr>
          <w:p>
            <w:r>
              <w:t>ACHAT</w:t>
            </w:r>
          </w:p>
        </w:tc>
      </w:tr>
      <w:tr>
        <w:tc>
          <w:tcPr>
            <w:tcW w:type="dxa" w:w="1728"/>
          </w:tcPr>
          <w:p>
            <w:r>
              <w:t>FTSC (FTSC - FILTISAC COTE D'IVOIRE)</w:t>
            </w:r>
          </w:p>
        </w:tc>
        <w:tc>
          <w:tcPr>
            <w:tcW w:type="dxa" w:w="1728"/>
          </w:tcPr>
          <w:p>
            <w:r>
              <w:t>3246</w:t>
            </w:r>
          </w:p>
        </w:tc>
        <w:tc>
          <w:tcPr>
            <w:tcW w:type="dxa" w:w="1728"/>
          </w:tcPr>
          <w:p>
            <w:r>
              <w:t>6839975 FCFA</w:t>
            </w:r>
          </w:p>
        </w:tc>
        <w:tc>
          <w:tcPr>
            <w:tcW w:type="dxa" w:w="1728"/>
          </w:tcPr>
          <w:p>
            <w:r>
              <w:t>-9.09%</w:t>
            </w:r>
          </w:p>
        </w:tc>
        <w:tc>
          <w:tcPr>
            <w:tcW w:type="dxa" w:w="1728"/>
          </w:tcPr>
          <w:p>
            <w:r>
              <w:t>ACHAT</w:t>
            </w:r>
          </w:p>
        </w:tc>
      </w:tr>
      <w:tr>
        <w:tc>
          <w:tcPr>
            <w:tcW w:type="dxa" w:w="1728"/>
          </w:tcPr>
          <w:p>
            <w:r>
              <w:t>NEIC (NEIC - NEI-CEDA CI)</w:t>
            </w:r>
          </w:p>
        </w:tc>
        <w:tc>
          <w:tcPr>
            <w:tcW w:type="dxa" w:w="1728"/>
          </w:tcPr>
          <w:p>
            <w:r>
              <w:t>2874</w:t>
            </w:r>
          </w:p>
        </w:tc>
        <w:tc>
          <w:tcPr>
            <w:tcW w:type="dxa" w:w="1728"/>
          </w:tcPr>
          <w:p>
            <w:r>
              <w:t>7844549 FCFA</w:t>
            </w:r>
          </w:p>
        </w:tc>
        <w:tc>
          <w:tcPr>
            <w:tcW w:type="dxa" w:w="1728"/>
          </w:tcPr>
          <w:p>
            <w:r>
              <w:t>27.25%</w:t>
            </w:r>
          </w:p>
        </w:tc>
        <w:tc>
          <w:tcPr>
            <w:tcW w:type="dxa" w:w="1728"/>
          </w:tcPr>
          <w:p>
            <w:r>
              <w:t>ACHAT</w:t>
            </w:r>
          </w:p>
        </w:tc>
      </w:tr>
      <w:tr>
        <w:tc>
          <w:tcPr>
            <w:tcW w:type="dxa" w:w="1728"/>
          </w:tcPr>
          <w:p>
            <w:r>
              <w:t>PRSC (PRSC - TRACTAFRIC MOTORS CI)</w:t>
            </w:r>
          </w:p>
        </w:tc>
        <w:tc>
          <w:tcPr>
            <w:tcW w:type="dxa" w:w="1728"/>
          </w:tcPr>
          <w:p>
            <w:r>
              <w:t>2269</w:t>
            </w:r>
          </w:p>
        </w:tc>
        <w:tc>
          <w:tcPr>
            <w:tcW w:type="dxa" w:w="1728"/>
          </w:tcPr>
          <w:p>
            <w:r>
              <w:t>10020238 FCFA</w:t>
            </w:r>
          </w:p>
        </w:tc>
        <w:tc>
          <w:tcPr>
            <w:tcW w:type="dxa" w:w="1728"/>
          </w:tcPr>
          <w:p>
            <w:r>
              <w:t>-11.58%</w:t>
            </w:r>
          </w:p>
        </w:tc>
        <w:tc>
          <w:tcPr>
            <w:tcW w:type="dxa" w:w="1728"/>
          </w:tcPr>
          <w:p>
            <w:r>
              <w:t>ACHAT FORT</w:t>
            </w:r>
          </w:p>
        </w:tc>
      </w:tr>
      <w:tr>
        <w:tc>
          <w:tcPr>
            <w:tcW w:type="dxa" w:w="1728"/>
          </w:tcPr>
          <w:p>
            <w:r>
              <w:t>CABC (CABC - SICABLE COTE D'IVOIRE)</w:t>
            </w:r>
          </w:p>
        </w:tc>
        <w:tc>
          <w:tcPr>
            <w:tcW w:type="dxa" w:w="1728"/>
          </w:tcPr>
          <w:p>
            <w:r>
              <w:t>2257</w:t>
            </w:r>
          </w:p>
        </w:tc>
        <w:tc>
          <w:tcPr>
            <w:tcW w:type="dxa" w:w="1728"/>
          </w:tcPr>
          <w:p>
            <w:r>
              <w:t>7809588 FCFA</w:t>
            </w:r>
          </w:p>
        </w:tc>
        <w:tc>
          <w:tcPr>
            <w:tcW w:type="dxa" w:w="1728"/>
          </w:tcPr>
          <w:p>
            <w:r>
              <w:t>-14.93%</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2. SLBC - SLBC - SOLIBRA COTE D'IVOIRE</w:t>
      </w:r>
    </w:p>
    <w:p>
      <w:r>
        <w:rPr>
          <w:b/>
        </w:rPr>
        <w:t xml:space="preserve">Score de divergence: </w:t>
      </w:r>
      <w:r>
        <w:t>4/8</w:t>
        <w:br/>
      </w:r>
      <w:r>
        <w:rPr>
          <w:b/>
        </w:rPr>
        <w:t xml:space="preserve">Description: </w:t>
      </w:r>
      <w:r>
        <w:t>Signaux d'achat: MACD | Signaux de vente: MM, Stochastique | Recommandation finale: ACHAT FORT</w:t>
        <w:br/>
      </w:r>
    </w:p>
    <w:p/>
    <w:p>
      <w:pPr>
        <w:pStyle w:val="Heading3"/>
      </w:pPr>
      <w:r>
        <w:t>3. BOAB - BANK OF AFRICA BENIN</w:t>
      </w:r>
    </w:p>
    <w:p>
      <w:r>
        <w:rPr>
          <w:b/>
        </w:rPr>
        <w:t xml:space="preserve">Score de divergence: </w:t>
      </w:r>
      <w:r>
        <w:t>3/8</w:t>
        <w:br/>
      </w:r>
      <w:r>
        <w:rPr>
          <w:b/>
        </w:rPr>
        <w:t xml:space="preserve">Description: </w:t>
      </w:r>
      <w:r>
        <w:t>Signaux d'achat: MM, Bollinger, RSI, Stochastique | Signaux de vente: MACD | Recommandation finale: ACHAT</w:t>
        <w:br/>
      </w:r>
    </w:p>
    <w:p/>
    <w:p>
      <w:pPr>
        <w:pStyle w:val="Heading3"/>
      </w:pPr>
      <w:r>
        <w:t>4. BOABF - BANK OF AFRICA BURKINA FASO</w:t>
      </w:r>
    </w:p>
    <w:p>
      <w:r>
        <w:rPr>
          <w:b/>
        </w:rPr>
        <w:t xml:space="preserve">Score de divergence: </w:t>
      </w:r>
      <w:r>
        <w:t>3/8</w:t>
        <w:br/>
      </w:r>
      <w:r>
        <w:rPr>
          <w:b/>
        </w:rPr>
        <w:t xml:space="preserve">Description: </w:t>
      </w:r>
      <w:r>
        <w:t>Signaux d'achat: MM, Bollinger, RSI, Stochastique | Signaux de vente: MACD | Recommandation finale: ACHAT</w:t>
        <w:br/>
      </w:r>
    </w:p>
    <w:p/>
    <w:p>
      <w:pPr>
        <w:pStyle w:val="Heading3"/>
      </w:pPr>
      <w:r>
        <w:t>5. BOAC - BANK OF AFRICA COTE D'IVOIRE</w:t>
      </w:r>
    </w:p>
    <w:p>
      <w:r>
        <w:rPr>
          <w:b/>
        </w:rPr>
        <w:t xml:space="preserve">Score de divergence: </w:t>
      </w:r>
      <w:r>
        <w:t>3/8</w:t>
        <w:br/>
      </w:r>
      <w:r>
        <w:rPr>
          <w:b/>
        </w:rPr>
        <w:t xml:space="preserve">Description: </w:t>
      </w:r>
      <w:r>
        <w:t>Signaux d'achat: MM, Bollinger, RSI, Stochastique | Signaux de vente: MACD | Recommandation finale: ACHAT</w:t>
        <w:br/>
      </w:r>
    </w:p>
    <w:p/>
    <w:p>
      <w:pPr>
        <w:pStyle w:val="Heading3"/>
      </w:pPr>
      <w:r>
        <w:t>6. BOAN - BANK OF AFRICA NIGER</w:t>
      </w:r>
    </w:p>
    <w:p>
      <w:r>
        <w:rPr>
          <w:b/>
        </w:rPr>
        <w:t xml:space="preserve">Score de divergence: </w:t>
      </w:r>
      <w:r>
        <w:t>3/8</w:t>
        <w:br/>
      </w:r>
      <w:r>
        <w:rPr>
          <w:b/>
        </w:rPr>
        <w:t xml:space="preserve">Description: </w:t>
      </w:r>
      <w:r>
        <w:t>Signaux d'achat: MM, Bollinger, RSI, Stochastique | Signaux de vente: MACD | Recommandation finale: ACHAT</w:t>
        <w:br/>
      </w:r>
    </w:p>
    <w:p/>
    <w:p>
      <w:pPr>
        <w:pStyle w:val="Heading3"/>
      </w:pPr>
      <w:r>
        <w:t>7. BOAS - BANK OF AFRICA SENEGAL</w:t>
      </w:r>
    </w:p>
    <w:p>
      <w:r>
        <w:rPr>
          <w:b/>
        </w:rPr>
        <w:t xml:space="preserve">Score de divergence: </w:t>
      </w:r>
      <w:r>
        <w:t>3/8</w:t>
        <w:br/>
      </w:r>
      <w:r>
        <w:rPr>
          <w:b/>
        </w:rPr>
        <w:t xml:space="preserve">Description: </w:t>
      </w:r>
      <w:r>
        <w:t>Signaux d'achat: MM, Bollinger, RSI, Stochastique | Signaux de vente: MACD | Recommandation finale: ACHAT</w:t>
        <w:br/>
      </w:r>
    </w:p>
    <w:p/>
    <w:p>
      <w:pPr>
        <w:pStyle w:val="Heading3"/>
      </w:pPr>
      <w:r>
        <w:t>8. CBIBF - CBIBF - CORIS BANK INTERNATIONAL BURKINA FASO</w:t>
      </w:r>
    </w:p>
    <w:p>
      <w:r>
        <w:rPr>
          <w:b/>
        </w:rPr>
        <w:t xml:space="preserve">Score de divergence: </w:t>
      </w:r>
      <w:r>
        <w:t>3/8</w:t>
        <w:br/>
      </w:r>
      <w:r>
        <w:rPr>
          <w:b/>
        </w:rPr>
        <w:t xml:space="preserve">Description: </w:t>
      </w:r>
      <w:r>
        <w:t>Signaux d'achat: MM, Bollinger, RSI, Stochastique | Signaux de vente: MACD | Recommandation finale: ACHAT</w:t>
        <w:br/>
      </w:r>
    </w:p>
    <w:p/>
    <w:p>
      <w:pPr>
        <w:pStyle w:val="Heading3"/>
      </w:pPr>
      <w:r>
        <w:t>9. CFAC - CFAC - CFAO MOTORS CI</w:t>
      </w:r>
    </w:p>
    <w:p>
      <w:r>
        <w:rPr>
          <w:b/>
        </w:rPr>
        <w:t xml:space="preserve">Score de divergence: </w:t>
      </w:r>
      <w:r>
        <w:t>3/8</w:t>
        <w:br/>
      </w:r>
      <w:r>
        <w:rPr>
          <w:b/>
        </w:rPr>
        <w:t xml:space="preserve">Description: </w:t>
      </w:r>
      <w:r>
        <w:t>Signaux d'achat: MM, Bollinger, RSI, Stochastique | Signaux de vente: MACD | Recommandation finale: ACHAT</w:t>
        <w:br/>
      </w:r>
    </w:p>
    <w:p/>
    <w:p>
      <w:pPr>
        <w:pStyle w:val="Heading3"/>
      </w:pPr>
      <w:r>
        <w:t>10. ETIT - ETIT - Ecobank Transnational Incorporated Togo</w:t>
      </w:r>
    </w:p>
    <w:p>
      <w:r>
        <w:rPr>
          <w:b/>
        </w:rPr>
        <w:t xml:space="preserve">Score de divergence: </w:t>
      </w:r>
      <w:r>
        <w:t>3/8</w:t>
        <w:br/>
      </w:r>
      <w:r>
        <w:rPr>
          <w:b/>
        </w:rPr>
        <w:t xml:space="preserve">Description: </w:t>
      </w:r>
      <w:r>
        <w:t>Signaux d'achat: MM, Bollinger, RSI, Stochastique | Signaux de vente: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23</w:t>
            </w:r>
          </w:p>
        </w:tc>
        <w:tc>
          <w:tcPr>
            <w:tcW w:type="dxa" w:w="2160"/>
          </w:tcPr>
          <w:p>
            <w:r>
              <w:t>0</w:t>
            </w:r>
          </w:p>
        </w:tc>
      </w:tr>
      <w:tr>
        <w:tc>
          <w:tcPr>
            <w:tcW w:type="dxa" w:w="2160"/>
          </w:tcPr>
          <w:p>
            <w:r>
              <w:t>Risque Moyen</w:t>
            </w:r>
          </w:p>
        </w:tc>
        <w:tc>
          <w:tcPr>
            <w:tcW w:type="dxa" w:w="2160"/>
          </w:tcPr>
          <w:p>
            <w:r>
              <w:t>0</w:t>
            </w:r>
          </w:p>
        </w:tc>
        <w:tc>
          <w:tcPr>
            <w:tcW w:type="dxa" w:w="2160"/>
          </w:tcPr>
          <w:p>
            <w:r>
              <w:t>24</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 (BANK OF AFRICA BENIN)</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SICC (SICC - SICOR COTE D'IVOIRE)</w:t>
      </w:r>
    </w:p>
    <w:p>
      <w:pPr>
        <w:pStyle w:val="ListBullet"/>
      </w:pPr>
      <w:r>
        <w:t>• SIVC (SIVC - ERIUM CI (Ex AIR LIQUIDECI))</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prix du pétrole progressent malgré les discussions américano-iraniennes, signal d'une tension persistante sur l'énergie [2026-09-23]. Ole Hansen (Saxo Bank) rappelle la difficulté de prévoir les cours du brut, tandis que le Japon affiche l'essence la moins chère du G7, illustrant les disparités fiscales sur les carburants.</w:t>
      </w:r>
    </w:p>
    <w:p>
      <w:pPr>
        <w:pStyle w:val="Heading3"/>
      </w:pPr>
      <w:r>
        <w:rPr>
          <w:color w:val="500050"/>
        </w:rPr>
        <w:t>⚡ Impact estimé sur la BRVM</w:t>
      </w:r>
    </w:p>
    <w:p>
      <w:pPr>
        <w:spacing w:before="20" w:after="40"/>
        <w:ind w:left="280"/>
      </w:pPr>
      <w:r>
        <w:rPr>
          <w:i/>
          <w:sz w:val="18"/>
        </w:rPr>
        <w:t>Hausse du brut = pression sur SMBC et TTLC (coûts d'approvisionnement énergétique), mais soutien aux marges des distributeurs pétroliers. Les secteurs INDUSTRIELS et CONSOMMATION DISCRETIONNAIRE (UNXC, CFAC) subiraient une hausse des coûts logistiques.</w:t>
      </w:r>
    </w:p>
    <w:p>
      <w:pPr>
        <w:pStyle w:val="Heading2"/>
      </w:pPr>
      <w:r>
        <w:rPr>
          <w:color w:val="006E32"/>
        </w:rPr>
        <w:t>🌍 Plan Africain</w:t>
      </w:r>
    </w:p>
    <w:p>
      <w:pPr>
        <w:spacing w:before="20" w:after="40"/>
        <w:ind w:left="0"/>
      </w:pPr>
      <w:r>
        <w:rPr>
          <w:sz w:val="18"/>
        </w:rPr>
        <w:t>Le Sénégal et le FMI s'accordent sur un programme d'aide de ~1,9 Md€ [2026-09-02], renforçant la stabilité macroéconomique régionale. Goldman Sachs anticipe le retour de l'Afrique du Sud en "Investment grade" dès 2028 [2026-09-02], signal positif pour les flux vers le continent.</w:t>
      </w:r>
    </w:p>
    <w:p>
      <w:pPr>
        <w:pStyle w:val="Heading3"/>
      </w:pPr>
      <w:r>
        <w:rPr>
          <w:color w:val="500050"/>
        </w:rPr>
        <w:t>⚡ Impact estimé sur la BRVM</w:t>
      </w:r>
    </w:p>
    <w:p>
      <w:pPr>
        <w:spacing w:before="20" w:after="40"/>
        <w:ind w:left="280"/>
      </w:pPr>
      <w:r>
        <w:rPr>
          <w:i/>
          <w:sz w:val="18"/>
        </w:rPr>
        <w:t>Amélioration de la perception risque-Afrique = potentiel afflux de capitaux vers la BRVM. Les banques régionales (BOAS, BOAC, BOAB, ETIT) bénéficieraient d'un environnement souverain plus sain.</w:t>
      </w:r>
    </w:p>
    <w:p>
      <w:pPr>
        <w:pStyle w:val="Heading2"/>
      </w:pPr>
      <w:r>
        <w:rPr>
          <w:color w:val="145A28"/>
        </w:rPr>
        <w:t>🌍 Plan Afrique de l'Ouest</w:t>
      </w:r>
    </w:p>
    <w:p>
      <w:pPr>
        <w:spacing w:before="20" w:after="40"/>
        <w:ind w:left="0"/>
      </w:pPr>
      <w:r>
        <w:rPr>
          <w:sz w:val="18"/>
        </w:rPr>
        <w:t>Le Ghana plaide pour l'élection du Parlement CEDEAO [2026-09-24]. La CEDEAO réunit experts et ministres à Abidjan sur la gestion de l'eau [2026-09-23]. Le projet de monnaie unique eco est reporté à 2027 avec des doutes croissants [2026-09-23].</w:t>
      </w:r>
    </w:p>
    <w:p>
      <w:pPr>
        <w:pStyle w:val="Heading3"/>
      </w:pPr>
      <w:r>
        <w:rPr>
          <w:color w:val="500050"/>
        </w:rPr>
        <w:t>⚡ Impact estimé sur la BRVM</w:t>
      </w:r>
    </w:p>
    <w:p>
      <w:pPr>
        <w:spacing w:before="20" w:after="40"/>
        <w:ind w:left="280"/>
      </w:pPr>
      <w:r>
        <w:rPr>
          <w:i/>
          <w:sz w:val="18"/>
        </w:rPr>
        <w:t>Report de l'eco = maintien du FCFA et de la zone UEMOA comme pôle stable, rassurant pour les investisseurs. Les sociétés à exposition régionale (SDCC, ONTBF) restent dans un cadre monétaire connu.</w:t>
      </w:r>
    </w:p>
    <w:p>
      <w:pPr>
        <w:pStyle w:val="Heading2"/>
      </w:pPr>
      <w:r>
        <w:rPr>
          <w:color w:val="8C4600"/>
        </w:rPr>
        <w:t>🏦 Plan UEMOA / Zone Franc</w:t>
      </w:r>
    </w:p>
    <w:p>
      <w:pPr>
        <w:spacing w:before="20" w:after="40"/>
        <w:ind w:left="0"/>
      </w:pPr>
      <w:r>
        <w:rPr>
          <w:sz w:val="18"/>
        </w:rPr>
        <w:t>Données insuffisantes sur les décisions BCEAO récentes. Le contexte FCFA reste ancré à l'euro, avec une inflation importée via le pétrole. Les matières premières clés (cacao, caoutchouc) ne font pas l'objet d'actualités spécifiques dans le corpus.</w:t>
      </w:r>
    </w:p>
    <w:p>
      <w:pPr>
        <w:pStyle w:val="Heading3"/>
      </w:pPr>
      <w:r>
        <w:rPr>
          <w:color w:val="500050"/>
        </w:rPr>
        <w:t>⚡ Impact estimé sur la BRVM</w:t>
      </w:r>
    </w:p>
    <w:p>
      <w:pPr>
        <w:spacing w:before="20" w:after="40"/>
        <w:ind w:left="280"/>
      </w:pPr>
      <w:r>
        <w:rPr>
          <w:i/>
          <w:sz w:val="18"/>
        </w:rPr>
        <w:t>Stabilité du FCFA = absence de risque de change pour les investisseurs. Les exportateurs agricoles (SOGC, PALC) restent exposés aux cours mondiaux du cacao et de l'huile de palme.</w:t>
      </w:r>
    </w:p>
    <w:p>
      <w:pPr>
        <w:pStyle w:val="Heading2"/>
      </w:pPr>
      <w:r>
        <w:rPr>
          <w:color w:val="003366"/>
        </w:rPr>
        <w:t>📈 Plan BRVM</w:t>
      </w:r>
    </w:p>
    <w:p>
      <w:pPr>
        <w:spacing w:before="20" w:after="40"/>
        <w:ind w:left="0"/>
      </w:pPr>
      <w:r>
        <w:rPr>
          <w:sz w:val="18"/>
        </w:rPr>
        <w:t>Les résultats des sociétés cotées ivoiriennes sont jugés encourageants [2026-06-09]. L'indice BRVM Composite s'établit à 516,29 points. Aucune IPO ni opération sur dividendes n'est mentionnée dans le corpus.</w:t>
      </w:r>
    </w:p>
    <w:p>
      <w:pPr>
        <w:pStyle w:val="Heading3"/>
      </w:pPr>
      <w:r>
        <w:rPr>
          <w:color w:val="500050"/>
        </w:rPr>
        <w:t>⚡ Impact estimé sur la BRVM</w:t>
      </w:r>
    </w:p>
    <w:p>
      <w:pPr>
        <w:spacing w:before="20" w:after="40"/>
        <w:ind w:left="280"/>
      </w:pPr>
      <w:r>
        <w:rPr>
          <w:i/>
          <w:sz w:val="18"/>
        </w:rPr>
        <w:t>Recommandations : **BOAS/BOAC/BOAB/ETIT** (SERVICES FINANCIERS) — conserver, dynamique sectorielle positive. **SOGC** (CONSOMMATION DE BASE) — conserver, valeur défensive. **SMBC/TTLC** (ENERGIE) — surveiller, sensibilité au brut. **UNXC/CFAC** (CONSOMMATION DISCRETIONNAIRE) — prudence, coûts logistiques.</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Tensions américano-iraniennes persistantes autour du pétrole [2026-09-23]. Aucune actualité Fed/BCE/élections majeures dans le corpus.</w:t>
      </w:r>
    </w:p>
    <w:p>
      <w:pPr>
        <w:pStyle w:val="Heading3"/>
      </w:pPr>
      <w:r>
        <w:rPr>
          <w:color w:val="500050"/>
        </w:rPr>
        <w:t>⚡ Impact estimé sur la BRVM</w:t>
      </w:r>
    </w:p>
    <w:p>
      <w:pPr>
        <w:spacing w:before="20" w:after="40"/>
        <w:ind w:left="280"/>
      </w:pPr>
      <w:r>
        <w:rPr>
          <w:i/>
          <w:sz w:val="18"/>
        </w:rPr>
        <w:t>Volatilité énergétique mondiale = risque indirect sur SMBC/TTLC et sur le coût des importations UEMOA. Les investisseurs BRVM privilégient les valeurs défensives.</w:t>
      </w:r>
    </w:p>
    <w:p>
      <w:pPr>
        <w:pStyle w:val="Heading2"/>
      </w:pPr>
      <w:r>
        <w:rPr>
          <w:color w:val="006E32"/>
        </w:rPr>
        <w:t>🌍 Plan Africain</w:t>
      </w:r>
    </w:p>
    <w:p>
      <w:pPr>
        <w:spacing w:before="20" w:after="40"/>
        <w:ind w:left="0"/>
      </w:pPr>
      <w:r>
        <w:rPr>
          <w:sz w:val="18"/>
        </w:rPr>
        <w:t>Le Ghana appelle à renforcer la gouvernance CEDEAO via l'élection parlementaire [2026-09-24]. Goldman Sachs voit une amélioration souveraine sud-africaine [2026-09-02].</w:t>
      </w:r>
    </w:p>
    <w:p>
      <w:pPr>
        <w:pStyle w:val="Heading3"/>
      </w:pPr>
      <w:r>
        <w:rPr>
          <w:color w:val="500050"/>
        </w:rPr>
        <w:t>⚡ Impact estimé sur la BRVM</w:t>
      </w:r>
    </w:p>
    <w:p>
      <w:pPr>
        <w:spacing w:before="20" w:after="40"/>
        <w:ind w:left="280"/>
      </w:pPr>
      <w:r>
        <w:rPr>
          <w:i/>
          <w:sz w:val="18"/>
        </w:rPr>
        <w:t>Renforcement institutionnel CEDEAO = signal positif pour la confiance des investisseurs étrangers sur les places régionales dont la BRVM.</w:t>
      </w:r>
    </w:p>
    <w:p>
      <w:pPr>
        <w:pStyle w:val="Heading2"/>
      </w:pPr>
      <w:r>
        <w:rPr>
          <w:color w:val="145A28"/>
        </w:rPr>
        <w:t>🌍 Plan Afrique de l'Ouest</w:t>
      </w:r>
    </w:p>
    <w:p>
      <w:pPr>
        <w:spacing w:before="20" w:after="40"/>
        <w:ind w:left="0"/>
      </w:pPr>
      <w:r>
        <w:rPr>
          <w:sz w:val="18"/>
        </w:rPr>
        <w:t>Tensions politiques au Sénégal : accusations de Guy Marius Sagna contre Macron [2026-09-24] et montée de l'extrémisme partisan [2026-09-23]. Le Togo dément la présence de mercenaires russes [2026-09-23].</w:t>
      </w:r>
    </w:p>
    <w:p>
      <w:pPr>
        <w:pStyle w:val="Heading3"/>
      </w:pPr>
      <w:r>
        <w:rPr>
          <w:color w:val="500050"/>
        </w:rPr>
        <w:t>⚡ Impact estimé sur la BRVM</w:t>
      </w:r>
    </w:p>
    <w:p>
      <w:pPr>
        <w:spacing w:before="20" w:after="40"/>
        <w:ind w:left="280"/>
      </w:pPr>
      <w:r>
        <w:rPr>
          <w:i/>
          <w:sz w:val="18"/>
        </w:rPr>
        <w:t>Instabilité politique sénégalaise = risque pour les sociétés exposées au Sénégal (SONATEL via TTLC, banques). Le Togo reste sous surveillance sécuritaire.</w:t>
      </w:r>
    </w:p>
    <w:p>
      <w:pPr>
        <w:pStyle w:val="Heading2"/>
      </w:pPr>
      <w:r>
        <w:rPr>
          <w:color w:val="8C4600"/>
        </w:rPr>
        <w:t>🏦 Plan UEMOA / Zone Franc</w:t>
      </w:r>
    </w:p>
    <w:p>
      <w:pPr>
        <w:spacing w:before="20" w:after="40"/>
        <w:ind w:left="0"/>
      </w:pPr>
      <w:r>
        <w:rPr>
          <w:sz w:val="18"/>
        </w:rPr>
        <w:t>Climat politique tendu au Sénégal (Diomaye/Macky). Question institutionnelle en Côte d'Ivoire sur le statut de ministre-gouverneur [2026-09-23].</w:t>
      </w:r>
    </w:p>
    <w:p>
      <w:pPr>
        <w:pStyle w:val="Heading3"/>
      </w:pPr>
      <w:r>
        <w:rPr>
          <w:color w:val="500050"/>
        </w:rPr>
        <w:t>⚡ Impact estimé sur la BRVM</w:t>
      </w:r>
    </w:p>
    <w:p>
      <w:pPr>
        <w:spacing w:before="20" w:after="40"/>
        <w:ind w:left="280"/>
      </w:pPr>
      <w:r>
        <w:rPr>
          <w:i/>
          <w:sz w:val="18"/>
        </w:rPr>
        <w:t>Risque réglementaire modéré en Côte d'Ivoire, principal marché BRVM. Les banques ivoiriennes (SGBC, BICB, BOAB) restent exposées à toute instabilité institutionnelle.</w:t>
      </w:r>
    </w:p>
    <w:p>
      <w:pPr>
        <w:pStyle w:val="Heading2"/>
      </w:pPr>
      <w:r>
        <w:rPr>
          <w:color w:val="003366"/>
        </w:rPr>
        <w:t>📈 Plan BRVM</w:t>
      </w:r>
    </w:p>
    <w:p>
      <w:pPr>
        <w:spacing w:before="20" w:after="40"/>
        <w:ind w:left="0"/>
      </w:pPr>
      <w:r>
        <w:rPr>
          <w:sz w:val="18"/>
        </w:rPr>
        <w:t>Aucune actualité CREPMF, IPO ou gouvernance spécifique dans le corpus.</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Pétrole en hausse [2026-09-23]. Aucune donnée Wall Street, taux, change ou crypto dans le corpus.</w:t>
      </w:r>
    </w:p>
    <w:p>
      <w:pPr>
        <w:pStyle w:val="Heading3"/>
      </w:pPr>
      <w:r>
        <w:rPr>
          <w:color w:val="500050"/>
        </w:rPr>
        <w:t>⚡ Impact estimé sur la BRVM</w:t>
      </w:r>
    </w:p>
    <w:p>
      <w:pPr>
        <w:spacing w:before="20" w:after="40"/>
        <w:ind w:left="280"/>
      </w:pPr>
      <w:r>
        <w:rPr>
          <w:i/>
          <w:sz w:val="18"/>
        </w:rPr>
        <w:t>Hausse du brut = pression inflationniste importée en UEMOA, défavorable aux secteurs INDUSTRIELS et CONSOMMATION DISCRETIONNAIRE (UNXC, CFAC).</w:t>
      </w:r>
    </w:p>
    <w:p>
      <w:pPr>
        <w:pStyle w:val="Heading2"/>
      </w:pPr>
      <w:r>
        <w:rPr>
          <w:color w:val="006E32"/>
        </w:rPr>
        <w:t>🌍 Plan Africain</w:t>
      </w:r>
    </w:p>
    <w:p>
      <w:pPr>
        <w:spacing w:before="20" w:after="40"/>
        <w:ind w:left="0"/>
      </w:pPr>
      <w:r>
        <w:rPr>
          <w:sz w:val="18"/>
        </w:rPr>
        <w:t>Goldman Sachs anticipe le retour de l'Afrique du Sud en Investment grade 2028 [2026-09-02]. Le Sénégal obtient un programme FMI de 1,9 Md€ [2026-09-01/02].</w:t>
      </w:r>
    </w:p>
    <w:p>
      <w:pPr>
        <w:pStyle w:val="Heading3"/>
      </w:pPr>
      <w:r>
        <w:rPr>
          <w:color w:val="500050"/>
        </w:rPr>
        <w:t>⚡ Impact estimé sur la BRVM</w:t>
      </w:r>
    </w:p>
    <w:p>
      <w:pPr>
        <w:spacing w:before="20" w:after="40"/>
        <w:ind w:left="280"/>
      </w:pPr>
      <w:r>
        <w:rPr>
          <w:i/>
          <w:sz w:val="18"/>
        </w:rPr>
        <w:t>Amélioration des notations souveraines africaines = concurrence accrue pour les capitaux, mais aussi effet de contagion positive sur la BRVM.</w:t>
      </w:r>
    </w:p>
    <w:p>
      <w:pPr>
        <w:pStyle w:val="Heading2"/>
      </w:pPr>
      <w:r>
        <w:rPr>
          <w:color w:val="145A28"/>
        </w:rPr>
        <w:t>🌍 Plan Afrique de l'Ouest</w:t>
      </w:r>
    </w:p>
    <w:p>
      <w:pPr>
        <w:spacing w:before="20" w:after="40"/>
        <w:ind w:left="0"/>
      </w:pPr>
      <w:r>
        <w:rPr>
          <w:sz w:val="18"/>
        </w:rPr>
        <w:t>Données insuffisantes sur les bourses concurrentes (Ghana Stock Exchange, NGX).</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Données insuffisantes sur le marché des titres publics, taux interbancaires et liquidité.</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Indice BRVM Composite à 516,29. Résultats des sociétés cotées ivoiriennes jugés encourageants [2026-06-09]. Aucune donnée top/flop ou volumes.</w:t>
      </w:r>
    </w:p>
    <w:p>
      <w:pPr>
        <w:pStyle w:val="Heading3"/>
      </w:pPr>
      <w:r>
        <w:rPr>
          <w:color w:val="500050"/>
        </w:rPr>
        <w:t>⚡ Impact estimé sur la BRVM</w:t>
      </w:r>
    </w:p>
    <w:p>
      <w:pPr>
        <w:spacing w:before="20" w:after="40"/>
        <w:ind w:left="280"/>
      </w:pPr>
      <w:r>
        <w:rPr>
          <w:i/>
          <w:sz w:val="18"/>
        </w:rPr>
        <w:t>**Opportunités d'achat** : BOAS, BOAC, BOAB, ETIT (SERVICES FINANCIERS — résultats positifs). **À conserver** : SOGC (défensif). **Sous pression** : SMBC, TTLC (coûts énergie), UNXC, CFAC (inflation importée). **Neutre** : SDCC, ONTBF (SERVICES PUBLICS, revenus régulés).</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 contexte est globalement porteur (FMI Sénégal, résultats ivoiriens encourageants, stabilité FCFA) mais entaché par la hausse du pétrole, les tensions politiques sénégalaises et le report de l'eco. Privilégier les valeurs financières (BOAS, BOAC, BOAB, ETIT) et défensives (SOGC), tout en surveillant l'exposition énergétique (SMBC, TTLC) et la consommation discrétionnaire (UNXC, CFAC). Recommandation : allocation prudente, sélective sur les bancaires, avec couverture contre le risque politique sénégalais.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2026-09-23</w:t>
            </w:r>
          </w:p>
        </w:tc>
        <w:tc>
          <w:tcPr>
            <w:tcW w:type="dxa" w:w="1728"/>
          </w:tcPr>
          <w:p>
            <w:r>
              <w:rPr>
                <w:sz w:val="14"/>
              </w:rPr>
              <w:t>Canada – Matières premières : les prix du pétrole montent malgré des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 xml:space="preserve">Ole Hansen (Saxo Bank): "Il est vain d'essayer de prédire les prix du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Prix des carburants : le Japon n'a pas de pétrole mais l'essence la mo</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2026-09-23</w:t>
            </w:r>
          </w:p>
        </w:tc>
        <w:tc>
          <w:tcPr>
            <w:tcW w:type="dxa" w:w="1728"/>
          </w:tcPr>
          <w:p>
            <w:r>
              <w:rPr>
                <w:sz w:val="14"/>
              </w:rPr>
              <w:t xml:space="preserve">Les taux d'intérêt flambent et la BCE regarde ailleurs… Jusqu'à quand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2026-09-22</w:t>
            </w:r>
          </w:p>
        </w:tc>
        <w:tc>
          <w:tcPr>
            <w:tcW w:type="dxa" w:w="1728"/>
          </w:tcPr>
          <w:p>
            <w:r>
              <w:rPr>
                <w:sz w:val="14"/>
              </w:rPr>
              <w:t>Les prix du pétrole s'effondrent, ceux du soja s'envolent. - Vietnam.v</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Les prix du pétrole ont baissé pour la quatrième séance consécutive,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2026-09-24</w:t>
            </w:r>
          </w:p>
        </w:tc>
        <w:tc>
          <w:tcPr>
            <w:tcW w:type="dxa" w:w="1728"/>
          </w:tcPr>
          <w:p>
            <w:r>
              <w:rPr>
                <w:sz w:val="14"/>
              </w:rPr>
              <w:t>Cedeao : Le Ghana appelle à élire les membres du Parlement - koaci.com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Gestion de l’eau en Afrique de l’Ouest : la CEDEAO réunit experts et m</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VIDÉO. Afrique de l'Ouest: quel avenir pour la monnaie commune ECO - 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Monnaie de la Cedeao : le lancement de l’eco en 2027 est-il crédible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2026-09-21</w:t>
            </w:r>
          </w:p>
        </w:tc>
        <w:tc>
          <w:tcPr>
            <w:tcW w:type="dxa" w:w="1728"/>
          </w:tcPr>
          <w:p>
            <w:r>
              <w:rPr>
                <w:sz w:val="14"/>
              </w:rPr>
              <w:t>La CEDEAO évalue à 294 milliards de dollars les besoins de financement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2026-09-22</w:t>
            </w:r>
          </w:p>
        </w:tc>
        <w:tc>
          <w:tcPr>
            <w:tcW w:type="dxa" w:w="1728"/>
          </w:tcPr>
          <w:p>
            <w:r>
              <w:rPr>
                <w:sz w:val="14"/>
              </w:rPr>
              <w:t>«Le changement climatique est devenu un enjeu de paix et de sécurité»,</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2026-09-24</w:t>
            </w:r>
          </w:p>
        </w:tc>
        <w:tc>
          <w:tcPr>
            <w:tcW w:type="dxa" w:w="1728"/>
          </w:tcPr>
          <w:p>
            <w:r>
              <w:rPr>
                <w:sz w:val="14"/>
              </w:rPr>
              <w:t xml:space="preserve">Sénégal : Guy Marius Sagna accuse Macron d’un « pacte » entre Diomaye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2026-09-23</w:t>
            </w:r>
          </w:p>
        </w:tc>
        <w:tc>
          <w:tcPr>
            <w:tcW w:type="dxa" w:w="1728"/>
          </w:tcPr>
          <w:p>
            <w:r>
              <w:rPr>
                <w:sz w:val="14"/>
              </w:rPr>
              <w:t>Togo : Prof Dussey dément la présence de « mercenaires russes » mais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2026-09-23</w:t>
            </w:r>
          </w:p>
        </w:tc>
        <w:tc>
          <w:tcPr>
            <w:tcW w:type="dxa" w:w="1728"/>
          </w:tcPr>
          <w:p>
            <w:r>
              <w:rPr>
                <w:sz w:val="14"/>
              </w:rPr>
              <w:t>L’extrémisme dans la partisanerie politique au Sénégal - SenePlus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Côte d'Ivoire : Diplomatie, quatre nouveaux ambassadeurs nommés, le Br</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2026-09-23</w:t>
            </w:r>
          </w:p>
        </w:tc>
        <w:tc>
          <w:tcPr>
            <w:tcW w:type="dxa" w:w="1728"/>
          </w:tcPr>
          <w:p>
            <w:r>
              <w:rPr>
                <w:sz w:val="14"/>
              </w:rPr>
              <w:t>Côte d'Ivoire : Ministre-gouverneur, est-il vraiment membre du Gouvern</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2026-09-22</w:t>
            </w:r>
          </w:p>
        </w:tc>
        <w:tc>
          <w:tcPr>
            <w:tcW w:type="dxa" w:w="1728"/>
          </w:tcPr>
          <w:p>
            <w:r>
              <w:rPr>
                <w:sz w:val="14"/>
              </w:rPr>
              <w:t>Sénégal: grâce présidentielle pour près d’un millier de personnes - af</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2026-09-23</w:t>
            </w:r>
          </w:p>
        </w:tc>
        <w:tc>
          <w:tcPr>
            <w:tcW w:type="dxa" w:w="1728"/>
          </w:tcPr>
          <w:p>
            <w:r>
              <w:rPr>
                <w:sz w:val="14"/>
              </w:rPr>
              <w:t>Canada – Matières premières : les prix du pétrole montent malgré des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Cedeao : Le Ghana appelle à élire les membres du Parlement - koaci.com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Gestion de l’eau en Afrique de l’Ouest : la CEDEAO réunit experts et m</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VIDÉO. Afrique de l'Ouest: quel avenir pour la monnaie commune ECO - 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Monnaie de la Cedeao : le lancement de l’eco en 2027 est-il crédible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2026-09-23</w:t>
            </w:r>
          </w:p>
        </w:tc>
        <w:tc>
          <w:tcPr>
            <w:tcW w:type="dxa" w:w="1728"/>
          </w:tcPr>
          <w:p>
            <w:r>
              <w:rPr>
                <w:sz w:val="14"/>
              </w:rPr>
              <w:t>Canada – Matières premières : les prix du pétrole montent malgré des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Cedeao : Le Ghana appelle à élire les membres du Parlement - koaci.com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Gestion de l’eau en Afrique de l’Ouest : la CEDEAO réunit experts et m</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VIDÉO. Afrique de l'Ouest: quel avenir pour la monnaie commune ECO - 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Monnaie de la Cedeao : le lancement de l’eco en 2027 est-il crédible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2026-09-23</w:t>
            </w:r>
          </w:p>
        </w:tc>
        <w:tc>
          <w:tcPr>
            <w:tcW w:type="dxa" w:w="1728"/>
          </w:tcPr>
          <w:p>
            <w:r>
              <w:rPr>
                <w:sz w:val="14"/>
              </w:rPr>
              <w:t>Canada – Matières premières : les prix du pétrole montent malgré des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Cedeao : Le Ghana appelle à élire les membres du Parlement - koaci.com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Gestion de l’eau en Afrique de l’Ouest : la CEDEAO réunit experts et m</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VIDÉO. Afrique de l'Ouest: quel avenir pour la monnaie commune ECO - 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Monnaie de la Cedeao : le lancement de l’eco en 2027 est-il crédible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2026-09-23</w:t>
            </w:r>
          </w:p>
        </w:tc>
        <w:tc>
          <w:tcPr>
            <w:tcW w:type="dxa" w:w="1728"/>
          </w:tcPr>
          <w:p>
            <w:r>
              <w:rPr>
                <w:sz w:val="14"/>
              </w:rPr>
              <w:t>Canada – Matières premières : les prix du pétrole montent malgré des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Cedeao : Le Ghana appelle à élire les membres du Parlement - koaci.com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Gestion de l’eau en Afrique de l’Ouest : la CEDEAO réunit experts et m</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VIDÉO. Afrique de l'Ouest: quel avenir pour la monnaie commune ECO - 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Monnaie de la Cedeao : le lancement de l’eco en 2027 est-il crédible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2026-09-23</w:t>
            </w:r>
          </w:p>
        </w:tc>
        <w:tc>
          <w:tcPr>
            <w:tcW w:type="dxa" w:w="1728"/>
          </w:tcPr>
          <w:p>
            <w:r>
              <w:rPr>
                <w:sz w:val="14"/>
              </w:rPr>
              <w:t>Canada – Matières premières : les prix du pétrole montent malgré des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Cedeao : Le Ghana appelle à élire les membres du Parlement - koaci.com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Gestion de l’eau en Afrique de l’Ouest : la CEDEAO réunit experts et m</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VIDÉO. Afrique de l'Ouest: quel avenir pour la monnaie commune ECO - 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Monnaie de la Cedeao : le lancement de l’eco en 2027 est-il crédible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2026-09-23</w:t>
            </w:r>
          </w:p>
        </w:tc>
        <w:tc>
          <w:tcPr>
            <w:tcW w:type="dxa" w:w="1728"/>
          </w:tcPr>
          <w:p>
            <w:r>
              <w:rPr>
                <w:sz w:val="14"/>
              </w:rPr>
              <w:t>Canada – Matières premières : les prix du pétrole montent malgré des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2026-09-23</w:t>
            </w:r>
          </w:p>
        </w:tc>
        <w:tc>
          <w:tcPr>
            <w:tcW w:type="dxa" w:w="1728"/>
          </w:tcPr>
          <w:p>
            <w:r>
              <w:rPr>
                <w:sz w:val="14"/>
              </w:rPr>
              <w:t>Monnaie de la Cedeao : le lancement de l’eco en 2027 est-il crédible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Côte d'Ivoire : Ministre-gouverneur, est-il vraiment membre du Gouvern</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2026-09-22</w:t>
            </w:r>
          </w:p>
        </w:tc>
        <w:tc>
          <w:tcPr>
            <w:tcW w:type="dxa" w:w="1728"/>
          </w:tcPr>
          <w:p>
            <w:r>
              <w:rPr>
                <w:sz w:val="14"/>
              </w:rPr>
              <w:t xml:space="preserve">Ole Hansen (Saxo Bank): "Il est vain d'essayer de prédire les prix du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Prix des carburants : le Japon n'a pas de pétrole mais l'essence la mo</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2026-09-23</w:t>
            </w:r>
          </w:p>
        </w:tc>
        <w:tc>
          <w:tcPr>
            <w:tcW w:type="dxa" w:w="1728"/>
          </w:tcPr>
          <w:p>
            <w:r>
              <w:rPr>
                <w:sz w:val="14"/>
              </w:rPr>
              <w:t>Canada – Matières premières : les prix du pétrole montent malgré des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Cedeao : Le Ghana appelle à élire les membres du Parlement - koaci.com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Gestion de l’eau en Afrique de l’Ouest : la CEDEAO réunit experts et m</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VIDÉO. Afrique de l'Ouest: quel avenir pour la monnaie commune ECO - 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Monnaie de la Cedeao : le lancement de l’eco en 2027 est-il crédible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2026-09-23</w:t>
            </w:r>
          </w:p>
        </w:tc>
        <w:tc>
          <w:tcPr>
            <w:tcW w:type="dxa" w:w="1728"/>
          </w:tcPr>
          <w:p>
            <w:r>
              <w:rPr>
                <w:sz w:val="14"/>
              </w:rPr>
              <w:t>Canada – Matières premières : les prix du pétrole montent malgré des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Cedeao : Le Ghana appelle à élire les membres du Parlement - koaci.com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Gestion de l’eau en Afrique de l’Ouest : la CEDEAO réunit experts et m</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VIDÉO. Afrique de l'Ouest: quel avenir pour la monnaie commune ECO - 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Monnaie de la Cedeao : le lancement de l’eco en 2027 est-il crédible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2026-09-23</w:t>
            </w:r>
          </w:p>
        </w:tc>
        <w:tc>
          <w:tcPr>
            <w:tcW w:type="dxa" w:w="1728"/>
          </w:tcPr>
          <w:p>
            <w:r>
              <w:rPr>
                <w:sz w:val="14"/>
              </w:rPr>
              <w:t>Canada – Matières premières : les prix du pétrole montent malgré des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2026-09-23</w:t>
            </w:r>
          </w:p>
        </w:tc>
        <w:tc>
          <w:tcPr>
            <w:tcW w:type="dxa" w:w="1728"/>
          </w:tcPr>
          <w:p>
            <w:r>
              <w:rPr>
                <w:sz w:val="14"/>
              </w:rPr>
              <w:t>Monnaie de la Cedeao : le lancement de l’eco en 2027 est-il crédible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2026-09-24</w:t>
            </w:r>
          </w:p>
        </w:tc>
        <w:tc>
          <w:tcPr>
            <w:tcW w:type="dxa" w:w="1728"/>
          </w:tcPr>
          <w:p>
            <w:r>
              <w:rPr>
                <w:sz w:val="14"/>
              </w:rPr>
              <w:t xml:space="preserve">Sénégal : Guy Marius Sagna accuse Macron d’un « pacte » entre Diomaye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2026-09-23</w:t>
            </w:r>
          </w:p>
        </w:tc>
        <w:tc>
          <w:tcPr>
            <w:tcW w:type="dxa" w:w="1728"/>
          </w:tcPr>
          <w:p>
            <w:r>
              <w:rPr>
                <w:sz w:val="14"/>
              </w:rPr>
              <w:t>Togo : Prof Dussey dément la présence de « mercenaires russes » mais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2026-09-23</w:t>
            </w:r>
          </w:p>
        </w:tc>
        <w:tc>
          <w:tcPr>
            <w:tcW w:type="dxa" w:w="1728"/>
          </w:tcPr>
          <w:p>
            <w:r>
              <w:rPr>
                <w:sz w:val="14"/>
              </w:rPr>
              <w:t>L’extrémisme dans la partisanerie politique au Sénégal - SenePlus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2026-09-23</w:t>
            </w:r>
          </w:p>
        </w:tc>
        <w:tc>
          <w:tcPr>
            <w:tcW w:type="dxa" w:w="1728"/>
          </w:tcPr>
          <w:p>
            <w:r>
              <w:rPr>
                <w:sz w:val="14"/>
              </w:rPr>
              <w:t>Canada – Matières premières : les prix du pétrole montent malgré des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2026-09-23</w:t>
            </w:r>
          </w:p>
        </w:tc>
        <w:tc>
          <w:tcPr>
            <w:tcW w:type="dxa" w:w="1728"/>
          </w:tcPr>
          <w:p>
            <w:r>
              <w:rPr>
                <w:sz w:val="14"/>
              </w:rPr>
              <w:t>Monnaie de la Cedeao : le lancement de l’eco en 2027 est-il crédible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Côte d'Ivoire : Ministre-gouverneur, est-il vraiment membre du Gouvern</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2026-09-23</w:t>
            </w:r>
          </w:p>
        </w:tc>
        <w:tc>
          <w:tcPr>
            <w:tcW w:type="dxa" w:w="1728"/>
          </w:tcPr>
          <w:p>
            <w:r>
              <w:rPr>
                <w:sz w:val="14"/>
              </w:rPr>
              <w:t xml:space="preserve">Les taux d'intérêt flambent et la BCE regarde ailleurs… Jusqu'à quand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2026-09-21</w:t>
            </w:r>
          </w:p>
        </w:tc>
        <w:tc>
          <w:tcPr>
            <w:tcW w:type="dxa" w:w="1728"/>
          </w:tcPr>
          <w:p>
            <w:r>
              <w:rPr>
                <w:sz w:val="14"/>
              </w:rPr>
              <w:t>La CEDEAO évalue à 294 milliards de dollars les besoins de financement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(9 alerte(s))</w:t>
      </w:r>
    </w:p>
    <w:p>
      <w:pPr>
        <w:spacing w:before="40" w:after="40"/>
        <w:ind w:left="360"/>
      </w:pPr>
      <w:r>
        <w:rPr>
          <w:color w:val="646464"/>
          <w:sz w:val="17"/>
        </w:rPr>
        <w:t xml:space="preserve">[24/09/2026] 🔴  </w:t>
      </w:r>
      <w:r>
        <w:rPr>
          <w:b/>
          <w:color w:val="C00000"/>
          <w:sz w:val="18"/>
        </w:rPr>
        <w:t>Sénégal : Guy Marius Sagna accuse Macron d’un « pacte » entre Diomaye et Macky - Benin Web TV</w:t>
      </w:r>
      <w:r>
        <w:rPr>
          <w:color w:val="787878"/>
          <w:sz w:val="15"/>
        </w:rPr>
        <w:t xml:space="preserve">  [politique]</w:t>
      </w:r>
      <w:r>
        <w:rPr>
          <w:color w:val="B47800"/>
          <w:sz w:val="16"/>
        </w:rPr>
        <w:t xml:space="preserve">  ★ 50/10</w:t>
      </w:r>
    </w:p>
    <w:p>
      <w:pPr>
        <w:spacing w:before="0" w:after="20"/>
        <w:ind w:left="600"/>
      </w:pPr>
      <w:r>
        <w:rPr>
          <w:color w:val="323232"/>
          <w:sz w:val="17"/>
        </w:rPr>
        <w:t>Le député sénégalais Guy Marius Sagna accuse le président français Emmanuel Macron d'avoir orchestré un « pacte » entre le président sénégalais Bassirou Diomaye Faye et son prédécesseur Macky Sall. Cette déclaration intervient dans un contexte de tensions politiques au Sénégal et de débats sur l'influence française en Afrique de l'Ouest. L'accusati</w:t>
      </w:r>
    </w:p>
    <w:p>
      <w:pPr>
        <w:spacing w:before="0" w:after="40"/>
        <w:ind w:left="600"/>
      </w:pPr>
      <w:r>
        <w:rPr>
          <w:color w:val="00643C"/>
          <w:sz w:val="16"/>
        </w:rPr>
        <w:t>Points clés : Guy Marius Sagna dénonce un accord secret entre Diomaye Faye et Macky Sall sous l'égide de Macron  •  Les accusations s'inscrivent dans un climat de défiance envers la France dans l'espace UEMOA  •  Aucune preuve ni réaction officielle des présidences sénégalaise et française n'a été fournie</w:t>
      </w:r>
    </w:p>
    <w:p>
      <w:pPr>
        <w:spacing w:before="0" w:after="60"/>
        <w:ind w:left="600"/>
      </w:pPr>
      <w:r>
        <w:rPr>
          <w:color w:val="0064B4"/>
          <w:sz w:val="15"/>
        </w:rPr>
        <w:t>Source : https://news.google.com/rss/articles/CBMimgFBVV95cUxOQVhFVFVlT1o2NkQyYlE1cHJTMnJ</w:t>
      </w:r>
    </w:p>
    <w:p>
      <w:pPr>
        <w:spacing w:before="40" w:after="40"/>
        <w:ind w:left="360"/>
      </w:pPr>
      <w:r>
        <w:rPr>
          <w:color w:val="646464"/>
          <w:sz w:val="17"/>
        </w:rPr>
        <w:t xml:space="preserve">[24/09/2026] ⚪  </w:t>
      </w:r>
      <w:r>
        <w:rPr>
          <w:b/>
          <w:color w:val="505050"/>
          <w:sz w:val="18"/>
        </w:rPr>
        <w:t>Côte d'Ivoire : Diplomatie, quatre nouveaux ambassadeurs nommés, le Brésil désigne son représentant à Abidjan - koaci.co</w:t>
      </w:r>
      <w:r>
        <w:rPr>
          <w:color w:val="787878"/>
          <w:sz w:val="15"/>
        </w:rPr>
        <w:t xml:space="preserve">  [politique]</w:t>
      </w:r>
      <w:r>
        <w:rPr>
          <w:color w:val="B47800"/>
          <w:sz w:val="16"/>
        </w:rPr>
        <w:t xml:space="preserve">  ★ 50/10</w:t>
      </w:r>
    </w:p>
    <w:p>
      <w:pPr>
        <w:spacing w:before="0" w:after="20"/>
        <w:ind w:left="600"/>
      </w:pPr>
      <w:r>
        <w:rPr>
          <w:color w:val="323232"/>
          <w:sz w:val="17"/>
        </w:rPr>
        <w:t>La Côte d'Ivoire a procédé à la nomination de quatre nouveaux ambassadeurs, renforçant ainsi son réseau diplomatique. Parallèlement, le Brésil a désigné son représentant à Abidjan, ce qui témoigne du dynamisme des relations bilatérales. Ces nominations s'inscrivent dans le cadre du renforcement de la présence diplomatique ivoirienne et de ses parte</w:t>
      </w:r>
    </w:p>
    <w:p>
      <w:pPr>
        <w:spacing w:before="0" w:after="40"/>
        <w:ind w:left="600"/>
      </w:pPr>
      <w:r>
        <w:rPr>
          <w:color w:val="00643C"/>
          <w:sz w:val="16"/>
        </w:rPr>
        <w:t>Points clés : Nomination de quatre nouveaux ambassadeurs ivoiriens  •  Désignation d'un ambassadeur du Brésil à Abidjan  •  Renforcement des relations diplomatiques bilatérales</w:t>
      </w:r>
    </w:p>
    <w:p>
      <w:pPr>
        <w:spacing w:before="0" w:after="60"/>
        <w:ind w:left="600"/>
      </w:pPr>
      <w:r>
        <w:rPr>
          <w:color w:val="0064B4"/>
          <w:sz w:val="15"/>
        </w:rPr>
        <w:t>Source : https://news.google.com/rss/articles/CBMijAJBVV95cUxQSURNak40QjljQlVpYnBwTjViVkl</w:t>
      </w:r>
    </w:p>
    <w:p>
      <w:pPr>
        <w:spacing w:before="40" w:after="40"/>
        <w:ind w:left="360"/>
      </w:pPr>
      <w:r>
        <w:rPr>
          <w:color w:val="646464"/>
          <w:sz w:val="17"/>
        </w:rPr>
        <w:t xml:space="preserve">[23/09/2026] 🔴  </w:t>
      </w:r>
      <w:r>
        <w:rPr>
          <w:b/>
          <w:color w:val="C00000"/>
          <w:sz w:val="18"/>
        </w:rPr>
        <w:t>L’extrémisme dans la partisanerie politique au Sénégal - SenePlus</w:t>
      </w:r>
      <w:r>
        <w:rPr>
          <w:color w:val="787878"/>
          <w:sz w:val="15"/>
        </w:rPr>
        <w:t xml:space="preserve">  [politique]</w:t>
      </w:r>
      <w:r>
        <w:rPr>
          <w:color w:val="B47800"/>
          <w:sz w:val="16"/>
        </w:rPr>
        <w:t xml:space="preserve">  ★ 50/10</w:t>
      </w:r>
    </w:p>
    <w:p>
      <w:pPr>
        <w:spacing w:before="0" w:after="20"/>
        <w:ind w:left="600"/>
      </w:pPr>
      <w:r>
        <w:rPr>
          <w:color w:val="323232"/>
          <w:sz w:val="17"/>
        </w:rPr>
        <w:t>L'article de SenePlus aborde la montée de l'extrémisme dans la partisanerie politique au Sénégal. Il met en lumière les tensions croissantes entre les différents camps politiques, ce qui pourrait affecter la stabilité politique du pays. Cette situation intervient dans un contexte déjà fragilisé par des contestations sociales et politiques. L'articl</w:t>
      </w:r>
    </w:p>
    <w:p>
      <w:pPr>
        <w:spacing w:before="0" w:after="40"/>
        <w:ind w:left="600"/>
      </w:pPr>
      <w:r>
        <w:rPr>
          <w:color w:val="00643C"/>
          <w:sz w:val="16"/>
        </w:rPr>
        <w:t>Points clés : Montée de l'extrémisme dans la partisanerie politique au Sénégal  •  Risques de polarisation et d'instabilité politique  •  Impact potentiel sur l'environnement des affaires et la confiance des investisseurs</w:t>
      </w:r>
    </w:p>
    <w:p>
      <w:pPr>
        <w:spacing w:before="0" w:after="60"/>
        <w:ind w:left="600"/>
      </w:pPr>
      <w:r>
        <w:rPr>
          <w:color w:val="0064B4"/>
          <w:sz w:val="15"/>
        </w:rPr>
        <w:t>Source : https://news.google.com/rss/articles/CBMijwFBVV95cUxPcTVxa3dsbXl1QWNMSzQwMk50Wmx</w:t>
      </w:r>
    </w:p>
    <w:p>
      <w:pPr>
        <w:spacing w:before="40" w:after="40"/>
        <w:ind w:left="360"/>
      </w:pPr>
      <w:r>
        <w:rPr>
          <w:color w:val="646464"/>
          <w:sz w:val="17"/>
        </w:rPr>
        <w:t xml:space="preserve">[23/09/2026] ⚪  </w:t>
      </w:r>
      <w:r>
        <w:rPr>
          <w:b/>
          <w:color w:val="505050"/>
          <w:sz w:val="18"/>
        </w:rPr>
        <w:t>Côte d'Ivoire : Ministre-gouverneur, est-il vraiment membre du Gouvernement ? Amadou Coulibaly répond - koaci.com</w:t>
      </w:r>
      <w:r>
        <w:rPr>
          <w:color w:val="787878"/>
          <w:sz w:val="15"/>
        </w:rPr>
        <w:t xml:space="preserve">  [politique]</w:t>
      </w:r>
      <w:r>
        <w:rPr>
          <w:color w:val="B47800"/>
          <w:sz w:val="16"/>
        </w:rPr>
        <w:t xml:space="preserve">  ★ 50/10</w:t>
      </w:r>
    </w:p>
    <w:p>
      <w:pPr>
        <w:spacing w:before="0" w:after="20"/>
        <w:ind w:left="600"/>
      </w:pPr>
      <w:r>
        <w:rPr>
          <w:color w:val="323232"/>
          <w:sz w:val="17"/>
        </w:rPr>
        <w:t xml:space="preserve">Le porte-parole du gouvernement ivoirien, Amadou Coulibaly, s'est exprimé sur la question de savoir si un ministre-gouverneur est réellement membre du Gouvernement. Cette clarification intervient dans un contexte de débat sur le statut des ministres-gouverneurs, notamment en lien avec la Banque Centrale des États de l'Afrique de l'Ouest (BCEAO) et </w:t>
      </w:r>
    </w:p>
    <w:p>
      <w:pPr>
        <w:spacing w:before="0" w:after="40"/>
        <w:ind w:left="600"/>
      </w:pPr>
      <w:r>
        <w:rPr>
          <w:color w:val="00643C"/>
          <w:sz w:val="16"/>
        </w:rPr>
        <w:t>Points clés : Amadou Coulibaly clarifie le statut des ministres-gouverneurs  •  Débat sur l'appartenance au Gouvernement  •  Contexte de gouvernance économique et financière en UEMOA</w:t>
      </w:r>
    </w:p>
    <w:p>
      <w:pPr>
        <w:spacing w:before="0" w:after="60"/>
        <w:ind w:left="600"/>
      </w:pPr>
      <w:r>
        <w:rPr>
          <w:color w:val="0064B4"/>
          <w:sz w:val="15"/>
        </w:rPr>
        <w:t>Source : https://news.google.com/rss/articles/CBMijgJBVV95cUxNR2U3X2hRSnQzNW1QeWtIMWF1TWY</w:t>
      </w:r>
    </w:p>
    <w:p>
      <w:pPr>
        <w:spacing w:before="40" w:after="40"/>
        <w:ind w:left="360"/>
      </w:pPr>
      <w:r>
        <w:rPr>
          <w:color w:val="646464"/>
          <w:sz w:val="17"/>
        </w:rPr>
        <w:t xml:space="preserve">[23/09/2026] ⚪  </w:t>
      </w:r>
      <w:r>
        <w:rPr>
          <w:b/>
          <w:color w:val="505050"/>
          <w:sz w:val="18"/>
        </w:rPr>
        <w:t>Togo : Prof Dussey dément la présence de « mercenaires russes » mais des formateurs dans le pays - koaci.com</w:t>
      </w:r>
      <w:r>
        <w:rPr>
          <w:color w:val="787878"/>
          <w:sz w:val="15"/>
        </w:rPr>
        <w:t xml:space="preserve">  [politique]</w:t>
      </w:r>
      <w:r>
        <w:rPr>
          <w:color w:val="B47800"/>
          <w:sz w:val="16"/>
        </w:rPr>
        <w:t xml:space="preserve">  ★ 50/10</w:t>
      </w:r>
    </w:p>
    <w:p>
      <w:pPr>
        <w:spacing w:before="0" w:after="20"/>
        <w:ind w:left="600"/>
      </w:pPr>
      <w:r>
        <w:rPr>
          <w:color w:val="323232"/>
          <w:sz w:val="17"/>
        </w:rPr>
        <w:t>Le ministre togolais des Affaires étrangères, Robert Dussey, a démenti la présence de mercenaires russes au Togo, tout en reconnaissant la présence de formateurs russes dans le pays. Cette clarification intervient dans un contexte de suspicions sur l'implication du groupe Wagner en Afrique de l'Ouest. Le Togo affirme coopérer avec la Russie dans le</w:t>
      </w:r>
    </w:p>
    <w:p>
      <w:pPr>
        <w:spacing w:before="0" w:after="40"/>
        <w:ind w:left="600"/>
      </w:pPr>
      <w:r>
        <w:rPr>
          <w:color w:val="00643C"/>
          <w:sz w:val="16"/>
        </w:rPr>
        <w:t>Points clés : Démenti officiel de la présence de mercenaires russes au Togo  •  Reconnaissance de la présence de formateurs russes  •  Contexte de suspicions sur Wagner en Afrique de l'Ouest</w:t>
      </w:r>
    </w:p>
    <w:p>
      <w:pPr>
        <w:spacing w:before="0" w:after="60"/>
        <w:ind w:left="600"/>
      </w:pPr>
      <w:r>
        <w:rPr>
          <w:color w:val="0064B4"/>
          <w:sz w:val="15"/>
        </w:rPr>
        <w:t>Source : https://news.google.com/rss/articles/CBMi7wFBVV95cUxNaEtLcl9id1lwTHVzT3ExRkY2dFR</w:t>
      </w:r>
    </w:p>
    <w:p>
      <w:pPr>
        <w:spacing w:before="120" w:after="40"/>
      </w:pPr>
      <w:r>
        <w:rPr>
          <w:b/>
          <w:color w:val="00467F"/>
          <w:sz w:val="20"/>
        </w:rPr>
        <w:t>🔑 économique  (5 alerte(s))</w:t>
      </w:r>
    </w:p>
    <w:p>
      <w:pPr>
        <w:spacing w:before="40" w:after="40"/>
        <w:ind w:left="360"/>
      </w:pPr>
      <w:r>
        <w:rPr>
          <w:color w:val="646464"/>
          <w:sz w:val="17"/>
        </w:rPr>
        <w:t xml:space="preserve">[24/09/2026] ⚪  </w:t>
      </w:r>
      <w:r>
        <w:rPr>
          <w:b/>
          <w:color w:val="505050"/>
          <w:sz w:val="18"/>
        </w:rPr>
        <w:t>Cedeao : Le Ghana appelle à élire les membres du Parlement - koaci.com</w:t>
      </w:r>
      <w:r>
        <w:rPr>
          <w:color w:val="787878"/>
          <w:sz w:val="15"/>
        </w:rPr>
        <w:t xml:space="preserve">  [économique]</w:t>
      </w:r>
      <w:r>
        <w:rPr>
          <w:color w:val="B47800"/>
          <w:sz w:val="16"/>
        </w:rPr>
        <w:t xml:space="preserve">  ★ 50/10</w:t>
      </w:r>
    </w:p>
    <w:p>
      <w:pPr>
        <w:spacing w:before="0" w:after="20"/>
        <w:ind w:left="600"/>
      </w:pPr>
      <w:r>
        <w:rPr>
          <w:color w:val="323232"/>
          <w:sz w:val="17"/>
        </w:rPr>
        <w:t>Le Ghana a lancé un appel aux États membres de la Cedeao pour l'élection des membres du Parlement de la Communauté. Cette initiative vise à renforcer la gouvernance démocratique et l'intégration régionale au sein de l'espace communautaire. Elle intervient dans un contexte où les institutions de la Cedeao cherchent à accroître leur légitimité et leu</w:t>
      </w:r>
    </w:p>
    <w:p>
      <w:pPr>
        <w:spacing w:before="0" w:after="40"/>
        <w:ind w:left="600"/>
      </w:pPr>
      <w:r>
        <w:rPr>
          <w:color w:val="00643C"/>
          <w:sz w:val="16"/>
        </w:rPr>
        <w:t>Points clés : Le Ghana appelle à l'élection des membres du Parlement de la Cedeao  •  Objectif : renforcer la gouvernance démocratique et l'intégration régionale  •  Contexte : efforts pour accroître la légitimité des institutions communautaires</w:t>
      </w:r>
    </w:p>
    <w:p>
      <w:pPr>
        <w:spacing w:before="0" w:after="60"/>
        <w:ind w:left="600"/>
      </w:pPr>
      <w:r>
        <w:rPr>
          <w:color w:val="0064B4"/>
          <w:sz w:val="15"/>
        </w:rPr>
        <w:t>Source : https://news.google.com/rss/articles/CBMiwgFBVV95cUxNU1NBdUVKNnU4cW1CejJHMmdJZUl</w:t>
      </w:r>
    </w:p>
    <w:p>
      <w:pPr>
        <w:spacing w:before="40" w:after="40"/>
        <w:ind w:left="360"/>
      </w:pPr>
      <w:r>
        <w:rPr>
          <w:color w:val="646464"/>
          <w:sz w:val="17"/>
        </w:rPr>
        <w:t xml:space="preserve">[23/09/2026] 🟢  </w:t>
      </w:r>
      <w:r>
        <w:rPr>
          <w:b/>
          <w:color w:val="008000"/>
          <w:sz w:val="18"/>
        </w:rPr>
        <w:t>Gestion de l’eau en Afrique de l’Ouest : la CEDEAO réunit experts et ministres à Abidjan - Abidjan.net News</w:t>
      </w:r>
      <w:r>
        <w:rPr>
          <w:color w:val="787878"/>
          <w:sz w:val="15"/>
        </w:rPr>
        <w:t xml:space="preserve">  [économique]</w:t>
      </w:r>
      <w:r>
        <w:rPr>
          <w:color w:val="B47800"/>
          <w:sz w:val="16"/>
        </w:rPr>
        <w:t xml:space="preserve">  ★ 50/10</w:t>
      </w:r>
    </w:p>
    <w:p>
      <w:pPr>
        <w:spacing w:before="0" w:after="20"/>
        <w:ind w:left="600"/>
      </w:pPr>
      <w:r>
        <w:rPr>
          <w:color w:val="323232"/>
          <w:sz w:val="17"/>
        </w:rPr>
        <w:t xml:space="preserve">La CEDEAO a réuni des experts et des ministres à Abidjan pour discuter de la gestion de l'eau en Afrique de l'Ouest. Cette rencontre vise à coordonner les politiques régionales face aux défis croissants liés à l'accès et à la gestion des ressources hydriques. Les discussions portent sur des solutions durables et une meilleure coopération entre les </w:t>
      </w:r>
    </w:p>
    <w:p>
      <w:pPr>
        <w:spacing w:before="0" w:after="40"/>
        <w:ind w:left="600"/>
      </w:pPr>
      <w:r>
        <w:rPr>
          <w:color w:val="00643C"/>
          <w:sz w:val="16"/>
        </w:rPr>
        <w:t>Points clés : Réunion d'experts et de ministres de la CEDEAO à Abidjan sur la gestion de l'eau  •  Objectif de coordination régionale face aux défis hydriques en Afrique de l'Ouest  •  Recherche de solutions durables et de coopération entre États membres</w:t>
      </w:r>
    </w:p>
    <w:p>
      <w:pPr>
        <w:spacing w:before="0" w:after="60"/>
        <w:ind w:left="600"/>
      </w:pPr>
      <w:r>
        <w:rPr>
          <w:color w:val="0064B4"/>
          <w:sz w:val="15"/>
        </w:rPr>
        <w:t>Source : https://news.google.com/rss/articles/CBMiwAFBVV95cUxPV2pWNzdjMmNZOHFHWVF5d0hNTWV</w:t>
      </w:r>
    </w:p>
    <w:p>
      <w:pPr>
        <w:spacing w:before="40" w:after="40"/>
        <w:ind w:left="360"/>
      </w:pPr>
      <w:r>
        <w:rPr>
          <w:color w:val="646464"/>
          <w:sz w:val="17"/>
        </w:rPr>
        <w:t xml:space="preserve">[23/09/2026] 🔴  </w:t>
      </w:r>
      <w:r>
        <w:rPr>
          <w:b/>
          <w:color w:val="C00000"/>
          <w:sz w:val="18"/>
        </w:rPr>
        <w:t>Monnaie de la Cedeao : le lancement de l’eco en 2027 est-il crédible ? - Jeune Afrique</w:t>
      </w:r>
      <w:r>
        <w:rPr>
          <w:color w:val="787878"/>
          <w:sz w:val="15"/>
        </w:rPr>
        <w:t xml:space="preserve">  [économique]</w:t>
      </w:r>
      <w:r>
        <w:rPr>
          <w:color w:val="B47800"/>
          <w:sz w:val="16"/>
        </w:rPr>
        <w:t xml:space="preserve">  ★ 50/10</w:t>
      </w:r>
    </w:p>
    <w:p>
      <w:pPr>
        <w:spacing w:before="0" w:after="20"/>
        <w:ind w:left="600"/>
      </w:pPr>
      <w:r>
        <w:rPr>
          <w:color w:val="323232"/>
          <w:sz w:val="17"/>
        </w:rPr>
        <w:t>Le projet de monnaie unique de la CEDEAO, l'eco, est de nouveau reporté à 2027, suscitant des doutes sur sa crédibilité. Les critères de convergence macroéconomique restent insuffisamment respectés par de nombreux États membres. Les divergences politiques et les stratégies nationales, notamment au sein de l'UEMOA, compliquent la mise en œuvre. La q</w:t>
      </w:r>
    </w:p>
    <w:p>
      <w:pPr>
        <w:spacing w:before="0" w:after="40"/>
        <w:ind w:left="600"/>
      </w:pPr>
      <w:r>
        <w:rPr>
          <w:color w:val="00643C"/>
          <w:sz w:val="16"/>
        </w:rPr>
        <w:t>Points clés : Lancement de l'eco prévu pour 2027 mais crédibilité remise en question  •  Critères de convergence non atteints par la majorité des pays  •  Divergences politiques et institutionnelles entre États membres  •  Enjeux de souveraineté monétaire et de gestion des réserves</w:t>
      </w:r>
    </w:p>
    <w:p>
      <w:pPr>
        <w:spacing w:before="0" w:after="60"/>
        <w:ind w:left="600"/>
      </w:pPr>
      <w:r>
        <w:rPr>
          <w:color w:val="0064B4"/>
          <w:sz w:val="15"/>
        </w:rPr>
        <w:t>Source : https://news.google.com/rss/articles/CBMiwgFBVV95cUxQQTM0VXdDWkhMXzBldGFzeWRodXF</w:t>
      </w:r>
    </w:p>
    <w:p>
      <w:pPr>
        <w:spacing w:before="40" w:after="40"/>
        <w:ind w:left="360"/>
      </w:pPr>
      <w:r>
        <w:rPr>
          <w:color w:val="646464"/>
          <w:sz w:val="17"/>
        </w:rPr>
        <w:t xml:space="preserve">[23/09/2026] ⚪  </w:t>
      </w:r>
      <w:r>
        <w:rPr>
          <w:b/>
          <w:color w:val="505050"/>
          <w:sz w:val="18"/>
        </w:rPr>
        <w:t>VIDÉO. Afrique de l'Ouest: quel avenir pour la monnaie commune ECO - tv5monde</w:t>
      </w:r>
      <w:r>
        <w:rPr>
          <w:color w:val="787878"/>
          <w:sz w:val="15"/>
        </w:rPr>
        <w:t xml:space="preserve">  [économique]</w:t>
      </w:r>
      <w:r>
        <w:rPr>
          <w:color w:val="B47800"/>
          <w:sz w:val="16"/>
        </w:rPr>
        <w:t xml:space="preserve">  ★ 50/10</w:t>
      </w:r>
    </w:p>
    <w:p>
      <w:pPr>
        <w:spacing w:before="0" w:after="20"/>
        <w:ind w:left="600"/>
      </w:pPr>
      <w:r>
        <w:rPr>
          <w:color w:val="323232"/>
          <w:sz w:val="17"/>
        </w:rPr>
        <w:t>La vidéo de TV5 Monde examine l'avenir de la monnaie commune ECO prévue pour la CEDEAO. Elle revient sur les défis de convergence économique entre les pays membres et les divergences politiques autour du projet. La question centrale reste de savoir si l'ECO verra le jour dans les délais annoncés ou si le projet sera reporté une nouvelle fois.</w:t>
      </w:r>
    </w:p>
    <w:p>
      <w:pPr>
        <w:spacing w:before="0" w:after="40"/>
        <w:ind w:left="600"/>
      </w:pPr>
      <w:r>
        <w:rPr>
          <w:color w:val="00643C"/>
          <w:sz w:val="16"/>
        </w:rPr>
        <w:t>Points clés : Le projet de monnaie unique ECO pour la CEDEAO suscite des interrogations sur son calendrier de mise en œuvre  •  Les critères de convergence économique entre les États membres restent difficiles à atteindre  •  Des divergences politiques persistent entre les pays anglophones et francophones de la zone  •  L'avenir de l'ECO pourrait affecter les échanges commerciaux et les investissements en Afrique de l'Ouest</w:t>
      </w:r>
    </w:p>
    <w:p>
      <w:pPr>
        <w:spacing w:before="0" w:after="60"/>
        <w:ind w:left="600"/>
      </w:pPr>
      <w:r>
        <w:rPr>
          <w:color w:val="0064B4"/>
          <w:sz w:val="15"/>
        </w:rPr>
        <w:t>Source : https://news.google.com/rss/articles/CBMisgFBVV95cUxQbjB0bDdzZkxmQTFHMEh3eEtqLXd</w:t>
      </w:r>
    </w:p>
    <w:p>
      <w:pPr>
        <w:spacing w:before="40" w:after="40"/>
        <w:ind w:left="360"/>
      </w:pPr>
      <w:r>
        <w:rPr>
          <w:color w:val="646464"/>
          <w:sz w:val="17"/>
        </w:rPr>
        <w:t xml:space="preserve">[22/09/2026] 🔴  </w:t>
      </w:r>
      <w:r>
        <w:rPr>
          <w:b/>
          <w:color w:val="C00000"/>
          <w:sz w:val="18"/>
        </w:rPr>
        <w:t>«Le changement climatique est devenu un enjeu de paix et de sécurité», selon la CEDEAO - pressafrik.com</w:t>
      </w:r>
      <w:r>
        <w:rPr>
          <w:color w:val="787878"/>
          <w:sz w:val="15"/>
        </w:rPr>
        <w:t xml:space="preserve">  [économique]</w:t>
      </w:r>
      <w:r>
        <w:rPr>
          <w:color w:val="B47800"/>
          <w:sz w:val="16"/>
        </w:rPr>
        <w:t xml:space="preserve">  ★ 50/10</w:t>
      </w:r>
    </w:p>
    <w:p>
      <w:pPr>
        <w:spacing w:before="0" w:after="20"/>
        <w:ind w:left="600"/>
      </w:pPr>
      <w:r>
        <w:rPr>
          <w:color w:val="323232"/>
          <w:sz w:val="17"/>
        </w:rPr>
        <w:t>La CEDEAO a déclaré que le changement climatique est désormais un enjeu de paix et de sécurité dans la région ouest-africaine. Cette prise de position souligne les risques croissants de conflits liés aux ressources naturelles et aux déplacements de populations. L'organisation régionale appelle à une intégration des politiques climatiques dans les s</w:t>
      </w:r>
    </w:p>
    <w:p>
      <w:pPr>
        <w:spacing w:before="0" w:after="40"/>
        <w:ind w:left="600"/>
      </w:pPr>
      <w:r>
        <w:rPr>
          <w:color w:val="00643C"/>
          <w:sz w:val="16"/>
        </w:rPr>
        <w:t>Points clés : La CEDEAO reconnaît le changement climatique comme une menace pour la paix et la sécurité  •  Risques accrus de conflits liés aux ressources et aux migrations climatiques  •  Appel à intégrer le climat dans les politiques de sécurité régionale</w:t>
      </w:r>
    </w:p>
    <w:p>
      <w:pPr>
        <w:spacing w:before="0" w:after="60"/>
        <w:ind w:left="600"/>
      </w:pPr>
      <w:r>
        <w:rPr>
          <w:color w:val="0064B4"/>
          <w:sz w:val="15"/>
        </w:rPr>
        <w:t>Source : https://news.google.com/rss/articles/CBMiwgFBVV95cUxQUEhXbWNqQXprX1hiZ0h2ZkQweFZ</w:t>
      </w:r>
    </w:p>
    <w:p>
      <w:pPr>
        <w:spacing w:before="120" w:after="40"/>
      </w:pPr>
      <w:r>
        <w:rPr>
          <w:b/>
          <w:color w:val="00467F"/>
          <w:sz w:val="20"/>
        </w:rPr>
        <w:t>🔑 matieres_premieres  (3 alerte(s))</w:t>
      </w:r>
    </w:p>
    <w:p>
      <w:pPr>
        <w:spacing w:before="40" w:after="40"/>
        <w:ind w:left="360"/>
      </w:pPr>
      <w:r>
        <w:rPr>
          <w:color w:val="646464"/>
          <w:sz w:val="17"/>
        </w:rPr>
        <w:t xml:space="preserve">[23/09/2026] 🟢  </w:t>
      </w:r>
      <w:r>
        <w:rPr>
          <w:b/>
          <w:color w:val="008000"/>
          <w:sz w:val="18"/>
        </w:rPr>
        <w:t>Canada – Matières premières : les prix du pétrole montent malgré des discussions entre responsables américains et iranie</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augmenté malgré la tenue de discussions entre responsables américains et iraniens, ce qui aurait pu faire baisser les cours. Par ailleurs, les États-Unis envisagent d'interdire les exportations de diesel, une mesure qui pourrait perturber les marchés mondiaux des produits raffinés. Cette combinaison de facteurs géopolitiques</w:t>
      </w:r>
    </w:p>
    <w:p>
      <w:pPr>
        <w:spacing w:before="0" w:after="40"/>
        <w:ind w:left="600"/>
      </w:pPr>
      <w:r>
        <w:rPr>
          <w:color w:val="00643C"/>
          <w:sz w:val="16"/>
        </w:rPr>
        <w:t>Points clés : Hausse des prix du pétrole malgré les discussions américano-iraniennes  •  Les États-Unis envisagent une interdiction sur les exportations de diesel  •  Tensions persistantes sur les marchés des matières premières énergétiques</w:t>
      </w:r>
    </w:p>
    <w:p>
      <w:pPr>
        <w:spacing w:before="0" w:after="60"/>
        <w:ind w:left="600"/>
      </w:pPr>
      <w:r>
        <w:rPr>
          <w:color w:val="0064B4"/>
          <w:sz w:val="15"/>
        </w:rPr>
        <w:t>Source : https://news.google.com/rss/articles/CBMi7AFBVV95cUxOSE0xVGk5WlJUQzlRMlZJajRCZDN</w:t>
      </w:r>
    </w:p>
    <w:p>
      <w:pPr>
        <w:spacing w:before="40" w:after="40"/>
        <w:ind w:left="360"/>
      </w:pPr>
      <w:r>
        <w:rPr>
          <w:color w:val="646464"/>
          <w:sz w:val="17"/>
        </w:rPr>
        <w:t xml:space="preserve">[22/09/2026] ⚪  </w:t>
      </w:r>
      <w:r>
        <w:rPr>
          <w:b/>
          <w:color w:val="505050"/>
          <w:sz w:val="18"/>
        </w:rPr>
        <w:t>Ole Hansen (Saxo Bank): "Il est vain d'essayer de prédire les prix du pétrole" - L'Echo</w:t>
      </w:r>
      <w:r>
        <w:rPr>
          <w:color w:val="787878"/>
          <w:sz w:val="15"/>
        </w:rPr>
        <w:t xml:space="preserve">  [matieres_premieres]</w:t>
      </w:r>
      <w:r>
        <w:rPr>
          <w:color w:val="B47800"/>
          <w:sz w:val="16"/>
        </w:rPr>
        <w:t xml:space="preserve">  ★ 50/10</w:t>
      </w:r>
    </w:p>
    <w:p>
      <w:pPr>
        <w:spacing w:before="0" w:after="20"/>
        <w:ind w:left="600"/>
      </w:pPr>
      <w:r>
        <w:rPr>
          <w:color w:val="323232"/>
          <w:sz w:val="17"/>
        </w:rPr>
        <w:t>Ole Hansen, analyste chez Saxo Bank, estime qu'il est vain de tenter de prédire les prix du pétrole en raison de la complexité et de la volatilité des marchés. Il souligne que les facteurs géopolitiques, les décisions de l'OPEP+ et les dynamiques de l'offre et de la demande rendent toute prévision hasardeuse. Cette déclaration intervient dans un co</w:t>
      </w:r>
    </w:p>
    <w:p>
      <w:pPr>
        <w:spacing w:before="0" w:after="40"/>
        <w:ind w:left="600"/>
      </w:pPr>
      <w:r>
        <w:rPr>
          <w:color w:val="00643C"/>
          <w:sz w:val="16"/>
        </w:rPr>
        <w:t>Points clés : Ole Hansen (Saxo Bank) affirme que prédire les prix du pétrole est une entreprise vaine.  •  Les marchés pétroliers sont soumis à de multiples facteurs imprévisibles (géopolitique, OPEP+, demande mondiale).  •  Cette incertitude accroît la volatilité des prix, impactant les économies dépendantes du pétrole.</w:t>
      </w:r>
    </w:p>
    <w:p>
      <w:pPr>
        <w:spacing w:before="0" w:after="60"/>
        <w:ind w:left="600"/>
      </w:pPr>
      <w:r>
        <w:rPr>
          <w:color w:val="0064B4"/>
          <w:sz w:val="15"/>
        </w:rPr>
        <w:t>Source : https://news.google.com/rss/articles/CBMizgFBVV95cUxOM00tZmluUkFmMWkxVkpLZktqV1p</w:t>
      </w:r>
    </w:p>
    <w:p>
      <w:pPr>
        <w:spacing w:before="40" w:after="40"/>
        <w:ind w:left="360"/>
      </w:pPr>
      <w:r>
        <w:rPr>
          <w:color w:val="646464"/>
          <w:sz w:val="17"/>
        </w:rPr>
        <w:t xml:space="preserve">[22/09/2026] ⚪  </w:t>
      </w:r>
      <w:r>
        <w:rPr>
          <w:b/>
          <w:color w:val="505050"/>
          <w:sz w:val="18"/>
        </w:rPr>
        <w:t>Prix des carburants : le Japon n'a pas de pétrole mais l'essence la moins chère du G7 - Les Echos</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Le Japon, bien que dépourvu de ressources pétrolières, affiche le prix de l'essence le plus bas parmi les pays du G7. Cette situation résulte probablement de politiques fiscales et de subventions gouvernementales, ainsi que d'une faible demande intérieure. Cette information met en lumière les disparités de prix des carburants au sein des économies </w:t>
      </w:r>
    </w:p>
    <w:p>
      <w:pPr>
        <w:spacing w:before="0" w:after="40"/>
        <w:ind w:left="600"/>
      </w:pPr>
      <w:r>
        <w:rPr>
          <w:color w:val="00643C"/>
          <w:sz w:val="16"/>
        </w:rPr>
        <w:t>Points clés : Le Japon a l'essence la moins chère du G7 malgré l'absence de production pétrolière.  •  Les politiques fiscales et les subventions jouent un rôle clé dans le prix final.  •  Cela contraste avec les prix élevés observés dans d'autres pays du G7.</w:t>
      </w:r>
    </w:p>
    <w:p>
      <w:pPr>
        <w:spacing w:before="0" w:after="60"/>
        <w:ind w:left="600"/>
      </w:pPr>
      <w:r>
        <w:rPr>
          <w:color w:val="0064B4"/>
          <w:sz w:val="15"/>
        </w:rPr>
        <w:t>Source : https://news.google.com/rss/articles/CBMizwFBVV95cUxPZHA3d3dnNWtaSEUzME5yM25ldDk</w:t>
      </w:r>
    </w:p>
    <w:p>
      <w:pPr>
        <w:spacing w:before="120" w:after="40"/>
      </w:pPr>
      <w:r>
        <w:rPr>
          <w:b/>
          <w:color w:val="00467F"/>
          <w:sz w:val="20"/>
        </w:rPr>
        <w:t>🔑 politique_monetaire  (1 alerte(s))</w:t>
      </w:r>
    </w:p>
    <w:p>
      <w:pPr>
        <w:spacing w:before="40" w:after="40"/>
        <w:ind w:left="360"/>
      </w:pPr>
      <w:r>
        <w:rPr>
          <w:color w:val="646464"/>
          <w:sz w:val="17"/>
        </w:rPr>
        <w:t xml:space="preserve">[23/09/2026] 🔴  </w:t>
      </w:r>
      <w:r>
        <w:rPr>
          <w:b/>
          <w:color w:val="C00000"/>
          <w:sz w:val="18"/>
        </w:rPr>
        <w:t>Les taux d'intérêt flambent et la BCE regarde ailleurs… Jusqu'à quand ? - Les Echos</w:t>
      </w:r>
      <w:r>
        <w:rPr>
          <w:color w:val="787878"/>
          <w:sz w:val="15"/>
        </w:rPr>
        <w:t xml:space="preserve">  [politique_monetaire]</w:t>
      </w:r>
      <w:r>
        <w:rPr>
          <w:color w:val="B47800"/>
          <w:sz w:val="16"/>
        </w:rPr>
        <w:t xml:space="preserve">  ★ 50/10</w:t>
      </w:r>
    </w:p>
    <w:p>
      <w:pPr>
        <w:spacing w:before="0" w:after="20"/>
        <w:ind w:left="600"/>
      </w:pPr>
      <w:r>
        <w:rPr>
          <w:color w:val="323232"/>
          <w:sz w:val="17"/>
        </w:rPr>
        <w:t>Les taux d'intérêt sur les marchés obligataires européens connaissent une forte hausse, alimentée par les anticipations d'inflation et de resserrement monétaire. La Banque centrale européenne (BCE) semble pourtant temporiser, suscitant des interrogations sur sa stratégie. Ce décalage entre la flambée des taux et l'inaction apparente de la BCE pourr</w:t>
      </w:r>
    </w:p>
    <w:p>
      <w:pPr>
        <w:spacing w:before="0" w:after="40"/>
        <w:ind w:left="600"/>
      </w:pPr>
      <w:r>
        <w:rPr>
          <w:color w:val="00643C"/>
          <w:sz w:val="16"/>
        </w:rPr>
        <w:t>Points clés : Forte hausse des taux d'intérêt sur les marchés européens  •  La BCE est perçue comme passive face à cette flambée  •  Risque accru de volatilité sur les marchés obligataires  •  Incertitude sur la réaction future de la BCE</w:t>
      </w:r>
    </w:p>
    <w:p>
      <w:pPr>
        <w:spacing w:before="0" w:after="60"/>
        <w:ind w:left="600"/>
      </w:pPr>
      <w:r>
        <w:rPr>
          <w:color w:val="0064B4"/>
          <w:sz w:val="15"/>
        </w:rPr>
        <w:t>Source : https://news.google.com/rss/articles/CBMixgFBVV95cUxOVzRHWHZMWjk3c3B2dUF0UnRocG8</w:t>
      </w:r>
    </w:p>
    <w:p>
      <w:pPr>
        <w:spacing w:before="120" w:after="40"/>
      </w:pPr>
      <w:r>
        <w:rPr>
          <w:b/>
          <w:color w:val="00467F"/>
          <w:sz w:val="20"/>
        </w:rPr>
        <w:t>🔑 marche_financier  (2 alerte(s))</w:t>
      </w:r>
    </w:p>
    <w:p>
      <w:pPr>
        <w:spacing w:before="40" w:after="40"/>
        <w:ind w:left="360"/>
      </w:pPr>
      <w:r>
        <w:rPr>
          <w:color w:val="646464"/>
          <w:sz w:val="17"/>
        </w:rPr>
        <w:t xml:space="preserve">[23/09/2026] 🟢  </w:t>
      </w:r>
      <w:r>
        <w:rPr>
          <w:b/>
          <w:color w:val="008000"/>
          <w:sz w:val="18"/>
        </w:rPr>
        <w:t>Le Sénégal réussit sa première cotation obligataire à la BRVM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Le Sénégal a réalisé avec succès sa première cotation obligataire sur la BRVM, marquant une étape importante pour le financement de son économie via le marché financier régional. Cette opération permet à l'État sénégalais de diversifier ses sources de financement et de renforcer la profondeur du marché obligataire de l'UEMOA. Elle témoigne de la co</w:t>
      </w:r>
    </w:p>
    <w:p>
      <w:pPr>
        <w:spacing w:before="0" w:after="40"/>
        <w:ind w:left="600"/>
      </w:pPr>
      <w:r>
        <w:rPr>
          <w:color w:val="00643C"/>
          <w:sz w:val="16"/>
        </w:rPr>
        <w:t>Points clés : Première cotation obligataire du Sénégal à la BRVM  •  Diversification des sources de financement de l'État sénégalais  •  Renforcement du marché obligataire de l'UEMOA  •  Signal de confiance pour les investisseurs régionaux</w:t>
      </w:r>
    </w:p>
    <w:p>
      <w:pPr>
        <w:spacing w:before="0" w:after="60"/>
        <w:ind w:left="600"/>
      </w:pPr>
      <w:r>
        <w:rPr>
          <w:color w:val="0064B4"/>
          <w:sz w:val="15"/>
        </w:rPr>
        <w:t>Source : https://news.google.com/rss/articles/CBMimgFBVV95cUxNNXlETjYxcUplM2VubTZJdFAtbHE</w:t>
      </w:r>
    </w:p>
    <w:p>
      <w:pPr>
        <w:spacing w:before="40" w:after="40"/>
        <w:ind w:left="360"/>
      </w:pPr>
      <w:r>
        <w:rPr>
          <w:color w:val="646464"/>
          <w:sz w:val="17"/>
        </w:rPr>
        <w:t xml:space="preserve">[22/09/2026] 🟢  </w:t>
      </w:r>
      <w:r>
        <w:rPr>
          <w:b/>
          <w:color w:val="008000"/>
          <w:sz w:val="18"/>
        </w:rPr>
        <w:t>Bourse : le Sénégal réussit sa première cotation avec 4 emprunts obligataires de 305 milliards FCFA à la BRVM - Abidjan.</w:t>
      </w:r>
      <w:r>
        <w:rPr>
          <w:color w:val="787878"/>
          <w:sz w:val="15"/>
        </w:rPr>
        <w:t xml:space="preserve">  [marche_financier]</w:t>
      </w:r>
      <w:r>
        <w:rPr>
          <w:color w:val="B47800"/>
          <w:sz w:val="16"/>
        </w:rPr>
        <w:t xml:space="preserve">  ★ 50/10</w:t>
      </w:r>
    </w:p>
    <w:p>
      <w:pPr>
        <w:spacing w:before="0" w:after="20"/>
        <w:ind w:left="600"/>
      </w:pPr>
      <w:r>
        <w:rPr>
          <w:color w:val="323232"/>
          <w:sz w:val="17"/>
        </w:rPr>
        <w:t>Le Sénégal a réalisé sa première cotation à la BRVM avec quatre emprunts obligataires totalisant 305 milliards FCFA. Cette opération marque une étape importante pour le financement de l'État sénégalais sur le marché régional. Elle témoigne de la confiance des investisseurs et renforce la profondeur du marché obligataire de l'UEMOA.</w:t>
      </w:r>
    </w:p>
    <w:p>
      <w:pPr>
        <w:spacing w:before="0" w:after="40"/>
        <w:ind w:left="600"/>
      </w:pPr>
      <w:r>
        <w:rPr>
          <w:color w:val="00643C"/>
          <w:sz w:val="16"/>
        </w:rPr>
        <w:t>Points clés : Première cotation du Sénégal à la BRVM  •  Quatre emprunts obligataires pour un total de 305 milliards FCFA  •  Renforcement du marché obligataire régional de l'UEMOA</w:t>
      </w:r>
    </w:p>
    <w:p>
      <w:pPr>
        <w:spacing w:before="0" w:after="60"/>
        <w:ind w:left="600"/>
      </w:pPr>
      <w:r>
        <w:rPr>
          <w:color w:val="0064B4"/>
          <w:sz w:val="15"/>
        </w:rPr>
        <w:t>Source : https://news.google.com/rss/articles/CBMi4gFBVV95cUxNQ3cwSkxXUktNQTFXYnBkb2M3ZVJ</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7,650</w:t>
            </w:r>
          </w:p>
        </w:tc>
        <w:tc>
          <w:tcPr>
            <w:tcW w:type="dxa" w:w="1080"/>
            <w:shd w:fill="C6EFCE" w:val="clear"/>
          </w:tcPr>
          <w:p>
            <w:r>
              <w:rPr>
                <w:b/>
                <w:sz w:val="16"/>
              </w:rPr>
              <w:t>89/100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8,510</w:t>
            </w:r>
          </w:p>
        </w:tc>
        <w:tc>
          <w:tcPr>
            <w:tcW w:type="dxa" w:w="1080"/>
            <w:shd w:fill="C6EFCE" w:val="clear"/>
          </w:tcPr>
          <w:p>
            <w:r>
              <w:rPr>
                <w:b/>
                <w:sz w:val="16"/>
              </w:rPr>
              <w:t>88/100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2,200</w:t>
            </w:r>
          </w:p>
        </w:tc>
        <w:tc>
          <w:tcPr>
            <w:tcW w:type="dxa" w:w="1080"/>
            <w:shd w:fill="C6EFCE" w:val="clear"/>
          </w:tcPr>
          <w:p>
            <w:r>
              <w:rPr>
                <w:b/>
                <w:sz w:val="16"/>
              </w:rPr>
              <w:t>88/100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10,800</w:t>
            </w:r>
          </w:p>
        </w:tc>
        <w:tc>
          <w:tcPr>
            <w:tcW w:type="dxa" w:w="1080"/>
            <w:shd w:fill="C6EFCE" w:val="clear"/>
          </w:tcPr>
          <w:p>
            <w:r>
              <w:rPr>
                <w:b/>
                <w:sz w:val="16"/>
              </w:rPr>
              <w:t>86/100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8,790</w:t>
            </w:r>
          </w:p>
        </w:tc>
        <w:tc>
          <w:tcPr>
            <w:tcW w:type="dxa" w:w="1080"/>
            <w:shd w:fill="C6EFCE" w:val="clear"/>
          </w:tcPr>
          <w:p>
            <w:r>
              <w:rPr>
                <w:b/>
                <w:sz w:val="16"/>
              </w:rPr>
              <w:t>85/100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SOGC</w:t>
            </w:r>
          </w:p>
        </w:tc>
        <w:tc>
          <w:tcPr>
            <w:tcW w:type="dxa" w:w="1080"/>
            <w:shd w:fill="C6EFCE" w:val="clear"/>
          </w:tcPr>
          <w:p>
            <w:r>
              <w:rPr>
                <w:sz w:val="16"/>
              </w:rPr>
              <w:t>CONSOMMATION DE BA</w:t>
            </w:r>
          </w:p>
        </w:tc>
        <w:tc>
          <w:tcPr>
            <w:tcW w:type="dxa" w:w="1080"/>
            <w:shd w:fill="C6EFCE" w:val="clear"/>
          </w:tcPr>
          <w:p>
            <w:r>
              <w:rPr>
                <w:sz w:val="16"/>
              </w:rPr>
              <w:t>7,300</w:t>
            </w:r>
          </w:p>
        </w:tc>
        <w:tc>
          <w:tcPr>
            <w:tcW w:type="dxa" w:w="1080"/>
            <w:shd w:fill="C6EFCE" w:val="clear"/>
          </w:tcPr>
          <w:p>
            <w:r>
              <w:rPr>
                <w:b/>
                <w:sz w:val="16"/>
              </w:rPr>
              <w:t>85/100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1,480</w:t>
            </w:r>
          </w:p>
        </w:tc>
        <w:tc>
          <w:tcPr>
            <w:tcW w:type="dxa" w:w="1080"/>
            <w:shd w:fill="C6EFCE" w:val="clear"/>
          </w:tcPr>
          <w:p>
            <w:r>
              <w:rPr>
                <w:b/>
                <w:sz w:val="16"/>
              </w:rPr>
              <w:t>84/100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64</w:t>
            </w:r>
          </w:p>
        </w:tc>
        <w:tc>
          <w:tcPr>
            <w:tcW w:type="dxa" w:w="1080"/>
            <w:shd w:fill="C6EFCE" w:val="clear"/>
          </w:tcPr>
          <w:p>
            <w:r>
              <w:rPr>
                <w:b/>
                <w:sz w:val="16"/>
              </w:rPr>
              <w:t>84/100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11,165</w:t>
            </w:r>
          </w:p>
        </w:tc>
        <w:tc>
          <w:tcPr>
            <w:tcW w:type="dxa" w:w="1080"/>
            <w:shd w:fill="C6EFCE" w:val="clear"/>
          </w:tcPr>
          <w:p>
            <w:r>
              <w:rPr>
                <w:b/>
                <w:sz w:val="16"/>
              </w:rPr>
              <w:t>84/100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14,710</w:t>
            </w:r>
          </w:p>
        </w:tc>
        <w:tc>
          <w:tcPr>
            <w:tcW w:type="dxa" w:w="1080"/>
            <w:shd w:fill="C6EFCE" w:val="clear"/>
          </w:tcPr>
          <w:p>
            <w:r>
              <w:rPr>
                <w:b/>
                <w:sz w:val="16"/>
              </w:rPr>
              <w:t>84/100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2,985</w:t>
            </w:r>
          </w:p>
        </w:tc>
        <w:tc>
          <w:tcPr>
            <w:tcW w:type="dxa" w:w="1080"/>
            <w:shd w:fill="C6EFCE" w:val="clear"/>
          </w:tcPr>
          <w:p>
            <w:r>
              <w:rPr>
                <w:b/>
                <w:sz w:val="16"/>
              </w:rPr>
              <w:t>84/100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7,400</w:t>
            </w:r>
          </w:p>
        </w:tc>
        <w:tc>
          <w:tcPr>
            <w:tcW w:type="dxa" w:w="1080"/>
            <w:shd w:fill="C6EFCE" w:val="clear"/>
          </w:tcPr>
          <w:p>
            <w:r>
              <w:rPr>
                <w:b/>
                <w:sz w:val="16"/>
              </w:rPr>
              <w:t>83/100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4,550</w:t>
            </w:r>
          </w:p>
        </w:tc>
        <w:tc>
          <w:tcPr>
            <w:tcW w:type="dxa" w:w="1080"/>
            <w:shd w:fill="C6EFCE" w:val="clear"/>
          </w:tcPr>
          <w:p>
            <w:r>
              <w:rPr>
                <w:b/>
                <w:sz w:val="16"/>
              </w:rPr>
              <w:t>83/100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28,675</w:t>
            </w:r>
          </w:p>
        </w:tc>
        <w:tc>
          <w:tcPr>
            <w:tcW w:type="dxa" w:w="1080"/>
            <w:shd w:fill="C6EFCE" w:val="clear"/>
          </w:tcPr>
          <w:p>
            <w:r>
              <w:rPr>
                <w:b/>
                <w:sz w:val="16"/>
              </w:rPr>
              <w:t>82/100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3,980</w:t>
            </w:r>
          </w:p>
        </w:tc>
        <w:tc>
          <w:tcPr>
            <w:tcW w:type="dxa" w:w="1080"/>
            <w:shd w:fill="C6EFCE" w:val="clear"/>
          </w:tcPr>
          <w:p>
            <w:r>
              <w:rPr>
                <w:b/>
                <w:sz w:val="16"/>
              </w:rPr>
              <w:t>82/100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8,560</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5,470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2,800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2,690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3,190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2,405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2,000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7,500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20,815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PRSC</w:t>
            </w:r>
          </w:p>
        </w:tc>
        <w:tc>
          <w:tcPr>
            <w:tcW w:type="dxa" w:w="1080"/>
            <w:shd w:fill="C6EFCE" w:val="clear"/>
          </w:tcPr>
          <w:p>
            <w:r>
              <w:rPr>
                <w:sz w:val="16"/>
              </w:rPr>
              <w:t>CONSOMMATION DISCR</w:t>
            </w:r>
          </w:p>
        </w:tc>
        <w:tc>
          <w:tcPr>
            <w:tcW w:type="dxa" w:w="1080"/>
            <w:shd w:fill="C6EFCE" w:val="clear"/>
          </w:tcPr>
          <w:p>
            <w:r>
              <w:rPr>
                <w:sz w:val="16"/>
              </w:rPr>
              <w:t>4,200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26</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41,000</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27</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16,800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28</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2,800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29</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2,800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30</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37,985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3,930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32</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2,000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33</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3,700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2,390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35</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3,800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36</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1,890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37</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14,500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38</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20,400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39</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8,100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40</w:t>
            </w:r>
          </w:p>
        </w:tc>
        <w:tc>
          <w:tcPr>
            <w:tcW w:type="dxa" w:w="1080"/>
            <w:shd w:fill="C6EFCE" w:val="clear"/>
          </w:tcPr>
          <w:p>
            <w:r>
              <w:rPr>
                <w:sz w:val="16"/>
              </w:rPr>
              <w:t>STBC</w:t>
            </w:r>
          </w:p>
        </w:tc>
        <w:tc>
          <w:tcPr>
            <w:tcW w:type="dxa" w:w="1080"/>
            <w:shd w:fill="C6EFCE" w:val="clear"/>
          </w:tcPr>
          <w:p>
            <w:r>
              <w:rPr>
                <w:sz w:val="16"/>
              </w:rPr>
              <w:t>CONSOMMATION DE BA</w:t>
            </w:r>
          </w:p>
        </w:tc>
        <w:tc>
          <w:tcPr>
            <w:tcW w:type="dxa" w:w="1080"/>
            <w:shd w:fill="C6EFCE" w:val="clear"/>
          </w:tcPr>
          <w:p>
            <w:r>
              <w:rPr>
                <w:sz w:val="16"/>
              </w:rPr>
              <w:t>20,895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41</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37,885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42</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2,100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43</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6,205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29,745</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49,000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7,650</w:t>
            </w:r>
          </w:p>
        </w:tc>
        <w:tc>
          <w:tcPr>
            <w:tcW w:type="dxa" w:w="1728"/>
            <w:shd w:fill="DEEAF1" w:val="clear"/>
          </w:tcPr>
          <w:p>
            <w:r>
              <w:rPr>
                <w:sz w:val="17"/>
              </w:rPr>
              <w:t>89/100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8,510</w:t>
            </w:r>
          </w:p>
        </w:tc>
        <w:tc>
          <w:tcPr>
            <w:tcW w:type="dxa" w:w="1728"/>
            <w:shd w:fill="DEEAF1" w:val="clear"/>
          </w:tcPr>
          <w:p>
            <w:r>
              <w:rPr>
                <w:sz w:val="17"/>
              </w:rPr>
              <w:t>88/100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2,200</w:t>
            </w:r>
          </w:p>
        </w:tc>
        <w:tc>
          <w:tcPr>
            <w:tcW w:type="dxa" w:w="1728"/>
            <w:shd w:fill="DEEAF1" w:val="clear"/>
          </w:tcPr>
          <w:p>
            <w:r>
              <w:rPr>
                <w:sz w:val="17"/>
              </w:rPr>
              <w:t>88/100</w:t>
            </w:r>
          </w:p>
        </w:tc>
        <w:tc>
          <w:tcPr>
            <w:tcW w:type="dxa" w:w="1728"/>
            <w:shd w:fill="DEEAF1" w:val="clear"/>
          </w:tcPr>
          <w:p>
            <w:r>
              <w:rPr>
                <w:sz w:val="17"/>
              </w:rPr>
              <w:t>10.6%</w:t>
            </w:r>
          </w:p>
        </w:tc>
      </w:tr>
      <w:tr>
        <w:tc>
          <w:tcPr>
            <w:tcW w:type="dxa" w:w="1728"/>
            <w:shd w:fill="DEEAF1" w:val="clear"/>
          </w:tcPr>
          <w:p>
            <w:r>
              <w:rPr>
                <w:sz w:val="17"/>
              </w:rPr>
              <w:t>BOAB</w:t>
            </w:r>
          </w:p>
        </w:tc>
        <w:tc>
          <w:tcPr>
            <w:tcW w:type="dxa" w:w="1728"/>
            <w:shd w:fill="DEEAF1" w:val="clear"/>
          </w:tcPr>
          <w:p>
            <w:r>
              <w:rPr>
                <w:sz w:val="17"/>
              </w:rPr>
              <w:t>BANK OF AFRICA BENIN</w:t>
            </w:r>
          </w:p>
        </w:tc>
        <w:tc>
          <w:tcPr>
            <w:tcW w:type="dxa" w:w="1728"/>
            <w:shd w:fill="DEEAF1" w:val="clear"/>
          </w:tcPr>
          <w:p>
            <w:r>
              <w:rPr>
                <w:sz w:val="17"/>
              </w:rPr>
              <w:t>8,790</w:t>
            </w:r>
          </w:p>
        </w:tc>
        <w:tc>
          <w:tcPr>
            <w:tcW w:type="dxa" w:w="1728"/>
            <w:shd w:fill="DEEAF1" w:val="clear"/>
          </w:tcPr>
          <w:p>
            <w:r>
              <w:rPr>
                <w:sz w:val="17"/>
              </w:rPr>
              <w:t>85/100</w:t>
            </w:r>
          </w:p>
        </w:tc>
        <w:tc>
          <w:tcPr>
            <w:tcW w:type="dxa" w:w="1728"/>
            <w:shd w:fill="DEEAF1" w:val="clear"/>
          </w:tcPr>
          <w:p>
            <w:r>
              <w:rPr>
                <w:sz w:val="17"/>
              </w:rPr>
              <w:t>10.6%</w:t>
            </w:r>
          </w:p>
        </w:tc>
      </w:tr>
      <w:tr>
        <w:tc>
          <w:tcPr>
            <w:tcW w:type="dxa" w:w="1728"/>
            <w:shd w:fill="DEEAF1" w:val="clear"/>
          </w:tcPr>
          <w:p>
            <w:r>
              <w:rPr>
                <w:sz w:val="17"/>
              </w:rPr>
              <w:t>SOGC</w:t>
            </w:r>
          </w:p>
        </w:tc>
        <w:tc>
          <w:tcPr>
            <w:tcW w:type="dxa" w:w="1728"/>
            <w:shd w:fill="DEEAF1" w:val="clear"/>
          </w:tcPr>
          <w:p>
            <w:r>
              <w:rPr>
                <w:sz w:val="17"/>
              </w:rPr>
              <w:t>SOGC - Société des caoutchou</w:t>
            </w:r>
          </w:p>
        </w:tc>
        <w:tc>
          <w:tcPr>
            <w:tcW w:type="dxa" w:w="1728"/>
            <w:shd w:fill="DEEAF1" w:val="clear"/>
          </w:tcPr>
          <w:p>
            <w:r>
              <w:rPr>
                <w:sz w:val="17"/>
              </w:rPr>
              <w:t>7,300</w:t>
            </w:r>
          </w:p>
        </w:tc>
        <w:tc>
          <w:tcPr>
            <w:tcW w:type="dxa" w:w="1728"/>
            <w:shd w:fill="DEEAF1" w:val="clear"/>
          </w:tcPr>
          <w:p>
            <w:r>
              <w:rPr>
                <w:sz w:val="17"/>
              </w:rPr>
              <w:t>85/100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5,470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2,800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3,190</w:t>
            </w:r>
          </w:p>
        </w:tc>
        <w:tc>
          <w:tcPr>
            <w:tcW w:type="dxa" w:w="1728"/>
            <w:shd w:fill="DEEAF1" w:val="clear"/>
          </w:tcPr>
          <w:p>
            <w:r>
              <w:rPr>
                <w:sz w:val="17"/>
              </w:rPr>
              <w:t>78/100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7,650</w:t>
            </w:r>
          </w:p>
        </w:tc>
        <w:tc>
          <w:tcPr>
            <w:tcW w:type="dxa" w:w="1728"/>
            <w:shd w:fill="E2EFDA" w:val="clear"/>
          </w:tcPr>
          <w:p>
            <w:r>
              <w:rPr>
                <w:sz w:val="17"/>
              </w:rPr>
              <w:t>89/100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8,510</w:t>
            </w:r>
          </w:p>
        </w:tc>
        <w:tc>
          <w:tcPr>
            <w:tcW w:type="dxa" w:w="1728"/>
            <w:shd w:fill="E2EFDA" w:val="clear"/>
          </w:tcPr>
          <w:p>
            <w:r>
              <w:rPr>
                <w:sz w:val="17"/>
              </w:rPr>
              <w:t>88/100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2,200</w:t>
            </w:r>
          </w:p>
        </w:tc>
        <w:tc>
          <w:tcPr>
            <w:tcW w:type="dxa" w:w="1728"/>
            <w:shd w:fill="E2EFDA" w:val="clear"/>
          </w:tcPr>
          <w:p>
            <w:r>
              <w:rPr>
                <w:sz w:val="17"/>
              </w:rPr>
              <w:t>88/100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10,800</w:t>
            </w:r>
          </w:p>
        </w:tc>
        <w:tc>
          <w:tcPr>
            <w:tcW w:type="dxa" w:w="1728"/>
            <w:shd w:fill="E2EFDA" w:val="clear"/>
          </w:tcPr>
          <w:p>
            <w:r>
              <w:rPr>
                <w:sz w:val="17"/>
              </w:rPr>
              <w:t>86/100</w:t>
            </w:r>
          </w:p>
        </w:tc>
        <w:tc>
          <w:tcPr>
            <w:tcW w:type="dxa" w:w="1728"/>
            <w:shd w:fill="E2EFDA" w:val="clear"/>
          </w:tcPr>
          <w:p>
            <w:r>
              <w:rPr>
                <w:sz w:val="17"/>
              </w:rPr>
              <w:t>11.2%</w:t>
            </w:r>
          </w:p>
        </w:tc>
      </w:tr>
      <w:tr>
        <w:tc>
          <w:tcPr>
            <w:tcW w:type="dxa" w:w="1728"/>
            <w:shd w:fill="E2EFDA" w:val="clear"/>
          </w:tcPr>
          <w:p>
            <w:r>
              <w:rPr>
                <w:sz w:val="17"/>
              </w:rPr>
              <w:t>BOAB</w:t>
            </w:r>
          </w:p>
        </w:tc>
        <w:tc>
          <w:tcPr>
            <w:tcW w:type="dxa" w:w="1728"/>
            <w:shd w:fill="E2EFDA" w:val="clear"/>
          </w:tcPr>
          <w:p>
            <w:r>
              <w:rPr>
                <w:sz w:val="17"/>
              </w:rPr>
              <w:t>BANK OF AFRICA BENIN</w:t>
            </w:r>
          </w:p>
        </w:tc>
        <w:tc>
          <w:tcPr>
            <w:tcW w:type="dxa" w:w="1728"/>
            <w:shd w:fill="E2EFDA" w:val="clear"/>
          </w:tcPr>
          <w:p>
            <w:r>
              <w:rPr>
                <w:sz w:val="17"/>
              </w:rPr>
              <w:t>8,790</w:t>
            </w:r>
          </w:p>
        </w:tc>
        <w:tc>
          <w:tcPr>
            <w:tcW w:type="dxa" w:w="1728"/>
            <w:shd w:fill="E2EFDA" w:val="clear"/>
          </w:tcPr>
          <w:p>
            <w:r>
              <w:rPr>
                <w:sz w:val="17"/>
              </w:rPr>
              <w:t>85/100</w:t>
            </w:r>
          </w:p>
        </w:tc>
        <w:tc>
          <w:tcPr>
            <w:tcW w:type="dxa" w:w="1728"/>
            <w:shd w:fill="E2EFDA" w:val="clear"/>
          </w:tcPr>
          <w:p>
            <w:r>
              <w:rPr>
                <w:sz w:val="17"/>
              </w:rPr>
              <w:t>11.2%</w:t>
            </w:r>
          </w:p>
        </w:tc>
      </w:tr>
      <w:tr>
        <w:tc>
          <w:tcPr>
            <w:tcW w:type="dxa" w:w="1728"/>
            <w:shd w:fill="E2EFDA" w:val="clear"/>
          </w:tcPr>
          <w:p>
            <w:r>
              <w:rPr>
                <w:sz w:val="17"/>
              </w:rPr>
              <w:t>SOGC</w:t>
            </w:r>
          </w:p>
        </w:tc>
        <w:tc>
          <w:tcPr>
            <w:tcW w:type="dxa" w:w="1728"/>
            <w:shd w:fill="E2EFDA" w:val="clear"/>
          </w:tcPr>
          <w:p>
            <w:r>
              <w:rPr>
                <w:sz w:val="17"/>
              </w:rPr>
              <w:t>SOGC - Société des caoutchou</w:t>
            </w:r>
          </w:p>
        </w:tc>
        <w:tc>
          <w:tcPr>
            <w:tcW w:type="dxa" w:w="1728"/>
            <w:shd w:fill="E2EFDA" w:val="clear"/>
          </w:tcPr>
          <w:p>
            <w:r>
              <w:rPr>
                <w:sz w:val="17"/>
              </w:rPr>
              <w:t>7,300</w:t>
            </w:r>
          </w:p>
        </w:tc>
        <w:tc>
          <w:tcPr>
            <w:tcW w:type="dxa" w:w="1728"/>
            <w:shd w:fill="E2EFDA" w:val="clear"/>
          </w:tcPr>
          <w:p>
            <w:r>
              <w:rPr>
                <w:sz w:val="17"/>
              </w:rPr>
              <w:t>85/100</w:t>
            </w:r>
          </w:p>
        </w:tc>
        <w:tc>
          <w:tcPr>
            <w:tcW w:type="dxa" w:w="1728"/>
            <w:shd w:fill="E2EFDA" w:val="clear"/>
          </w:tcPr>
          <w:p>
            <w:r>
              <w:rPr>
                <w:sz w:val="17"/>
              </w:rPr>
              <w:t>11.2%</w:t>
            </w:r>
          </w:p>
        </w:tc>
      </w:tr>
      <w:tr>
        <w:tc>
          <w:tcPr>
            <w:tcW w:type="dxa" w:w="1728"/>
            <w:shd w:fill="E2EFDA" w:val="clear"/>
          </w:tcPr>
          <w:p>
            <w:r>
              <w:rPr>
                <w:sz w:val="17"/>
              </w:rPr>
              <w:t>CFAC</w:t>
            </w:r>
          </w:p>
        </w:tc>
        <w:tc>
          <w:tcPr>
            <w:tcW w:type="dxa" w:w="1728"/>
            <w:shd w:fill="E2EFDA" w:val="clear"/>
          </w:tcPr>
          <w:p>
            <w:r>
              <w:rPr>
                <w:sz w:val="17"/>
              </w:rPr>
              <w:t>CFAC - CFAO MOTORS CI</w:t>
            </w:r>
          </w:p>
        </w:tc>
        <w:tc>
          <w:tcPr>
            <w:tcW w:type="dxa" w:w="1728"/>
            <w:shd w:fill="E2EFDA" w:val="clear"/>
          </w:tcPr>
          <w:p>
            <w:r>
              <w:rPr>
                <w:sz w:val="17"/>
              </w:rPr>
              <w:t>1,480</w:t>
            </w:r>
          </w:p>
        </w:tc>
        <w:tc>
          <w:tcPr>
            <w:tcW w:type="dxa" w:w="1728"/>
            <w:shd w:fill="E2EFDA" w:val="clear"/>
          </w:tcPr>
          <w:p>
            <w:r>
              <w:rPr>
                <w:sz w:val="17"/>
              </w:rPr>
              <w:t>84/100</w:t>
            </w:r>
          </w:p>
        </w:tc>
        <w:tc>
          <w:tcPr>
            <w:tcW w:type="dxa" w:w="1728"/>
            <w:shd w:fill="E2EFDA" w:val="clear"/>
          </w:tcPr>
          <w:p>
            <w:r>
              <w:rPr>
                <w:sz w:val="17"/>
              </w:rPr>
              <w:t>11.2%</w:t>
            </w:r>
          </w:p>
        </w:tc>
      </w:tr>
      <w:tr>
        <w:tc>
          <w:tcPr>
            <w:tcW w:type="dxa" w:w="1728"/>
            <w:shd w:fill="E2EFDA" w:val="clear"/>
          </w:tcPr>
          <w:p>
            <w:r>
              <w:rPr>
                <w:sz w:val="17"/>
              </w:rPr>
              <w:t>ETIT</w:t>
            </w:r>
          </w:p>
        </w:tc>
        <w:tc>
          <w:tcPr>
            <w:tcW w:type="dxa" w:w="1728"/>
            <w:shd w:fill="E2EFDA" w:val="clear"/>
          </w:tcPr>
          <w:p>
            <w:r>
              <w:rPr>
                <w:sz w:val="17"/>
              </w:rPr>
              <w:t>ETIT - Ecobank Transnational</w:t>
            </w:r>
          </w:p>
        </w:tc>
        <w:tc>
          <w:tcPr>
            <w:tcW w:type="dxa" w:w="1728"/>
            <w:shd w:fill="E2EFDA" w:val="clear"/>
          </w:tcPr>
          <w:p>
            <w:r>
              <w:rPr>
                <w:sz w:val="17"/>
              </w:rPr>
              <w:t>64</w:t>
            </w:r>
          </w:p>
        </w:tc>
        <w:tc>
          <w:tcPr>
            <w:tcW w:type="dxa" w:w="1728"/>
            <w:shd w:fill="E2EFDA" w:val="clear"/>
          </w:tcPr>
          <w:p>
            <w:r>
              <w:rPr>
                <w:sz w:val="17"/>
              </w:rPr>
              <w:t>84/100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7,650</w:t>
            </w:r>
          </w:p>
        </w:tc>
        <w:tc>
          <w:tcPr>
            <w:tcW w:type="dxa" w:w="1728"/>
            <w:shd w:fill="FCE4D6" w:val="clear"/>
          </w:tcPr>
          <w:p>
            <w:r>
              <w:rPr>
                <w:sz w:val="17"/>
              </w:rPr>
              <w:t>89/100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8,510</w:t>
            </w:r>
          </w:p>
        </w:tc>
        <w:tc>
          <w:tcPr>
            <w:tcW w:type="dxa" w:w="1728"/>
            <w:shd w:fill="FCE4D6" w:val="clear"/>
          </w:tcPr>
          <w:p>
            <w:r>
              <w:rPr>
                <w:sz w:val="17"/>
              </w:rPr>
              <w:t>88/100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2,200</w:t>
            </w:r>
          </w:p>
        </w:tc>
        <w:tc>
          <w:tcPr>
            <w:tcW w:type="dxa" w:w="1728"/>
            <w:shd w:fill="FCE4D6" w:val="clear"/>
          </w:tcPr>
          <w:p>
            <w:r>
              <w:rPr>
                <w:sz w:val="17"/>
              </w:rPr>
              <w:t>88/100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10,800</w:t>
            </w:r>
          </w:p>
        </w:tc>
        <w:tc>
          <w:tcPr>
            <w:tcW w:type="dxa" w:w="1728"/>
            <w:shd w:fill="FCE4D6" w:val="clear"/>
          </w:tcPr>
          <w:p>
            <w:r>
              <w:rPr>
                <w:sz w:val="17"/>
              </w:rPr>
              <w:t>86/100</w:t>
            </w:r>
          </w:p>
        </w:tc>
        <w:tc>
          <w:tcPr>
            <w:tcW w:type="dxa" w:w="1728"/>
            <w:shd w:fill="FCE4D6" w:val="clear"/>
          </w:tcPr>
          <w:p>
            <w:r>
              <w:rPr>
                <w:sz w:val="17"/>
              </w:rPr>
              <w:t>11.9%</w:t>
            </w:r>
          </w:p>
        </w:tc>
      </w:tr>
      <w:tr>
        <w:tc>
          <w:tcPr>
            <w:tcW w:type="dxa" w:w="1728"/>
            <w:shd w:fill="FCE4D6" w:val="clear"/>
          </w:tcPr>
          <w:p>
            <w:r>
              <w:rPr>
                <w:sz w:val="17"/>
              </w:rPr>
              <w:t>BOAB</w:t>
            </w:r>
          </w:p>
        </w:tc>
        <w:tc>
          <w:tcPr>
            <w:tcW w:type="dxa" w:w="1728"/>
            <w:shd w:fill="FCE4D6" w:val="clear"/>
          </w:tcPr>
          <w:p>
            <w:r>
              <w:rPr>
                <w:sz w:val="17"/>
              </w:rPr>
              <w:t>BANK OF AFRICA BENIN</w:t>
            </w:r>
          </w:p>
        </w:tc>
        <w:tc>
          <w:tcPr>
            <w:tcW w:type="dxa" w:w="1728"/>
            <w:shd w:fill="FCE4D6" w:val="clear"/>
          </w:tcPr>
          <w:p>
            <w:r>
              <w:rPr>
                <w:sz w:val="17"/>
              </w:rPr>
              <w:t>8,790</w:t>
            </w:r>
          </w:p>
        </w:tc>
        <w:tc>
          <w:tcPr>
            <w:tcW w:type="dxa" w:w="1728"/>
            <w:shd w:fill="FCE4D6" w:val="clear"/>
          </w:tcPr>
          <w:p>
            <w:r>
              <w:rPr>
                <w:sz w:val="17"/>
              </w:rPr>
              <w:t>85/100</w:t>
            </w:r>
          </w:p>
        </w:tc>
        <w:tc>
          <w:tcPr>
            <w:tcW w:type="dxa" w:w="1728"/>
            <w:shd w:fill="FCE4D6" w:val="clear"/>
          </w:tcPr>
          <w:p>
            <w:r>
              <w:rPr>
                <w:sz w:val="17"/>
              </w:rPr>
              <w:t>11.9%</w:t>
            </w:r>
          </w:p>
        </w:tc>
      </w:tr>
      <w:tr>
        <w:tc>
          <w:tcPr>
            <w:tcW w:type="dxa" w:w="1728"/>
            <w:shd w:fill="FCE4D6" w:val="clear"/>
          </w:tcPr>
          <w:p>
            <w:r>
              <w:rPr>
                <w:sz w:val="17"/>
              </w:rPr>
              <w:t>SOGC</w:t>
            </w:r>
          </w:p>
        </w:tc>
        <w:tc>
          <w:tcPr>
            <w:tcW w:type="dxa" w:w="1728"/>
            <w:shd w:fill="FCE4D6" w:val="clear"/>
          </w:tcPr>
          <w:p>
            <w:r>
              <w:rPr>
                <w:sz w:val="17"/>
              </w:rPr>
              <w:t>SOGC - Société des caoutchou</w:t>
            </w:r>
          </w:p>
        </w:tc>
        <w:tc>
          <w:tcPr>
            <w:tcW w:type="dxa" w:w="1728"/>
            <w:shd w:fill="FCE4D6" w:val="clear"/>
          </w:tcPr>
          <w:p>
            <w:r>
              <w:rPr>
                <w:sz w:val="17"/>
              </w:rPr>
              <w:t>7,300</w:t>
            </w:r>
          </w:p>
        </w:tc>
        <w:tc>
          <w:tcPr>
            <w:tcW w:type="dxa" w:w="1728"/>
            <w:shd w:fill="FCE4D6" w:val="clear"/>
          </w:tcPr>
          <w:p>
            <w:r>
              <w:rPr>
                <w:sz w:val="17"/>
              </w:rPr>
              <w:t>85/100</w:t>
            </w:r>
          </w:p>
        </w:tc>
        <w:tc>
          <w:tcPr>
            <w:tcW w:type="dxa" w:w="1728"/>
            <w:shd w:fill="FCE4D6" w:val="clear"/>
          </w:tcPr>
          <w:p>
            <w:r>
              <w:rPr>
                <w:sz w:val="17"/>
              </w:rPr>
              <w:t>11.9%</w:t>
            </w:r>
          </w:p>
        </w:tc>
      </w:tr>
      <w:tr>
        <w:tc>
          <w:tcPr>
            <w:tcW w:type="dxa" w:w="1728"/>
            <w:shd w:fill="FCE4D6" w:val="clear"/>
          </w:tcPr>
          <w:p>
            <w:r>
              <w:rPr>
                <w:sz w:val="17"/>
              </w:rPr>
              <w:t>CFAC</w:t>
            </w:r>
          </w:p>
        </w:tc>
        <w:tc>
          <w:tcPr>
            <w:tcW w:type="dxa" w:w="1728"/>
            <w:shd w:fill="FCE4D6" w:val="clear"/>
          </w:tcPr>
          <w:p>
            <w:r>
              <w:rPr>
                <w:sz w:val="17"/>
              </w:rPr>
              <w:t>CFAC - CFAO MOTORS CI</w:t>
            </w:r>
          </w:p>
        </w:tc>
        <w:tc>
          <w:tcPr>
            <w:tcW w:type="dxa" w:w="1728"/>
            <w:shd w:fill="FCE4D6" w:val="clear"/>
          </w:tcPr>
          <w:p>
            <w:r>
              <w:rPr>
                <w:sz w:val="17"/>
              </w:rPr>
              <w:t>1,480</w:t>
            </w:r>
          </w:p>
        </w:tc>
        <w:tc>
          <w:tcPr>
            <w:tcW w:type="dxa" w:w="1728"/>
            <w:shd w:fill="FCE4D6" w:val="clear"/>
          </w:tcPr>
          <w:p>
            <w:r>
              <w:rPr>
                <w:sz w:val="17"/>
              </w:rPr>
              <w:t>84/100</w:t>
            </w:r>
          </w:p>
        </w:tc>
        <w:tc>
          <w:tcPr>
            <w:tcW w:type="dxa" w:w="1728"/>
            <w:shd w:fill="FCE4D6" w:val="clear"/>
          </w:tcPr>
          <w:p>
            <w:r>
              <w:rPr>
                <w:sz w:val="17"/>
              </w:rPr>
              <w:t>11.9%</w:t>
            </w:r>
          </w:p>
        </w:tc>
      </w:tr>
      <w:tr>
        <w:tc>
          <w:tcPr>
            <w:tcW w:type="dxa" w:w="1728"/>
            <w:shd w:fill="FCE4D6" w:val="clear"/>
          </w:tcPr>
          <w:p>
            <w:r>
              <w:rPr>
                <w:sz w:val="17"/>
              </w:rPr>
              <w:t>ETIT</w:t>
            </w:r>
          </w:p>
        </w:tc>
        <w:tc>
          <w:tcPr>
            <w:tcW w:type="dxa" w:w="1728"/>
            <w:shd w:fill="FCE4D6" w:val="clear"/>
          </w:tcPr>
          <w:p>
            <w:r>
              <w:rPr>
                <w:sz w:val="17"/>
              </w:rPr>
              <w:t>ETIT - Ecobank Transnational</w:t>
            </w:r>
          </w:p>
        </w:tc>
        <w:tc>
          <w:tcPr>
            <w:tcW w:type="dxa" w:w="1728"/>
            <w:shd w:fill="FCE4D6" w:val="clear"/>
          </w:tcPr>
          <w:p>
            <w:r>
              <w:rPr>
                <w:sz w:val="17"/>
              </w:rPr>
              <w:t>64</w:t>
            </w:r>
          </w:p>
        </w:tc>
        <w:tc>
          <w:tcPr>
            <w:tcW w:type="dxa" w:w="1728"/>
            <w:shd w:fill="FCE4D6" w:val="clear"/>
          </w:tcPr>
          <w:p>
            <w:r>
              <w:rPr>
                <w:sz w:val="17"/>
              </w:rPr>
              <w:t>84/100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CABC — CABC - SICABLE COTE D'IVOIRE</w:t>
      </w:r>
    </w:p>
    <w:p>
      <w:pPr>
        <w:pStyle w:val="ListBullet"/>
        <w:spacing w:before="20"/>
        <w:ind w:left="400"/>
      </w:pPr>
      <w:r>
        <w:rPr>
          <w:sz w:val="18"/>
        </w:rPr>
        <w:t>🟢 RSI survente (19.0 &lt; 30) — opportunité potentielle</w:t>
      </w:r>
    </w:p>
    <w:p>
      <w:pPr>
        <w:pStyle w:val="ListBullet"/>
        <w:spacing w:before="20"/>
        <w:ind w:left="400"/>
      </w:pPr>
      <w:r>
        <w:rPr>
          <w:sz w:val="18"/>
        </w:rPr>
        <w:t>⚠️ Cours à 0.0% du plus bas 100j (3,190 FCFA)</w:t>
      </w:r>
    </w:p>
    <w:p>
      <w:pPr>
        <w:spacing w:before="120"/>
      </w:pPr>
      <w:r>
        <w:rPr>
          <w:b/>
          <w:color w:val="0050A0"/>
          <w:sz w:val="20"/>
        </w:rPr>
        <w:t>SNTS — SNTS - SONATEL SN</w:t>
      </w:r>
    </w:p>
    <w:p>
      <w:pPr>
        <w:pStyle w:val="ListBullet"/>
        <w:spacing w:before="20"/>
        <w:ind w:left="400"/>
      </w:pPr>
      <w:r>
        <w:rPr>
          <w:sz w:val="18"/>
        </w:rPr>
        <w:t>🔴 RSI surachat (71.0 &gt; 70) — risque de correction</w:t>
      </w:r>
    </w:p>
    <w:p>
      <w:pPr>
        <w:pStyle w:val="ListBullet"/>
        <w:spacing w:before="20"/>
        <w:ind w:left="400"/>
      </w:pPr>
      <w:r>
        <w:rPr>
          <w:sz w:val="18"/>
        </w:rPr>
        <w:t>⚠️ Cours à 2.8% du plus haut 100j (42,190 FCFA)</w:t>
      </w:r>
    </w:p>
    <w:p>
      <w:pPr>
        <w:spacing w:before="120"/>
      </w:pPr>
      <w:r>
        <w:rPr>
          <w:b/>
          <w:color w:val="0050A0"/>
          <w:sz w:val="20"/>
        </w:rPr>
        <w:t>SOGC — SOGC - Société des caoutchoucs de Grand-Béréby</w:t>
      </w:r>
    </w:p>
    <w:p>
      <w:pPr>
        <w:pStyle w:val="ListBullet"/>
        <w:spacing w:before="20"/>
        <w:ind w:left="400"/>
      </w:pPr>
      <w:r>
        <w:rPr>
          <w:sz w:val="18"/>
        </w:rPr>
        <w:t>🟢 RSI survente (18.9 &lt; 30) — opportunité potentielle</w:t>
      </w:r>
    </w:p>
    <w:p>
      <w:pPr>
        <w:pStyle w:val="ListBullet"/>
        <w:spacing w:before="20"/>
        <w:ind w:left="400"/>
      </w:pPr>
      <w:r>
        <w:rPr>
          <w:sz w:val="18"/>
        </w:rPr>
        <w:t>⚠️ Cours à 2.8% du plus bas 100j (7,100 FCFA)</w:t>
      </w:r>
    </w:p>
    <w:p>
      <w:pPr>
        <w:spacing w:before="120"/>
      </w:pPr>
      <w:r>
        <w:rPr>
          <w:b/>
          <w:color w:val="0050A0"/>
          <w:sz w:val="20"/>
        </w:rPr>
        <w:t>STAC — STAC - SETAO COTE D'IVOIRE</w:t>
      </w:r>
    </w:p>
    <w:p>
      <w:pPr>
        <w:pStyle w:val="ListBullet"/>
        <w:spacing w:before="20"/>
        <w:ind w:left="400"/>
      </w:pPr>
      <w:r>
        <w:rPr>
          <w:sz w:val="18"/>
        </w:rPr>
        <w:t>🟢 RSI survente (11.7 &lt; 30) — opportunité potentielle</w:t>
      </w:r>
    </w:p>
    <w:p>
      <w:pPr>
        <w:pStyle w:val="ListBullet"/>
        <w:spacing w:before="20"/>
        <w:ind w:left="400"/>
      </w:pPr>
      <w:r>
        <w:rPr>
          <w:sz w:val="18"/>
        </w:rPr>
        <w:t>⚠️ Cours à 0.0% du plus bas 100j (2,100 FCFA)</w:t>
      </w:r>
    </w:p>
    <w:p>
      <w:pPr>
        <w:spacing w:before="120"/>
      </w:pPr>
      <w:r>
        <w:rPr>
          <w:b/>
          <w:color w:val="0050A0"/>
          <w:sz w:val="20"/>
        </w:rPr>
        <w:t>BICB — BIIC BN - Banque internationale pour le commerce du benin</w:t>
      </w:r>
    </w:p>
    <w:p>
      <w:pPr>
        <w:pStyle w:val="ListBullet"/>
        <w:spacing w:before="20"/>
        <w:ind w:left="400"/>
      </w:pPr>
      <w:r>
        <w:rPr>
          <w:sz w:val="18"/>
        </w:rPr>
        <w:t>🟢 RSI survente (29.6 &lt; 30) — opportunité potentielle</w:t>
      </w:r>
    </w:p>
    <w:p>
      <w:pPr>
        <w:spacing w:before="120"/>
      </w:pPr>
      <w:r>
        <w:rPr>
          <w:b/>
          <w:color w:val="0050A0"/>
          <w:sz w:val="20"/>
        </w:rPr>
        <w:t>BOAB — BANK OF AFRICA BENIN</w:t>
      </w:r>
    </w:p>
    <w:p>
      <w:pPr>
        <w:pStyle w:val="ListBullet"/>
        <w:spacing w:before="20"/>
        <w:ind w:left="400"/>
      </w:pPr>
      <w:r>
        <w:rPr>
          <w:sz w:val="18"/>
        </w:rPr>
        <w:t>🟢 RSI survente (14.2 &lt; 30) — opportunité potentielle</w:t>
      </w:r>
    </w:p>
    <w:p>
      <w:pPr>
        <w:spacing w:before="120"/>
      </w:pPr>
      <w:r>
        <w:rPr>
          <w:b/>
          <w:color w:val="0050A0"/>
          <w:sz w:val="20"/>
        </w:rPr>
        <w:t>BOABF — BANK OF AFRICA BURKINA FASO</w:t>
      </w:r>
    </w:p>
    <w:p>
      <w:pPr>
        <w:pStyle w:val="ListBullet"/>
        <w:spacing w:before="20"/>
        <w:ind w:left="400"/>
      </w:pPr>
      <w:r>
        <w:rPr>
          <w:sz w:val="18"/>
        </w:rPr>
        <w:t>🟢 RSI survente (6.5 &lt; 30) — opportunité potentielle</w:t>
      </w:r>
    </w:p>
    <w:p>
      <w:pPr>
        <w:spacing w:before="120"/>
      </w:pPr>
      <w:r>
        <w:rPr>
          <w:b/>
          <w:color w:val="0050A0"/>
          <w:sz w:val="20"/>
        </w:rPr>
        <w:t>BOAC — BANK OF AFRICA COTE D'IVOIRE</w:t>
      </w:r>
    </w:p>
    <w:p>
      <w:pPr>
        <w:pStyle w:val="ListBullet"/>
        <w:spacing w:before="20"/>
        <w:ind w:left="400"/>
      </w:pPr>
      <w:r>
        <w:rPr>
          <w:sz w:val="18"/>
        </w:rPr>
        <w:t>🟢 RSI survente (0.3 &lt; 30) — opportunité potentielle</w:t>
      </w:r>
    </w:p>
    <w:p>
      <w:pPr>
        <w:spacing w:before="120"/>
      </w:pPr>
      <w:r>
        <w:rPr>
          <w:b/>
          <w:color w:val="0050A0"/>
          <w:sz w:val="20"/>
        </w:rPr>
        <w:t>BOAN — BANK OF AFRICA NIGER</w:t>
      </w:r>
    </w:p>
    <w:p>
      <w:pPr>
        <w:pStyle w:val="ListBullet"/>
        <w:spacing w:before="20"/>
        <w:ind w:left="400"/>
      </w:pPr>
      <w:r>
        <w:rPr>
          <w:sz w:val="18"/>
        </w:rPr>
        <w:t>🟢 RSI survente (14.7 &lt; 30) — opportunité potentielle</w:t>
      </w:r>
    </w:p>
    <w:p>
      <w:pPr>
        <w:spacing w:before="120"/>
      </w:pPr>
      <w:r>
        <w:rPr>
          <w:b/>
          <w:color w:val="0050A0"/>
          <w:sz w:val="20"/>
        </w:rPr>
        <w:t>BOAS — BANK OF AFRICA SENEGAL</w:t>
      </w:r>
    </w:p>
    <w:p>
      <w:pPr>
        <w:pStyle w:val="ListBullet"/>
        <w:spacing w:before="20"/>
        <w:ind w:left="400"/>
      </w:pPr>
      <w:r>
        <w:rPr>
          <w:sz w:val="18"/>
        </w:rPr>
        <w:t>🟢 RSI survente (23.4 &lt; 30) — opportunité potentielle</w:t>
      </w:r>
    </w:p>
    <w:p>
      <w:pPr>
        <w:spacing w:before="120"/>
      </w:pPr>
      <w:r>
        <w:rPr>
          <w:b/>
          <w:color w:val="0050A0"/>
          <w:sz w:val="20"/>
        </w:rPr>
        <w:t>CBIBF — CBIBF - CORIS BANK INTERNATIONAL BURKINA FASO</w:t>
      </w:r>
    </w:p>
    <w:p>
      <w:pPr>
        <w:pStyle w:val="ListBullet"/>
        <w:spacing w:before="20"/>
        <w:ind w:left="400"/>
      </w:pPr>
      <w:r>
        <w:rPr>
          <w:sz w:val="18"/>
        </w:rPr>
        <w:t>🟢 RSI survente (26.7 &lt; 30) — opportunité potentielle</w:t>
      </w:r>
    </w:p>
    <w:p>
      <w:pPr>
        <w:spacing w:before="120"/>
      </w:pPr>
      <w:r>
        <w:rPr>
          <w:b/>
          <w:color w:val="0050A0"/>
          <w:sz w:val="20"/>
        </w:rPr>
        <w:t>CFAC — CFAC - CFAO MOTORS CI</w:t>
      </w:r>
    </w:p>
    <w:p>
      <w:pPr>
        <w:pStyle w:val="ListBullet"/>
        <w:spacing w:before="20"/>
        <w:ind w:left="400"/>
      </w:pPr>
      <w:r>
        <w:rPr>
          <w:sz w:val="18"/>
        </w:rPr>
        <w:t>🟢 RSI survente (11.3 &lt; 30) — opportunité potentielle</w:t>
      </w:r>
    </w:p>
    <w:p>
      <w:pPr>
        <w:spacing w:before="120"/>
      </w:pPr>
      <w:r>
        <w:rPr>
          <w:b/>
          <w:color w:val="0050A0"/>
          <w:sz w:val="20"/>
        </w:rPr>
        <w:t>ETIT — ETIT - Ecobank Transnational Incorporated Togo</w:t>
      </w:r>
    </w:p>
    <w:p>
      <w:pPr>
        <w:pStyle w:val="ListBullet"/>
        <w:spacing w:before="20"/>
        <w:ind w:left="400"/>
      </w:pPr>
      <w:r>
        <w:rPr>
          <w:sz w:val="18"/>
        </w:rPr>
        <w:t>🟢 RSI survente (27.3 &lt; 30) — opportunité potentielle</w:t>
      </w:r>
    </w:p>
    <w:p>
      <w:pPr>
        <w:spacing w:before="120"/>
      </w:pPr>
      <w:r>
        <w:rPr>
          <w:b/>
          <w:color w:val="0050A0"/>
          <w:sz w:val="20"/>
        </w:rPr>
        <w:t>FTSC — FTSC - FILTISAC COTE D'IVOIRE</w:t>
      </w:r>
    </w:p>
    <w:p>
      <w:pPr>
        <w:pStyle w:val="ListBullet"/>
        <w:spacing w:before="20"/>
        <w:ind w:left="400"/>
      </w:pPr>
      <w:r>
        <w:rPr>
          <w:sz w:val="18"/>
        </w:rPr>
        <w:t>🟢 RSI survente (29.9 &lt; 30) — opportunité potentielle</w:t>
      </w:r>
    </w:p>
    <w:p>
      <w:pPr>
        <w:spacing w:before="120"/>
      </w:pPr>
      <w:r>
        <w:rPr>
          <w:b/>
          <w:color w:val="0050A0"/>
          <w:sz w:val="20"/>
        </w:rPr>
        <w:t>LNBB — LNBB - LOTERIE NATIONALE DU BENIN</w:t>
      </w:r>
    </w:p>
    <w:p>
      <w:pPr>
        <w:pStyle w:val="ListBullet"/>
        <w:spacing w:before="20"/>
        <w:ind w:left="400"/>
      </w:pPr>
      <w:r>
        <w:rPr>
          <w:sz w:val="18"/>
        </w:rPr>
        <w:t>⚠️ Cours à 0.0% du plus bas 100j (3,700 FCFA)</w:t>
      </w:r>
    </w:p>
    <w:p>
      <w:pPr>
        <w:spacing w:before="120"/>
      </w:pPr>
      <w:r>
        <w:rPr>
          <w:b/>
          <w:color w:val="0050A0"/>
          <w:sz w:val="20"/>
        </w:rPr>
        <w:t>NEIC — NEIC - NEI-CEDA CI</w:t>
      </w:r>
    </w:p>
    <w:p>
      <w:pPr>
        <w:pStyle w:val="ListBullet"/>
        <w:spacing w:before="20"/>
        <w:ind w:left="400"/>
      </w:pPr>
      <w:r>
        <w:rPr>
          <w:sz w:val="18"/>
        </w:rPr>
        <w:t>🟢 RSI survente (28.5 &lt; 30) — opportunité potentielle</w:t>
      </w:r>
    </w:p>
    <w:p>
      <w:pPr>
        <w:spacing w:before="120"/>
      </w:pPr>
      <w:r>
        <w:rPr>
          <w:b/>
          <w:color w:val="0050A0"/>
          <w:sz w:val="20"/>
        </w:rPr>
        <w:t>PALC — PALC - PALM COTE D'IVOIRE</w:t>
      </w:r>
    </w:p>
    <w:p>
      <w:pPr>
        <w:pStyle w:val="ListBullet"/>
        <w:spacing w:before="20"/>
        <w:ind w:left="400"/>
      </w:pPr>
      <w:r>
        <w:rPr>
          <w:sz w:val="18"/>
        </w:rPr>
        <w:t>🟢 RSI survente (17.6 &lt; 30) — opportunité potentielle</w:t>
      </w:r>
    </w:p>
    <w:p>
      <w:pPr>
        <w:spacing w:before="120"/>
      </w:pPr>
      <w:r>
        <w:rPr>
          <w:b/>
          <w:color w:val="0050A0"/>
          <w:sz w:val="20"/>
        </w:rPr>
        <w:t>SAFC — SAFCA CI</w:t>
      </w:r>
    </w:p>
    <w:p>
      <w:pPr>
        <w:pStyle w:val="ListBullet"/>
        <w:spacing w:before="20"/>
        <w:ind w:left="400"/>
      </w:pPr>
      <w:r>
        <w:rPr>
          <w:sz w:val="18"/>
        </w:rPr>
        <w:t>🟢 RSI survente (22.3 &lt; 30) — opportunité potentielle</w:t>
      </w:r>
    </w:p>
    <w:p>
      <w:pPr>
        <w:spacing w:before="120"/>
      </w:pPr>
      <w:r>
        <w:rPr>
          <w:b/>
          <w:color w:val="0050A0"/>
          <w:sz w:val="20"/>
        </w:rPr>
        <w:t>SCRC — SCRC - SUCRIVOIRE</w:t>
      </w:r>
    </w:p>
    <w:p>
      <w:pPr>
        <w:pStyle w:val="ListBullet"/>
        <w:spacing w:before="20"/>
        <w:ind w:left="400"/>
      </w:pPr>
      <w:r>
        <w:rPr>
          <w:sz w:val="18"/>
        </w:rPr>
        <w:t>🟢 RSI survente (21.8 &lt; 30) — opportunité potentielle</w:t>
      </w:r>
    </w:p>
    <w:p>
      <w:pPr>
        <w:spacing w:before="120"/>
      </w:pPr>
      <w:r>
        <w:rPr>
          <w:b/>
          <w:color w:val="0050A0"/>
          <w:sz w:val="20"/>
        </w:rPr>
        <w:t>SDCC — SDCC - Société de Distribution d'Eau de Côte d'Ivoire</w:t>
      </w:r>
    </w:p>
    <w:p>
      <w:pPr>
        <w:pStyle w:val="ListBullet"/>
        <w:spacing w:before="20"/>
        <w:ind w:left="400"/>
      </w:pPr>
      <w:r>
        <w:rPr>
          <w:sz w:val="18"/>
        </w:rPr>
        <w:t>🟢 RSI survente (26.5 &lt; 30) — opportunité potentielle</w:t>
      </w:r>
    </w:p>
    <w:p>
      <w:pPr>
        <w:spacing w:before="120"/>
      </w:pPr>
      <w:r>
        <w:rPr>
          <w:b/>
          <w:color w:val="0050A0"/>
          <w:sz w:val="20"/>
        </w:rPr>
        <w:t>SIBC — SIBC - SOCIETE IVOIRIENNE DE BANQUE</w:t>
      </w:r>
    </w:p>
    <w:p>
      <w:pPr>
        <w:pStyle w:val="ListBullet"/>
        <w:spacing w:before="20"/>
        <w:ind w:left="400"/>
      </w:pPr>
      <w:r>
        <w:rPr>
          <w:sz w:val="18"/>
        </w:rPr>
        <w:t>🟢 RSI survente (21.0 &lt; 30) — opportunité potentielle</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RSI survente (25.0 &lt; 30) — opportunité potentielle</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 FORT</w:t>
      </w:r>
    </w:p>
    <w:p>
      <w:pPr>
        <w:spacing w:before="120"/>
      </w:pPr>
      <w:r>
        <w:rPr>
          <w:b/>
          <w:color w:val="0050A0"/>
          <w:sz w:val="20"/>
        </w:rPr>
        <w:t>SMBC — SMBC - Société Multinationale de Bitumes COTE D'IVOIRE</w:t>
      </w:r>
    </w:p>
    <w:p>
      <w:pPr>
        <w:pStyle w:val="ListBullet"/>
        <w:spacing w:before="20"/>
        <w:ind w:left="400"/>
      </w:pPr>
      <w:r>
        <w:rPr>
          <w:sz w:val="18"/>
        </w:rPr>
        <w:t>🟢 RSI survente (25.8 &lt; 30) — opportunité potentielle</w:t>
      </w:r>
    </w:p>
    <w:p>
      <w:pPr>
        <w:spacing w:before="120"/>
      </w:pPr>
      <w:r>
        <w:rPr>
          <w:b/>
          <w:color w:val="0050A0"/>
          <w:sz w:val="20"/>
        </w:rPr>
        <w:t>SPHC — SPHC - Société Africaine de Plantation d'Hévéas de Côte d'Ivoire</w:t>
      </w:r>
    </w:p>
    <w:p>
      <w:pPr>
        <w:pStyle w:val="ListBullet"/>
        <w:spacing w:before="20"/>
        <w:ind w:left="400"/>
      </w:pPr>
      <w:r>
        <w:rPr>
          <w:sz w:val="18"/>
        </w:rPr>
        <w:t>🟢 RSI survente (12.4 &lt; 30) — opportunité potentielle</w:t>
      </w:r>
    </w:p>
    <w:p>
      <w:pPr>
        <w:spacing w:before="120"/>
      </w:pPr>
      <w:r>
        <w:rPr>
          <w:b/>
          <w:color w:val="0050A0"/>
          <w:sz w:val="20"/>
        </w:rPr>
        <w:t>TTLC — TTLC - TOTAL ENERGIES MARKETING COTE D'IVOIRE</w:t>
      </w:r>
    </w:p>
    <w:p>
      <w:pPr>
        <w:pStyle w:val="ListBullet"/>
        <w:spacing w:before="20"/>
        <w:ind w:left="400"/>
      </w:pPr>
      <w:r>
        <w:rPr>
          <w:sz w:val="18"/>
        </w:rPr>
        <w:t>🟢 RSI survente (23.0 &lt; 30) — opportunité potentielle</w:t>
      </w:r>
    </w:p>
    <w:p>
      <w:pPr>
        <w:spacing w:before="120"/>
      </w:pPr>
      <w:r>
        <w:rPr>
          <w:b/>
          <w:color w:val="0050A0"/>
          <w:sz w:val="20"/>
        </w:rPr>
        <w:t>UNLC — UNLC - UNILEVER COTE D'IVOIRE</w:t>
      </w:r>
    </w:p>
    <w:p>
      <w:pPr>
        <w:pStyle w:val="ListBullet"/>
        <w:spacing w:before="20"/>
        <w:ind w:left="400"/>
      </w:pPr>
      <w:r>
        <w:rPr>
          <w:sz w:val="18"/>
        </w:rPr>
        <w:t>⚠️ Cours à 0.0% du plus bas 100j (49,000 FCFA)</w:t>
      </w:r>
    </w:p>
    <w:p>
      <w:pPr>
        <w:spacing w:before="120"/>
      </w:pPr>
      <w:r>
        <w:rPr>
          <w:b/>
          <w:color w:val="0050A0"/>
          <w:sz w:val="20"/>
        </w:rPr>
        <w:t>UNXC — UNXC - UNIWAX COTE D'IVOIRE</w:t>
      </w:r>
    </w:p>
    <w:p>
      <w:pPr>
        <w:pStyle w:val="ListBullet"/>
        <w:spacing w:before="20"/>
        <w:ind w:left="400"/>
      </w:pPr>
      <w:r>
        <w:rPr>
          <w:sz w:val="18"/>
        </w:rPr>
        <w:t>🟢 RSI survente (19.2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23 société(s) (49%)</w:t>
            </w:r>
          </w:p>
        </w:tc>
        <w:tc>
          <w:tcPr>
            <w:tcW w:type="dxa" w:w="1644"/>
            <w:shd w:fill="FFEB9C" w:val="clear"/>
          </w:tcPr>
          <w:p>
            <w:r>
              <w:rPr>
                <w:b/>
                <w:color w:val="825A00"/>
                <w:sz w:val="19"/>
              </w:rPr>
              <w:t>24 société(s) (51%)</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20.5/100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20.5/100).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28.3/100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27.8/100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NSBC (31.3/100 — Moyen) : </w:t>
      </w:r>
      <w:r>
        <w:rPr>
          <w:sz w:val="17"/>
        </w:rPr>
        <w:t>Volatilité=Élevée | Bêta=Agressif | Liquidité=Bonne | Divergence signaux=taux divergence=20% (Mixte ⚠️) | Stabilité=Stable</w:t>
      </w:r>
    </w:p>
    <w:p>
      <w:pPr>
        <w:pStyle w:val="ListBullet"/>
      </w:pPr>
      <w:r>
        <w:rPr>
          <w:b/>
          <w:color w:val="B40000"/>
          <w:sz w:val="18"/>
        </w:rPr>
        <w:t xml:space="preserve">#4 CBIBF (28.3/100 — Moyen) : </w:t>
      </w:r>
      <w:r>
        <w:rPr>
          <w:sz w:val="17"/>
        </w:rPr>
        <w:t>Volatilité=Élevée | Bêta=Neutre  | Liquidité=Bonne | Divergence signaux=taux divergence=20% (Mixte ⚠️) | Stabilité=Stable</w:t>
      </w:r>
    </w:p>
    <w:p>
      <w:pPr>
        <w:pStyle w:val="ListBullet"/>
      </w:pPr>
      <w:r>
        <w:rPr>
          <w:b/>
          <w:color w:val="B40000"/>
          <w:sz w:val="18"/>
        </w:rPr>
        <w:t xml:space="preserve">#5 CIEC (27.8/100 — Moyen) : </w:t>
      </w:r>
      <w:r>
        <w:rPr>
          <w:sz w:val="17"/>
        </w:rPr>
        <w:t>Volatilité=Élevée | Bêta=Défensif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27.6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26.6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16.1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6400"/>
                <w:sz w:val="18"/>
              </w:rPr>
              <w:t>🟡 LÉGÈREMENT HAUSSIER</w:t>
            </w:r>
          </w:p>
        </w:tc>
      </w:tr>
      <w:tr>
        <w:tc>
          <w:tcPr>
            <w:tcW w:type="dxa" w:w="2835"/>
            <w:shd w:fill="DEEAF1" w:val="clear"/>
          </w:tcPr>
          <w:p>
            <w:r>
              <w:rPr>
                <w:b/>
                <w:sz w:val="18"/>
              </w:rPr>
              <w:t>Variation moyenne J+10</w:t>
            </w:r>
          </w:p>
        </w:tc>
        <w:tc>
          <w:tcPr>
            <w:tcW w:type="dxa" w:w="7370"/>
          </w:tcPr>
          <w:p>
            <w:r>
              <w:rPr>
                <w:b/>
                <w:sz w:val="18"/>
              </w:rPr>
              <w:t>+2.35%  |  Médiane : +1.37%</w:t>
            </w:r>
          </w:p>
        </w:tc>
      </w:tr>
      <w:tr>
        <w:tc>
          <w:tcPr>
            <w:tcW w:type="dxa" w:w="2835"/>
            <w:shd w:fill="DEEAF1" w:val="clear"/>
          </w:tcPr>
          <w:p>
            <w:r>
              <w:rPr>
                <w:b/>
                <w:sz w:val="18"/>
              </w:rPr>
              <w:t>Répartition</w:t>
            </w:r>
          </w:p>
        </w:tc>
        <w:tc>
          <w:tcPr>
            <w:tcW w:type="dxa" w:w="7370"/>
          </w:tcPr>
          <w:p>
            <w:r>
              <w:rPr>
                <w:b/>
                <w:sz w:val="18"/>
              </w:rPr>
              <w:t>📈 24 sociétés en hausse (&gt;+1%)   📉 17 en baisse (&lt;-1%)   ➡️ 6 neutres</w:t>
            </w:r>
          </w:p>
        </w:tc>
      </w:tr>
      <w:tr>
        <w:tc>
          <w:tcPr>
            <w:tcW w:type="dxa" w:w="2835"/>
            <w:shd w:fill="DEEAF1" w:val="clear"/>
          </w:tcPr>
          <w:p>
            <w:r>
              <w:rPr>
                <w:b/>
                <w:sz w:val="18"/>
              </w:rPr>
              <w:t>Confiance globale</w:t>
            </w:r>
          </w:p>
        </w:tc>
        <w:tc>
          <w:tcPr>
            <w:tcW w:type="dxa" w:w="7370"/>
          </w:tcPr>
          <w:p>
            <w:r>
              <w:rPr>
                <w:b/>
                <w:sz w:val="18"/>
              </w:rPr>
              <w:t>Élevée : 0 sociétés (0%)   Moyenne : 11   Faible : 36 (77%)   → Confiance dominante : Faible</w:t>
            </w:r>
          </w:p>
        </w:tc>
      </w:tr>
    </w:tbl>
    <w:p/>
    <w:p>
      <w:r>
        <w:rPr>
          <w:i/>
          <w:color w:val="282828"/>
          <w:sz w:val="18"/>
        </w:rPr>
        <w:t>📝 Analyse : Légère tendance haussière mais signal mixte : 24 sociétés en hausse vs 17 en baisse. Variation moyenne : +2.35%.</w:t>
      </w:r>
    </w:p>
    <w:p>
      <w:r>
        <w:rPr>
          <w:i/>
          <w:color w:val="282828"/>
          <w:sz w:val="18"/>
        </w:rPr>
        <w:t>🎯 Fiabilité : ⚠️ La confiance est globalement FAIBLE (77%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2,690 FCFA</w:t>
            </w:r>
          </w:p>
        </w:tc>
        <w:tc>
          <w:tcPr>
            <w:tcW w:type="dxa" w:w="1417"/>
            <w:shd w:fill="FFFFFF" w:val="clear"/>
          </w:tcPr>
          <w:p>
            <w:r>
              <w:rPr>
                <w:sz w:val="16"/>
              </w:rPr>
              <w:t>3,371 FCFA</w:t>
            </w:r>
          </w:p>
        </w:tc>
        <w:tc>
          <w:tcPr>
            <w:tcW w:type="dxa" w:w="1134"/>
            <w:shd w:fill="C6EFCE" w:val="clear"/>
          </w:tcPr>
          <w:p>
            <w:r>
              <w:rPr>
                <w:b/>
                <w:color w:val="007800"/>
                <w:sz w:val="16"/>
              </w:rPr>
              <w:t>+25.32%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11,165 FCFA</w:t>
            </w:r>
          </w:p>
        </w:tc>
        <w:tc>
          <w:tcPr>
            <w:tcW w:type="dxa" w:w="1417"/>
            <w:shd w:fill="FFFFFF" w:val="clear"/>
          </w:tcPr>
          <w:p>
            <w:r>
              <w:rPr>
                <w:sz w:val="16"/>
              </w:rPr>
              <w:t>13,360 FCFA</w:t>
            </w:r>
          </w:p>
        </w:tc>
        <w:tc>
          <w:tcPr>
            <w:tcW w:type="dxa" w:w="1134"/>
            <w:shd w:fill="C6EFCE" w:val="clear"/>
          </w:tcPr>
          <w:p>
            <w:r>
              <w:rPr>
                <w:b/>
                <w:color w:val="007800"/>
                <w:sz w:val="16"/>
              </w:rPr>
              <w:t>+19.66%</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3,980 FCFA</w:t>
            </w:r>
          </w:p>
        </w:tc>
        <w:tc>
          <w:tcPr>
            <w:tcW w:type="dxa" w:w="1417"/>
            <w:shd w:fill="FFFFFF" w:val="clear"/>
          </w:tcPr>
          <w:p>
            <w:r>
              <w:rPr>
                <w:sz w:val="16"/>
              </w:rPr>
              <w:t>4,677 FCFA</w:t>
            </w:r>
          </w:p>
        </w:tc>
        <w:tc>
          <w:tcPr>
            <w:tcW w:type="dxa" w:w="1134"/>
            <w:shd w:fill="C6EFCE" w:val="clear"/>
          </w:tcPr>
          <w:p>
            <w:r>
              <w:rPr>
                <w:b/>
                <w:color w:val="007800"/>
                <w:sz w:val="16"/>
              </w:rPr>
              <w:t>+17.50%</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20,895 FCFA</w:t>
            </w:r>
          </w:p>
        </w:tc>
        <w:tc>
          <w:tcPr>
            <w:tcW w:type="dxa" w:w="1417"/>
            <w:shd w:fill="FFFFFF" w:val="clear"/>
          </w:tcPr>
          <w:p>
            <w:r>
              <w:rPr>
                <w:sz w:val="16"/>
              </w:rPr>
              <w:t>24,102 FCFA</w:t>
            </w:r>
          </w:p>
        </w:tc>
        <w:tc>
          <w:tcPr>
            <w:tcW w:type="dxa" w:w="1134"/>
            <w:shd w:fill="C6EFCE" w:val="clear"/>
          </w:tcPr>
          <w:p>
            <w:r>
              <w:rPr>
                <w:b/>
                <w:color w:val="007800"/>
                <w:sz w:val="16"/>
              </w:rPr>
              <w:t>+15.35%</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5,470 FCFA</w:t>
            </w:r>
          </w:p>
        </w:tc>
        <w:tc>
          <w:tcPr>
            <w:tcW w:type="dxa" w:w="1417"/>
            <w:shd w:fill="FFFFFF" w:val="clear"/>
          </w:tcPr>
          <w:p>
            <w:r>
              <w:rPr>
                <w:sz w:val="16"/>
              </w:rPr>
              <w:t>6,250 FCFA</w:t>
            </w:r>
          </w:p>
        </w:tc>
        <w:tc>
          <w:tcPr>
            <w:tcW w:type="dxa" w:w="1134"/>
            <w:shd w:fill="C6EFCE" w:val="clear"/>
          </w:tcPr>
          <w:p>
            <w:r>
              <w:rPr>
                <w:b/>
                <w:color w:val="007800"/>
                <w:sz w:val="16"/>
              </w:rPr>
              <w:t>+14.25%</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très forte (+25.3%) — signal potentiellement excessif, à croiser avec l'analyse technique. Trajectoire : 📈 Hausse continue. Cours actuel : 2,690 FCFA → prédit J+10 : 3,371 FCFA. ⚠️ Confiance limitée — volatilité élevée ou données insuffisantes. Résultat indicatif uniquement.</w:t>
      </w:r>
    </w:p>
    <w:p>
      <w:pPr>
        <w:pStyle w:val="ListBullet"/>
      </w:pPr>
      <w:r>
        <w:rPr>
          <w:b/>
          <w:color w:val="006400"/>
          <w:sz w:val="18"/>
        </w:rPr>
        <w:t xml:space="preserve">#2 SDCC </w:t>
      </w:r>
      <w:r>
        <w:rPr>
          <w:sz w:val="17"/>
        </w:rPr>
        <w:t>(SDCC - Société de Distribution d'Eau de ) — hausse significative (+19.7%) — potentiel de revalorisation notable. Trajectoire : 📈 Hausse continue. Cours actuel : 11,165 FCFA → prédit J+10 : 13,360 FCFA. ⚠️ Confiance limitée — volatilité élevée ou données insuffisantes. Résultat indicatif uniquement.</w:t>
      </w:r>
    </w:p>
    <w:p>
      <w:pPr>
        <w:pStyle w:val="ListBullet"/>
      </w:pPr>
      <w:r>
        <w:rPr>
          <w:b/>
          <w:color w:val="006400"/>
          <w:sz w:val="18"/>
        </w:rPr>
        <w:t xml:space="preserve">#3 SAFC </w:t>
      </w:r>
      <w:r>
        <w:rPr>
          <w:sz w:val="17"/>
        </w:rPr>
        <w:t>(SAFCA CI) — hausse significative (+17.5%) — potentiel de revalorisation notable. Trajectoire : 📈 Hausse continue. Cours actuel : 3,980 FCFA → prédit J+10 : 4,677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(+15.3%) — potentiel de revalorisation notable. Trajectoire : 📈 Hausse continue. Cours actuel : 20,895 FCFA → prédit J+10 : 24,102 FCFA. ⚠️ Confiance limitée — volatilité élevée ou données insuffisantes. Résultat indicatif uniquement.</w:t>
      </w:r>
    </w:p>
    <w:p>
      <w:pPr>
        <w:pStyle w:val="ListBullet"/>
      </w:pPr>
      <w:r>
        <w:rPr>
          <w:b/>
          <w:color w:val="006400"/>
          <w:sz w:val="18"/>
        </w:rPr>
        <w:t xml:space="preserve">#5 BOAM </w:t>
      </w:r>
      <w:r>
        <w:rPr>
          <w:sz w:val="17"/>
        </w:rPr>
        <w:t>(BANK OF AFRICA MALI) — hausse significative (+14.3%) — potentiel de revalorisation notable. Trajectoire : 📈 Hausse continue. Cours actuel : 5,470 FCFA → prédit J+10 : 6,250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8,400 FCFA</w:t>
            </w:r>
          </w:p>
        </w:tc>
        <w:tc>
          <w:tcPr>
            <w:tcW w:type="dxa" w:w="1417"/>
            <w:shd w:fill="FFFFFF" w:val="clear"/>
          </w:tcPr>
          <w:p>
            <w:r>
              <w:rPr>
                <w:sz w:val="16"/>
              </w:rPr>
              <w:t>7,239 FCFA</w:t>
            </w:r>
          </w:p>
        </w:tc>
        <w:tc>
          <w:tcPr>
            <w:tcW w:type="dxa" w:w="1134"/>
            <w:shd w:fill="FFC7CE" w:val="clear"/>
          </w:tcPr>
          <w:p>
            <w:r>
              <w:rPr>
                <w:b/>
                <w:color w:val="B40000"/>
                <w:sz w:val="16"/>
              </w:rPr>
              <w:t>-13.82%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3,930 FCFA</w:t>
            </w:r>
          </w:p>
        </w:tc>
        <w:tc>
          <w:tcPr>
            <w:tcW w:type="dxa" w:w="1417"/>
            <w:shd w:fill="FFFFFF" w:val="clear"/>
          </w:tcPr>
          <w:p>
            <w:r>
              <w:rPr>
                <w:sz w:val="16"/>
              </w:rPr>
              <w:t>3,532 FCFA</w:t>
            </w:r>
          </w:p>
        </w:tc>
        <w:tc>
          <w:tcPr>
            <w:tcW w:type="dxa" w:w="1134"/>
            <w:shd w:fill="FFC7CE" w:val="clear"/>
          </w:tcPr>
          <w:p>
            <w:r>
              <w:rPr>
                <w:b/>
                <w:color w:val="B40000"/>
                <w:sz w:val="16"/>
              </w:rPr>
              <w:t>-10.13%</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2,390 FCFA</w:t>
            </w:r>
          </w:p>
        </w:tc>
        <w:tc>
          <w:tcPr>
            <w:tcW w:type="dxa" w:w="1417"/>
            <w:shd w:fill="FFFFFF" w:val="clear"/>
          </w:tcPr>
          <w:p>
            <w:r>
              <w:rPr>
                <w:sz w:val="16"/>
              </w:rPr>
              <w:t>2,187 FCFA</w:t>
            </w:r>
          </w:p>
        </w:tc>
        <w:tc>
          <w:tcPr>
            <w:tcW w:type="dxa" w:w="1134"/>
            <w:shd w:fill="FFC7CE" w:val="clear"/>
          </w:tcPr>
          <w:p>
            <w:r>
              <w:rPr>
                <w:b/>
                <w:color w:val="B40000"/>
                <w:sz w:val="16"/>
              </w:rPr>
              <w:t>-8.48%</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2,000 FCFA</w:t>
            </w:r>
          </w:p>
        </w:tc>
        <w:tc>
          <w:tcPr>
            <w:tcW w:type="dxa" w:w="1417"/>
            <w:shd w:fill="FFFFFF" w:val="clear"/>
          </w:tcPr>
          <w:p>
            <w:r>
              <w:rPr>
                <w:sz w:val="16"/>
              </w:rPr>
              <w:t>1,875 FCFA</w:t>
            </w:r>
          </w:p>
        </w:tc>
        <w:tc>
          <w:tcPr>
            <w:tcW w:type="dxa" w:w="1134"/>
            <w:shd w:fill="FFC7CE" w:val="clear"/>
          </w:tcPr>
          <w:p>
            <w:r>
              <w:rPr>
                <w:b/>
                <w:color w:val="B40000"/>
                <w:sz w:val="16"/>
              </w:rPr>
              <w:t>-6.27%</w:t>
            </w:r>
          </w:p>
        </w:tc>
        <w:tc>
          <w:tcPr>
            <w:tcW w:type="dxa" w:w="1020"/>
            <w:shd w:fill="FFEB9C" w:val="clear"/>
          </w:tcPr>
          <w:p>
            <w:r>
              <w:rPr>
                <w:sz w:val="16"/>
              </w:rPr>
              <w:t>Moyenne</w:t>
            </w:r>
          </w:p>
        </w:tc>
      </w:tr>
      <w:tr>
        <w:tc>
          <w:tcPr>
            <w:tcW w:type="dxa" w:w="680"/>
            <w:shd w:fill="FFFFFF" w:val="clear"/>
          </w:tcPr>
          <w:p>
            <w:r>
              <w:rPr>
                <w:b/>
                <w:sz w:val="16"/>
              </w:rPr>
              <w:t>#5</w:t>
            </w:r>
          </w:p>
        </w:tc>
        <w:tc>
          <w:tcPr>
            <w:tcW w:type="dxa" w:w="2835"/>
            <w:shd w:fill="FFC7CE" w:val="clear"/>
          </w:tcPr>
          <w:p>
            <w:r>
              <w:rPr>
                <w:sz w:val="16"/>
              </w:rPr>
              <w:t>TTLC — TTLC - TOTAL ENERGIES MARKETING COT...</w:t>
            </w:r>
          </w:p>
        </w:tc>
        <w:tc>
          <w:tcPr>
            <w:tcW w:type="dxa" w:w="1701"/>
            <w:shd w:fill="FFFFFF" w:val="clear"/>
          </w:tcPr>
          <w:p>
            <w:r>
              <w:rPr>
                <w:sz w:val="16"/>
              </w:rPr>
              <w:t>ENERGIE</w:t>
            </w:r>
          </w:p>
        </w:tc>
        <w:tc>
          <w:tcPr>
            <w:tcW w:type="dxa" w:w="1417"/>
            <w:shd w:fill="FFFFFF" w:val="clear"/>
          </w:tcPr>
          <w:p>
            <w:r>
              <w:rPr>
                <w:sz w:val="16"/>
              </w:rPr>
              <w:t>2,985 FCFA</w:t>
            </w:r>
          </w:p>
        </w:tc>
        <w:tc>
          <w:tcPr>
            <w:tcW w:type="dxa" w:w="1417"/>
            <w:shd w:fill="FFFFFF" w:val="clear"/>
          </w:tcPr>
          <w:p>
            <w:r>
              <w:rPr>
                <w:sz w:val="16"/>
              </w:rPr>
              <w:t>2,803 FCFA</w:t>
            </w:r>
          </w:p>
        </w:tc>
        <w:tc>
          <w:tcPr>
            <w:tcW w:type="dxa" w:w="1134"/>
            <w:shd w:fill="FFC7CE" w:val="clear"/>
          </w:tcPr>
          <w:p>
            <w:r>
              <w:rPr>
                <w:b/>
                <w:color w:val="B40000"/>
                <w:sz w:val="16"/>
              </w:rPr>
              <w:t>-6.09%</w:t>
            </w:r>
          </w:p>
        </w:tc>
        <w:tc>
          <w:tcPr>
            <w:tcW w:type="dxa" w:w="1020"/>
            <w:shd w:fill="FFC7CE" w:val="clear"/>
          </w:tcPr>
          <w:p>
            <w:r>
              <w:rPr>
                <w:sz w:val="16"/>
              </w:rPr>
              <w:t>Faible</w:t>
            </w:r>
          </w:p>
        </w:tc>
      </w:tr>
    </w:tbl>
    <w:p/>
    <w:p>
      <w:pPr>
        <w:pStyle w:val="ListBullet"/>
      </w:pPr>
      <w:r>
        <w:rPr>
          <w:b/>
          <w:color w:val="B40000"/>
          <w:sz w:val="18"/>
        </w:rPr>
        <w:t xml:space="preserve">#1 SICC </w:t>
      </w:r>
      <w:r>
        <w:rPr>
          <w:sz w:val="17"/>
        </w:rPr>
        <w:t>(SICC - SICOR COTE D'IVOIRE) — baisse modérée (-13.8%) — repli technique attendu. Trajectoire : 📉 Baisse continue. Cours actuel : 8,400 FCFA → prédit J+10 : 7,239 FCFA. ⚠️ Confiance limitée — volatilité élevée. Ne pas agir sur ce seul signal.</w:t>
      </w:r>
    </w:p>
    <w:p>
      <w:pPr>
        <w:pStyle w:val="ListBullet"/>
      </w:pPr>
      <w:r>
        <w:rPr>
          <w:b/>
          <w:color w:val="B40000"/>
          <w:sz w:val="18"/>
        </w:rPr>
        <w:t xml:space="preserve">#2 ABJC </w:t>
      </w:r>
      <w:r>
        <w:rPr>
          <w:sz w:val="17"/>
        </w:rPr>
        <w:t>(ABJC - SERVAIR ABIDJAN CI) — baisse modérée (-10.1%) — repli technique attendu. Trajectoire : 📉 Baisse continue. Cours actuel : 3,930 FCFA → prédit J+10 : 3,532 FCFA. ⚠️ Confiance limitée — volatilité élevée. Ne pas agir sur ce seul signal.</w:t>
      </w:r>
    </w:p>
    <w:p>
      <w:pPr>
        <w:pStyle w:val="ListBullet"/>
      </w:pPr>
      <w:r>
        <w:rPr>
          <w:b/>
          <w:color w:val="B40000"/>
          <w:sz w:val="18"/>
        </w:rPr>
        <w:t xml:space="preserve">#3 SHEC </w:t>
      </w:r>
      <w:r>
        <w:rPr>
          <w:sz w:val="17"/>
        </w:rPr>
        <w:t>(SHEC - VIVO ENERGY COTE D'IVOIRE) — baisse modérée (-8.5%) — repli technique attendu. Trajectoire : 📉 Baisse continue. Cours actuel : 2,390 FCFA → prédit J+10 : 2,187 FCFA. ⚠️ Confiance limitée — volatilité élevée. Ne pas agir sur ce seul signal.</w:t>
      </w:r>
    </w:p>
    <w:p>
      <w:pPr>
        <w:pStyle w:val="ListBullet"/>
      </w:pPr>
      <w:r>
        <w:rPr>
          <w:b/>
          <w:color w:val="B40000"/>
          <w:sz w:val="18"/>
        </w:rPr>
        <w:t xml:space="preserve">#4 FTSC </w:t>
      </w:r>
      <w:r>
        <w:rPr>
          <w:sz w:val="17"/>
        </w:rPr>
        <w:t>(FTSC - FILTISAC COTE D'IVOIRE) — baisse modérée (-6.3%) — repli technique attendu. Trajectoire : 📉 Baisse continue. Cours actuel : 2,000 FCFA → prédit J+10 : 1,875 FCFA. Confiance partielle — surveiller l'évolution réelle des premiers jours.</w:t>
      </w:r>
    </w:p>
    <w:p>
      <w:pPr>
        <w:pStyle w:val="ListBullet"/>
      </w:pPr>
      <w:r>
        <w:rPr>
          <w:b/>
          <w:color w:val="B40000"/>
          <w:sz w:val="18"/>
        </w:rPr>
        <w:t xml:space="preserve">#5 TTLC </w:t>
      </w:r>
      <w:r>
        <w:rPr>
          <w:sz w:val="17"/>
        </w:rPr>
        <w:t>(TTLC - TOTAL ENERGIES MARKETING COTE D'I) — baisse modérée (-6.1%) — repli technique attendu. Trajectoire : 📉 Baisse continue. Cours actuel : 2,985 FCFA → prédit J+10 : 2,803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2,690</w:t>
            </w:r>
          </w:p>
        </w:tc>
        <w:tc>
          <w:tcPr>
            <w:tcW w:type="dxa" w:w="1417"/>
            <w:shd w:fill="FFFFFF" w:val="clear"/>
          </w:tcPr>
          <w:p>
            <w:r>
              <w:rPr>
                <w:sz w:val="16"/>
              </w:rPr>
              <w:t>3,371</w:t>
            </w:r>
          </w:p>
        </w:tc>
        <w:tc>
          <w:tcPr>
            <w:tcW w:type="dxa" w:w="1134"/>
            <w:shd w:fill="C6EFCE" w:val="clear"/>
          </w:tcPr>
          <w:p>
            <w:r>
              <w:rPr>
                <w:b/>
                <w:color w:val="007800"/>
                <w:sz w:val="16"/>
              </w:rPr>
              <w:t>+25.32%</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11,165</w:t>
            </w:r>
          </w:p>
        </w:tc>
        <w:tc>
          <w:tcPr>
            <w:tcW w:type="dxa" w:w="1417"/>
            <w:shd w:fill="FFFFFF" w:val="clear"/>
          </w:tcPr>
          <w:p>
            <w:r>
              <w:rPr>
                <w:sz w:val="16"/>
              </w:rPr>
              <w:t>13,360</w:t>
            </w:r>
          </w:p>
        </w:tc>
        <w:tc>
          <w:tcPr>
            <w:tcW w:type="dxa" w:w="1134"/>
            <w:shd w:fill="C6EFCE" w:val="clear"/>
          </w:tcPr>
          <w:p>
            <w:r>
              <w:rPr>
                <w:b/>
                <w:color w:val="007800"/>
                <w:sz w:val="16"/>
              </w:rPr>
              <w:t>+19.66%</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3,980</w:t>
            </w:r>
          </w:p>
        </w:tc>
        <w:tc>
          <w:tcPr>
            <w:tcW w:type="dxa" w:w="1417"/>
            <w:shd w:fill="FFFFFF" w:val="clear"/>
          </w:tcPr>
          <w:p>
            <w:r>
              <w:rPr>
                <w:sz w:val="16"/>
              </w:rPr>
              <w:t>4,677</w:t>
            </w:r>
          </w:p>
        </w:tc>
        <w:tc>
          <w:tcPr>
            <w:tcW w:type="dxa" w:w="1134"/>
            <w:shd w:fill="C6EFCE" w:val="clear"/>
          </w:tcPr>
          <w:p>
            <w:r>
              <w:rPr>
                <w:b/>
                <w:color w:val="007800"/>
                <w:sz w:val="16"/>
              </w:rPr>
              <w:t>+17.50%</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20,895</w:t>
            </w:r>
          </w:p>
        </w:tc>
        <w:tc>
          <w:tcPr>
            <w:tcW w:type="dxa" w:w="1417"/>
            <w:shd w:fill="FFFFFF" w:val="clear"/>
          </w:tcPr>
          <w:p>
            <w:r>
              <w:rPr>
                <w:sz w:val="16"/>
              </w:rPr>
              <w:t>24,102</w:t>
            </w:r>
          </w:p>
        </w:tc>
        <w:tc>
          <w:tcPr>
            <w:tcW w:type="dxa" w:w="1134"/>
            <w:shd w:fill="C6EFCE" w:val="clear"/>
          </w:tcPr>
          <w:p>
            <w:r>
              <w:rPr>
                <w:b/>
                <w:color w:val="007800"/>
                <w:sz w:val="16"/>
              </w:rPr>
              <w:t>+15.35%</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5,470</w:t>
            </w:r>
          </w:p>
        </w:tc>
        <w:tc>
          <w:tcPr>
            <w:tcW w:type="dxa" w:w="1417"/>
            <w:shd w:fill="FFFFFF" w:val="clear"/>
          </w:tcPr>
          <w:p>
            <w:r>
              <w:rPr>
                <w:sz w:val="16"/>
              </w:rPr>
              <w:t>6,250</w:t>
            </w:r>
          </w:p>
        </w:tc>
        <w:tc>
          <w:tcPr>
            <w:tcW w:type="dxa" w:w="1134"/>
            <w:shd w:fill="C6EFCE" w:val="clear"/>
          </w:tcPr>
          <w:p>
            <w:r>
              <w:rPr>
                <w:b/>
                <w:color w:val="007800"/>
                <w:sz w:val="16"/>
              </w:rPr>
              <w:t>+14.25%</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3,700</w:t>
            </w:r>
          </w:p>
        </w:tc>
        <w:tc>
          <w:tcPr>
            <w:tcW w:type="dxa" w:w="1417"/>
            <w:shd w:fill="FFFFFF" w:val="clear"/>
          </w:tcPr>
          <w:p>
            <w:r>
              <w:rPr>
                <w:sz w:val="16"/>
              </w:rPr>
              <w:t>4,175</w:t>
            </w:r>
          </w:p>
        </w:tc>
        <w:tc>
          <w:tcPr>
            <w:tcW w:type="dxa" w:w="1134"/>
            <w:shd w:fill="C6EFCE" w:val="clear"/>
          </w:tcPr>
          <w:p>
            <w:r>
              <w:rPr>
                <w:b/>
                <w:color w:val="007800"/>
                <w:sz w:val="16"/>
              </w:rPr>
              <w:t>+12.83%</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37,885</w:t>
            </w:r>
          </w:p>
        </w:tc>
        <w:tc>
          <w:tcPr>
            <w:tcW w:type="dxa" w:w="1417"/>
            <w:shd w:fill="FFFFFF" w:val="clear"/>
          </w:tcPr>
          <w:p>
            <w:r>
              <w:rPr>
                <w:sz w:val="16"/>
              </w:rPr>
              <w:t>41,402</w:t>
            </w:r>
          </w:p>
        </w:tc>
        <w:tc>
          <w:tcPr>
            <w:tcW w:type="dxa" w:w="1134"/>
            <w:shd w:fill="C6EFCE" w:val="clear"/>
          </w:tcPr>
          <w:p>
            <w:r>
              <w:rPr>
                <w:b/>
                <w:color w:val="007800"/>
                <w:sz w:val="16"/>
              </w:rPr>
              <w:t>+9.28%</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14,500</w:t>
            </w:r>
          </w:p>
        </w:tc>
        <w:tc>
          <w:tcPr>
            <w:tcW w:type="dxa" w:w="1417"/>
            <w:shd w:fill="FFFFFF" w:val="clear"/>
          </w:tcPr>
          <w:p>
            <w:r>
              <w:rPr>
                <w:sz w:val="16"/>
              </w:rPr>
              <w:t>15,668</w:t>
            </w:r>
          </w:p>
        </w:tc>
        <w:tc>
          <w:tcPr>
            <w:tcW w:type="dxa" w:w="1134"/>
            <w:shd w:fill="C6EFCE" w:val="clear"/>
          </w:tcPr>
          <w:p>
            <w:r>
              <w:rPr>
                <w:b/>
                <w:color w:val="007800"/>
                <w:sz w:val="16"/>
              </w:rPr>
              <w:t>+8.06%</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1,480</w:t>
            </w:r>
          </w:p>
        </w:tc>
        <w:tc>
          <w:tcPr>
            <w:tcW w:type="dxa" w:w="1417"/>
            <w:shd w:fill="FFFFFF" w:val="clear"/>
          </w:tcPr>
          <w:p>
            <w:r>
              <w:rPr>
                <w:sz w:val="16"/>
              </w:rPr>
              <w:t>1,599</w:t>
            </w:r>
          </w:p>
        </w:tc>
        <w:tc>
          <w:tcPr>
            <w:tcW w:type="dxa" w:w="1134"/>
            <w:shd w:fill="C6EFCE" w:val="clear"/>
          </w:tcPr>
          <w:p>
            <w:r>
              <w:rPr>
                <w:b/>
                <w:color w:val="007800"/>
                <w:sz w:val="16"/>
              </w:rPr>
              <w:t>+8.04%</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8,560</w:t>
            </w:r>
          </w:p>
        </w:tc>
        <w:tc>
          <w:tcPr>
            <w:tcW w:type="dxa" w:w="1417"/>
            <w:shd w:fill="FFFFFF" w:val="clear"/>
          </w:tcPr>
          <w:p>
            <w:r>
              <w:rPr>
                <w:sz w:val="16"/>
              </w:rPr>
              <w:t>9,248</w:t>
            </w:r>
          </w:p>
        </w:tc>
        <w:tc>
          <w:tcPr>
            <w:tcW w:type="dxa" w:w="1134"/>
            <w:shd w:fill="C6EFCE" w:val="clear"/>
          </w:tcPr>
          <w:p>
            <w:r>
              <w:rPr>
                <w:b/>
                <w:color w:val="007800"/>
                <w:sz w:val="16"/>
              </w:rPr>
              <w:t>+8.04%</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2,800</w:t>
            </w:r>
          </w:p>
        </w:tc>
        <w:tc>
          <w:tcPr>
            <w:tcW w:type="dxa" w:w="1417"/>
            <w:shd w:fill="FFFFFF" w:val="clear"/>
          </w:tcPr>
          <w:p>
            <w:r>
              <w:rPr>
                <w:sz w:val="16"/>
              </w:rPr>
              <w:t>3,001</w:t>
            </w:r>
          </w:p>
        </w:tc>
        <w:tc>
          <w:tcPr>
            <w:tcW w:type="dxa" w:w="1134"/>
            <w:shd w:fill="C6EFCE" w:val="clear"/>
          </w:tcPr>
          <w:p>
            <w:r>
              <w:rPr>
                <w:b/>
                <w:color w:val="007800"/>
                <w:sz w:val="16"/>
              </w:rPr>
              <w:t>+7.18%</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7,400</w:t>
            </w:r>
          </w:p>
        </w:tc>
        <w:tc>
          <w:tcPr>
            <w:tcW w:type="dxa" w:w="1417"/>
            <w:shd w:fill="FFFFFF" w:val="clear"/>
          </w:tcPr>
          <w:p>
            <w:r>
              <w:rPr>
                <w:sz w:val="16"/>
              </w:rPr>
              <w:t>7,852</w:t>
            </w:r>
          </w:p>
        </w:tc>
        <w:tc>
          <w:tcPr>
            <w:tcW w:type="dxa" w:w="1134"/>
            <w:shd w:fill="C6EFCE" w:val="clear"/>
          </w:tcPr>
          <w:p>
            <w:r>
              <w:rPr>
                <w:b/>
                <w:color w:val="007800"/>
                <w:sz w:val="16"/>
              </w:rPr>
              <w:t>+6.11%</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14,710</w:t>
            </w:r>
          </w:p>
        </w:tc>
        <w:tc>
          <w:tcPr>
            <w:tcW w:type="dxa" w:w="1417"/>
            <w:shd w:fill="FFFFFF" w:val="clear"/>
          </w:tcPr>
          <w:p>
            <w:r>
              <w:rPr>
                <w:sz w:val="16"/>
              </w:rPr>
              <w:t>15,521</w:t>
            </w:r>
          </w:p>
        </w:tc>
        <w:tc>
          <w:tcPr>
            <w:tcW w:type="dxa" w:w="1134"/>
            <w:shd w:fill="C6EFCE" w:val="clear"/>
          </w:tcPr>
          <w:p>
            <w:r>
              <w:rPr>
                <w:b/>
                <w:color w:val="007800"/>
                <w:sz w:val="16"/>
              </w:rPr>
              <w:t>+5.51%</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20,815</w:t>
            </w:r>
          </w:p>
        </w:tc>
        <w:tc>
          <w:tcPr>
            <w:tcW w:type="dxa" w:w="1417"/>
            <w:shd w:fill="FFFFFF" w:val="clear"/>
          </w:tcPr>
          <w:p>
            <w:r>
              <w:rPr>
                <w:sz w:val="16"/>
              </w:rPr>
              <w:t>21,876</w:t>
            </w:r>
          </w:p>
        </w:tc>
        <w:tc>
          <w:tcPr>
            <w:tcW w:type="dxa" w:w="1134"/>
            <w:shd w:fill="C6EFCE" w:val="clear"/>
          </w:tcPr>
          <w:p>
            <w:r>
              <w:rPr>
                <w:b/>
                <w:color w:val="007800"/>
                <w:sz w:val="16"/>
              </w:rPr>
              <w:t>+5.10%</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4,550</w:t>
            </w:r>
          </w:p>
        </w:tc>
        <w:tc>
          <w:tcPr>
            <w:tcW w:type="dxa" w:w="1417"/>
            <w:shd w:fill="FFFFFF" w:val="clear"/>
          </w:tcPr>
          <w:p>
            <w:r>
              <w:rPr>
                <w:sz w:val="16"/>
              </w:rPr>
              <w:t>4,770</w:t>
            </w:r>
          </w:p>
        </w:tc>
        <w:tc>
          <w:tcPr>
            <w:tcW w:type="dxa" w:w="1134"/>
            <w:shd w:fill="C6EFCE" w:val="clear"/>
          </w:tcPr>
          <w:p>
            <w:r>
              <w:rPr>
                <w:b/>
                <w:color w:val="007800"/>
                <w:sz w:val="16"/>
              </w:rPr>
              <w:t>+4.83%</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64</w:t>
            </w:r>
          </w:p>
        </w:tc>
        <w:tc>
          <w:tcPr>
            <w:tcW w:type="dxa" w:w="1417"/>
            <w:shd w:fill="FFFFFF" w:val="clear"/>
          </w:tcPr>
          <w:p>
            <w:r>
              <w:rPr>
                <w:sz w:val="16"/>
              </w:rPr>
              <w:t>67</w:t>
            </w:r>
          </w:p>
        </w:tc>
        <w:tc>
          <w:tcPr>
            <w:tcW w:type="dxa" w:w="1134"/>
            <w:shd w:fill="C6EFCE" w:val="clear"/>
          </w:tcPr>
          <w:p>
            <w:r>
              <w:rPr>
                <w:b/>
                <w:color w:val="007800"/>
                <w:sz w:val="16"/>
              </w:rPr>
              <w:t>+4.11%</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7,300</w:t>
            </w:r>
          </w:p>
        </w:tc>
        <w:tc>
          <w:tcPr>
            <w:tcW w:type="dxa" w:w="1417"/>
            <w:shd w:fill="FFFFFF" w:val="clear"/>
          </w:tcPr>
          <w:p>
            <w:r>
              <w:rPr>
                <w:sz w:val="16"/>
              </w:rPr>
              <w:t>7,570</w:t>
            </w:r>
          </w:p>
        </w:tc>
        <w:tc>
          <w:tcPr>
            <w:tcW w:type="dxa" w:w="1134"/>
            <w:shd w:fill="C6EFCE" w:val="clear"/>
          </w:tcPr>
          <w:p>
            <w:r>
              <w:rPr>
                <w:b/>
                <w:color w:val="007800"/>
                <w:sz w:val="16"/>
              </w:rPr>
              <w:t>+3.70%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8,790</w:t>
            </w:r>
          </w:p>
        </w:tc>
        <w:tc>
          <w:tcPr>
            <w:tcW w:type="dxa" w:w="1417"/>
            <w:shd w:fill="FFFFFF" w:val="clear"/>
          </w:tcPr>
          <w:p>
            <w:r>
              <w:rPr>
                <w:sz w:val="16"/>
              </w:rPr>
              <w:t>9,095</w:t>
            </w:r>
          </w:p>
        </w:tc>
        <w:tc>
          <w:tcPr>
            <w:tcW w:type="dxa" w:w="1134"/>
            <w:shd w:fill="C6EFCE" w:val="clear"/>
          </w:tcPr>
          <w:p>
            <w:r>
              <w:rPr>
                <w:b/>
                <w:color w:val="007800"/>
                <w:sz w:val="16"/>
              </w:rPr>
              <w:t>+3.47%</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2,800</w:t>
            </w:r>
          </w:p>
        </w:tc>
        <w:tc>
          <w:tcPr>
            <w:tcW w:type="dxa" w:w="1417"/>
            <w:shd w:fill="FFFFFF" w:val="clear"/>
          </w:tcPr>
          <w:p>
            <w:r>
              <w:rPr>
                <w:sz w:val="16"/>
              </w:rPr>
              <w:t>2,886</w:t>
            </w:r>
          </w:p>
        </w:tc>
        <w:tc>
          <w:tcPr>
            <w:tcW w:type="dxa" w:w="1134"/>
            <w:shd w:fill="C6EFCE" w:val="clear"/>
          </w:tcPr>
          <w:p>
            <w:r>
              <w:rPr>
                <w:b/>
                <w:color w:val="007800"/>
                <w:sz w:val="16"/>
              </w:rPr>
              <w:t>+3.06%</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20,400</w:t>
            </w:r>
          </w:p>
        </w:tc>
        <w:tc>
          <w:tcPr>
            <w:tcW w:type="dxa" w:w="1417"/>
            <w:shd w:fill="FFFFFF" w:val="clear"/>
          </w:tcPr>
          <w:p>
            <w:r>
              <w:rPr>
                <w:sz w:val="16"/>
              </w:rPr>
              <w:t>20,985</w:t>
            </w:r>
          </w:p>
        </w:tc>
        <w:tc>
          <w:tcPr>
            <w:tcW w:type="dxa" w:w="1134"/>
            <w:shd w:fill="C6EFCE" w:val="clear"/>
          </w:tcPr>
          <w:p>
            <w:r>
              <w:rPr>
                <w:b/>
                <w:color w:val="007800"/>
                <w:sz w:val="16"/>
              </w:rPr>
              <w:t>+2.87%</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49,000</w:t>
            </w:r>
          </w:p>
        </w:tc>
        <w:tc>
          <w:tcPr>
            <w:tcW w:type="dxa" w:w="1417"/>
            <w:shd w:fill="FFFFFF" w:val="clear"/>
          </w:tcPr>
          <w:p>
            <w:r>
              <w:rPr>
                <w:sz w:val="16"/>
              </w:rPr>
              <w:t>50,302</w:t>
            </w:r>
          </w:p>
        </w:tc>
        <w:tc>
          <w:tcPr>
            <w:tcW w:type="dxa" w:w="1134"/>
            <w:shd w:fill="C6EFCE" w:val="clear"/>
          </w:tcPr>
          <w:p>
            <w:r>
              <w:rPr>
                <w:b/>
                <w:color w:val="007800"/>
                <w:sz w:val="16"/>
              </w:rPr>
              <w:t>+2.66%</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16,800</w:t>
            </w:r>
          </w:p>
        </w:tc>
        <w:tc>
          <w:tcPr>
            <w:tcW w:type="dxa" w:w="1417"/>
            <w:shd w:fill="FFFFFF" w:val="clear"/>
          </w:tcPr>
          <w:p>
            <w:r>
              <w:rPr>
                <w:sz w:val="16"/>
              </w:rPr>
              <w:t>17,206</w:t>
            </w:r>
          </w:p>
        </w:tc>
        <w:tc>
          <w:tcPr>
            <w:tcW w:type="dxa" w:w="1134"/>
            <w:shd w:fill="C6EFCE" w:val="clear"/>
          </w:tcPr>
          <w:p>
            <w:r>
              <w:rPr>
                <w:b/>
                <w:color w:val="007800"/>
                <w:sz w:val="16"/>
              </w:rPr>
              <w:t>+2.42%</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29,745</w:t>
            </w:r>
          </w:p>
        </w:tc>
        <w:tc>
          <w:tcPr>
            <w:tcW w:type="dxa" w:w="1417"/>
            <w:shd w:fill="FFFFFF" w:val="clear"/>
          </w:tcPr>
          <w:p>
            <w:r>
              <w:rPr>
                <w:sz w:val="16"/>
              </w:rPr>
              <w:t>30,255</w:t>
            </w:r>
          </w:p>
        </w:tc>
        <w:tc>
          <w:tcPr>
            <w:tcW w:type="dxa" w:w="1134"/>
            <w:shd w:fill="C6EFCE" w:val="clear"/>
          </w:tcPr>
          <w:p>
            <w:r>
              <w:rPr>
                <w:b/>
                <w:color w:val="007800"/>
                <w:sz w:val="16"/>
              </w:rPr>
              <w:t>+1.71%</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2,100</w:t>
            </w:r>
          </w:p>
        </w:tc>
        <w:tc>
          <w:tcPr>
            <w:tcW w:type="dxa" w:w="1417"/>
            <w:shd w:fill="FFFFFF" w:val="clear"/>
          </w:tcPr>
          <w:p>
            <w:r>
              <w:rPr>
                <w:sz w:val="16"/>
              </w:rPr>
              <w:t>2,129</w:t>
            </w:r>
          </w:p>
        </w:tc>
        <w:tc>
          <w:tcPr>
            <w:tcW w:type="dxa" w:w="1134"/>
            <w:shd w:fill="C6EFCE" w:val="clear"/>
          </w:tcPr>
          <w:p>
            <w:r>
              <w:rPr>
                <w:b/>
                <w:color w:val="007800"/>
                <w:sz w:val="16"/>
              </w:rPr>
              <w:t>+1.37%</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3,800</w:t>
            </w:r>
          </w:p>
        </w:tc>
        <w:tc>
          <w:tcPr>
            <w:tcW w:type="dxa" w:w="1417"/>
            <w:shd w:fill="FFFFFF" w:val="clear"/>
          </w:tcPr>
          <w:p>
            <w:r>
              <w:rPr>
                <w:sz w:val="16"/>
              </w:rPr>
              <w:t>3,830</w:t>
            </w:r>
          </w:p>
        </w:tc>
        <w:tc>
          <w:tcPr>
            <w:tcW w:type="dxa" w:w="1134"/>
            <w:shd w:fill="FFEB9C" w:val="clear"/>
          </w:tcPr>
          <w:p>
            <w:r>
              <w:rPr>
                <w:b/>
                <w:color w:val="646400"/>
                <w:sz w:val="16"/>
              </w:rPr>
              <w:t>+0.79%</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7,500</w:t>
            </w:r>
          </w:p>
        </w:tc>
        <w:tc>
          <w:tcPr>
            <w:tcW w:type="dxa" w:w="1417"/>
            <w:shd w:fill="FFFFFF" w:val="clear"/>
          </w:tcPr>
          <w:p>
            <w:r>
              <w:rPr>
                <w:sz w:val="16"/>
              </w:rPr>
              <w:t>7,497</w:t>
            </w:r>
          </w:p>
        </w:tc>
        <w:tc>
          <w:tcPr>
            <w:tcW w:type="dxa" w:w="1134"/>
            <w:shd w:fill="FFEB9C" w:val="clear"/>
          </w:tcPr>
          <w:p>
            <w:r>
              <w:rPr>
                <w:b/>
                <w:color w:val="646400"/>
                <w:sz w:val="16"/>
              </w:rPr>
              <w:t>-0.05%</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8,100</w:t>
            </w:r>
          </w:p>
        </w:tc>
        <w:tc>
          <w:tcPr>
            <w:tcW w:type="dxa" w:w="1417"/>
            <w:shd w:fill="FFFFFF" w:val="clear"/>
          </w:tcPr>
          <w:p>
            <w:r>
              <w:rPr>
                <w:sz w:val="16"/>
              </w:rPr>
              <w:t>8,074</w:t>
            </w:r>
          </w:p>
        </w:tc>
        <w:tc>
          <w:tcPr>
            <w:tcW w:type="dxa" w:w="1134"/>
            <w:shd w:fill="FFEB9C" w:val="clear"/>
          </w:tcPr>
          <w:p>
            <w:r>
              <w:rPr>
                <w:b/>
                <w:color w:val="646400"/>
                <w:sz w:val="16"/>
              </w:rPr>
              <w:t>-0.32%</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2,200</w:t>
            </w:r>
          </w:p>
        </w:tc>
        <w:tc>
          <w:tcPr>
            <w:tcW w:type="dxa" w:w="1417"/>
            <w:shd w:fill="FFFFFF" w:val="clear"/>
          </w:tcPr>
          <w:p>
            <w:r>
              <w:rPr>
                <w:sz w:val="16"/>
              </w:rPr>
              <w:t>2,191</w:t>
            </w:r>
          </w:p>
        </w:tc>
        <w:tc>
          <w:tcPr>
            <w:tcW w:type="dxa" w:w="1134"/>
            <w:shd w:fill="FFEB9C" w:val="clear"/>
          </w:tcPr>
          <w:p>
            <w:r>
              <w:rPr>
                <w:b/>
                <w:color w:val="646400"/>
                <w:sz w:val="16"/>
              </w:rPr>
              <w:t>-0.41%</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2,800</w:t>
            </w:r>
          </w:p>
        </w:tc>
        <w:tc>
          <w:tcPr>
            <w:tcW w:type="dxa" w:w="1417"/>
            <w:shd w:fill="FFFFFF" w:val="clear"/>
          </w:tcPr>
          <w:p>
            <w:r>
              <w:rPr>
                <w:sz w:val="16"/>
              </w:rPr>
              <w:t>2,784</w:t>
            </w:r>
          </w:p>
        </w:tc>
        <w:tc>
          <w:tcPr>
            <w:tcW w:type="dxa" w:w="1134"/>
            <w:shd w:fill="FFEB9C" w:val="clear"/>
          </w:tcPr>
          <w:p>
            <w:r>
              <w:rPr>
                <w:b/>
                <w:color w:val="646400"/>
                <w:sz w:val="16"/>
              </w:rPr>
              <w:t>-0.55%</w:t>
            </w:r>
          </w:p>
        </w:tc>
        <w:tc>
          <w:tcPr>
            <w:tcW w:type="dxa" w:w="1134"/>
            <w:shd w:fill="FFEB9C" w:val="clear"/>
          </w:tcPr>
          <w:p>
            <w:r>
              <w:rPr>
                <w:sz w:val="16"/>
              </w:rPr>
              <w:t>Moyenne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7,650</w:t>
            </w:r>
          </w:p>
        </w:tc>
        <w:tc>
          <w:tcPr>
            <w:tcW w:type="dxa" w:w="1417"/>
            <w:shd w:fill="FFFFFF" w:val="clear"/>
          </w:tcPr>
          <w:p>
            <w:r>
              <w:rPr>
                <w:sz w:val="16"/>
              </w:rPr>
              <w:t>7,589</w:t>
            </w:r>
          </w:p>
        </w:tc>
        <w:tc>
          <w:tcPr>
            <w:tcW w:type="dxa" w:w="1134"/>
            <w:shd w:fill="FFEB9C" w:val="clear"/>
          </w:tcPr>
          <w:p>
            <w:r>
              <w:rPr>
                <w:b/>
                <w:color w:val="646400"/>
                <w:sz w:val="16"/>
              </w:rPr>
              <w:t>-0.79%</w:t>
            </w:r>
          </w:p>
        </w:tc>
        <w:tc>
          <w:tcPr>
            <w:tcW w:type="dxa" w:w="1134"/>
            <w:shd w:fill="FFEB9C" w:val="clear"/>
          </w:tcPr>
          <w:p>
            <w:r>
              <w:rPr>
                <w:sz w:val="16"/>
              </w:rPr>
              <w:t>Moyenne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4,200</w:t>
            </w:r>
          </w:p>
        </w:tc>
        <w:tc>
          <w:tcPr>
            <w:tcW w:type="dxa" w:w="1417"/>
            <w:shd w:fill="FFFFFF" w:val="clear"/>
          </w:tcPr>
          <w:p>
            <w:r>
              <w:rPr>
                <w:sz w:val="16"/>
              </w:rPr>
              <w:t>4,139</w:t>
            </w:r>
          </w:p>
        </w:tc>
        <w:tc>
          <w:tcPr>
            <w:tcW w:type="dxa" w:w="1134"/>
            <w:shd w:fill="FFC7CE" w:val="clear"/>
          </w:tcPr>
          <w:p>
            <w:r>
              <w:rPr>
                <w:b/>
                <w:color w:val="B40000"/>
                <w:sz w:val="16"/>
              </w:rPr>
              <w:t>-1.46%</w:t>
            </w:r>
          </w:p>
        </w:tc>
        <w:tc>
          <w:tcPr>
            <w:tcW w:type="dxa" w:w="1134"/>
            <w:shd w:fill="FFEB9C" w:val="clear"/>
          </w:tcPr>
          <w:p>
            <w:r>
              <w:rPr>
                <w:sz w:val="16"/>
              </w:rPr>
              <w:t>Moyenne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28,675</w:t>
            </w:r>
          </w:p>
        </w:tc>
        <w:tc>
          <w:tcPr>
            <w:tcW w:type="dxa" w:w="1417"/>
            <w:shd w:fill="FFFFFF" w:val="clear"/>
          </w:tcPr>
          <w:p>
            <w:r>
              <w:rPr>
                <w:sz w:val="16"/>
              </w:rPr>
              <w:t>28,224</w:t>
            </w:r>
          </w:p>
        </w:tc>
        <w:tc>
          <w:tcPr>
            <w:tcW w:type="dxa" w:w="1134"/>
            <w:shd w:fill="FFC7CE" w:val="clear"/>
          </w:tcPr>
          <w:p>
            <w:r>
              <w:rPr>
                <w:b/>
                <w:color w:val="B40000"/>
                <w:sz w:val="16"/>
              </w:rPr>
              <w:t>-1.57%</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10,800</w:t>
            </w:r>
          </w:p>
        </w:tc>
        <w:tc>
          <w:tcPr>
            <w:tcW w:type="dxa" w:w="1417"/>
            <w:shd w:fill="FFFFFF" w:val="clear"/>
          </w:tcPr>
          <w:p>
            <w:r>
              <w:rPr>
                <w:sz w:val="16"/>
              </w:rPr>
              <w:t>10,613</w:t>
            </w:r>
          </w:p>
        </w:tc>
        <w:tc>
          <w:tcPr>
            <w:tcW w:type="dxa" w:w="1134"/>
            <w:shd w:fill="FFC7CE" w:val="clear"/>
          </w:tcPr>
          <w:p>
            <w:r>
              <w:rPr>
                <w:b/>
                <w:color w:val="B40000"/>
                <w:sz w:val="16"/>
              </w:rPr>
              <w:t>-1.73%</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41,000</w:t>
            </w:r>
          </w:p>
        </w:tc>
        <w:tc>
          <w:tcPr>
            <w:tcW w:type="dxa" w:w="1417"/>
            <w:shd w:fill="FFFFFF" w:val="clear"/>
          </w:tcPr>
          <w:p>
            <w:r>
              <w:rPr>
                <w:sz w:val="16"/>
              </w:rPr>
              <w:t>40,108</w:t>
            </w:r>
          </w:p>
        </w:tc>
        <w:tc>
          <w:tcPr>
            <w:tcW w:type="dxa" w:w="1134"/>
            <w:shd w:fill="FFC7CE" w:val="clear"/>
          </w:tcPr>
          <w:p>
            <w:r>
              <w:rPr>
                <w:b/>
                <w:color w:val="B40000"/>
                <w:sz w:val="16"/>
              </w:rPr>
              <w:t>-2.17%</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1,890</w:t>
            </w:r>
          </w:p>
        </w:tc>
        <w:tc>
          <w:tcPr>
            <w:tcW w:type="dxa" w:w="1417"/>
            <w:shd w:fill="FFFFFF" w:val="clear"/>
          </w:tcPr>
          <w:p>
            <w:r>
              <w:rPr>
                <w:sz w:val="16"/>
              </w:rPr>
              <w:t>1,849</w:t>
            </w:r>
          </w:p>
        </w:tc>
        <w:tc>
          <w:tcPr>
            <w:tcW w:type="dxa" w:w="1134"/>
            <w:shd w:fill="FFC7CE" w:val="clear"/>
          </w:tcPr>
          <w:p>
            <w:r>
              <w:rPr>
                <w:b/>
                <w:color w:val="B40000"/>
                <w:sz w:val="16"/>
              </w:rPr>
              <w:t>-2.18%</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37,985</w:t>
            </w:r>
          </w:p>
        </w:tc>
        <w:tc>
          <w:tcPr>
            <w:tcW w:type="dxa" w:w="1417"/>
            <w:shd w:fill="FFFFFF" w:val="clear"/>
          </w:tcPr>
          <w:p>
            <w:r>
              <w:rPr>
                <w:sz w:val="16"/>
              </w:rPr>
              <w:t>36,969</w:t>
            </w:r>
          </w:p>
        </w:tc>
        <w:tc>
          <w:tcPr>
            <w:tcW w:type="dxa" w:w="1134"/>
            <w:shd w:fill="FFC7CE" w:val="clear"/>
          </w:tcPr>
          <w:p>
            <w:r>
              <w:rPr>
                <w:b/>
                <w:color w:val="B40000"/>
                <w:sz w:val="16"/>
              </w:rPr>
              <w:t>-2.68%</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8,510</w:t>
            </w:r>
          </w:p>
        </w:tc>
        <w:tc>
          <w:tcPr>
            <w:tcW w:type="dxa" w:w="1417"/>
            <w:shd w:fill="FFFFFF" w:val="clear"/>
          </w:tcPr>
          <w:p>
            <w:r>
              <w:rPr>
                <w:sz w:val="16"/>
              </w:rPr>
              <w:t>8,228</w:t>
            </w:r>
          </w:p>
        </w:tc>
        <w:tc>
          <w:tcPr>
            <w:tcW w:type="dxa" w:w="1134"/>
            <w:shd w:fill="FFC7CE" w:val="clear"/>
          </w:tcPr>
          <w:p>
            <w:r>
              <w:rPr>
                <w:b/>
                <w:color w:val="B40000"/>
                <w:sz w:val="16"/>
              </w:rPr>
              <w:t>-3.32%</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2,000</w:t>
            </w:r>
          </w:p>
        </w:tc>
        <w:tc>
          <w:tcPr>
            <w:tcW w:type="dxa" w:w="1417"/>
            <w:shd w:fill="FFFFFF" w:val="clear"/>
          </w:tcPr>
          <w:p>
            <w:r>
              <w:rPr>
                <w:sz w:val="16"/>
              </w:rPr>
              <w:t>1,933</w:t>
            </w:r>
          </w:p>
        </w:tc>
        <w:tc>
          <w:tcPr>
            <w:tcW w:type="dxa" w:w="1134"/>
            <w:shd w:fill="FFC7CE" w:val="clear"/>
          </w:tcPr>
          <w:p>
            <w:r>
              <w:rPr>
                <w:b/>
                <w:color w:val="B40000"/>
                <w:sz w:val="16"/>
              </w:rPr>
              <w:t>-3.34%</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2,405</w:t>
            </w:r>
          </w:p>
        </w:tc>
        <w:tc>
          <w:tcPr>
            <w:tcW w:type="dxa" w:w="1417"/>
            <w:shd w:fill="FFFFFF" w:val="clear"/>
          </w:tcPr>
          <w:p>
            <w:r>
              <w:rPr>
                <w:sz w:val="16"/>
              </w:rPr>
              <w:t>2,320</w:t>
            </w:r>
          </w:p>
        </w:tc>
        <w:tc>
          <w:tcPr>
            <w:tcW w:type="dxa" w:w="1134"/>
            <w:shd w:fill="FFC7CE" w:val="clear"/>
          </w:tcPr>
          <w:p>
            <w:r>
              <w:rPr>
                <w:b/>
                <w:color w:val="B40000"/>
                <w:sz w:val="16"/>
              </w:rPr>
              <w:t>-3.52%</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1,495</w:t>
            </w:r>
          </w:p>
        </w:tc>
        <w:tc>
          <w:tcPr>
            <w:tcW w:type="dxa" w:w="1417"/>
            <w:shd w:fill="FFFFFF" w:val="clear"/>
          </w:tcPr>
          <w:p>
            <w:r>
              <w:rPr>
                <w:sz w:val="16"/>
              </w:rPr>
              <w:t>1,440</w:t>
            </w:r>
          </w:p>
        </w:tc>
        <w:tc>
          <w:tcPr>
            <w:tcW w:type="dxa" w:w="1134"/>
            <w:shd w:fill="FFC7CE" w:val="clear"/>
          </w:tcPr>
          <w:p>
            <w:r>
              <w:rPr>
                <w:b/>
                <w:color w:val="B40000"/>
                <w:sz w:val="16"/>
              </w:rPr>
              <w:t>-3.68%</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6,205</w:t>
            </w:r>
          </w:p>
        </w:tc>
        <w:tc>
          <w:tcPr>
            <w:tcW w:type="dxa" w:w="1417"/>
            <w:shd w:fill="FFFFFF" w:val="clear"/>
          </w:tcPr>
          <w:p>
            <w:r>
              <w:rPr>
                <w:sz w:val="16"/>
              </w:rPr>
              <w:t>5,916</w:t>
            </w:r>
          </w:p>
        </w:tc>
        <w:tc>
          <w:tcPr>
            <w:tcW w:type="dxa" w:w="1134"/>
            <w:shd w:fill="FFC7CE" w:val="clear"/>
          </w:tcPr>
          <w:p>
            <w:r>
              <w:rPr>
                <w:b/>
                <w:color w:val="B40000"/>
                <w:sz w:val="16"/>
              </w:rPr>
              <w:t>-4.66%</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3,190</w:t>
            </w:r>
          </w:p>
        </w:tc>
        <w:tc>
          <w:tcPr>
            <w:tcW w:type="dxa" w:w="1417"/>
            <w:shd w:fill="FFFFFF" w:val="clear"/>
          </w:tcPr>
          <w:p>
            <w:r>
              <w:rPr>
                <w:sz w:val="16"/>
              </w:rPr>
              <w:t>3,012</w:t>
            </w:r>
          </w:p>
        </w:tc>
        <w:tc>
          <w:tcPr>
            <w:tcW w:type="dxa" w:w="1134"/>
            <w:shd w:fill="FFC7CE" w:val="clear"/>
          </w:tcPr>
          <w:p>
            <w:r>
              <w:rPr>
                <w:b/>
                <w:color w:val="B40000"/>
                <w:sz w:val="16"/>
              </w:rPr>
              <w:t>-5.58%</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2,985</w:t>
            </w:r>
          </w:p>
        </w:tc>
        <w:tc>
          <w:tcPr>
            <w:tcW w:type="dxa" w:w="1417"/>
            <w:shd w:fill="FFFFFF" w:val="clear"/>
          </w:tcPr>
          <w:p>
            <w:r>
              <w:rPr>
                <w:sz w:val="16"/>
              </w:rPr>
              <w:t>2,803</w:t>
            </w:r>
          </w:p>
        </w:tc>
        <w:tc>
          <w:tcPr>
            <w:tcW w:type="dxa" w:w="1134"/>
            <w:shd w:fill="FFC7CE" w:val="clear"/>
          </w:tcPr>
          <w:p>
            <w:r>
              <w:rPr>
                <w:b/>
                <w:color w:val="B40000"/>
                <w:sz w:val="16"/>
              </w:rPr>
              <w:t>-6.09%</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2,000</w:t>
            </w:r>
          </w:p>
        </w:tc>
        <w:tc>
          <w:tcPr>
            <w:tcW w:type="dxa" w:w="1417"/>
            <w:shd w:fill="FFFFFF" w:val="clear"/>
          </w:tcPr>
          <w:p>
            <w:r>
              <w:rPr>
                <w:sz w:val="16"/>
              </w:rPr>
              <w:t>1,875</w:t>
            </w:r>
          </w:p>
        </w:tc>
        <w:tc>
          <w:tcPr>
            <w:tcW w:type="dxa" w:w="1134"/>
            <w:shd w:fill="FFC7CE" w:val="clear"/>
          </w:tcPr>
          <w:p>
            <w:r>
              <w:rPr>
                <w:b/>
                <w:color w:val="B40000"/>
                <w:sz w:val="16"/>
              </w:rPr>
              <w:t>-6.27%</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2,390</w:t>
            </w:r>
          </w:p>
        </w:tc>
        <w:tc>
          <w:tcPr>
            <w:tcW w:type="dxa" w:w="1417"/>
            <w:shd w:fill="FFFFFF" w:val="clear"/>
          </w:tcPr>
          <w:p>
            <w:r>
              <w:rPr>
                <w:sz w:val="16"/>
              </w:rPr>
              <w:t>2,187</w:t>
            </w:r>
          </w:p>
        </w:tc>
        <w:tc>
          <w:tcPr>
            <w:tcW w:type="dxa" w:w="1134"/>
            <w:shd w:fill="FFC7CE" w:val="clear"/>
          </w:tcPr>
          <w:p>
            <w:r>
              <w:rPr>
                <w:b/>
                <w:color w:val="B40000"/>
                <w:sz w:val="16"/>
              </w:rPr>
              <w:t>-8.48%</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3,930</w:t>
            </w:r>
          </w:p>
        </w:tc>
        <w:tc>
          <w:tcPr>
            <w:tcW w:type="dxa" w:w="1417"/>
            <w:shd w:fill="FFFFFF" w:val="clear"/>
          </w:tcPr>
          <w:p>
            <w:r>
              <w:rPr>
                <w:sz w:val="16"/>
              </w:rPr>
              <w:t>3,532</w:t>
            </w:r>
          </w:p>
        </w:tc>
        <w:tc>
          <w:tcPr>
            <w:tcW w:type="dxa" w:w="1134"/>
            <w:shd w:fill="FFC7CE" w:val="clear"/>
          </w:tcPr>
          <w:p>
            <w:r>
              <w:rPr>
                <w:b/>
                <w:color w:val="B40000"/>
                <w:sz w:val="16"/>
              </w:rPr>
              <w:t>-10.13%</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8,400</w:t>
            </w:r>
          </w:p>
        </w:tc>
        <w:tc>
          <w:tcPr>
            <w:tcW w:type="dxa" w:w="1417"/>
            <w:shd w:fill="FFFFFF" w:val="clear"/>
          </w:tcPr>
          <w:p>
            <w:r>
              <w:rPr>
                <w:sz w:val="16"/>
              </w:rPr>
              <w:t>7,239</w:t>
            </w:r>
          </w:p>
        </w:tc>
        <w:tc>
          <w:tcPr>
            <w:tcW w:type="dxa" w:w="1134"/>
            <w:shd w:fill="FFC7CE" w:val="clear"/>
          </w:tcPr>
          <w:p>
            <w:r>
              <w:rPr>
                <w:b/>
                <w:color w:val="B40000"/>
                <w:sz w:val="16"/>
              </w:rPr>
              <w:t>-13.82%</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3,649 titres</w:t>
            </w:r>
          </w:p>
        </w:tc>
        <w:tc>
          <w:tcPr>
            <w:tcW w:type="dxa" w:w="2268"/>
            <w:shd w:fill="FFF2CC" w:val="clear"/>
          </w:tcPr>
          <w:p>
            <w:r>
              <w:rPr>
                <w:b/>
                <w:color w:val="503200"/>
                <w:sz w:val="16"/>
              </w:rPr>
              <w:t xml:space="preserve">Cours actuel : </w:t>
            </w:r>
            <w:r>
              <w:rPr>
                <w:color w:val="000000"/>
                <w:sz w:val="17"/>
              </w:rPr>
              <w:t>3,930 FCFA</w:t>
            </w:r>
          </w:p>
          <w:p>
            <w:r>
              <w:rPr>
                <w:b/>
                <w:color w:val="503200"/>
                <w:sz w:val="16"/>
              </w:rPr>
              <w:t xml:space="preserve">Var. 100 jours : </w:t>
            </w:r>
            <w:r>
              <w:rPr>
                <w:b/>
                <w:color w:val="007800"/>
                <w:sz w:val="17"/>
              </w:rPr>
              <w:t>+21.30%</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11.08% (Moyenne) — μ=3,300 FCFA, σ=366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β=0.3446 (Défensif) — Cov=0.000014, Var(idx)=0.000041, ρ=0.079,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σ_j=2.75%/j (Stable) — Vol. annualisée≈43.7%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2026-09-24</w:t>
            </w:r>
          </w:p>
        </w:tc>
        <w:tc>
          <w:tcPr>
            <w:tcW w:type="dxa" w:w="1440"/>
            <w:shd w:fill="FAFAFA" w:val="clear"/>
          </w:tcPr>
          <w:p>
            <w:r>
              <w:rPr>
                <w:sz w:val="17"/>
              </w:rPr>
              <w:t>3,744</w:t>
            </w:r>
          </w:p>
        </w:tc>
        <w:tc>
          <w:tcPr>
            <w:tcW w:type="dxa" w:w="1440"/>
            <w:shd w:fill="FAFAFA" w:val="clear"/>
          </w:tcPr>
          <w:p>
            <w:r>
              <w:rPr>
                <w:b/>
                <w:sz w:val="17"/>
              </w:rPr>
              <w:t>3,872</w:t>
            </w:r>
          </w:p>
        </w:tc>
        <w:tc>
          <w:tcPr>
            <w:tcW w:type="dxa" w:w="1440"/>
            <w:shd w:fill="FAFAFA" w:val="clear"/>
          </w:tcPr>
          <w:p>
            <w:r>
              <w:rPr>
                <w:sz w:val="17"/>
              </w:rPr>
              <w:t>4,001</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2026-09-25</w:t>
            </w:r>
          </w:p>
        </w:tc>
        <w:tc>
          <w:tcPr>
            <w:tcW w:type="dxa" w:w="1440"/>
            <w:shd w:fill="FFDCE0" w:val="clear"/>
          </w:tcPr>
          <w:p>
            <w:r>
              <w:rPr>
                <w:sz w:val="17"/>
              </w:rPr>
              <w:t>3,642</w:t>
            </w:r>
          </w:p>
        </w:tc>
        <w:tc>
          <w:tcPr>
            <w:tcW w:type="dxa" w:w="1440"/>
            <w:shd w:fill="FFDCE0" w:val="clear"/>
          </w:tcPr>
          <w:p>
            <w:r>
              <w:rPr>
                <w:b/>
                <w:sz w:val="17"/>
              </w:rPr>
              <w:t>3,821</w:t>
            </w:r>
          </w:p>
        </w:tc>
        <w:tc>
          <w:tcPr>
            <w:tcW w:type="dxa" w:w="1440"/>
            <w:shd w:fill="FFDCE0" w:val="clear"/>
          </w:tcPr>
          <w:p>
            <w:r>
              <w:rPr>
                <w:sz w:val="17"/>
              </w:rPr>
              <w:t>4,001</w:t>
            </w:r>
          </w:p>
        </w:tc>
        <w:tc>
          <w:tcPr>
            <w:tcW w:type="dxa" w:w="1440"/>
            <w:shd w:fill="FFDCE0" w:val="clear"/>
          </w:tcPr>
          <w:p>
            <w:r>
              <w:rPr>
                <w:b/>
                <w:color w:val="C00000"/>
                <w:sz w:val="17"/>
              </w:rPr>
              <w:t>-2.8%</w:t>
            </w:r>
          </w:p>
        </w:tc>
      </w:tr>
      <w:tr>
        <w:tc>
          <w:tcPr>
            <w:tcW w:type="dxa" w:w="1440"/>
            <w:shd w:fill="FFDCE0" w:val="clear"/>
          </w:tcPr>
          <w:p>
            <w:r>
              <w:rPr>
                <w:sz w:val="17"/>
              </w:rPr>
              <w:t>J+3  Moyenne</w:t>
            </w:r>
          </w:p>
        </w:tc>
        <w:tc>
          <w:tcPr>
            <w:tcW w:type="dxa" w:w="1440"/>
            <w:shd w:fill="FFDCE0" w:val="clear"/>
          </w:tcPr>
          <w:p>
            <w:r>
              <w:rPr>
                <w:sz w:val="17"/>
              </w:rPr>
              <w:t>2026-09-28</w:t>
            </w:r>
          </w:p>
        </w:tc>
        <w:tc>
          <w:tcPr>
            <w:tcW w:type="dxa" w:w="1440"/>
            <w:shd w:fill="FFDCE0" w:val="clear"/>
          </w:tcPr>
          <w:p>
            <w:r>
              <w:rPr>
                <w:sz w:val="17"/>
              </w:rPr>
              <w:t>3,555</w:t>
            </w:r>
          </w:p>
        </w:tc>
        <w:tc>
          <w:tcPr>
            <w:tcW w:type="dxa" w:w="1440"/>
            <w:shd w:fill="FFDCE0" w:val="clear"/>
          </w:tcPr>
          <w:p>
            <w:r>
              <w:rPr>
                <w:b/>
                <w:sz w:val="17"/>
              </w:rPr>
              <w:t>3,772</w:t>
            </w:r>
          </w:p>
        </w:tc>
        <w:tc>
          <w:tcPr>
            <w:tcW w:type="dxa" w:w="1440"/>
            <w:shd w:fill="FFDCE0" w:val="clear"/>
          </w:tcPr>
          <w:p>
            <w:r>
              <w:rPr>
                <w:sz w:val="17"/>
              </w:rPr>
              <w:t>3,990</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2026-09-29</w:t>
            </w:r>
          </w:p>
        </w:tc>
        <w:tc>
          <w:tcPr>
            <w:tcW w:type="dxa" w:w="1440"/>
            <w:shd w:fill="FFDCE0" w:val="clear"/>
          </w:tcPr>
          <w:p>
            <w:r>
              <w:rPr>
                <w:sz w:val="17"/>
              </w:rPr>
              <w:t>3,482</w:t>
            </w:r>
          </w:p>
        </w:tc>
        <w:tc>
          <w:tcPr>
            <w:tcW w:type="dxa" w:w="1440"/>
            <w:shd w:fill="FFDCE0" w:val="clear"/>
          </w:tcPr>
          <w:p>
            <w:r>
              <w:rPr>
                <w:b/>
                <w:sz w:val="17"/>
              </w:rPr>
              <w:t>3,730</w:t>
            </w:r>
          </w:p>
        </w:tc>
        <w:tc>
          <w:tcPr>
            <w:tcW w:type="dxa" w:w="1440"/>
            <w:shd w:fill="FFDCE0" w:val="clear"/>
          </w:tcPr>
          <w:p>
            <w:r>
              <w:rPr>
                <w:sz w:val="17"/>
              </w:rPr>
              <w:t>3,977</w:t>
            </w:r>
          </w:p>
        </w:tc>
        <w:tc>
          <w:tcPr>
            <w:tcW w:type="dxa" w:w="1440"/>
            <w:shd w:fill="FFDCE0" w:val="clear"/>
          </w:tcPr>
          <w:p>
            <w:r>
              <w:rPr>
                <w:b/>
                <w:color w:val="C00000"/>
                <w:sz w:val="17"/>
              </w:rPr>
              <w:t>-5.1%</w:t>
            </w:r>
          </w:p>
        </w:tc>
      </w:tr>
      <w:tr>
        <w:tc>
          <w:tcPr>
            <w:tcW w:type="dxa" w:w="1440"/>
            <w:shd w:fill="FFDCE0" w:val="clear"/>
          </w:tcPr>
          <w:p>
            <w:r>
              <w:rPr>
                <w:sz w:val="17"/>
              </w:rPr>
              <w:t>J+5  ⭐</w:t>
            </w:r>
          </w:p>
        </w:tc>
        <w:tc>
          <w:tcPr>
            <w:tcW w:type="dxa" w:w="1440"/>
            <w:shd w:fill="FFDCE0" w:val="clear"/>
          </w:tcPr>
          <w:p>
            <w:r>
              <w:rPr>
                <w:sz w:val="17"/>
              </w:rPr>
              <w:t>2026-09-30</w:t>
            </w:r>
          </w:p>
        </w:tc>
        <w:tc>
          <w:tcPr>
            <w:tcW w:type="dxa" w:w="1440"/>
            <w:shd w:fill="FFDCE0" w:val="clear"/>
          </w:tcPr>
          <w:p>
            <w:r>
              <w:rPr>
                <w:sz w:val="17"/>
              </w:rPr>
              <w:t>3,417</w:t>
            </w:r>
          </w:p>
        </w:tc>
        <w:tc>
          <w:tcPr>
            <w:tcW w:type="dxa" w:w="1440"/>
            <w:shd w:fill="FFDCE0" w:val="clear"/>
          </w:tcPr>
          <w:p>
            <w:r>
              <w:rPr>
                <w:b/>
                <w:sz w:val="17"/>
              </w:rPr>
              <w:t>3,691</w:t>
            </w:r>
          </w:p>
        </w:tc>
        <w:tc>
          <w:tcPr>
            <w:tcW w:type="dxa" w:w="1440"/>
            <w:shd w:fill="FFDCE0" w:val="clear"/>
          </w:tcPr>
          <w:p>
            <w:r>
              <w:rPr>
                <w:sz w:val="17"/>
              </w:rPr>
              <w:t>3,965</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2026-10-01</w:t>
            </w:r>
          </w:p>
        </w:tc>
        <w:tc>
          <w:tcPr>
            <w:tcW w:type="dxa" w:w="1440"/>
            <w:shd w:fill="FFDCE0" w:val="clear"/>
          </w:tcPr>
          <w:p>
            <w:r>
              <w:rPr>
                <w:sz w:val="17"/>
              </w:rPr>
              <w:t>3,358</w:t>
            </w:r>
          </w:p>
        </w:tc>
        <w:tc>
          <w:tcPr>
            <w:tcW w:type="dxa" w:w="1440"/>
            <w:shd w:fill="FFDCE0" w:val="clear"/>
          </w:tcPr>
          <w:p>
            <w:r>
              <w:rPr>
                <w:b/>
                <w:sz w:val="17"/>
              </w:rPr>
              <w:t>3,655</w:t>
            </w:r>
          </w:p>
        </w:tc>
        <w:tc>
          <w:tcPr>
            <w:tcW w:type="dxa" w:w="1440"/>
            <w:shd w:fill="FFDCE0" w:val="clear"/>
          </w:tcPr>
          <w:p>
            <w:r>
              <w:rPr>
                <w:sz w:val="17"/>
              </w:rPr>
              <w:t>3,953</w:t>
            </w:r>
          </w:p>
        </w:tc>
        <w:tc>
          <w:tcPr>
            <w:tcW w:type="dxa" w:w="1440"/>
            <w:shd w:fill="FFDCE0" w:val="clear"/>
          </w:tcPr>
          <w:p>
            <w:r>
              <w:rPr>
                <w:b/>
                <w:color w:val="C00000"/>
                <w:sz w:val="17"/>
              </w:rPr>
              <w:t>-7.0%</w:t>
            </w:r>
          </w:p>
        </w:tc>
      </w:tr>
      <w:tr>
        <w:tc>
          <w:tcPr>
            <w:tcW w:type="dxa" w:w="1440"/>
            <w:shd w:fill="FFDCE0" w:val="clear"/>
          </w:tcPr>
          <w:p>
            <w:r>
              <w:rPr>
                <w:sz w:val="17"/>
              </w:rPr>
              <w:t>J+7  ⭐</w:t>
            </w:r>
          </w:p>
        </w:tc>
        <w:tc>
          <w:tcPr>
            <w:tcW w:type="dxa" w:w="1440"/>
            <w:shd w:fill="FFDCE0" w:val="clear"/>
          </w:tcPr>
          <w:p>
            <w:r>
              <w:rPr>
                <w:sz w:val="17"/>
              </w:rPr>
              <w:t>2026-10-02</w:t>
            </w:r>
          </w:p>
        </w:tc>
        <w:tc>
          <w:tcPr>
            <w:tcW w:type="dxa" w:w="1440"/>
            <w:shd w:fill="FFDCE0" w:val="clear"/>
          </w:tcPr>
          <w:p>
            <w:r>
              <w:rPr>
                <w:sz w:val="17"/>
              </w:rPr>
              <w:t>3,303</w:t>
            </w:r>
          </w:p>
        </w:tc>
        <w:tc>
          <w:tcPr>
            <w:tcW w:type="dxa" w:w="1440"/>
            <w:shd w:fill="FFDCE0" w:val="clear"/>
          </w:tcPr>
          <w:p>
            <w:r>
              <w:rPr>
                <w:b/>
                <w:sz w:val="17"/>
              </w:rPr>
              <w:t>3,622</w:t>
            </w:r>
          </w:p>
        </w:tc>
        <w:tc>
          <w:tcPr>
            <w:tcW w:type="dxa" w:w="1440"/>
            <w:shd w:fill="FFDCE0" w:val="clear"/>
          </w:tcPr>
          <w:p>
            <w:r>
              <w:rPr>
                <w:sz w:val="17"/>
              </w:rPr>
              <w:t>3,940</w:t>
            </w:r>
          </w:p>
        </w:tc>
        <w:tc>
          <w:tcPr>
            <w:tcW w:type="dxa" w:w="1440"/>
            <w:shd w:fill="FFDCE0" w:val="clear"/>
          </w:tcPr>
          <w:p>
            <w:r>
              <w:rPr>
                <w:b/>
                <w:color w:val="C00000"/>
                <w:sz w:val="17"/>
              </w:rPr>
              <w:t>-7.8%</w:t>
            </w:r>
          </w:p>
        </w:tc>
      </w:tr>
      <w:tr>
        <w:tc>
          <w:tcPr>
            <w:tcW w:type="dxa" w:w="1440"/>
            <w:shd w:fill="FFDCE0" w:val="clear"/>
          </w:tcPr>
          <w:p>
            <w:r>
              <w:rPr>
                <w:sz w:val="17"/>
              </w:rPr>
              <w:t>J+8  ⭐</w:t>
            </w:r>
          </w:p>
        </w:tc>
        <w:tc>
          <w:tcPr>
            <w:tcW w:type="dxa" w:w="1440"/>
            <w:shd w:fill="FFDCE0" w:val="clear"/>
          </w:tcPr>
          <w:p>
            <w:r>
              <w:rPr>
                <w:sz w:val="17"/>
              </w:rPr>
              <w:t>2026-10-05</w:t>
            </w:r>
          </w:p>
        </w:tc>
        <w:tc>
          <w:tcPr>
            <w:tcW w:type="dxa" w:w="1440"/>
            <w:shd w:fill="FFDCE0" w:val="clear"/>
          </w:tcPr>
          <w:p>
            <w:r>
              <w:rPr>
                <w:sz w:val="17"/>
              </w:rPr>
              <w:t>3,253</w:t>
            </w:r>
          </w:p>
        </w:tc>
        <w:tc>
          <w:tcPr>
            <w:tcW w:type="dxa" w:w="1440"/>
            <w:shd w:fill="FFDCE0" w:val="clear"/>
          </w:tcPr>
          <w:p>
            <w:r>
              <w:rPr>
                <w:b/>
                <w:sz w:val="17"/>
              </w:rPr>
              <w:t>3,590</w:t>
            </w:r>
          </w:p>
        </w:tc>
        <w:tc>
          <w:tcPr>
            <w:tcW w:type="dxa" w:w="1440"/>
            <w:shd w:fill="FFDCE0" w:val="clear"/>
          </w:tcPr>
          <w:p>
            <w:r>
              <w:rPr>
                <w:sz w:val="17"/>
              </w:rPr>
              <w:t>3,927</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2026-10-06</w:t>
            </w:r>
          </w:p>
        </w:tc>
        <w:tc>
          <w:tcPr>
            <w:tcW w:type="dxa" w:w="1440"/>
            <w:shd w:fill="FFDCE0" w:val="clear"/>
          </w:tcPr>
          <w:p>
            <w:r>
              <w:rPr>
                <w:sz w:val="17"/>
              </w:rPr>
              <w:t>3,205</w:t>
            </w:r>
          </w:p>
        </w:tc>
        <w:tc>
          <w:tcPr>
            <w:tcW w:type="dxa" w:w="1440"/>
            <w:shd w:fill="FFDCE0" w:val="clear"/>
          </w:tcPr>
          <w:p>
            <w:r>
              <w:rPr>
                <w:b/>
                <w:sz w:val="17"/>
              </w:rPr>
              <w:t>3,560</w:t>
            </w:r>
          </w:p>
        </w:tc>
        <w:tc>
          <w:tcPr>
            <w:tcW w:type="dxa" w:w="1440"/>
            <w:shd w:fill="FFDCE0" w:val="clear"/>
          </w:tcPr>
          <w:p>
            <w:r>
              <w:rPr>
                <w:sz w:val="17"/>
              </w:rPr>
              <w:t>3,915</w:t>
            </w:r>
          </w:p>
        </w:tc>
        <w:tc>
          <w:tcPr>
            <w:tcW w:type="dxa" w:w="1440"/>
            <w:shd w:fill="FFDCE0" w:val="clear"/>
          </w:tcPr>
          <w:p>
            <w:r>
              <w:rPr>
                <w:b/>
                <w:color w:val="C00000"/>
                <w:sz w:val="17"/>
              </w:rPr>
              <w:t>-9.4%</w:t>
            </w:r>
          </w:p>
        </w:tc>
      </w:tr>
      <w:tr>
        <w:tc>
          <w:tcPr>
            <w:tcW w:type="dxa" w:w="1440"/>
            <w:shd w:fill="FFDCE0" w:val="clear"/>
          </w:tcPr>
          <w:p>
            <w:r>
              <w:rPr>
                <w:sz w:val="17"/>
              </w:rPr>
              <w:t>J+10  ⭐</w:t>
            </w:r>
          </w:p>
        </w:tc>
        <w:tc>
          <w:tcPr>
            <w:tcW w:type="dxa" w:w="1440"/>
            <w:shd w:fill="FFDCE0" w:val="clear"/>
          </w:tcPr>
          <w:p>
            <w:r>
              <w:rPr>
                <w:sz w:val="17"/>
              </w:rPr>
              <w:t>2026-10-07</w:t>
            </w:r>
          </w:p>
        </w:tc>
        <w:tc>
          <w:tcPr>
            <w:tcW w:type="dxa" w:w="1440"/>
            <w:shd w:fill="FFDCE0" w:val="clear"/>
          </w:tcPr>
          <w:p>
            <w:r>
              <w:rPr>
                <w:sz w:val="17"/>
              </w:rPr>
              <w:t>3,161</w:t>
            </w:r>
          </w:p>
        </w:tc>
        <w:tc>
          <w:tcPr>
            <w:tcW w:type="dxa" w:w="1440"/>
            <w:shd w:fill="FFDCE0" w:val="clear"/>
          </w:tcPr>
          <w:p>
            <w:r>
              <w:rPr>
                <w:b/>
                <w:sz w:val="17"/>
              </w:rPr>
              <w:t>3,532</w:t>
            </w:r>
          </w:p>
        </w:tc>
        <w:tc>
          <w:tcPr>
            <w:tcW w:type="dxa" w:w="1440"/>
            <w:shd w:fill="FFDCE0" w:val="clear"/>
          </w:tcPr>
          <w:p>
            <w:r>
              <w:rPr>
                <w:sz w:val="17"/>
              </w:rPr>
              <w:t>3,903</w:t>
            </w:r>
          </w:p>
        </w:tc>
        <w:tc>
          <w:tcPr>
            <w:tcW w:type="dxa" w:w="1440"/>
            <w:shd w:fill="FFDCE0" w:val="clear"/>
          </w:tcPr>
          <w:p>
            <w:r>
              <w:rPr>
                <w:b/>
                <w:color w:val="C00000"/>
                <w:sz w:val="17"/>
              </w:rPr>
              <w:t>-10.1%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42,88 Mds FCFA, ABJC se situe dans la catégorie des valeurs moyennes de la cote BRVM, ce qui traduit une liquidité limitée mais une certaine stabilité institutionnelle. Le BPA de 124 FCFA/action indique que chaque titre génère un bénéfice unitaire modeste, ce qui, rapporté au cours actuel de 3 930 FCFA, aboutit à un PER de 31,8x — soit près de trois fois la moyenne du marché BRVM (8-12x), signalant que les investisseurs paient très cher la croissance attendue ou que le titre est surévalué. Le P/B de 8,31x confirme cette prime excessive : le marché valorise l'entreprise à plus de huit fois sa valeur comptable, un niveau rarement justifié hors secteurs à très forte rentabilité. Enfin, l'EV/EBITDA de 16,4x, supérieur au seuil exigeant de 15x, suggère que la valeur d'entreprise intègre déjà une anticipation optimiste de la capacité opérationnelle, laissant peu de marge de sécurité pour l'investisseur.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ABJC affiche une performance remarquable de +21,30%, malgré un léger repli de -0,63% lors de la dernière séance (J-1), signe d'une consolidation après un rallye haussier. Le titre a évolué dans un range large de 2 800 FCFA (plus bas) à 4 095 FCFA (plus haut), soit une amplitude de près de 46%, ce qui témoigne d'une dynamique nettement haussière portée par un intérêt acheteur soutenu. Le cours actuel de 3 930 FCFA se situe dans le haut de ce range, à seulement 4% du plus haut, confirmant la tendance positive. Les statistiques descriptives révèlent une moyenne (3 300 FCFA) supérieure à la médiane (3 182 FCFA), écart qui traduit une asymétrie positive : les journées de forte hausse tirent la moyenne vers le haut, tandis que la majorité des séances se situent sous cette moyenne. L'écart-type de 368 FCFA et le coefficient de variation de 11,1% indiquent une dispersion modérée du cours autour de sa tendance, mais la volatilité annualisée de 43,7% classe le titre dans la catégorie des valeurs à volatilité élevée (&gt;30%), ce qui implique un risque de fluctuation important. Le kurtosis de -0,516 (mésokurtique) suggère une distribution proche de la normale, sans pics extrêmes fréquents, tandis que le skewness de +0,818 (asymétrie positive) confirme que les rendements positifs extrêmes sont plus probables que les négatifs — un signal favorable pour les acheteurs.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(3 933 FCFA) est quasiment confondue avec le cours actuel (3 930 FCFA), tandis que la MM50 (3 461,9 FCFA) se situe nettement en dessous, créant un écart de plus de 13%. Cette configuration — cours au-dessus de la MM50 et collé à la MM20 — traduit une tendance haussière de moyen terme intacte, mais un essoufflement à court terme. La décision « Achat » est justifiée par la position du cours au-dessus des deux moyennes, bien que la proximité avec la MM20 appelle à la prudence.</w:t>
      </w:r>
    </w:p>
    <w:p>
      <w:pPr>
        <w:spacing w:after="120" w:line="276" w:lineRule="auto"/>
      </w:pPr>
      <w:r>
        <w:t>**Bandes de Bollinger** : Le cours (3 930 FCFA) évolue dans la partie supérieure de la bande, entre la borne inférieure (3 701,29 FCFA) et la borne supérieure (4 164,71 FCFA), sans la toucher. Cette position médiane-haute indique une volatilité contenue et l'absence de signal de surachat extrême. La décision « Neutre » reflète l'équilibre actuel : ni pression acheteuse excessive, ni risque de retournement imminent.</w:t>
      </w:r>
    </w:p>
    <w:p>
      <w:pPr>
        <w:spacing w:after="120" w:line="276" w:lineRule="auto"/>
      </w:pPr>
      <w:r>
        <w:t>**MACD** : La valeur du MACD (141,3) est inférieure à son signal (174,28), générant une divergence baissière qui traduit un ralentissement du momentum haussier. Cette configuration, bien que le MACD reste en territoire positif, suggère que la dynamique acheteuse s'essouffle. La décision « Vente » est cohérente avec ce croisement baissier, signalant une possible correction à court terme.</w:t>
      </w:r>
    </w:p>
    <w:p>
      <w:pPr>
        <w:spacing w:after="120" w:line="276" w:lineRule="auto"/>
      </w:pPr>
      <w:r>
        <w:t>**RSI** : À 48,11, le RSI se situe parfaitement dans la zone neutre (30-70), sans signal de surachat (&gt;70) ni de survente (&lt;30). Cette valeur médiane indique un équilibre entre acheteurs et vendeurs, sans pression directionnelle claire. La décision « Neutre » est appropriée, le titre ne présentant ni excès haussier ni opportunité de rebond technique.</w:t>
      </w:r>
    </w:p>
    <w:p>
      <w:pPr>
        <w:spacing w:after="120" w:line="276" w:lineRule="auto"/>
      </w:pPr>
      <w:r>
        <w:t>**Stochastique** : Le %K (15,39) est nettement inférieur au %D (32,02), et les deux se situent en zone de survente (&lt;20 pour le %K). Cette configuration signale que le titre a été récemment vendu de manière excessive à court terme, ce qui pourrait précéder un rebond technique. La décision « Achat » est justifiée par cette survente, bien que la faiblesse du %K invite à attendre un croisement haussier confirmé.</w:t>
      </w:r>
    </w:p>
    <w:p>
      <w:pPr>
        <w:spacing w:after="120" w:line="276" w:lineRule="auto"/>
      </w:pPr>
      <w:r>
        <w:t>**Conclusion technique** : Les indicateurs présentent une divergence notable : les moyennes mobiles et le stochastique plaident pour un achat (tendance de fond haussière, survente court terme), tandis que le MACD signale une vente (perte de momentum) et que le RSI et les Bollinger restent neutres. Cette configuration mitigée suggère une phase de consolidation avant une reprise éventuelle, avec un risque de correction limitée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Servair Abidjan a réalisé un chiffre d'affaires de 13,298 Mds FCFA, en croissance de +6,67% par rapport à 2024, confirmant la dynamique commerciale positive du secteur aéroportuaire ivoirien. Le résultat net s'établit à 1,351 Mds FCFA, en recul de -12,1% (contre 1,515 Mds FCFA en 2024), principalement en raison d'une charge d'impôt en forte hausse (+46,7% à 839,75 M FCFA). La rentabilité reste solide avec un ROE de 26,18% (excellent, &gt;15%) et un ROA de 14,64%, tandis que la marge nette se maintient à 10,16%. La structure financière est saine : autonomie financière de 55,92%, endettement financier quasi nul (dette financière totale de 65,89 M FCFA seulement), et trésorerie nette de 4,035 Mds FCFA. Le BFR est négatif (257,45 M FCFA), ce qui est favorable, mais le délai client de 70,10 jours reste élevé et constitue un point de vigilance pour la trésorerie. La rotation des actifs (144,13%) et la marge brute (68,49%) témoignent d'une efficacité opérationnelle robuste.</w:t>
      </w:r>
    </w:p>
    <w:p>
      <w:pPr>
        <w:spacing w:after="120" w:line="276" w:lineRule="auto"/>
      </w:pPr>
      <w:r>
        <w:t>**Estimations basées sur les rapports trimestriels** : Le rapport T1 2026 (publié le 30 avril 2026) révèle une croissance modérée du CA (+1,9% à 3,237 Mds FCFA) mais une forte dégradation de la rentabilité, avec un résultat net en chute de -35,6% (222,6 M FCFA contre 345,9 M FCFA au T1 2025) et un résultat des activités ordinaires en recul de -27,4%. Cette contre-performance est attribuée à des ajustements de redevances aéroportuaires et à des tensions géopolitiques au Moyen-Orient affectant les compagnies clientes. Sur la base de ce T1 2026, on estime que l'exercice 2026 devrait enregistrer une contraction du résultat net, possiblement autour de 1,0-1,1 Md FCFA si la tendance se poursuit, avec un CA stable autour de 13,5 Mds FCFA. Le rapport T3 2025 (30 septembre 2025) montrait déjà un redressement (+17,1% de résultat net au T3), mais le T1 2026 remet en cause cette reprise. La société reste néanmoins solide, avec des capitaux propres renforcés à 5,159 Mds FCFA et une trésorerie abondante.</w:t>
      </w:r>
    </w:p>
    <w:p>
      <w:pPr>
        <w:spacing w:after="120" w:line="276" w:lineRule="auto"/>
      </w:pPr>
      <w:r>
        <w:t>**Recommandation fondamentale** : La solidité financière (ROE élevé, endettement nul, trésorerie confortable) contraste avec la dégradation récente de la rentabilité et les risques réglementaires (litige BCEAO, ajustements de redevances). Le titre reste fondamentalement sain mais fait face à des vents contraires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nettement exigeante : PER de 31,8x, P/B de 8,31x et EV/EBITDA de 16,4x intègrent déjà une forte croissance, laissant peu de marge de sécurité. Le comportement du cours (Partie 1) est haussier sur 100 jours (+21,30%) avec une volatilité élevée (43,7%) et une asymétrie positive (skewness +0,818), mais la consolidation récente (-0,63% J-1) et la position proche du plus haut suggèrent un essoufflement. Les signaux techniques (Partie 2) sont divergents : les MM et le stochastique plaident pour un achat, mais le MACD signale une vente et le RSI/Bollinger restent neutres, indiquant une phase d'incertitude. Les fondamentaux (Partie 3) révèlent une entreprise solide (ROE 26,18%, trésorerie nette 4,035 Mds FCFA) mais confrontée à une dégradation de sa rentabilité en 2026 (résultat net T1 -35,6%), ce qui pourrait peser sur les bénéfices futurs. Les prédictions IA (J+1 à J+10) anticipent une baisse progressive de 3 872 FCFA à 3 691 FCFA, soit -6,1% sur 10 jours, confirmant la pression baissière à court terme. **Synthèse** : La convergence entre valorisation élevée, signaux techniques mitigés, dégradation fondamentale récente et prédictions baissières plaide pour une **VENTE** à court terme, avec un niveau de confiance **Moyen** et un risque global **Élevé** (volatilité 43,7%, dépendance au trafic aérien, incertitudes réglementaires). L'horizon optimal est **court terme (&lt;3 mois)** pour profiter de la correction anticipée, mais un investisseur long terme pourrait attendre une meilleure valorisation (PER &lt;20x) avant d'entrer.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494.42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13,284 titres</w:t>
            </w:r>
          </w:p>
        </w:tc>
        <w:tc>
          <w:tcPr>
            <w:tcW w:type="dxa" w:w="2268"/>
            <w:shd w:fill="FFF2CC" w:val="clear"/>
          </w:tcPr>
          <w:p>
            <w:r>
              <w:rPr>
                <w:b/>
                <w:color w:val="503200"/>
                <w:sz w:val="16"/>
              </w:rPr>
              <w:t xml:space="preserve">Cours actuel : </w:t>
            </w:r>
            <w:r>
              <w:rPr>
                <w:color w:val="000000"/>
                <w:sz w:val="17"/>
              </w:rPr>
              <w:t>8,560 FCFA</w:t>
            </w:r>
          </w:p>
          <w:p>
            <w:r>
              <w:rPr>
                <w:b/>
                <w:color w:val="503200"/>
                <w:sz w:val="16"/>
              </w:rPr>
              <w:t xml:space="preserve">Var. 100 jours : </w:t>
            </w:r>
            <w:r>
              <w:rPr>
                <w:b/>
                <w:color w:val="007800"/>
                <w:sz w:val="17"/>
              </w:rPr>
              <w:t>+55.92%</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39.2%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24.88% (Élevée) — μ=7,051 FCFA, σ=1,754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β=0.5531 (Défensif) — Cov=0.000023, Var(idx)=0.000041, ρ=0.160,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13,284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2026-09-24</w:t>
            </w:r>
          </w:p>
        </w:tc>
        <w:tc>
          <w:tcPr>
            <w:tcW w:type="dxa" w:w="1440"/>
            <w:shd w:fill="C6EFCE" w:val="clear"/>
          </w:tcPr>
          <w:p>
            <w:r>
              <w:rPr>
                <w:sz w:val="17"/>
              </w:rPr>
              <w:t>8,718</w:t>
            </w:r>
          </w:p>
        </w:tc>
        <w:tc>
          <w:tcPr>
            <w:tcW w:type="dxa" w:w="1440"/>
            <w:shd w:fill="C6EFCE" w:val="clear"/>
          </w:tcPr>
          <w:p>
            <w:r>
              <w:rPr>
                <w:b/>
                <w:sz w:val="17"/>
              </w:rPr>
              <w:t>9,202</w:t>
            </w:r>
          </w:p>
        </w:tc>
        <w:tc>
          <w:tcPr>
            <w:tcW w:type="dxa" w:w="1440"/>
            <w:shd w:fill="C6EFCE" w:val="clear"/>
          </w:tcPr>
          <w:p>
            <w:r>
              <w:rPr>
                <w:sz w:val="17"/>
              </w:rPr>
              <w:t>9,686</w:t>
            </w:r>
          </w:p>
        </w:tc>
        <w:tc>
          <w:tcPr>
            <w:tcW w:type="dxa" w:w="1440"/>
            <w:shd w:fill="C6EFCE" w:val="clear"/>
          </w:tcPr>
          <w:p>
            <w:r>
              <w:rPr>
                <w:b/>
                <w:color w:val="008000"/>
                <w:sz w:val="17"/>
              </w:rPr>
              <w:t>+7.5%</w:t>
            </w:r>
          </w:p>
        </w:tc>
      </w:tr>
      <w:tr>
        <w:tc>
          <w:tcPr>
            <w:tcW w:type="dxa" w:w="1440"/>
            <w:shd w:fill="C6EFCE" w:val="clear"/>
          </w:tcPr>
          <w:p>
            <w:r>
              <w:rPr>
                <w:sz w:val="17"/>
              </w:rPr>
              <w:t>J+2  ⭐</w:t>
            </w:r>
          </w:p>
        </w:tc>
        <w:tc>
          <w:tcPr>
            <w:tcW w:type="dxa" w:w="1440"/>
            <w:shd w:fill="C6EFCE" w:val="clear"/>
          </w:tcPr>
          <w:p>
            <w:r>
              <w:rPr>
                <w:sz w:val="17"/>
              </w:rPr>
              <w:t>2026-09-25</w:t>
            </w:r>
          </w:p>
        </w:tc>
        <w:tc>
          <w:tcPr>
            <w:tcW w:type="dxa" w:w="1440"/>
            <w:shd w:fill="C6EFCE" w:val="clear"/>
          </w:tcPr>
          <w:p>
            <w:r>
              <w:rPr>
                <w:sz w:val="17"/>
              </w:rPr>
              <w:t>8,640</w:t>
            </w:r>
          </w:p>
        </w:tc>
        <w:tc>
          <w:tcPr>
            <w:tcW w:type="dxa" w:w="1440"/>
            <w:shd w:fill="C6EFCE" w:val="clear"/>
          </w:tcPr>
          <w:p>
            <w:r>
              <w:rPr>
                <w:b/>
                <w:sz w:val="17"/>
              </w:rPr>
              <w:t>9,335</w:t>
            </w:r>
          </w:p>
        </w:tc>
        <w:tc>
          <w:tcPr>
            <w:tcW w:type="dxa" w:w="1440"/>
            <w:shd w:fill="C6EFCE" w:val="clear"/>
          </w:tcPr>
          <w:p>
            <w:r>
              <w:rPr>
                <w:sz w:val="17"/>
              </w:rPr>
              <w:t>10,030</w:t>
            </w:r>
          </w:p>
        </w:tc>
        <w:tc>
          <w:tcPr>
            <w:tcW w:type="dxa" w:w="1440"/>
            <w:shd w:fill="C6EFCE" w:val="clear"/>
          </w:tcPr>
          <w:p>
            <w:r>
              <w:rPr>
                <w:b/>
                <w:color w:val="008000"/>
                <w:sz w:val="17"/>
              </w:rPr>
              <w:t>+9.1%</w:t>
            </w:r>
          </w:p>
        </w:tc>
      </w:tr>
      <w:tr>
        <w:tc>
          <w:tcPr>
            <w:tcW w:type="dxa" w:w="1440"/>
            <w:shd w:fill="C6EFCE" w:val="clear"/>
          </w:tcPr>
          <w:p>
            <w:r>
              <w:rPr>
                <w:sz w:val="17"/>
              </w:rPr>
              <w:t>J+3  ⭐</w:t>
            </w:r>
          </w:p>
        </w:tc>
        <w:tc>
          <w:tcPr>
            <w:tcW w:type="dxa" w:w="1440"/>
            <w:shd w:fill="C6EFCE" w:val="clear"/>
          </w:tcPr>
          <w:p>
            <w:r>
              <w:rPr>
                <w:sz w:val="17"/>
              </w:rPr>
              <w:t>2026-09-28</w:t>
            </w:r>
          </w:p>
        </w:tc>
        <w:tc>
          <w:tcPr>
            <w:tcW w:type="dxa" w:w="1440"/>
            <w:shd w:fill="C6EFCE" w:val="clear"/>
          </w:tcPr>
          <w:p>
            <w:r>
              <w:rPr>
                <w:sz w:val="17"/>
              </w:rPr>
              <w:t>8,457</w:t>
            </w:r>
          </w:p>
        </w:tc>
        <w:tc>
          <w:tcPr>
            <w:tcW w:type="dxa" w:w="1440"/>
            <w:shd w:fill="C6EFCE" w:val="clear"/>
          </w:tcPr>
          <w:p>
            <w:r>
              <w:rPr>
                <w:b/>
                <w:sz w:val="17"/>
              </w:rPr>
              <w:t>9,305</w:t>
            </w:r>
          </w:p>
        </w:tc>
        <w:tc>
          <w:tcPr>
            <w:tcW w:type="dxa" w:w="1440"/>
            <w:shd w:fill="C6EFCE" w:val="clear"/>
          </w:tcPr>
          <w:p>
            <w:r>
              <w:rPr>
                <w:sz w:val="17"/>
              </w:rPr>
              <w:t>10,153</w:t>
            </w:r>
          </w:p>
        </w:tc>
        <w:tc>
          <w:tcPr>
            <w:tcW w:type="dxa" w:w="1440"/>
            <w:shd w:fill="C6EFCE" w:val="clear"/>
          </w:tcPr>
          <w:p>
            <w:r>
              <w:rPr>
                <w:b/>
                <w:color w:val="008000"/>
                <w:sz w:val="17"/>
              </w:rPr>
              <w:t>+8.7%</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8,311</w:t>
            </w:r>
          </w:p>
        </w:tc>
        <w:tc>
          <w:tcPr>
            <w:tcW w:type="dxa" w:w="1440"/>
            <w:shd w:fill="C6EFCE" w:val="clear"/>
          </w:tcPr>
          <w:p>
            <w:r>
              <w:rPr>
                <w:b/>
                <w:sz w:val="17"/>
              </w:rPr>
              <w:t>9,288</w:t>
            </w:r>
          </w:p>
        </w:tc>
        <w:tc>
          <w:tcPr>
            <w:tcW w:type="dxa" w:w="1440"/>
            <w:shd w:fill="C6EFCE" w:val="clear"/>
          </w:tcPr>
          <w:p>
            <w:r>
              <w:rPr>
                <w:sz w:val="17"/>
              </w:rPr>
              <w:t>10,266</w:t>
            </w:r>
          </w:p>
        </w:tc>
        <w:tc>
          <w:tcPr>
            <w:tcW w:type="dxa" w:w="1440"/>
            <w:shd w:fill="C6EFCE" w:val="clear"/>
          </w:tcPr>
          <w:p>
            <w:r>
              <w:rPr>
                <w:b/>
                <w:color w:val="008000"/>
                <w:sz w:val="17"/>
              </w:rPr>
              <w:t>+8.5%</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8,185</w:t>
            </w:r>
          </w:p>
        </w:tc>
        <w:tc>
          <w:tcPr>
            <w:tcW w:type="dxa" w:w="1440"/>
            <w:shd w:fill="C6EFCE" w:val="clear"/>
          </w:tcPr>
          <w:p>
            <w:r>
              <w:rPr>
                <w:b/>
                <w:sz w:val="17"/>
              </w:rPr>
              <w:t>9,277</w:t>
            </w:r>
          </w:p>
        </w:tc>
        <w:tc>
          <w:tcPr>
            <w:tcW w:type="dxa" w:w="1440"/>
            <w:shd w:fill="C6EFCE" w:val="clear"/>
          </w:tcPr>
          <w:p>
            <w:r>
              <w:rPr>
                <w:sz w:val="17"/>
              </w:rPr>
              <w:t>10,369</w:t>
            </w:r>
          </w:p>
        </w:tc>
        <w:tc>
          <w:tcPr>
            <w:tcW w:type="dxa" w:w="1440"/>
            <w:shd w:fill="C6EFCE" w:val="clear"/>
          </w:tcPr>
          <w:p>
            <w:r>
              <w:rPr>
                <w:b/>
                <w:color w:val="008000"/>
                <w:sz w:val="17"/>
              </w:rPr>
              <w:t>+8.4%</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8,074</w:t>
            </w:r>
          </w:p>
        </w:tc>
        <w:tc>
          <w:tcPr>
            <w:tcW w:type="dxa" w:w="1440"/>
            <w:shd w:fill="C6EFCE" w:val="clear"/>
          </w:tcPr>
          <w:p>
            <w:r>
              <w:rPr>
                <w:b/>
                <w:sz w:val="17"/>
              </w:rPr>
              <w:t>9,269</w:t>
            </w:r>
          </w:p>
        </w:tc>
        <w:tc>
          <w:tcPr>
            <w:tcW w:type="dxa" w:w="1440"/>
            <w:shd w:fill="C6EFCE" w:val="clear"/>
          </w:tcPr>
          <w:p>
            <w:r>
              <w:rPr>
                <w:sz w:val="17"/>
              </w:rPr>
              <w:t>10,464</w:t>
            </w:r>
          </w:p>
        </w:tc>
        <w:tc>
          <w:tcPr>
            <w:tcW w:type="dxa" w:w="1440"/>
            <w:shd w:fill="C6EFCE" w:val="clear"/>
          </w:tcPr>
          <w:p>
            <w:r>
              <w:rPr>
                <w:b/>
                <w:color w:val="008000"/>
                <w:sz w:val="17"/>
              </w:rPr>
              <w:t>+8.3%</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7,972</w:t>
            </w:r>
          </w:p>
        </w:tc>
        <w:tc>
          <w:tcPr>
            <w:tcW w:type="dxa" w:w="1440"/>
            <w:shd w:fill="C6EFCE" w:val="clear"/>
          </w:tcPr>
          <w:p>
            <w:r>
              <w:rPr>
                <w:b/>
                <w:sz w:val="17"/>
              </w:rPr>
              <w:t>9,262</w:t>
            </w:r>
          </w:p>
        </w:tc>
        <w:tc>
          <w:tcPr>
            <w:tcW w:type="dxa" w:w="1440"/>
            <w:shd w:fill="C6EFCE" w:val="clear"/>
          </w:tcPr>
          <w:p>
            <w:r>
              <w:rPr>
                <w:sz w:val="17"/>
              </w:rPr>
              <w:t>10,552</w:t>
            </w:r>
          </w:p>
        </w:tc>
        <w:tc>
          <w:tcPr>
            <w:tcW w:type="dxa" w:w="1440"/>
            <w:shd w:fill="C6EFCE" w:val="clear"/>
          </w:tcPr>
          <w:p>
            <w:r>
              <w:rPr>
                <w:b/>
                <w:color w:val="008000"/>
                <w:sz w:val="17"/>
              </w:rPr>
              <w:t>+8.2%</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7,879</w:t>
            </w:r>
          </w:p>
        </w:tc>
        <w:tc>
          <w:tcPr>
            <w:tcW w:type="dxa" w:w="1440"/>
            <w:shd w:fill="C6EFCE" w:val="clear"/>
          </w:tcPr>
          <w:p>
            <w:r>
              <w:rPr>
                <w:b/>
                <w:sz w:val="17"/>
              </w:rPr>
              <w:t>9,257</w:t>
            </w:r>
          </w:p>
        </w:tc>
        <w:tc>
          <w:tcPr>
            <w:tcW w:type="dxa" w:w="1440"/>
            <w:shd w:fill="C6EFCE" w:val="clear"/>
          </w:tcPr>
          <w:p>
            <w:r>
              <w:rPr>
                <w:sz w:val="17"/>
              </w:rPr>
              <w:t>10,635</w:t>
            </w:r>
          </w:p>
        </w:tc>
        <w:tc>
          <w:tcPr>
            <w:tcW w:type="dxa" w:w="1440"/>
            <w:shd w:fill="C6EFCE" w:val="clear"/>
          </w:tcPr>
          <w:p>
            <w:r>
              <w:rPr>
                <w:b/>
                <w:color w:val="008000"/>
                <w:sz w:val="17"/>
              </w:rPr>
              <w:t>+8.1%</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7,791</w:t>
            </w:r>
          </w:p>
        </w:tc>
        <w:tc>
          <w:tcPr>
            <w:tcW w:type="dxa" w:w="1440"/>
            <w:shd w:fill="C6EFCE" w:val="clear"/>
          </w:tcPr>
          <w:p>
            <w:r>
              <w:rPr>
                <w:b/>
                <w:sz w:val="17"/>
              </w:rPr>
              <w:t>9,252</w:t>
            </w:r>
          </w:p>
        </w:tc>
        <w:tc>
          <w:tcPr>
            <w:tcW w:type="dxa" w:w="1440"/>
            <w:shd w:fill="C6EFCE" w:val="clear"/>
          </w:tcPr>
          <w:p>
            <w:r>
              <w:rPr>
                <w:sz w:val="17"/>
              </w:rPr>
              <w:t>10,713</w:t>
            </w:r>
          </w:p>
        </w:tc>
        <w:tc>
          <w:tcPr>
            <w:tcW w:type="dxa" w:w="1440"/>
            <w:shd w:fill="C6EFCE" w:val="clear"/>
          </w:tcPr>
          <w:p>
            <w:r>
              <w:rPr>
                <w:b/>
                <w:color w:val="008000"/>
                <w:sz w:val="17"/>
              </w:rPr>
              <w:t>+8.1%</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7,709</w:t>
            </w:r>
          </w:p>
        </w:tc>
        <w:tc>
          <w:tcPr>
            <w:tcW w:type="dxa" w:w="1440"/>
            <w:shd w:fill="C6EFCE" w:val="clear"/>
          </w:tcPr>
          <w:p>
            <w:r>
              <w:rPr>
                <w:b/>
                <w:sz w:val="17"/>
              </w:rPr>
              <w:t>9,248</w:t>
            </w:r>
          </w:p>
        </w:tc>
        <w:tc>
          <w:tcPr>
            <w:tcW w:type="dxa" w:w="1440"/>
            <w:shd w:fill="C6EFCE" w:val="clear"/>
          </w:tcPr>
          <w:p>
            <w:r>
              <w:rPr>
                <w:sz w:val="17"/>
              </w:rPr>
              <w:t>10,788</w:t>
            </w:r>
          </w:p>
        </w:tc>
        <w:tc>
          <w:tcPr>
            <w:tcW w:type="dxa" w:w="1440"/>
            <w:shd w:fill="C6EFCE" w:val="clear"/>
          </w:tcPr>
          <w:p>
            <w:r>
              <w:rPr>
                <w:b/>
                <w:color w:val="008000"/>
                <w:sz w:val="17"/>
              </w:rPr>
              <w:t>+8.0%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ACTION BICB (BRVM)**</w:t>
        <w:br/>
        <w:t>*Banque Internationale pour l'Industrie et le Commerce (Bénin)*</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494,42 milliards FCFA, BICB s'impose comme l'une des plus importantes capitalisations de la BRVM, ce qui témoigne de la solidité et de la visibilité de l'établissement au sein du compartiment bancaire régional. Le BPA de 627 FCFA par action signifie que chaque titre génère près de 627 FCFA de bénéfice net, un niveau élevé qui reflète la forte rentabilité de la banque. Le PER de 13,6x se situe légèrement au-dessus de la moyenne du marché BRVM (8-12x), ce qui indique que les investisseurs acceptent de payer une prime modérée pour cette valeur bancaire de qualité, sans pour autant que la valorisation apparaisse excessive. Le P/B de 3,66x montre que le marché valorise l'action à plus de trois fois sa valeur comptable, une prime de croissance justifiée par un ROE exceptionnel de 26,8% (2025). En revanche, l'EV/EBITDA de 24,2x apparaît très exigeant (seuil &gt;15x), signalant que la valeur d'entreprise intègre déjà une anticipation de forte croissance opérationnelle, ce qui laisse peu de marge d'erreur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BICB a enregistré une progression spectaculaire de +55,92%, passant d'un plus bas de 5 105 FCFA à un plus haut de 10 790 FCFA, avant de se replier à 8 560 FCFA, soit une correction de -7,46% lors de la dernière séance. Le range de trading de 5 685 FCFA (soit plus du double du plus bas) traduit une dynamique haussière puissante, bien que la récente contraction suggère une prise de profit après le rallye. La moyenne du cours (7 051 FCFA) est nettement supérieure à la médiane (6 385 FCFA), ce qui confirme une asymétrie positive (skewness de 0,684) : le titre a passé plus de journées sous sa moyenne, mais quelques séances de forte hausse ont tiré la moyenne vers le haut. L'écart-type de 1 763 FCFA (CV de 25,0%) indique une dispersion modérée à élevée du cours, cohérente avec un titre en forte tendance. Le kurtosis de -0,826 (mésokurtique) suggère une distribution proche de la normale, sans pics extrêmes fréquents, ce qui est rassurant pour la gestion du risque. Enfin, la volatilité annualisée de 39,2% classe BICB parmi les titres à volatilité élevée (&gt;30%), ce qui implique un potentiel de gain attractif mais aussi un risque de correction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(9 863,75 FCFA) est supérieure à la MM50 (8 507,5 FCFA), ce qui confirme une tendance haussière de fond. Cependant, le cours actuel (8 560 FCFA) se situe en dessous de la MM20, signalant une pression baissière de court terme. La décision « Achat » suggérée par le croisement MM20 &gt; MM50 reste valide, mais la position du cours sous la MM20 invite à la prudence.</w:t>
      </w:r>
    </w:p>
    <w:p>
      <w:pPr>
        <w:spacing w:after="120" w:line="276" w:lineRule="auto"/>
      </w:pPr>
      <w:r>
        <w:t>**Bandes de Bollinger** : Le cours (8 560 FCFA) évolue près de la borne inférieure (8 356,955 FCFA), tandis que la borne supérieure se situe à 11 370,545 FCFA. Cette position basse dans le canal suggère que le titre est survendu à court terme et pourrait rebondir vers la moyenne mobile. La décision « Neutre » reflète l'absence de signal directionnel fort, mais la proximité de la borne inférieure constitue un support potentiel.</w:t>
      </w:r>
    </w:p>
    <w:p>
      <w:pPr>
        <w:spacing w:after="120" w:line="276" w:lineRule="auto"/>
      </w:pPr>
      <w:r>
        <w:t>**MACD** : La valeur du MACD (318,932) est inférieure à son signal (567,664), ce qui génère une divergence baissière et justifie la décision « Vente ». Le momentum s'affaiblit, confirmant la correction en cours. Un croisement à la baisse du MACD sous son signal est un signal de prudence à court terme.</w:t>
      </w:r>
    </w:p>
    <w:p>
      <w:pPr>
        <w:spacing w:after="120" w:line="276" w:lineRule="auto"/>
      </w:pPr>
      <w:r>
        <w:t>**RSI** : Avec une valeur de 29,551, le RSI se situe juste en dessous du seuil de survente (30), ce qui déclenche une décision « Achat ». Le titre est techniquement survendu, ce qui suggère un potentiel de rebond à court terme, mais la faiblesse du momentum doit être surveillée.</w:t>
      </w:r>
    </w:p>
    <w:p>
      <w:pPr>
        <w:spacing w:after="120" w:line="276" w:lineRule="auto"/>
      </w:pPr>
      <w:r>
        <w:t>**Stochastique** : Le %K (0,0) est nettement inférieur au %D (11,204), signalant une situation de survente extrême. La décision « Achat » est cohérente avec ce positionnement, mais l'absence de croisement haussier du %K au-dessus du %D invite à attendre une confirmation avant d'agir.</w:t>
      </w:r>
    </w:p>
    <w:p>
      <w:pPr>
        <w:spacing w:after="120" w:line="276" w:lineRule="auto"/>
      </w:pPr>
      <w:r>
        <w:t>**Conclusion technique** : Les indicateurs sont partagés : les moyennes mobiles et le RSI/Stochastique plaident pour un rebond (survente), tandis que le MACD et la position du cours sous la MM20 confirment une pression baissière de court terme. La convergence des signaux de survente (RSI &lt;30, Stochastique à 0, cours proche de la borne inférieure de Bollinger) suggère qu'un rebond technique est probable, mais la prudence reste de mise tant que le MACD ne s'inverse pas. Un retour au-dessus de la MM20 (9 863 FCFA) serait un signal haussier fort.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BICB a publié des états financiers IFRS audités (rapport des commissaires aux comptes daté du 12 juin 2026) affichant un Produit Net Bancaire (PNB) de 52,805 milliards FCFA, en croissance de 16,5% sur un an, et un résultat net de 36,237 milliards FCFA (+24,7%). Le ROE s'établit à 26,82% et le ROA à 1,96%, des niveaux excellents pour le secteur bancaire. Le coefficient d'exploitation de 31,12% est remarquablement bas (&lt;60% = banque très efficace), témoignant d'une maîtrise exemplaire des charges. Le coût du risque (9,61% des charges financières) reste modéré, mais les rapports trimestriels de 2025 (S1 et T3) signalent une dégradation : au S1 2025, le coût du risque a explosé à 7,905 milliards FCFA (contre 1,495 milliard au S1 2024), entraînant une chute du résultat net de -26,7% à 7,903 milliards FCFA. Le T3 2025 (rapport du 30 septembre 2025) confirme cette tendance avec un résultat net cumulé de 13,128 milliards FCFA (-9% sur un an), malgré un PNB en hausse de 26% à 35,945 milliards FCFA. La direction justifie cette pression par une « politique prudente de provisionnement » dans un contexte de croissance agressive des crédits (+30% depuis fin 2024). Les rapports plus récents (T1 2026 et S1 2026) montrent une nette amélioration : au T1 2026, le résultat net bondit de +48% à 8,0 milliards FCFA pour un PNB de 14,6 milliards FCFA (+35%), et au S1 2026, le PNB atteint 31,882 milliards FCFA (+19%) avec un résultat net de 18,368 milliards FCFA (+11%). Le coût du risque redevient une charge de 3,579 milliards FCFA (contre un produit net de 2,376 milliards au S1 2025), mais les dotations nettes reculent de 13% à 6,100 milliards FCFA, et le taux de couverture des crédits bruts est porté à 1,65%. On estime que l'exercice 2026 devrait afficher un PNB annuel proche de 65-68 milliards FCFA (sur la base du S1 2026 annualisé) et un résultat net de l'ordre de 36-38 milliards FCFA, confirmant la solidité du modèle. Les principaux risques identifiés par les commissaires aux comptes (rapport 2025) incluent le risque de crédit (encours de prêts de 1 461 milliards FCFA), les faiblesses du système d'information pour le déclassement automatique des créances, et la transition IFRS. La banque affiche néanmoins une solvabilité solide (ratio de 19,64% vs 11,5% réglementaire) et une position de leader au Bénin. La recommandation fondamentale est de **CONSERVER** le titre, en attendant la confirmation de la normalisation du coût du risque et la publication des résultats annuels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BICB (PER de 13,6x, P/B de 3,66x, EV/EBITDA de 24,2x) indique une prime modérée à élevée par rapport au marché BRVM, justifiée par un ROE exceptionnel de 26,8% et une position de leader, mais l'EV/EBITDA très exigeant laisse peu de marge d'erreur. Le comportement du cours sur 100 jours (+55,92%) est haussier, mais la correction récente (-7,46% en J-1) et la volatilité élevée (39,2%) suggèrent une prise de profit après le rallye ; les statistiques (skewness positif, kurtosis mésokurtique) indiquent une distribution relativement équilibrée, sans risque extrême de pics. Les signaux techniques sont mitigés : le RSI (29,55) et le Stochastique (0,0) plaident pour un rebond technique (survente), mais le MACD baissier et la position du cours sous la MM20 confirment une pression de court terme. Les fondamentaux sont solides (PNB 2025 de 52,8 milliards FCFA, résultat net de 36,2 milliards FCFA, ROE de 26,8%), et les rapports trimestriels 2026 (T1 et S1) montrent une nette amélioration de la rentabilité (+48% au T1 2026), bien que le coût du risque reste un point de vigilance. Les prédictions IA pour les 10 prochains jours (9 202 FCFA à 9 335 FCFA) anticipent un rebond de +7,5% à +9% par rapport au cours actuel (8 560 FCFA), ce qui confirme les signaux de survente technique et la solidité fondamentale. Sur la base de cette synthèse, la recommandation finale est **CONSERVER** avec un biais haussier à moyen terme : les investisseurs déjà positionnés peuvent conserver le titre en anticipant un rebond technique, tandis que les nouveaux entrants peuvent envisager un achat progressif sur repli, en surveillant la normalisation du coût du risque. Le niveau de confiance est **Moyen** (les signaux techniques et fondamentaux sont partiellement divergents à court terme), et le niveau de risque global est **Moyen à Élevé** (volatilité de 39,2%, sensibilité au risque de crédit). L'horizon d'investissement optimal est le **moyen terme (3-12 mois)**, le temps que la banque confirme la maîtrise de son coût du risque et que la croissance du PNB se traduise pleinement en résultat net.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495.75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681 titres</w:t>
            </w:r>
          </w:p>
        </w:tc>
        <w:tc>
          <w:tcPr>
            <w:tcW w:type="dxa" w:w="2268"/>
            <w:shd w:fill="FFF2CC" w:val="clear"/>
          </w:tcPr>
          <w:p>
            <w:r>
              <w:rPr>
                <w:b/>
                <w:color w:val="503200"/>
                <w:sz w:val="16"/>
              </w:rPr>
              <w:t xml:space="preserve">Cours actuel : </w:t>
            </w:r>
            <w:r>
              <w:rPr>
                <w:color w:val="000000"/>
                <w:sz w:val="17"/>
              </w:rPr>
              <w:t>29,745 FCFA</w:t>
            </w:r>
          </w:p>
          <w:p>
            <w:r>
              <w:rPr>
                <w:b/>
                <w:color w:val="503200"/>
                <w:sz w:val="16"/>
              </w:rPr>
              <w:t xml:space="preserve">Var. 100 jours : </w:t>
            </w:r>
            <w:r>
              <w:rPr>
                <w:b/>
                <w:color w:val="007800"/>
                <w:sz w:val="17"/>
              </w:rPr>
              <w:t>+19.70%</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24,445 FCFA</w:t>
            </w:r>
          </w:p>
          <w:p>
            <w:r>
              <w:rPr>
                <w:b/>
                <w:color w:val="503200"/>
                <w:sz w:val="16"/>
              </w:rPr>
              <w:t xml:space="preserve">Volatilité ann. : </w:t>
            </w:r>
            <w:r>
              <w:rPr>
                <w:color w:val="000000"/>
                <w:sz w:val="17"/>
              </w:rPr>
              <w:t>29.6%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6.70% (Moyenne) — μ=28,791 FCFA, σ=1,928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β=0.6005 (Défensif) — Cov=0.000024, Var(idx)=0.000041, ρ=0.213,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681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σ_j=1.86%/j (Stable) — Vol. annualisée≈29.6%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2026-09-24</w:t>
            </w:r>
          </w:p>
        </w:tc>
        <w:tc>
          <w:tcPr>
            <w:tcW w:type="dxa" w:w="1440"/>
            <w:shd w:fill="C6EFCE" w:val="clear"/>
          </w:tcPr>
          <w:p>
            <w:r>
              <w:rPr>
                <w:sz w:val="17"/>
              </w:rPr>
              <w:t>29,449</w:t>
            </w:r>
          </w:p>
        </w:tc>
        <w:tc>
          <w:tcPr>
            <w:tcW w:type="dxa" w:w="1440"/>
            <w:shd w:fill="C6EFCE" w:val="clear"/>
          </w:tcPr>
          <w:p>
            <w:r>
              <w:rPr>
                <w:b/>
                <w:sz w:val="17"/>
              </w:rPr>
              <w:t>30,673</w:t>
            </w:r>
          </w:p>
        </w:tc>
        <w:tc>
          <w:tcPr>
            <w:tcW w:type="dxa" w:w="1440"/>
            <w:shd w:fill="C6EFCE" w:val="clear"/>
          </w:tcPr>
          <w:p>
            <w:r>
              <w:rPr>
                <w:sz w:val="17"/>
              </w:rPr>
              <w:t>31,897</w:t>
            </w:r>
          </w:p>
        </w:tc>
        <w:tc>
          <w:tcPr>
            <w:tcW w:type="dxa" w:w="1440"/>
            <w:shd w:fill="C6EFCE" w:val="clear"/>
          </w:tcPr>
          <w:p>
            <w:r>
              <w:rPr>
                <w:b/>
                <w:color w:val="008000"/>
                <w:sz w:val="17"/>
              </w:rPr>
              <w:t>+3.1%</w:t>
            </w:r>
          </w:p>
        </w:tc>
      </w:tr>
      <w:tr>
        <w:tc>
          <w:tcPr>
            <w:tcW w:type="dxa" w:w="1440"/>
            <w:shd w:fill="C6EFCE" w:val="clear"/>
          </w:tcPr>
          <w:p>
            <w:r>
              <w:rPr>
                <w:sz w:val="17"/>
              </w:rPr>
              <w:t>J+2  Moyenne</w:t>
            </w:r>
          </w:p>
        </w:tc>
        <w:tc>
          <w:tcPr>
            <w:tcW w:type="dxa" w:w="1440"/>
            <w:shd w:fill="C6EFCE" w:val="clear"/>
          </w:tcPr>
          <w:p>
            <w:r>
              <w:rPr>
                <w:sz w:val="17"/>
              </w:rPr>
              <w:t>2026-09-25</w:t>
            </w:r>
          </w:p>
        </w:tc>
        <w:tc>
          <w:tcPr>
            <w:tcW w:type="dxa" w:w="1440"/>
            <w:shd w:fill="C6EFCE" w:val="clear"/>
          </w:tcPr>
          <w:p>
            <w:r>
              <w:rPr>
                <w:sz w:val="17"/>
              </w:rPr>
              <w:t>28,805</w:t>
            </w:r>
          </w:p>
        </w:tc>
        <w:tc>
          <w:tcPr>
            <w:tcW w:type="dxa" w:w="1440"/>
            <w:shd w:fill="C6EFCE" w:val="clear"/>
          </w:tcPr>
          <w:p>
            <w:r>
              <w:rPr>
                <w:b/>
                <w:sz w:val="17"/>
              </w:rPr>
              <w:t>30,528</w:t>
            </w:r>
          </w:p>
        </w:tc>
        <w:tc>
          <w:tcPr>
            <w:tcW w:type="dxa" w:w="1440"/>
            <w:shd w:fill="C6EFCE" w:val="clear"/>
          </w:tcPr>
          <w:p>
            <w:r>
              <w:rPr>
                <w:sz w:val="17"/>
              </w:rPr>
              <w:t>32,251</w:t>
            </w:r>
          </w:p>
        </w:tc>
        <w:tc>
          <w:tcPr>
            <w:tcW w:type="dxa" w:w="1440"/>
            <w:shd w:fill="C6EFCE" w:val="clear"/>
          </w:tcPr>
          <w:p>
            <w:r>
              <w:rPr>
                <w:b/>
                <w:color w:val="008000"/>
                <w:sz w:val="17"/>
              </w:rPr>
              <w:t>+2.6%</w:t>
            </w:r>
          </w:p>
        </w:tc>
      </w:tr>
      <w:tr>
        <w:tc>
          <w:tcPr>
            <w:tcW w:type="dxa" w:w="1440"/>
            <w:shd w:fill="C6EFCE" w:val="clear"/>
          </w:tcPr>
          <w:p>
            <w:r>
              <w:rPr>
                <w:sz w:val="17"/>
              </w:rPr>
              <w:t>J+3  Moyenne</w:t>
            </w:r>
          </w:p>
        </w:tc>
        <w:tc>
          <w:tcPr>
            <w:tcW w:type="dxa" w:w="1440"/>
            <w:shd w:fill="C6EFCE" w:val="clear"/>
          </w:tcPr>
          <w:p>
            <w:r>
              <w:rPr>
                <w:sz w:val="17"/>
              </w:rPr>
              <w:t>2026-09-28</w:t>
            </w:r>
          </w:p>
        </w:tc>
        <w:tc>
          <w:tcPr>
            <w:tcW w:type="dxa" w:w="1440"/>
            <w:shd w:fill="C6EFCE" w:val="clear"/>
          </w:tcPr>
          <w:p>
            <w:r>
              <w:rPr>
                <w:sz w:val="17"/>
              </w:rPr>
              <w:t>28,408</w:t>
            </w:r>
          </w:p>
        </w:tc>
        <w:tc>
          <w:tcPr>
            <w:tcW w:type="dxa" w:w="1440"/>
            <w:shd w:fill="C6EFCE" w:val="clear"/>
          </w:tcPr>
          <w:p>
            <w:r>
              <w:rPr>
                <w:b/>
                <w:sz w:val="17"/>
              </w:rPr>
              <w:t>30,518</w:t>
            </w:r>
          </w:p>
        </w:tc>
        <w:tc>
          <w:tcPr>
            <w:tcW w:type="dxa" w:w="1440"/>
            <w:shd w:fill="C6EFCE" w:val="clear"/>
          </w:tcPr>
          <w:p>
            <w:r>
              <w:rPr>
                <w:sz w:val="17"/>
              </w:rPr>
              <w:t>32,628</w:t>
            </w:r>
          </w:p>
        </w:tc>
        <w:tc>
          <w:tcPr>
            <w:tcW w:type="dxa" w:w="1440"/>
            <w:shd w:fill="C6EFCE" w:val="clear"/>
          </w:tcPr>
          <w:p>
            <w:r>
              <w:rPr>
                <w:b/>
                <w:color w:val="008000"/>
                <w:sz w:val="17"/>
              </w:rPr>
              <w:t>+2.6%</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28,065</w:t>
            </w:r>
          </w:p>
        </w:tc>
        <w:tc>
          <w:tcPr>
            <w:tcW w:type="dxa" w:w="1440"/>
            <w:shd w:fill="C6EFCE" w:val="clear"/>
          </w:tcPr>
          <w:p>
            <w:r>
              <w:rPr>
                <w:b/>
                <w:sz w:val="17"/>
              </w:rPr>
              <w:t>30,500</w:t>
            </w:r>
          </w:p>
        </w:tc>
        <w:tc>
          <w:tcPr>
            <w:tcW w:type="dxa" w:w="1440"/>
            <w:shd w:fill="C6EFCE" w:val="clear"/>
          </w:tcPr>
          <w:p>
            <w:r>
              <w:rPr>
                <w:sz w:val="17"/>
              </w:rPr>
              <w:t>32,935</w:t>
            </w:r>
          </w:p>
        </w:tc>
        <w:tc>
          <w:tcPr>
            <w:tcW w:type="dxa" w:w="1440"/>
            <w:shd w:fill="C6EFCE" w:val="clear"/>
          </w:tcPr>
          <w:p>
            <w:r>
              <w:rPr>
                <w:b/>
                <w:color w:val="008000"/>
                <w:sz w:val="17"/>
              </w:rPr>
              <w:t>+2.5%</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27,744</w:t>
            </w:r>
          </w:p>
        </w:tc>
        <w:tc>
          <w:tcPr>
            <w:tcW w:type="dxa" w:w="1440"/>
            <w:shd w:fill="C6EFCE" w:val="clear"/>
          </w:tcPr>
          <w:p>
            <w:r>
              <w:rPr>
                <w:b/>
                <w:sz w:val="17"/>
              </w:rPr>
              <w:t>30,463</w:t>
            </w:r>
          </w:p>
        </w:tc>
        <w:tc>
          <w:tcPr>
            <w:tcW w:type="dxa" w:w="1440"/>
            <w:shd w:fill="C6EFCE" w:val="clear"/>
          </w:tcPr>
          <w:p>
            <w:r>
              <w:rPr>
                <w:sz w:val="17"/>
              </w:rPr>
              <w:t>33,182</w:t>
            </w:r>
          </w:p>
        </w:tc>
        <w:tc>
          <w:tcPr>
            <w:tcW w:type="dxa" w:w="1440"/>
            <w:shd w:fill="C6EFCE" w:val="clear"/>
          </w:tcPr>
          <w:p>
            <w:r>
              <w:rPr>
                <w:b/>
                <w:color w:val="008000"/>
                <w:sz w:val="17"/>
              </w:rPr>
              <w:t>+2.4%</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27,445</w:t>
            </w:r>
          </w:p>
        </w:tc>
        <w:tc>
          <w:tcPr>
            <w:tcW w:type="dxa" w:w="1440"/>
            <w:shd w:fill="C6EFCE" w:val="clear"/>
          </w:tcPr>
          <w:p>
            <w:r>
              <w:rPr>
                <w:b/>
                <w:sz w:val="17"/>
              </w:rPr>
              <w:t>30,419</w:t>
            </w:r>
          </w:p>
        </w:tc>
        <w:tc>
          <w:tcPr>
            <w:tcW w:type="dxa" w:w="1440"/>
            <w:shd w:fill="C6EFCE" w:val="clear"/>
          </w:tcPr>
          <w:p>
            <w:r>
              <w:rPr>
                <w:sz w:val="17"/>
              </w:rPr>
              <w:t>33,393</w:t>
            </w:r>
          </w:p>
        </w:tc>
        <w:tc>
          <w:tcPr>
            <w:tcW w:type="dxa" w:w="1440"/>
            <w:shd w:fill="C6EFCE" w:val="clear"/>
          </w:tcPr>
          <w:p>
            <w:r>
              <w:rPr>
                <w:b/>
                <w:color w:val="008000"/>
                <w:sz w:val="17"/>
              </w:rPr>
              <w:t>+2.3%</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27,168</w:t>
            </w:r>
          </w:p>
        </w:tc>
        <w:tc>
          <w:tcPr>
            <w:tcW w:type="dxa" w:w="1440"/>
            <w:shd w:fill="C6EFCE" w:val="clear"/>
          </w:tcPr>
          <w:p>
            <w:r>
              <w:rPr>
                <w:b/>
                <w:sz w:val="17"/>
              </w:rPr>
              <w:t>30,376</w:t>
            </w:r>
          </w:p>
        </w:tc>
        <w:tc>
          <w:tcPr>
            <w:tcW w:type="dxa" w:w="1440"/>
            <w:shd w:fill="C6EFCE" w:val="clear"/>
          </w:tcPr>
          <w:p>
            <w:r>
              <w:rPr>
                <w:sz w:val="17"/>
              </w:rPr>
              <w:t>33,584</w:t>
            </w:r>
          </w:p>
        </w:tc>
        <w:tc>
          <w:tcPr>
            <w:tcW w:type="dxa" w:w="1440"/>
            <w:shd w:fill="C6EFCE" w:val="clear"/>
          </w:tcPr>
          <w:p>
            <w:r>
              <w:rPr>
                <w:b/>
                <w:color w:val="008000"/>
                <w:sz w:val="17"/>
              </w:rPr>
              <w:t>+2.1%</w:t>
            </w:r>
          </w:p>
        </w:tc>
      </w:tr>
      <w:tr>
        <w:tc>
          <w:tcPr>
            <w:tcW w:type="dxa" w:w="1440"/>
            <w:shd w:fill="FAFAFA" w:val="clear"/>
          </w:tcPr>
          <w:p>
            <w:r>
              <w:rPr>
                <w:sz w:val="17"/>
              </w:rPr>
              <w:t>J+8  ⭐</w:t>
            </w:r>
          </w:p>
        </w:tc>
        <w:tc>
          <w:tcPr>
            <w:tcW w:type="dxa" w:w="1440"/>
            <w:shd w:fill="FAFAFA" w:val="clear"/>
          </w:tcPr>
          <w:p>
            <w:r>
              <w:rPr>
                <w:sz w:val="17"/>
              </w:rPr>
              <w:t>2026-10-05</w:t>
            </w:r>
          </w:p>
        </w:tc>
        <w:tc>
          <w:tcPr>
            <w:tcW w:type="dxa" w:w="1440"/>
            <w:shd w:fill="FAFAFA" w:val="clear"/>
          </w:tcPr>
          <w:p>
            <w:r>
              <w:rPr>
                <w:sz w:val="17"/>
              </w:rPr>
              <w:t>26,910</w:t>
            </w:r>
          </w:p>
        </w:tc>
        <w:tc>
          <w:tcPr>
            <w:tcW w:type="dxa" w:w="1440"/>
            <w:shd w:fill="FAFAFA" w:val="clear"/>
          </w:tcPr>
          <w:p>
            <w:r>
              <w:rPr>
                <w:b/>
                <w:sz w:val="17"/>
              </w:rPr>
              <w:t>30,335</w:t>
            </w:r>
          </w:p>
        </w:tc>
        <w:tc>
          <w:tcPr>
            <w:tcW w:type="dxa" w:w="1440"/>
            <w:shd w:fill="FAFAFA" w:val="clear"/>
          </w:tcPr>
          <w:p>
            <w:r>
              <w:rPr>
                <w:sz w:val="17"/>
              </w:rPr>
              <w:t>33,759</w:t>
            </w:r>
          </w:p>
        </w:tc>
        <w:tc>
          <w:tcPr>
            <w:tcW w:type="dxa" w:w="1440"/>
            <w:shd w:fill="FAFAFA" w:val="clear"/>
          </w:tcPr>
          <w:p>
            <w:r>
              <w:rPr>
                <w:b/>
                <w:color w:val="008000"/>
                <w:sz w:val="17"/>
              </w:rPr>
              <w:t>+2.0%</w:t>
            </w:r>
          </w:p>
        </w:tc>
      </w:tr>
      <w:tr>
        <w:tc>
          <w:tcPr>
            <w:tcW w:type="dxa" w:w="1440"/>
            <w:shd w:fill="FAFAFA" w:val="clear"/>
          </w:tcPr>
          <w:p>
            <w:r>
              <w:rPr>
                <w:sz w:val="17"/>
              </w:rPr>
              <w:t>J+9  ⭐</w:t>
            </w:r>
          </w:p>
        </w:tc>
        <w:tc>
          <w:tcPr>
            <w:tcW w:type="dxa" w:w="1440"/>
            <w:shd w:fill="FAFAFA" w:val="clear"/>
          </w:tcPr>
          <w:p>
            <w:r>
              <w:rPr>
                <w:sz w:val="17"/>
              </w:rPr>
              <w:t>2026-10-06</w:t>
            </w:r>
          </w:p>
        </w:tc>
        <w:tc>
          <w:tcPr>
            <w:tcW w:type="dxa" w:w="1440"/>
            <w:shd w:fill="FAFAFA" w:val="clear"/>
          </w:tcPr>
          <w:p>
            <w:r>
              <w:rPr>
                <w:sz w:val="17"/>
              </w:rPr>
              <w:t>26,667</w:t>
            </w:r>
          </w:p>
        </w:tc>
        <w:tc>
          <w:tcPr>
            <w:tcW w:type="dxa" w:w="1440"/>
            <w:shd w:fill="FAFAFA" w:val="clear"/>
          </w:tcPr>
          <w:p>
            <w:r>
              <w:rPr>
                <w:b/>
                <w:sz w:val="17"/>
              </w:rPr>
              <w:t>30,294</w:t>
            </w:r>
          </w:p>
        </w:tc>
        <w:tc>
          <w:tcPr>
            <w:tcW w:type="dxa" w:w="1440"/>
            <w:shd w:fill="FAFAFA" w:val="clear"/>
          </w:tcPr>
          <w:p>
            <w:r>
              <w:rPr>
                <w:sz w:val="17"/>
              </w:rPr>
              <w:t>33,922</w:t>
            </w:r>
          </w:p>
        </w:tc>
        <w:tc>
          <w:tcPr>
            <w:tcW w:type="dxa" w:w="1440"/>
            <w:shd w:fill="FAFAFA" w:val="clear"/>
          </w:tcPr>
          <w:p>
            <w:r>
              <w:rPr>
                <w:b/>
                <w:color w:val="008000"/>
                <w:sz w:val="17"/>
              </w:rPr>
              <w:t>+1.8%</w:t>
            </w:r>
          </w:p>
        </w:tc>
      </w:tr>
      <w:tr>
        <w:tc>
          <w:tcPr>
            <w:tcW w:type="dxa" w:w="1440"/>
            <w:shd w:fill="FAFAFA" w:val="clear"/>
          </w:tcPr>
          <w:p>
            <w:r>
              <w:rPr>
                <w:sz w:val="17"/>
              </w:rPr>
              <w:t>J+10  ⭐</w:t>
            </w:r>
          </w:p>
        </w:tc>
        <w:tc>
          <w:tcPr>
            <w:tcW w:type="dxa" w:w="1440"/>
            <w:shd w:fill="FAFAFA" w:val="clear"/>
          </w:tcPr>
          <w:p>
            <w:r>
              <w:rPr>
                <w:sz w:val="17"/>
              </w:rPr>
              <w:t>2026-10-07</w:t>
            </w:r>
          </w:p>
        </w:tc>
        <w:tc>
          <w:tcPr>
            <w:tcW w:type="dxa" w:w="1440"/>
            <w:shd w:fill="FAFAFA" w:val="clear"/>
          </w:tcPr>
          <w:p>
            <w:r>
              <w:rPr>
                <w:sz w:val="17"/>
              </w:rPr>
              <w:t>26,436</w:t>
            </w:r>
          </w:p>
        </w:tc>
        <w:tc>
          <w:tcPr>
            <w:tcW w:type="dxa" w:w="1440"/>
            <w:shd w:fill="FAFAFA" w:val="clear"/>
          </w:tcPr>
          <w:p>
            <w:r>
              <w:rPr>
                <w:b/>
                <w:sz w:val="17"/>
              </w:rPr>
              <w:t>30,255</w:t>
            </w:r>
          </w:p>
        </w:tc>
        <w:tc>
          <w:tcPr>
            <w:tcW w:type="dxa" w:w="1440"/>
            <w:shd w:fill="FAFAFA" w:val="clear"/>
          </w:tcPr>
          <w:p>
            <w:r>
              <w:rPr>
                <w:sz w:val="17"/>
              </w:rPr>
              <w:t>34,074</w:t>
            </w:r>
          </w:p>
        </w:tc>
        <w:tc>
          <w:tcPr>
            <w:tcW w:type="dxa" w:w="1440"/>
            <w:shd w:fill="FAFAFA" w:val="clear"/>
          </w:tcPr>
          <w:p>
            <w:r>
              <w:rPr>
                <w:b/>
                <w:color w:val="008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495,75 Mds FCFA, BICC s'impose comme l'une des valeurs bancaires de premier plan de la cote BRVM, reflétant la solidité d'un établissement adossé au groupe BNP Paribas. Le BPA de 2 191 FCFA/action signifie que chaque titre génère près de 2 200 FCFA de bénéfice net annuel, un niveau élevé qui traduit la forte rentabilité de la banque. Le PER de 13,6x se situe légèrement au-dessus de la moyenne BRVM (~8-12x), ce qui indique que les investisseurs acceptent de payer une prime modérée pour la qualité de la signature, sans pour autant tomber dans une valorisation excessive. En revanche, le P/B de 4,11x constitue un signal d'alerte : le marché valorise l'action à plus de quatre fois sa valeur comptable, une prime exigeante qui suppose que la rentabilité exceptionnelle (ROE ~30%) se maintienne durablement. L'EV/EBITDA de 9,6x, dans la fourchette raisonnable de 5-10x, confirme que la valeur totale de l'entreprise reste cohérente avec sa capacité opérationnelle, offrant un tableau de valorisation globalement équilibré mais tendu sur le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affiche une performance remarquable de **+19,70%**, portant le cours à 29 745 FCFA, malgré un repli marqué de **-4,82% lors de la dernière séance** qui signale une prise de bénéfices après le récent rallye. Le range de trading s'étend de 24 445 FCFA (plus bas) à 34 000 FCFA (plus haut), soit une amplitude de près de 39%, témoignant d'une dynamique nettement haussière sur la période. La tendance générale demeure positive, soutenue par la publication de résultats trimestriels exceptionnels (résultat net +29,7% au T1 2026). Les statistiques descriptives révèlent une moyenne (28 791 FCFA) quasi identique à la médiane (28 750 FCFA), signe d'une distribution équilibrée, tandis que le mode à 29 000 FCFA confirme cette zone comme point d'ancrage psychologique. L'écart-type de 1 938 FCFA (CV=6,7%) indique une dispersion modérée du cours, et le kurtosis de 0,937 (mésokurtique) suggère une distribution proche de la normale, sans risque excessif de pics extrêmes. Le skewness positif de 0,502 révèle toutefois une asymétrie à droite : davantage de journées se situent sous la moyenne, avec quelques séances de forte hausse tirant la performance globale. Enfin, la volatilité annualisée de 29,6% classe le titre dans la catégorie **modérée à élevée** (proche du seuil de 30%), cohérente avec un marché frontière comme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(31 696,25 FCFA) et la MM50 (29 884,8 FCFA) se situent toutes deux au-dessus du cours actuel (29 745 FCFA), ce qui traduit une pression baissière de court terme après la correction récente. Cependant, la MM20 &gt; MM50 confirme que la tendance de fond reste haussière, justifiant la décision **Achat** : le repli actuel pourrait constituer un point d'entrée intéressant avant reprise.</w:t>
      </w:r>
    </w:p>
    <w:p>
      <w:pPr>
        <w:spacing w:after="120" w:line="276" w:lineRule="auto"/>
      </w:pPr>
      <w:r>
        <w:t>**Bandes de Bollinger** : Le cours (29 745 FCFA) évolue dans la partie basse du canal, proche de la borne inférieure (28 733,94 FCFA) et loin de la borne supérieure (34 658,56 FCFA). Cette position suggère une pression vendeuse de court terme mais aussi un potentiel de rebond technique. La décision **Neutre** reflète l'absence de signal directionnel fort, le titre n'étant ni en surachat ni en survente.</w:t>
      </w:r>
    </w:p>
    <w:p>
      <w:pPr>
        <w:spacing w:after="120" w:line="276" w:lineRule="auto"/>
      </w:pPr>
      <w:r>
        <w:t>**MACD** : La valeur du MACD (349,29) est nettement inférieure à son signal (695,714), générant un croisement baissier qui confirme la perte de momentum haussier. La décision **Vente** à court terme est cohérente avec cette divergence négative, bien que le MACD reste en territoire positif, indiquant que la tendance de fond n'est pas encore inversée.</w:t>
      </w:r>
    </w:p>
    <w:p>
      <w:pPr>
        <w:spacing w:after="120" w:line="276" w:lineRule="auto"/>
      </w:pPr>
      <w:r>
        <w:t>**RSI** : À 32,846, le RSI se situe juste au-dessus du seuil de survente (30), traduisant une faiblesse récente mais sans excès baissier caractérisé. La décision **Neutre** est appropriée : le titre n'offre pas encore de signal d'achat technique fort, mais la proximité de la zone de survente limite le potentiel de baisse supplémentaire.</w:t>
      </w:r>
    </w:p>
    <w:p>
      <w:pPr>
        <w:spacing w:after="120" w:line="276" w:lineRule="auto"/>
      </w:pPr>
      <w:r>
        <w:t>**Stochastique** : Le %K à 0,0 et le %D à 14,065 indiquent que le cours évolue au plus bas de sa fourchette récente, avec un %K en zone extrême de survente. Cette configuration précède souvent un rebond technique, justifiant la décision **Achat** : le croisement potentiel du %K au-dessus du %D serait un signal d'entrée.</w:t>
      </w:r>
    </w:p>
    <w:p>
      <w:pPr>
        <w:spacing w:after="120" w:line="276" w:lineRule="auto"/>
      </w:pPr>
      <w:r>
        <w:t>**Conclusion technique** : Les indicateurs présentent un tableau mitigé. Les signaux baissiers de court terme (MACD vendeur, cours sous les MM) contrastent avec les signaux d'achat potentiels (Stochastique en survente, RSI proche de 30, cours proche de la borne basse de Bollinger). Cette divergence suggère une phase de consolidation ou de correction technique au sein d'une tendance haussière de fond, avec un point d'entrée possible autour de 29 000-29 500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BICC affiche un Produit Net Bancaire (équivalent du chiffre d'affaires pour une banque) de **79,563 Mds FCFA**, en croissance de **+16,90%**, et un résultat net de **36,520 Mds FCFA**, soit une marge nette exceptionnelle de **45,90%**. Le ROE atteint **30,29%** (largement supérieur au seuil d'excellence de 15%) et le ROA s'établit à **3,24%**, confirmant une rentabilité parmi les meilleures du secteur bancaire UEMOA. Le coefficient d'exploitation de **50,83%** place la banque en zone d'excellence (&lt; 60% = efficace), témoignant d'une maîtrise remarquable des charges. Le coût du risque, à **-12,15%** des charges financières, reste contenu, indiquant un portefeuille de crédits de bonne qualité. La structure bilancielle révèle une collecte de dépôts massive (**952,872 Mds FCFA**) face à des créances clientèle de **524,439 Mds FCFA**, soit un ratio de transformation de 55%, typique d'une banque disposant d'une liquidité abondante mais sélective dans l'octroi de crédits. Les capitaux propres de **120,570 Mds FCFA** pour un total bilan de **1 126,270 Mds FCFA** donnent une autonomie financière de 10,71%, faible en apparence mais normale pour une banque (effet de levier structurel).</w:t>
      </w:r>
    </w:p>
    <w:p>
      <w:pPr>
        <w:spacing w:after="120" w:line="276" w:lineRule="auto"/>
      </w:pPr>
      <w:r>
        <w:t>**Estimations basées sur les rapports trimestriels** : Le rapport du **T1 2026 (publié le 31 mars 2026)** confirme l'accélération de la dynamique : PNB de **21 214 MFCFA** (+17,01%) et résultat net de **10 387 MFCFA** (+29,66%), avec une marge nette en progression à **49,0%** (contre 44,2% au T1 2025). Le rapport du **T3 2025 (30 septembre 2025)** affichait déjà un résultat net cumulé de **27 402 MFCFA** (+50,8%) et une marge nette de 47,1%. Sur la base de ces tendances, on peut estimer que l'exercice 2026 devrait enregistrer un PNB supérieur à **85 Mds FCFA** et un résultat net approchant **40 Mds FCFA**, confirmant la trajectoire de croissance à deux chiffres. Le rapport du **S1 2025 (30 juin 2025)** soulignait une réduction drastique du coût du risque (-72,8%) et une marge opérationnelle de 47,9%, tandis que les états financiers **2024 (31 décembre 2024)** montraient un ROE de 28,6% et une marge nette de 38,5%, illustrant une amélioration continue sur trois exercices consécutifs.</w:t>
      </w:r>
    </w:p>
    <w:p>
      <w:pPr>
        <w:spacing w:after="120" w:line="276" w:lineRule="auto"/>
      </w:pPr>
      <w:r>
        <w:t>**Recommandation fondamentale** : BICC présente un profil fondamental de très haute qualité : croissance robuste du PNB et du résultat net, rentabilité exceptionnelle (ROE &gt; 30%), efficacité opérationnelle remarquable (coefficient &lt; 51%), et bilan solide malgré un effet de levier bancaire normal. Les principaux risques identifiés sont la contraction des encours de crédits (-4,47% au T1 2026), qui pourrait peser sur la croissance future si elle se prolonge, et la dépendance à l'environnement macroéconomique de l'UEMOA. Néanmoins, la capacité de la banque à compenser cette baisse par une amélioration des marges et des commissions démontre une résilience et une agilité stratégique notables. La recommandation fondamentale est **ACHAT**, avec un suivi attentif de l'évolution des crédits et du coût du risque.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mais globalement favorable. **Sur la valorisation (Partie 0)** , le PER de 13,6x et l'EV/EBITDA de 9,6x indiquent une valorisation raisonnable, bien que le P/B de 4,11x traduise une prime exigeante justifiée par la rentabilité exceptionnelle. **Le comportement du cours (Partie 1)** affiche une tendance haussière de fond (+19,70% sur 100 jours) avec une volatilité modérée (29,6%) et des statistiques équilibrées (kurtosis proche de la normale, skewness légèrement positif), sans signe de bulle spéculative. **Les signaux techniques (Partie 2)** sont mitigés : les indicateurs de court terme (MACD vendeur, cours sous les MM) suggèrent une consolidation, tandis que le Stochastique en survente et le RSI proche de 30 annoncent un rebond potentiel. **Les fondamentaux (Partie 3)** demeurent le point fort : croissance à deux chiffres, ROE &gt; 30%, coefficient d'exploitation &lt; 51%, et estimations 2026 très positives basées sur les rapports T1 2026 (+29,7% de résultat net). **Les prédictions IA (J+1 à J+10)** anticipent une stabilisation autour de 30 500-30 700 FCFA, soit une légère hausse de +2,5% à +3,1% par rapport au cours actuel, confirmant la thèse d'un rebond technique après la correction récente.</w:t>
      </w:r>
    </w:p>
    <w:p>
      <w:pPr>
        <w:spacing w:after="120" w:line="276" w:lineRule="auto"/>
      </w:pPr>
      <w:r>
        <w:t>**Recommandation finale : ACHAT**</w:t>
      </w:r>
    </w:p>
    <w:p>
      <w:pPr>
        <w:spacing w:after="120" w:line="276" w:lineRule="auto"/>
      </w:pPr>
      <w:r>
        <w:t>La convergence entre des fondamentaux exceptionnels, une valorisation raisonnable (hors P/B tendu), des signaux techniques de rebond potentiel et des prédictions IA haussières justifie une recommandation d'achat. Le niveau de confiance est **Moyen à Élevé** : la solidité fondamentale est incontestable, mais la prime de valorisation (P/B &gt; 4x) et la contraction des crédits constituent des points de vigilance. Le niveau de risque global est **Moyen**, adapté aux investisseurs recherchant une valeur de qualité sur la BRVM. L'horizon d'investissement optimal est le **moyen terme (3-12 mois)** , le temps que la correction technique s'achève et que les résultats annuels 2026 confirment les tendances trimestrielles. Un point d'entrée autour de 29 000-29 500 FCFA offrirait un meilleur rapport risque/rendement, avec un objectif de cours à 32 000-34 000 FCFA à moyen terme.</w:t>
      </w:r>
    </w:p>
    <w:p>
      <w:pPr>
        <w:spacing w:after="120" w:line="276" w:lineRule="auto"/>
      </w:pPr>
      <w:r>
        <w:t>---</w:t>
      </w:r>
    </w:p>
    <w:p>
      <w:pPr>
        <w:spacing w:after="120" w:line="276" w:lineRule="auto"/>
      </w:pPr>
      <w:r>
        <w:t>*Rapport généré le 23 septembre 2026 — Sources : BRVM, états financiers BICICI 2025, rapports trimestriels T1 2026 et T3 2025, analyses fondamentales disponibles.*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12.52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2,958 titres</w:t>
            </w:r>
          </w:p>
        </w:tc>
        <w:tc>
          <w:tcPr>
            <w:tcW w:type="dxa" w:w="2268"/>
            <w:shd w:fill="FFF2CC" w:val="clear"/>
          </w:tcPr>
          <w:p>
            <w:r>
              <w:rPr>
                <w:b/>
                <w:color w:val="503200"/>
                <w:sz w:val="16"/>
              </w:rPr>
              <w:t xml:space="preserve">Cours actuel : </w:t>
            </w:r>
            <w:r>
              <w:rPr>
                <w:color w:val="000000"/>
                <w:sz w:val="17"/>
              </w:rPr>
              <w:t>1,890 FCFA</w:t>
            </w:r>
          </w:p>
          <w:p>
            <w:r>
              <w:rPr>
                <w:b/>
                <w:color w:val="503200"/>
                <w:sz w:val="16"/>
              </w:rPr>
              <w:t xml:space="preserve">Var. 100 jours : </w:t>
            </w:r>
            <w:r>
              <w:rPr>
                <w:b/>
                <w:color w:val="007800"/>
                <w:sz w:val="17"/>
              </w:rPr>
              <w:t>+20.77%</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12.80% (Moyenne) — μ=1,877 FCFA, σ=240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β=0.2628 (Défensif) — Cov=0.000011, Var(idx)=0.000041, ρ=0.049,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σ_j=3.43%/j (Modérée) — Vol. annualisée≈54.4%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2026-09-24</w:t>
            </w:r>
          </w:p>
        </w:tc>
        <w:tc>
          <w:tcPr>
            <w:tcW w:type="dxa" w:w="1440"/>
            <w:shd w:fill="FAFAFA" w:val="clear"/>
          </w:tcPr>
          <w:p>
            <w:r>
              <w:rPr>
                <w:sz w:val="17"/>
              </w:rPr>
              <w:t>1,778</w:t>
            </w:r>
          </w:p>
        </w:tc>
        <w:tc>
          <w:tcPr>
            <w:tcW w:type="dxa" w:w="1440"/>
            <w:shd w:fill="FAFAFA" w:val="clear"/>
          </w:tcPr>
          <w:p>
            <w:r>
              <w:rPr>
                <w:b/>
                <w:sz w:val="17"/>
              </w:rPr>
              <w:t>1,888</w:t>
            </w:r>
          </w:p>
        </w:tc>
        <w:tc>
          <w:tcPr>
            <w:tcW w:type="dxa" w:w="1440"/>
            <w:shd w:fill="FAFAFA" w:val="clear"/>
          </w:tcPr>
          <w:p>
            <w:r>
              <w:rPr>
                <w:sz w:val="17"/>
              </w:rPr>
              <w:t>1,998</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2026-09-25</w:t>
            </w:r>
          </w:p>
        </w:tc>
        <w:tc>
          <w:tcPr>
            <w:tcW w:type="dxa" w:w="1440"/>
            <w:shd w:fill="FAFAFA" w:val="clear"/>
          </w:tcPr>
          <w:p>
            <w:r>
              <w:rPr>
                <w:sz w:val="17"/>
              </w:rPr>
              <w:t>1,728</w:t>
            </w:r>
          </w:p>
        </w:tc>
        <w:tc>
          <w:tcPr>
            <w:tcW w:type="dxa" w:w="1440"/>
            <w:shd w:fill="FAFAFA" w:val="clear"/>
          </w:tcPr>
          <w:p>
            <w:r>
              <w:rPr>
                <w:b/>
                <w:sz w:val="17"/>
              </w:rPr>
              <w:t>1,883</w:t>
            </w:r>
          </w:p>
        </w:tc>
        <w:tc>
          <w:tcPr>
            <w:tcW w:type="dxa" w:w="1440"/>
            <w:shd w:fill="FAFAFA" w:val="clear"/>
          </w:tcPr>
          <w:p>
            <w:r>
              <w:rPr>
                <w:sz w:val="17"/>
              </w:rPr>
              <w:t>2,038</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2026-09-28</w:t>
            </w:r>
          </w:p>
        </w:tc>
        <w:tc>
          <w:tcPr>
            <w:tcW w:type="dxa" w:w="1440"/>
            <w:shd w:fill="FAFAFA" w:val="clear"/>
          </w:tcPr>
          <w:p>
            <w:r>
              <w:rPr>
                <w:sz w:val="17"/>
              </w:rPr>
              <w:t>1,691</w:t>
            </w:r>
          </w:p>
        </w:tc>
        <w:tc>
          <w:tcPr>
            <w:tcW w:type="dxa" w:w="1440"/>
            <w:shd w:fill="FAFAFA" w:val="clear"/>
          </w:tcPr>
          <w:p>
            <w:r>
              <w:rPr>
                <w:b/>
                <w:sz w:val="17"/>
              </w:rPr>
              <w:t>1,880</w:t>
            </w:r>
          </w:p>
        </w:tc>
        <w:tc>
          <w:tcPr>
            <w:tcW w:type="dxa" w:w="1440"/>
            <w:shd w:fill="FAFAFA" w:val="clear"/>
          </w:tcPr>
          <w:p>
            <w:r>
              <w:rPr>
                <w:sz w:val="17"/>
              </w:rPr>
              <w:t>2,070</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2026-09-29</w:t>
            </w:r>
          </w:p>
        </w:tc>
        <w:tc>
          <w:tcPr>
            <w:tcW w:type="dxa" w:w="1440"/>
            <w:shd w:fill="FAFAFA" w:val="clear"/>
          </w:tcPr>
          <w:p>
            <w:r>
              <w:rPr>
                <w:sz w:val="17"/>
              </w:rPr>
              <w:t>1,658</w:t>
            </w:r>
          </w:p>
        </w:tc>
        <w:tc>
          <w:tcPr>
            <w:tcW w:type="dxa" w:w="1440"/>
            <w:shd w:fill="FAFAFA" w:val="clear"/>
          </w:tcPr>
          <w:p>
            <w:r>
              <w:rPr>
                <w:b/>
                <w:sz w:val="17"/>
              </w:rPr>
              <w:t>1,877</w:t>
            </w:r>
          </w:p>
        </w:tc>
        <w:tc>
          <w:tcPr>
            <w:tcW w:type="dxa" w:w="1440"/>
            <w:shd w:fill="FAFAFA" w:val="clear"/>
          </w:tcPr>
          <w:p>
            <w:r>
              <w:rPr>
                <w:sz w:val="17"/>
              </w:rPr>
              <w:t>2,095</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2026-09-30</w:t>
            </w:r>
          </w:p>
        </w:tc>
        <w:tc>
          <w:tcPr>
            <w:tcW w:type="dxa" w:w="1440"/>
            <w:shd w:fill="FAFAFA" w:val="clear"/>
          </w:tcPr>
          <w:p>
            <w:r>
              <w:rPr>
                <w:sz w:val="17"/>
              </w:rPr>
              <w:t>1,629</w:t>
            </w:r>
          </w:p>
        </w:tc>
        <w:tc>
          <w:tcPr>
            <w:tcW w:type="dxa" w:w="1440"/>
            <w:shd w:fill="FAFAFA" w:val="clear"/>
          </w:tcPr>
          <w:p>
            <w:r>
              <w:rPr>
                <w:b/>
                <w:sz w:val="17"/>
              </w:rPr>
              <w:t>1,872</w:t>
            </w:r>
          </w:p>
        </w:tc>
        <w:tc>
          <w:tcPr>
            <w:tcW w:type="dxa" w:w="1440"/>
            <w:shd w:fill="FAFAFA" w:val="clear"/>
          </w:tcPr>
          <w:p>
            <w:r>
              <w:rPr>
                <w:sz w:val="17"/>
              </w:rPr>
              <w:t>2,116</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2026-10-01</w:t>
            </w:r>
          </w:p>
        </w:tc>
        <w:tc>
          <w:tcPr>
            <w:tcW w:type="dxa" w:w="1440"/>
            <w:shd w:fill="FAFAFA" w:val="clear"/>
          </w:tcPr>
          <w:p>
            <w:r>
              <w:rPr>
                <w:sz w:val="17"/>
              </w:rPr>
              <w:t>1,602</w:t>
            </w:r>
          </w:p>
        </w:tc>
        <w:tc>
          <w:tcPr>
            <w:tcW w:type="dxa" w:w="1440"/>
            <w:shd w:fill="FAFAFA" w:val="clear"/>
          </w:tcPr>
          <w:p>
            <w:r>
              <w:rPr>
                <w:b/>
                <w:sz w:val="17"/>
              </w:rPr>
              <w:t>1,868</w:t>
            </w:r>
          </w:p>
        </w:tc>
        <w:tc>
          <w:tcPr>
            <w:tcW w:type="dxa" w:w="1440"/>
            <w:shd w:fill="FAFAFA" w:val="clear"/>
          </w:tcPr>
          <w:p>
            <w:r>
              <w:rPr>
                <w:sz w:val="17"/>
              </w:rPr>
              <w:t>2,134</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2026-10-02</w:t>
            </w:r>
          </w:p>
        </w:tc>
        <w:tc>
          <w:tcPr>
            <w:tcW w:type="dxa" w:w="1440"/>
            <w:shd w:fill="FAFAFA" w:val="clear"/>
          </w:tcPr>
          <w:p>
            <w:r>
              <w:rPr>
                <w:sz w:val="17"/>
              </w:rPr>
              <w:t>1,576</w:t>
            </w:r>
          </w:p>
        </w:tc>
        <w:tc>
          <w:tcPr>
            <w:tcW w:type="dxa" w:w="1440"/>
            <w:shd w:fill="FAFAFA" w:val="clear"/>
          </w:tcPr>
          <w:p>
            <w:r>
              <w:rPr>
                <w:b/>
                <w:sz w:val="17"/>
              </w:rPr>
              <w:t>1,863</w:t>
            </w:r>
          </w:p>
        </w:tc>
        <w:tc>
          <w:tcPr>
            <w:tcW w:type="dxa" w:w="1440"/>
            <w:shd w:fill="FAFAFA" w:val="clear"/>
          </w:tcPr>
          <w:p>
            <w:r>
              <w:rPr>
                <w:sz w:val="17"/>
              </w:rPr>
              <w:t>2,150</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2026-10-05</w:t>
            </w:r>
          </w:p>
        </w:tc>
        <w:tc>
          <w:tcPr>
            <w:tcW w:type="dxa" w:w="1440"/>
            <w:shd w:fill="FAFAFA" w:val="clear"/>
          </w:tcPr>
          <w:p>
            <w:r>
              <w:rPr>
                <w:sz w:val="17"/>
              </w:rPr>
              <w:t>1,553</w:t>
            </w:r>
          </w:p>
        </w:tc>
        <w:tc>
          <w:tcPr>
            <w:tcW w:type="dxa" w:w="1440"/>
            <w:shd w:fill="FAFAFA" w:val="clear"/>
          </w:tcPr>
          <w:p>
            <w:r>
              <w:rPr>
                <w:b/>
                <w:sz w:val="17"/>
              </w:rPr>
              <w:t>1,858</w:t>
            </w:r>
          </w:p>
        </w:tc>
        <w:tc>
          <w:tcPr>
            <w:tcW w:type="dxa" w:w="1440"/>
            <w:shd w:fill="FAFAFA" w:val="clear"/>
          </w:tcPr>
          <w:p>
            <w:r>
              <w:rPr>
                <w:sz w:val="17"/>
              </w:rPr>
              <w:t>2,164</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2026-10-06</w:t>
            </w:r>
          </w:p>
        </w:tc>
        <w:tc>
          <w:tcPr>
            <w:tcW w:type="dxa" w:w="1440"/>
            <w:shd w:fill="FAFAFA" w:val="clear"/>
          </w:tcPr>
          <w:p>
            <w:r>
              <w:rPr>
                <w:sz w:val="17"/>
              </w:rPr>
              <w:t>1,530</w:t>
            </w:r>
          </w:p>
        </w:tc>
        <w:tc>
          <w:tcPr>
            <w:tcW w:type="dxa" w:w="1440"/>
            <w:shd w:fill="FAFAFA" w:val="clear"/>
          </w:tcPr>
          <w:p>
            <w:r>
              <w:rPr>
                <w:b/>
                <w:sz w:val="17"/>
              </w:rPr>
              <w:t>1,854</w:t>
            </w:r>
          </w:p>
        </w:tc>
        <w:tc>
          <w:tcPr>
            <w:tcW w:type="dxa" w:w="1440"/>
            <w:shd w:fill="FAFAFA" w:val="clear"/>
          </w:tcPr>
          <w:p>
            <w:r>
              <w:rPr>
                <w:sz w:val="17"/>
              </w:rPr>
              <w:t>2,177</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2026-10-07</w:t>
            </w:r>
          </w:p>
        </w:tc>
        <w:tc>
          <w:tcPr>
            <w:tcW w:type="dxa" w:w="1440"/>
            <w:shd w:fill="FFDCE0" w:val="clear"/>
          </w:tcPr>
          <w:p>
            <w:r>
              <w:rPr>
                <w:sz w:val="17"/>
              </w:rPr>
              <w:t>1,509</w:t>
            </w:r>
          </w:p>
        </w:tc>
        <w:tc>
          <w:tcPr>
            <w:tcW w:type="dxa" w:w="1440"/>
            <w:shd w:fill="FFDCE0" w:val="clear"/>
          </w:tcPr>
          <w:p>
            <w:r>
              <w:rPr>
                <w:b/>
                <w:sz w:val="17"/>
              </w:rPr>
              <w:t>1,849</w:t>
            </w:r>
          </w:p>
        </w:tc>
        <w:tc>
          <w:tcPr>
            <w:tcW w:type="dxa" w:w="1440"/>
            <w:shd w:fill="FFDCE0" w:val="clear"/>
          </w:tcPr>
          <w:p>
            <w:r>
              <w:rPr>
                <w:sz w:val="17"/>
              </w:rPr>
              <w:t>2,189</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**Bourse Régionale des Valeurs Mobilières (BRVM) — Secteur : Entreprise / Distribution de matériaux**</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12,52 milliards FCFA, BNBC se situe dans la catégorie des petites capitalisations de la BRVM, ce qui limite mécaniquement sa liquidité et son attrait pour les investisseurs institutionnels. Le BPA de 3 FCFA/action est symbolique et traduit une rentabilité quasi nulle, ce qui explique un PER de 561,0x — un niveau aberrant comparé à la moyenne du marché BRVM (8-12x) : les investisseurs paient donc environ 561 fois les bénéfices actuels, ce qui n'est justifiable que par des anticipations de redressement très hypothétiques. À l'inverse, le P/B de 0,70x indique que le marché valorise la société à 30% en dessous de sa valeur comptable (capitaux propres de 17,77 Mds FCFA), ce qui constitue théoriquement une opportunité de décote sur actifs nets. Enfin, l'EV/EBITDA de 23,9x, très supérieur au seuil de 15x, signale que la valeur d'entreprise intègre une prime excessive au regard de la capacité opérationnelle réelle (EBE de 2,009 Mds FCFA), confirmant un profil de valorisation tendu malgré la décote comptable.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BNBC affiche une progression totale de +20,77%, portée par un rallye haussier qui contraste avec la dernière séance, en repli de -0,53%, signalant un essoufflement immédiat. Le cours actuel de 1 890 FCFA se situe dans la moitié basse du range de trading compris entre 1 300 FCFA (plus bas) et 2 400 FCFA (plus haut), soit une amplitude de 84,6% qui témoigne d'une forte nervosité. La moyenne (1 877 FCFA) est légèrement inférieure à la médiane (1 940 FCFA), ce qui révèle une distribution légèrement asymétrique à gauche, confirmée par le skewness de -0,467 (distribution symétrique selon l'interprétation fournie) : les cours ont davantage stagné dans les hauts niveaux avec quelques excursions baissières marquées. L'écart-type de 241 FCFA (CV = 12,9%) indique une dispersion modérée autour de la moyenne, tandis que le kurtosis de -0,237 (mésokurtique) suggère une distribution proche de la normale, sans risque majeur de pics extrêmes. La volatilité annualisée de 54,4% classe le titre dans la catégorie à volatilité élevée (&gt;30%), ce qui implique un risque de perte en capital significatif pour tout investisseur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(2 148,25 FCFA) et la MM50 (2 026,5 FCFA) sont toutes deux nettement supérieures au cours actuel (1 890 FCFA), ce qui place le titre en position baissière sous ses moyennes. La MM20 étant au-dessus de la MM50, la configuration reste théoriquement haussière sur le moyen terme, d'où la décision "Achat" du système, mais le prix décroché sous les deux moyennes affaiblit ce signal.</w:t>
      </w:r>
    </w:p>
    <w:p>
      <w:pPr>
        <w:spacing w:after="120" w:line="276" w:lineRule="auto"/>
      </w:pPr>
      <w:r>
        <w:t>**Bandes de Bollinger** : Le cours (1 890 FCFA) évolue juste au-dessus de la borne inférieure (1 866,895 FCFA) et très loin de la borne supérieure (2 429,605 FCFA), ce qui traduit une pression vendeuse récente et un retour vers le bas du canal. La décision "Neutre" reflète l'absence de signal clair : le titre n'est ni en survente extrême ni en surachat, mais la proximité de la borne basse suggère un possible rebond technique.</w:t>
      </w:r>
    </w:p>
    <w:p>
      <w:pPr>
        <w:spacing w:after="120" w:line="276" w:lineRule="auto"/>
      </w:pPr>
      <w:r>
        <w:t>**MACD** : La valeur du MACD (-24,336) est négative et inférieure à son signal (17,384), confirmant un momentum baissier avec une divergence négative marquée. La décision "Vente" est cohérente : la dynamique de court terme est clairement défavorable, et le croisement baissier MACD/signal renforce la pression vendeuse.</w:t>
      </w:r>
    </w:p>
    <w:p>
      <w:pPr>
        <w:spacing w:after="120" w:line="276" w:lineRule="auto"/>
      </w:pPr>
      <w:r>
        <w:t>**RSI** : À 32,184, le RSI se situe dans la zone neutre basse (30-70), proche du seuil de survente (30). La décision "Neutre" est appropriée : le titre n'est pas encore techniquement en survente, mais la faiblesse du momentum laisse présager une possible poursuite de la baisse ou un rebond imminent.</w:t>
      </w:r>
    </w:p>
    <w:p>
      <w:pPr>
        <w:spacing w:after="120" w:line="276" w:lineRule="auto"/>
      </w:pPr>
      <w:r>
        <w:t>**Stochastique** : Les valeurs %K et %D sont toutes deux à 0,0, ce qui place le titre en survente extrême et justifie la décision "Achat" du système. Un tel niveau est généralement annonciateur d'un rebond technique à court terme, bien que la faiblesse générale des autres indicateurs invite à la prudence.</w:t>
      </w:r>
    </w:p>
    <w:p>
      <w:pPr>
        <w:spacing w:after="120" w:line="276" w:lineRule="auto"/>
      </w:pPr>
      <w:r>
        <w:t>**Conclusion technique** : Les indicateurs sont divergents — le stochastique et les moyennes mobiles plaident pour un achat (survente + configuration haussière de fond), tandis que le MACD et les Bandes de Bollinger confirment une pression baissière immédiate. Le RSI neutre-bas et la position du cours sous les MM20/MM50 suggèrent que le titre est à un point d'inflexion : soit un rebond technique se matérialise (soutenu par le stochastique à 0), soit la tendance baissière se poursuit vers la borne inférieure des Bollinger (1 866 FCFA). La prudence est de mise, avec un avantage marginal aux acheteurs contrariants.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BNBC a réalisé un chiffre d'affaires de 42,454 Mds FCFA, en recul de -6,31% par rapport à 2024 (45,312 Mds FCFA), signalant une contraction de l'activité commerciale. Le résultat net s'établit à seulement 22,32 M FCFA, soit une marge nette de 0,0526% — une rentabilité quasi nulle. Le ROE est de 0,1256% et le ROA de 0,0454%, des niveaux extrêmement faibles qui traduisent une incapacité structurelle à générer des profits. La trésorerie nette est fortement négative (-16,689 Mds FCFA), et le BFR s'élève à 29,373 Mds FCFA, financé par des dettes totales de 31,371 Mds FCFA (ratio d'endettement de 105,48%). Les délais d'exploitation sont préoccupants : 104,40 jours de délai client (risque de trésorerie élevé), 339,23 jours de durée de stockage (immobilisation massive de capital) et 116,09 jours de délai fournisseur. La capacité de remboursement est de 19,17 années de CAF, ce qui est très élevé.</w:t>
      </w:r>
    </w:p>
    <w:p>
      <w:pPr>
        <w:spacing w:after="120" w:line="276" w:lineRule="auto"/>
      </w:pPr>
      <w:r>
        <w:t>**Adaptation au secteur (Entreprise)** : Le BFR positif de 29,373 Mds FCFA est un fardeau majeur pour une entreprise de distribution, d'autant que le flux opérationnel est négatif (-786,11 M FCFA) et le Free Cash Flow de -1,239 Mds FCFA. La rotation des actifs de 86,39% est correcte mais insuffisante pour compenser la faiblesse des marges (marge brute de 4,73%, marge opérationnelle de 2,47%). L'autonomie financière de 36,16% reste acceptable (&gt;30%), mais la dépendance financière de 63,84% et la liquidité immédiate de 15,54% révèlent une vulnérabilité chronique.</w:t>
      </w:r>
    </w:p>
    <w:p>
      <w:pPr>
        <w:spacing w:after="120" w:line="276" w:lineRule="auto"/>
      </w:pPr>
      <w:r>
        <w:t>**Estimations basées sur les rapports trimestriels** : Le rapport du T1 2026 (publié en 2026) indique un chiffre d'affaires stable à 11,194 Mds FCFA (-0,12% vs T1 2025) et un résultat net positif de 65,566 M FCFA, contre une perte de 16,147 M FCFA au T1 2025 — une amélioration spectaculaire de +506% (selon les indicateurs du rapport). Toutefois, le rapport du T3 2025 (30/09/2025) faisait état d'une perte nette cumulée de -157,03 M FCFA sur 9 mois, avec un recul du CA de -3% et une chute de -13% au T3 seul. Le rapport du S1 2025 (30/06/2025) mentionnait une perte de -139,57 M FCFA et une croissance modeste de +3% du CA. **On estime donc que l'exercice 2026 devrait bénéficier de l'intégration de la division Équipement (au 01/01/2026) et du nouveau showroom Technibat KM4, mais la montée en puissance de ces activités reste incertaine et pourrait peser sur la rentabilité à court terme.** Les rapports 2021 (T3 2021 et annuel 2021) montrent qu'à cette époque, la société générait une marge nette de 3,6% et un résultat net de 1,6 Md FCFA — une dégradation spectaculaire en quatre ans.</w:t>
      </w:r>
    </w:p>
    <w:p>
      <w:pPr>
        <w:spacing w:after="120" w:line="276" w:lineRule="auto"/>
      </w:pPr>
      <w:r>
        <w:t>**Recommandation fondamentale** : La situation financière de BNBC est critique : rentabilité anémique, trésorerie négative, endettement élevé et activité en contraction. Les perspectives 2026 reposent sur des investissements stratégiques dont la rentabilité n'est pas garantie. Le profil de risque est très élevé, et l'absence de dividende (0 FCFA en 2025) prive les actionnaires de toute rémunération.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paradoxe : un PER de 561x et un EV/EBITDA de 23,9x signalent une surévaluation manifeste au regard des bénéfices, tandis que le P/B de 0,70x suggère une décote sur actifs nets — mais cette décote est justifiée par la destruction de valeur opérationnelle. Le comportement du cours (Partie 1) est préoccupant : malgré une hausse de +20,77% sur 100 jours, le titre reste sous ses moyennes mobiles, avec une volatilité élevée (54,4%) et une distribution légèrement asymétrique à gauche (skewness -0,467), ce qui indique que les gains récents pourraient être fragiles. Les signaux techniques (Partie 2) sont divergents : le stochastique en survente extrême (0,0) et la configuration haussière des MM20/MM50 plaident pour un rebond, mais le MACD baissier et la proximité de la borne inférieure des Bollinger confirment une pression vendeuse persistante. Les fondamentaux (Partie 3) sont alarmants : marge nette de 0,05%, ROE de 0,13%, trésorerie nette de -16,69 Mds FCFA, et une activité en contraction (-6,31% en 2025). Les prédictions IA (J+1 à J+10) anticipent une baisse continue de 1 888 FCFA à 1 872 FCFA, ce qui contredit les signaux d'achat techniques et confirme la tendance baissière de fond. **En synthèse, la convergence des signaux fondamentaux (dégradation), techniques (MACD baissier) et prédictifs (baisse) l'emporte sur les signaux d'achat contrariants (stochastique, MM).** La recommandation finale est **VENTE**, avec un niveau de confiance **Moyen** (en raison du potentiel rebond technique à court terme) et un niveau de risque global **Élevé**. L'horizon d'investissement optimal est **court terme (&lt;3 mois)** pour les traders cherchant à profiter d'un éventuel rebond technique, mais **à éviter** pour les investisseurs fondamentaux en raison de la fragilité structurelle de la société. Une position acheteuse ne se justifierait que sur une confirmation de redressement durable de la rentabilité et de la trésorerie, ce qui n'est pas visible dans les données actuelles.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356.53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5,525 titres</w:t>
            </w:r>
          </w:p>
        </w:tc>
        <w:tc>
          <w:tcPr>
            <w:tcW w:type="dxa" w:w="2268"/>
            <w:shd w:fill="FFF2CC" w:val="clear"/>
          </w:tcPr>
          <w:p>
            <w:r>
              <w:rPr>
                <w:b/>
                <w:color w:val="503200"/>
                <w:sz w:val="16"/>
              </w:rPr>
              <w:t xml:space="preserve">Cours actuel : </w:t>
            </w:r>
            <w:r>
              <w:rPr>
                <w:color w:val="000000"/>
                <w:sz w:val="17"/>
              </w:rPr>
              <w:t>8,790 FCFA</w:t>
            </w:r>
          </w:p>
          <w:p>
            <w:r>
              <w:rPr>
                <w:b/>
                <w:color w:val="503200"/>
                <w:sz w:val="16"/>
              </w:rPr>
              <w:t xml:space="preserve">Var. 100 jours : </w:t>
            </w:r>
            <w:r>
              <w:rPr>
                <w:b/>
                <w:color w:val="B40000"/>
                <w:sz w:val="17"/>
              </w:rPr>
              <w:t>-1.29%</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6.02% (Moyenne) — μ=9,165 FCFA, σ=552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β=0.1380 (Défensif) — Cov=0.000006, Var(idx)=0.000041, ρ=0.054,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σ_j=1.72%/j (Stable) — Vol. annualisée≈27.3%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85/100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2026-09-24</w:t>
            </w:r>
          </w:p>
        </w:tc>
        <w:tc>
          <w:tcPr>
            <w:tcW w:type="dxa" w:w="1440"/>
            <w:shd w:fill="C6EFCE" w:val="clear"/>
          </w:tcPr>
          <w:p>
            <w:r>
              <w:rPr>
                <w:sz w:val="17"/>
              </w:rPr>
              <w:t>8,646</w:t>
            </w:r>
          </w:p>
        </w:tc>
        <w:tc>
          <w:tcPr>
            <w:tcW w:type="dxa" w:w="1440"/>
            <w:shd w:fill="C6EFCE" w:val="clear"/>
          </w:tcPr>
          <w:p>
            <w:r>
              <w:rPr>
                <w:b/>
                <w:sz w:val="17"/>
              </w:rPr>
              <w:t>9,024</w:t>
            </w:r>
          </w:p>
        </w:tc>
        <w:tc>
          <w:tcPr>
            <w:tcW w:type="dxa" w:w="1440"/>
            <w:shd w:fill="C6EFCE" w:val="clear"/>
          </w:tcPr>
          <w:p>
            <w:r>
              <w:rPr>
                <w:sz w:val="17"/>
              </w:rPr>
              <w:t>9,401</w:t>
            </w:r>
          </w:p>
        </w:tc>
        <w:tc>
          <w:tcPr>
            <w:tcW w:type="dxa" w:w="1440"/>
            <w:shd w:fill="C6EFCE" w:val="clear"/>
          </w:tcPr>
          <w:p>
            <w:r>
              <w:rPr>
                <w:b/>
                <w:color w:val="008000"/>
                <w:sz w:val="17"/>
              </w:rPr>
              <w:t>+2.7%</w:t>
            </w:r>
          </w:p>
        </w:tc>
      </w:tr>
      <w:tr>
        <w:tc>
          <w:tcPr>
            <w:tcW w:type="dxa" w:w="1440"/>
            <w:shd w:fill="C6EFCE" w:val="clear"/>
          </w:tcPr>
          <w:p>
            <w:r>
              <w:rPr>
                <w:sz w:val="17"/>
              </w:rPr>
              <w:t>J+2  Moyenne</w:t>
            </w:r>
          </w:p>
        </w:tc>
        <w:tc>
          <w:tcPr>
            <w:tcW w:type="dxa" w:w="1440"/>
            <w:shd w:fill="C6EFCE" w:val="clear"/>
          </w:tcPr>
          <w:p>
            <w:r>
              <w:rPr>
                <w:sz w:val="17"/>
              </w:rPr>
              <w:t>2026-09-25</w:t>
            </w:r>
          </w:p>
        </w:tc>
        <w:tc>
          <w:tcPr>
            <w:tcW w:type="dxa" w:w="1440"/>
            <w:shd w:fill="C6EFCE" w:val="clear"/>
          </w:tcPr>
          <w:p>
            <w:r>
              <w:rPr>
                <w:sz w:val="17"/>
              </w:rPr>
              <w:t>8,524</w:t>
            </w:r>
          </w:p>
        </w:tc>
        <w:tc>
          <w:tcPr>
            <w:tcW w:type="dxa" w:w="1440"/>
            <w:shd w:fill="C6EFCE" w:val="clear"/>
          </w:tcPr>
          <w:p>
            <w:r>
              <w:rPr>
                <w:b/>
                <w:sz w:val="17"/>
              </w:rPr>
              <w:t>9,060</w:t>
            </w:r>
          </w:p>
        </w:tc>
        <w:tc>
          <w:tcPr>
            <w:tcW w:type="dxa" w:w="1440"/>
            <w:shd w:fill="C6EFCE" w:val="clear"/>
          </w:tcPr>
          <w:p>
            <w:r>
              <w:rPr>
                <w:sz w:val="17"/>
              </w:rPr>
              <w:t>9,597</w:t>
            </w:r>
          </w:p>
        </w:tc>
        <w:tc>
          <w:tcPr>
            <w:tcW w:type="dxa" w:w="1440"/>
            <w:shd w:fill="C6EFCE" w:val="clear"/>
          </w:tcPr>
          <w:p>
            <w:r>
              <w:rPr>
                <w:b/>
                <w:color w:val="008000"/>
                <w:sz w:val="17"/>
              </w:rPr>
              <w:t>+3.1%</w:t>
            </w:r>
          </w:p>
        </w:tc>
      </w:tr>
      <w:tr>
        <w:tc>
          <w:tcPr>
            <w:tcW w:type="dxa" w:w="1440"/>
            <w:shd w:fill="C6EFCE" w:val="clear"/>
          </w:tcPr>
          <w:p>
            <w:r>
              <w:rPr>
                <w:sz w:val="17"/>
              </w:rPr>
              <w:t>J+3  Moyenne</w:t>
            </w:r>
          </w:p>
        </w:tc>
        <w:tc>
          <w:tcPr>
            <w:tcW w:type="dxa" w:w="1440"/>
            <w:shd w:fill="C6EFCE" w:val="clear"/>
          </w:tcPr>
          <w:p>
            <w:r>
              <w:rPr>
                <w:sz w:val="17"/>
              </w:rPr>
              <w:t>2026-09-28</w:t>
            </w:r>
          </w:p>
        </w:tc>
        <w:tc>
          <w:tcPr>
            <w:tcW w:type="dxa" w:w="1440"/>
            <w:shd w:fill="C6EFCE" w:val="clear"/>
          </w:tcPr>
          <w:p>
            <w:r>
              <w:rPr>
                <w:sz w:val="17"/>
              </w:rPr>
              <w:t>8,437</w:t>
            </w:r>
          </w:p>
        </w:tc>
        <w:tc>
          <w:tcPr>
            <w:tcW w:type="dxa" w:w="1440"/>
            <w:shd w:fill="C6EFCE" w:val="clear"/>
          </w:tcPr>
          <w:p>
            <w:r>
              <w:rPr>
                <w:b/>
                <w:sz w:val="17"/>
              </w:rPr>
              <w:t>9,096</w:t>
            </w:r>
          </w:p>
        </w:tc>
        <w:tc>
          <w:tcPr>
            <w:tcW w:type="dxa" w:w="1440"/>
            <w:shd w:fill="C6EFCE" w:val="clear"/>
          </w:tcPr>
          <w:p>
            <w:r>
              <w:rPr>
                <w:sz w:val="17"/>
              </w:rPr>
              <w:t>9,755</w:t>
            </w:r>
          </w:p>
        </w:tc>
        <w:tc>
          <w:tcPr>
            <w:tcW w:type="dxa" w:w="1440"/>
            <w:shd w:fill="C6EFCE" w:val="clear"/>
          </w:tcPr>
          <w:p>
            <w:r>
              <w:rPr>
                <w:b/>
                <w:color w:val="008000"/>
                <w:sz w:val="17"/>
              </w:rPr>
              <w:t>+3.5%</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8,344</w:t>
            </w:r>
          </w:p>
        </w:tc>
        <w:tc>
          <w:tcPr>
            <w:tcW w:type="dxa" w:w="1440"/>
            <w:shd w:fill="C6EFCE" w:val="clear"/>
          </w:tcPr>
          <w:p>
            <w:r>
              <w:rPr>
                <w:b/>
                <w:sz w:val="17"/>
              </w:rPr>
              <w:t>9,106</w:t>
            </w:r>
          </w:p>
        </w:tc>
        <w:tc>
          <w:tcPr>
            <w:tcW w:type="dxa" w:w="1440"/>
            <w:shd w:fill="C6EFCE" w:val="clear"/>
          </w:tcPr>
          <w:p>
            <w:r>
              <w:rPr>
                <w:sz w:val="17"/>
              </w:rPr>
              <w:t>9,868</w:t>
            </w:r>
          </w:p>
        </w:tc>
        <w:tc>
          <w:tcPr>
            <w:tcW w:type="dxa" w:w="1440"/>
            <w:shd w:fill="C6EFCE" w:val="clear"/>
          </w:tcPr>
          <w:p>
            <w:r>
              <w:rPr>
                <w:b/>
                <w:color w:val="008000"/>
                <w:sz w:val="17"/>
              </w:rPr>
              <w:t>+3.6%</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8,255</w:t>
            </w:r>
          </w:p>
        </w:tc>
        <w:tc>
          <w:tcPr>
            <w:tcW w:type="dxa" w:w="1440"/>
            <w:shd w:fill="C6EFCE" w:val="clear"/>
          </w:tcPr>
          <w:p>
            <w:r>
              <w:rPr>
                <w:b/>
                <w:sz w:val="17"/>
              </w:rPr>
              <w:t>9,107</w:t>
            </w:r>
          </w:p>
        </w:tc>
        <w:tc>
          <w:tcPr>
            <w:tcW w:type="dxa" w:w="1440"/>
            <w:shd w:fill="C6EFCE" w:val="clear"/>
          </w:tcPr>
          <w:p>
            <w:r>
              <w:rPr>
                <w:sz w:val="17"/>
              </w:rPr>
              <w:t>9,959</w:t>
            </w:r>
          </w:p>
        </w:tc>
        <w:tc>
          <w:tcPr>
            <w:tcW w:type="dxa" w:w="1440"/>
            <w:shd w:fill="C6EFCE" w:val="clear"/>
          </w:tcPr>
          <w:p>
            <w:r>
              <w:rPr>
                <w:b/>
                <w:color w:val="008000"/>
                <w:sz w:val="17"/>
              </w:rPr>
              <w:t>+3.6%</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8,172</w:t>
            </w:r>
          </w:p>
        </w:tc>
        <w:tc>
          <w:tcPr>
            <w:tcW w:type="dxa" w:w="1440"/>
            <w:shd w:fill="C6EFCE" w:val="clear"/>
          </w:tcPr>
          <w:p>
            <w:r>
              <w:rPr>
                <w:b/>
                <w:sz w:val="17"/>
              </w:rPr>
              <w:t>9,106</w:t>
            </w:r>
          </w:p>
        </w:tc>
        <w:tc>
          <w:tcPr>
            <w:tcW w:type="dxa" w:w="1440"/>
            <w:shd w:fill="C6EFCE" w:val="clear"/>
          </w:tcPr>
          <w:p>
            <w:r>
              <w:rPr>
                <w:sz w:val="17"/>
              </w:rPr>
              <w:t>10,039</w:t>
            </w:r>
          </w:p>
        </w:tc>
        <w:tc>
          <w:tcPr>
            <w:tcW w:type="dxa" w:w="1440"/>
            <w:shd w:fill="C6EFCE" w:val="clear"/>
          </w:tcPr>
          <w:p>
            <w:r>
              <w:rPr>
                <w:b/>
                <w:color w:val="008000"/>
                <w:sz w:val="17"/>
              </w:rPr>
              <w:t>+3.6%</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8,096</w:t>
            </w:r>
          </w:p>
        </w:tc>
        <w:tc>
          <w:tcPr>
            <w:tcW w:type="dxa" w:w="1440"/>
            <w:shd w:fill="C6EFCE" w:val="clear"/>
          </w:tcPr>
          <w:p>
            <w:r>
              <w:rPr>
                <w:b/>
                <w:sz w:val="17"/>
              </w:rPr>
              <w:t>9,104</w:t>
            </w:r>
          </w:p>
        </w:tc>
        <w:tc>
          <w:tcPr>
            <w:tcW w:type="dxa" w:w="1440"/>
            <w:shd w:fill="C6EFCE" w:val="clear"/>
          </w:tcPr>
          <w:p>
            <w:r>
              <w:rPr>
                <w:sz w:val="17"/>
              </w:rPr>
              <w:t>10,111</w:t>
            </w:r>
          </w:p>
        </w:tc>
        <w:tc>
          <w:tcPr>
            <w:tcW w:type="dxa" w:w="1440"/>
            <w:shd w:fill="C6EFCE" w:val="clear"/>
          </w:tcPr>
          <w:p>
            <w:r>
              <w:rPr>
                <w:b/>
                <w:color w:val="008000"/>
                <w:sz w:val="17"/>
              </w:rPr>
              <w:t>+3.6%</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8,024</w:t>
            </w:r>
          </w:p>
        </w:tc>
        <w:tc>
          <w:tcPr>
            <w:tcW w:type="dxa" w:w="1440"/>
            <w:shd w:fill="C6EFCE" w:val="clear"/>
          </w:tcPr>
          <w:p>
            <w:r>
              <w:rPr>
                <w:b/>
                <w:sz w:val="17"/>
              </w:rPr>
              <w:t>9,101</w:t>
            </w:r>
          </w:p>
        </w:tc>
        <w:tc>
          <w:tcPr>
            <w:tcW w:type="dxa" w:w="1440"/>
            <w:shd w:fill="C6EFCE" w:val="clear"/>
          </w:tcPr>
          <w:p>
            <w:r>
              <w:rPr>
                <w:sz w:val="17"/>
              </w:rPr>
              <w:t>10,178</w:t>
            </w:r>
          </w:p>
        </w:tc>
        <w:tc>
          <w:tcPr>
            <w:tcW w:type="dxa" w:w="1440"/>
            <w:shd w:fill="C6EFCE" w:val="clear"/>
          </w:tcPr>
          <w:p>
            <w:r>
              <w:rPr>
                <w:b/>
                <w:color w:val="008000"/>
                <w:sz w:val="17"/>
              </w:rPr>
              <w:t>+3.5%</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7,956</w:t>
            </w:r>
          </w:p>
        </w:tc>
        <w:tc>
          <w:tcPr>
            <w:tcW w:type="dxa" w:w="1440"/>
            <w:shd w:fill="C6EFCE" w:val="clear"/>
          </w:tcPr>
          <w:p>
            <w:r>
              <w:rPr>
                <w:b/>
                <w:sz w:val="17"/>
              </w:rPr>
              <w:t>9,098</w:t>
            </w:r>
          </w:p>
        </w:tc>
        <w:tc>
          <w:tcPr>
            <w:tcW w:type="dxa" w:w="1440"/>
            <w:shd w:fill="C6EFCE" w:val="clear"/>
          </w:tcPr>
          <w:p>
            <w:r>
              <w:rPr>
                <w:sz w:val="17"/>
              </w:rPr>
              <w:t>10,240</w:t>
            </w:r>
          </w:p>
        </w:tc>
        <w:tc>
          <w:tcPr>
            <w:tcW w:type="dxa" w:w="1440"/>
            <w:shd w:fill="C6EFCE" w:val="clear"/>
          </w:tcPr>
          <w:p>
            <w:r>
              <w:rPr>
                <w:b/>
                <w:color w:val="008000"/>
                <w:sz w:val="17"/>
              </w:rPr>
              <w:t>+3.5%</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7,891</w:t>
            </w:r>
          </w:p>
        </w:tc>
        <w:tc>
          <w:tcPr>
            <w:tcW w:type="dxa" w:w="1440"/>
            <w:shd w:fill="C6EFCE" w:val="clear"/>
          </w:tcPr>
          <w:p>
            <w:r>
              <w:rPr>
                <w:b/>
                <w:sz w:val="17"/>
              </w:rPr>
              <w:t>9,095</w:t>
            </w:r>
          </w:p>
        </w:tc>
        <w:tc>
          <w:tcPr>
            <w:tcW w:type="dxa" w:w="1440"/>
            <w:shd w:fill="C6EFCE" w:val="clear"/>
          </w:tcPr>
          <w:p>
            <w:r>
              <w:rPr>
                <w:sz w:val="17"/>
              </w:rPr>
              <w:t>10,298</w:t>
            </w:r>
          </w:p>
        </w:tc>
        <w:tc>
          <w:tcPr>
            <w:tcW w:type="dxa" w:w="1440"/>
            <w:shd w:fill="C6EFCE" w:val="clear"/>
          </w:tcPr>
          <w:p>
            <w:r>
              <w:rPr>
                <w:b/>
                <w:color w:val="008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RAPPORT D'ANALYSE FINANCIÈRE — BOAB (Bank of Africa Bénin)</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**356,53 milliards FCFA**, BOAB figure parmi les valeurs bancaires de premier plan de la BRVM, ce qui lui confère une liquidité relative et une visibilité institutionnelle appréciables. Le **BPA de 496 FCFA/action** traduit une capacité bénéficiaire solide, mais le **PER de 17,7x** place le titre nettement au-dessus de la moyenne du marché BRVM (8-12x), signalant que les investisseurs paient une prime significative pour cette valeur bancaire. Le **P/B de 3,03x** confirme cette prime de croissance : le marché valorise BOAB à trois fois sa valeur comptable, ce qui suppose des anticipations de rentabilité durablement supérieure au coût des fonds propres. Enfin, l'**EV/EBITDA de 18,6x** (au-delà du seuil de 15x considéré comme exigeant) indique que la valeur d'entreprise intègre déjà une bonne partie du potentiel opérationnel — la marge de sécurité sur ces multiples reste donc limitée, ce qui invite à la prudence sur les niveaux d'entrée.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 affiche une **variation totale de -1,29%**, mais la dernière séance (J-1) a été marquée par une chute brutale de **-3,35%**, ramenant le cours à **8 790 FCFA**. Le range de trading s'établit entre un plus haut de **10 350 FCFA** et un plus bas de **8 520 FCFA**, soit une amplitude d'environ 21,5% — le cours actuel évolue donc dans la partie basse de ce canal, proche du plancher. La tendance générale est baissière sur la période, avec une accélération négative en fin de séquence. Les statistiques descriptives révèlent une **moyenne de 9 165 FCFA** supérieure à la **médiane de 8 938 FCFA**, écart confirmé par un **skewness positif de 0,979** : la distribution est asymétrique à droite, avec davantage de journées de cotation sous la moyenne mais quelques pics haussiers marqués. L'**écart-type de 555 FCFA (CV = 6,1%)** indique une dispersion modérée du cours, tandis que le **kurtosis de -0,457 (mésokurtique)** suggère une distribution proche de la normale, sans risque excessif de pics extrêmes. La **volatilité annualisée de 27,3%** classe le titre en catégorie **modérée à élevée** (15-30%), cohérente avec un profil bancaire de la zone UEMOA.</w:t>
      </w:r>
    </w:p>
    <w:p>
      <w:pPr>
        <w:spacing w:after="120" w:line="276" w:lineRule="auto"/>
      </w:pPr>
      <w:r>
        <w:t>---</w:t>
      </w:r>
    </w:p>
    <w:p>
      <w:pPr>
        <w:spacing w:after="120" w:line="276" w:lineRule="auto"/>
      </w:pPr>
      <w:r>
        <w:t>## PARTIE 2 : ANALYSE TECHNIQUE DÉTAILLÉE</w:t>
      </w:r>
    </w:p>
    <w:p>
      <w:pPr>
        <w:spacing w:after="120" w:line="276" w:lineRule="auto"/>
      </w:pPr>
      <w:r>
        <w:t>**Moyennes Mobiles** — La MM20 (10 009,75 FCFA) et la MM50 (9 338,3 FCFA) se situent toutes deux nettement au-dessus du cours actuel (8 790 FCFA), ce qui traduit une pression baissière de court et moyen terme. Le croisement des moyennes en configuration descendante et l'écart important entre le cours et la MM20 (-12,2%) suggèrent un potentiel de rebond technique vers ces niveaux de résistance. La décision affichée "Achat" s'explique par le caractère survendu du titre plutôt que par une dynamique haussière établie.</w:t>
      </w:r>
    </w:p>
    <w:p>
      <w:pPr>
        <w:spacing w:after="120" w:line="276" w:lineRule="auto"/>
      </w:pPr>
      <w:r>
        <w:t>**Bandes de Bollinger** — Le cours (8 790 FCFA) se situe **sous la borne inférieure** (9 179,58 FCFA), configuration rare qui signale une survente extrême et une volatilité en expansion. La borne supérieure à 10 839,92 FCFA délimite un canal large de plus de 1 660 FCFA, reflétant l'instabilité récente. La décision "Achat" est cohérente avec un retour probable vers la moyenne mobile des bandes (autour de 10 000 FCFA).</w:t>
      </w:r>
    </w:p>
    <w:p>
      <w:pPr>
        <w:spacing w:after="120" w:line="276" w:lineRule="auto"/>
      </w:pPr>
      <w:r>
        <w:t>**MACD** — La valeur du MACD (-27,108) est négative et inférieure à son signal (166,496), configuration baissière classique confirmant le momentum négatif. L'écart important entre les deux lignes traduit une pression vendeuse encore active, justifiant la décision "Vente" à court terme. Un croisement haussier du MACD au-dessus de son signal serait nécessaire pour inverser ce signal.</w:t>
      </w:r>
    </w:p>
    <w:p>
      <w:pPr>
        <w:spacing w:after="120" w:line="276" w:lineRule="auto"/>
      </w:pPr>
      <w:r>
        <w:t>**RSI** — À **14,22**, le RSI est en zone de **survente extrême** (seuil &lt;30), un niveau rarement atteint qui historiquement précède souvent un rebond technique. La décision "Achat" est ici pleinement justifiée : le titre est survendu et une correction haussière est statistiquement probable à court terme.</w:t>
      </w:r>
    </w:p>
    <w:p>
      <w:pPr>
        <w:spacing w:after="120" w:line="276" w:lineRule="auto"/>
      </w:pPr>
      <w:r>
        <w:t>**Stochastique** — Le %K et le %D sont tous deux à **0,0**, soit le plancher absolu de l'indicateur, signalant une survente maximale. Cette configuration extrême, combinée au RSI à 14, renforce l'hypothèse d'un rebond imminent. La décision "Achat" est cohérente avec ce signal de retournement potentiel.</w:t>
      </w:r>
    </w:p>
    <w:p>
      <w:pPr>
        <w:spacing w:after="120" w:line="276" w:lineRule="auto"/>
      </w:pPr>
      <w:r>
        <w:t>**Conclusion technique** — Les indicateurs présentent une **divergence notable** : les oscillateurs (RSI, Stochastique, Bollinger) clignotent tous en survente extrême et plaident pour un rebond technique, tandis que le MACD et les moyennes mobiles confirment une tendance baissière de fond. Cette configuration suggère un **rebond de court terme probable** vers la zone 9 200-9 500 FCFA, mais la tendance de moyen terme reste fragile tant que le cours n'aura pas reconquis la MM20 (10 009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 affiche un **PNB de 51,274 milliards FCFA**, en croissance de **+10,2%**, porté par des intérêts et produits assimilés de 55,728 milliards FCFA et des commissions de 12,339 milliards FCFA. Le **résultat net s'établit à 20,107 milliards FCFA**, soit une **marge nette remarquable de 39,2%**, et le **ROE atteint 17,1%** (au-dessus du seuil d'excellence de 15%), tandis que le **ROA de 2,08%** reste conforme aux standards bancaires. Le **coefficient d'exploitation de 49,5%** classe BOAB parmi les banques les plus efficaces du secteur (&lt;50% = excellente efficacité), confirmant la maîtrise des charges générales (22,704 milliards FCFA). Le **coût du risque de 22,5%** (provisions de 4,686 milliards FCFA rapportées aux charges financières de 20,822 milliards) demeure un point de vigilance, bien qu'inférieur aux niveaux historiques. La structure bilancielle montre des **dépôts clientèle de 711,642 milliards FCFA** face à des **créances clientèle de 391,724 milliards FCFA**, soit un ratio de transformation de 55% — la banque dispose d'une base de dépôts largement supérieure à ses crédits, ce qui limite le risque de liquidité mais pèse sur la marge d'intérêt. L'**autonomie financière de 12,18%** reste faible (norme &gt;30%), typique du modèle bancaire, mais la **solvabilité générale de 113,87%** et la **capacité de remboursement de 5,09 années** (dettes financières/CAF) témoignent d'une structure maîtrisée.</w:t>
      </w:r>
    </w:p>
    <w:p>
      <w:pPr>
        <w:spacing w:after="120" w:line="276" w:lineRule="auto"/>
      </w:pPr>
      <w:r>
        <w:t>**Estimations basées sur les rapports trimestriels** — Le rapport du **T1 2026 (publié en 2026)** fait état d'un **PNB de 12,329 milliards FCFA (+11%)**, d'un **résultat net de 4,502 milliards FCFA (+1%)** et de **dépôts clientèle de 753,7 milliards FCFA (+3,5%)**, avec des commissions en forte hausse (+18,9%). Si l'on annualise ces performances, on peut estimer un **PNB 2026 autour de 54-55 milliards FCFA** et un **résultat net de l'ordre de 20-21 milliards FCFA**, soit une légère progression par rapport à 2025. Le rapport du **T3 2025 (30/09/2025)** confirmait déjà cette dynamique avec un PNB trimestriel de 37,065 milliards FCFA (+9%) et un résultat net de 15,880 milliards FCFA (+13%), malgré une contraction des crédits (-10%) et des dépôts (-5%) — la banque privilégiant la **qualité à la croissance volumique**. Le rapport du **S1 2025 (30/06/2025)** affichait un ROE de 20,3% et un coefficient d'exploitation de 46,1%, confirmant l'excellence opérationnelle. **Conclusion fondamentale** : BOAB présente des fondamentaux solides (ROE &gt;17%, efficacité opérationnelle remarquable, base de dépôts stable), mais la croissance du résultat net ralentit (+1% au T1 2026) sous l'effet de la pression sur les coûts et de la stagnation des créances. Le principal risque reste la **contraction du bilan** et la **dépendance à l'environnement économique béninois**.</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 le PER de 17,7x et l'EV/EBITDA de 18,6x intègrent déjà une prime de qualité, limitant le potentiel de revalorisation à court terme malgré un P/B de 3,03x justifié par un ROE supérieur à 17%. Le **comportement du cours (Partie 1)** est préoccupant à court terme (chute de -3,35% en J-1, cours proche du plus bas annuel), mais les statistiques descriptives (skewness positif, kurtosis mésokurtique, volatilité modérée de 27,3%) n'indiquent pas de risque extrême — la distribution reste gérable. Les **signaux techniques (Partie 2)** sont divergents : les oscillateurs (RSI à 14,22, Stochastique à 0, Bollinger sous la borne inférieure) plaident pour un **rebond technique imminent**, tandis que le MACD et les moyennes mobiles confirment la tendance baissière de fond. Les **fondamentaux (Partie 3)** demeurent solides (ROE 17,1%, coefficient d'exploitation 49,5%, PNB +10,2% en 2025), mais la décélération du résultat net au T1 2026 (+1%) et la contraction du bilan constituent des signaux de vigilance. Les **prédictions IA (J+1 à J+10)** anticipent une **trajectoire haussière** vers 9 024 FCFA (J+1) puis 9 107 FCFA (J+5), soit un rebond de +3,6% — ce qui **confirme** l'hypothèse technique d'un retour vers la moyenne. **Synthèse globale** : la convergence entre survente technique extrême, fondamentaux solides et prédictions haussières plaide pour un **rebond de court terme**, mais la valorisation exigeante et la tendance baissière de fond limitent le potentiel. **Recommandation finale : CONSERVER** (avec opportunité d'achat tactique sur rebond). **Niveau de confiance : Moyen** — la divergence entre oscillateurs et tendance de fond crée une incertitude. **Niveau de risque global : Moyen** — volatilité modérée, fondamentaux solides, mais valorisation tendue. **Horizon d'investissement optimal : Moyen terme (3-12 mois)** — le temps que la banque confirme la reprise de sa croissance bénéficiaire et que le cours reconquière ses moyennes mobiles.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325.60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6,475 titres</w:t>
            </w:r>
          </w:p>
        </w:tc>
        <w:tc>
          <w:tcPr>
            <w:tcW w:type="dxa" w:w="2268"/>
            <w:shd w:fill="FFF2CC" w:val="clear"/>
          </w:tcPr>
          <w:p>
            <w:r>
              <w:rPr>
                <w:b/>
                <w:color w:val="503200"/>
                <w:sz w:val="16"/>
              </w:rPr>
              <w:t xml:space="preserve">Cours actuel : </w:t>
            </w:r>
            <w:r>
              <w:rPr>
                <w:color w:val="000000"/>
                <w:sz w:val="17"/>
              </w:rPr>
              <w:t>7,400 FCFA</w:t>
            </w:r>
          </w:p>
          <w:p>
            <w:r>
              <w:rPr>
                <w:b/>
                <w:color w:val="503200"/>
                <w:sz w:val="16"/>
              </w:rPr>
              <w:t xml:space="preserve">Var. 100 jours : </w:t>
            </w:r>
            <w:r>
              <w:rPr>
                <w:b/>
                <w:color w:val="007800"/>
                <w:sz w:val="17"/>
              </w:rPr>
              <w:t>+34.55%</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18.39% (Élevée) — μ=6,681 FCFA, σ=1,229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β=0.4129 (Défensif) — Cov=0.000017, Var(idx)=0.000041, ρ=0.126,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83/100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2026-09-24</w:t>
            </w:r>
          </w:p>
        </w:tc>
        <w:tc>
          <w:tcPr>
            <w:tcW w:type="dxa" w:w="1440"/>
            <w:shd w:fill="C6EFCE" w:val="clear"/>
          </w:tcPr>
          <w:p>
            <w:r>
              <w:rPr>
                <w:sz w:val="17"/>
              </w:rPr>
              <w:t>7,209</w:t>
            </w:r>
          </w:p>
        </w:tc>
        <w:tc>
          <w:tcPr>
            <w:tcW w:type="dxa" w:w="1440"/>
            <w:shd w:fill="C6EFCE" w:val="clear"/>
          </w:tcPr>
          <w:p>
            <w:r>
              <w:rPr>
                <w:b/>
                <w:sz w:val="17"/>
              </w:rPr>
              <w:t>7,550</w:t>
            </w:r>
          </w:p>
        </w:tc>
        <w:tc>
          <w:tcPr>
            <w:tcW w:type="dxa" w:w="1440"/>
            <w:shd w:fill="C6EFCE" w:val="clear"/>
          </w:tcPr>
          <w:p>
            <w:r>
              <w:rPr>
                <w:sz w:val="17"/>
              </w:rPr>
              <w:t>7,892</w:t>
            </w:r>
          </w:p>
        </w:tc>
        <w:tc>
          <w:tcPr>
            <w:tcW w:type="dxa" w:w="1440"/>
            <w:shd w:fill="C6EFCE" w:val="clear"/>
          </w:tcPr>
          <w:p>
            <w:r>
              <w:rPr>
                <w:b/>
                <w:color w:val="008000"/>
                <w:sz w:val="17"/>
              </w:rPr>
              <w:t>+2.0%</w:t>
            </w:r>
          </w:p>
        </w:tc>
      </w:tr>
      <w:tr>
        <w:tc>
          <w:tcPr>
            <w:tcW w:type="dxa" w:w="1440"/>
            <w:shd w:fill="C6EFCE" w:val="clear"/>
          </w:tcPr>
          <w:p>
            <w:r>
              <w:rPr>
                <w:sz w:val="17"/>
              </w:rPr>
              <w:t>J+2  Moyenne</w:t>
            </w:r>
          </w:p>
        </w:tc>
        <w:tc>
          <w:tcPr>
            <w:tcW w:type="dxa" w:w="1440"/>
            <w:shd w:fill="C6EFCE" w:val="clear"/>
          </w:tcPr>
          <w:p>
            <w:r>
              <w:rPr>
                <w:sz w:val="17"/>
              </w:rPr>
              <w:t>2026-09-25</w:t>
            </w:r>
          </w:p>
        </w:tc>
        <w:tc>
          <w:tcPr>
            <w:tcW w:type="dxa" w:w="1440"/>
            <w:shd w:fill="C6EFCE" w:val="clear"/>
          </w:tcPr>
          <w:p>
            <w:r>
              <w:rPr>
                <w:sz w:val="17"/>
              </w:rPr>
              <w:t>7,157</w:t>
            </w:r>
          </w:p>
        </w:tc>
        <w:tc>
          <w:tcPr>
            <w:tcW w:type="dxa" w:w="1440"/>
            <w:shd w:fill="C6EFCE" w:val="clear"/>
          </w:tcPr>
          <w:p>
            <w:r>
              <w:rPr>
                <w:b/>
                <w:sz w:val="17"/>
              </w:rPr>
              <w:t>7,647</w:t>
            </w:r>
          </w:p>
        </w:tc>
        <w:tc>
          <w:tcPr>
            <w:tcW w:type="dxa" w:w="1440"/>
            <w:shd w:fill="C6EFCE" w:val="clear"/>
          </w:tcPr>
          <w:p>
            <w:r>
              <w:rPr>
                <w:sz w:val="17"/>
              </w:rPr>
              <w:t>8,136</w:t>
            </w:r>
          </w:p>
        </w:tc>
        <w:tc>
          <w:tcPr>
            <w:tcW w:type="dxa" w:w="1440"/>
            <w:shd w:fill="C6EFCE" w:val="clear"/>
          </w:tcPr>
          <w:p>
            <w:r>
              <w:rPr>
                <w:b/>
                <w:color w:val="008000"/>
                <w:sz w:val="17"/>
              </w:rPr>
              <w:t>+3.3%</w:t>
            </w:r>
          </w:p>
        </w:tc>
      </w:tr>
      <w:tr>
        <w:tc>
          <w:tcPr>
            <w:tcW w:type="dxa" w:w="1440"/>
            <w:shd w:fill="C6EFCE" w:val="clear"/>
          </w:tcPr>
          <w:p>
            <w:r>
              <w:rPr>
                <w:sz w:val="17"/>
              </w:rPr>
              <w:t>J+3  Moyenne</w:t>
            </w:r>
          </w:p>
        </w:tc>
        <w:tc>
          <w:tcPr>
            <w:tcW w:type="dxa" w:w="1440"/>
            <w:shd w:fill="C6EFCE" w:val="clear"/>
          </w:tcPr>
          <w:p>
            <w:r>
              <w:rPr>
                <w:sz w:val="17"/>
              </w:rPr>
              <w:t>2026-09-28</w:t>
            </w:r>
          </w:p>
        </w:tc>
        <w:tc>
          <w:tcPr>
            <w:tcW w:type="dxa" w:w="1440"/>
            <w:shd w:fill="C6EFCE" w:val="clear"/>
          </w:tcPr>
          <w:p>
            <w:r>
              <w:rPr>
                <w:sz w:val="17"/>
              </w:rPr>
              <w:t>7,107</w:t>
            </w:r>
          </w:p>
        </w:tc>
        <w:tc>
          <w:tcPr>
            <w:tcW w:type="dxa" w:w="1440"/>
            <w:shd w:fill="C6EFCE" w:val="clear"/>
          </w:tcPr>
          <w:p>
            <w:r>
              <w:rPr>
                <w:b/>
                <w:sz w:val="17"/>
              </w:rPr>
              <w:t>7,712</w:t>
            </w:r>
          </w:p>
        </w:tc>
        <w:tc>
          <w:tcPr>
            <w:tcW w:type="dxa" w:w="1440"/>
            <w:shd w:fill="C6EFCE" w:val="clear"/>
          </w:tcPr>
          <w:p>
            <w:r>
              <w:rPr>
                <w:sz w:val="17"/>
              </w:rPr>
              <w:t>8,317</w:t>
            </w:r>
          </w:p>
        </w:tc>
        <w:tc>
          <w:tcPr>
            <w:tcW w:type="dxa" w:w="1440"/>
            <w:shd w:fill="C6EFCE" w:val="clear"/>
          </w:tcPr>
          <w:p>
            <w:r>
              <w:rPr>
                <w:b/>
                <w:color w:val="008000"/>
                <w:sz w:val="17"/>
              </w:rPr>
              <w:t>+4.2%</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7,049</w:t>
            </w:r>
          </w:p>
        </w:tc>
        <w:tc>
          <w:tcPr>
            <w:tcW w:type="dxa" w:w="1440"/>
            <w:shd w:fill="C6EFCE" w:val="clear"/>
          </w:tcPr>
          <w:p>
            <w:r>
              <w:rPr>
                <w:b/>
                <w:sz w:val="17"/>
              </w:rPr>
              <w:t>7,751</w:t>
            </w:r>
          </w:p>
        </w:tc>
        <w:tc>
          <w:tcPr>
            <w:tcW w:type="dxa" w:w="1440"/>
            <w:shd w:fill="C6EFCE" w:val="clear"/>
          </w:tcPr>
          <w:p>
            <w:r>
              <w:rPr>
                <w:sz w:val="17"/>
              </w:rPr>
              <w:t>8,452</w:t>
            </w:r>
          </w:p>
        </w:tc>
        <w:tc>
          <w:tcPr>
            <w:tcW w:type="dxa" w:w="1440"/>
            <w:shd w:fill="C6EFCE" w:val="clear"/>
          </w:tcPr>
          <w:p>
            <w:r>
              <w:rPr>
                <w:b/>
                <w:color w:val="008000"/>
                <w:sz w:val="17"/>
              </w:rPr>
              <w:t>+4.7%</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6,988</w:t>
            </w:r>
          </w:p>
        </w:tc>
        <w:tc>
          <w:tcPr>
            <w:tcW w:type="dxa" w:w="1440"/>
            <w:shd w:fill="C6EFCE" w:val="clear"/>
          </w:tcPr>
          <w:p>
            <w:r>
              <w:rPr>
                <w:b/>
                <w:sz w:val="17"/>
              </w:rPr>
              <w:t>7,775</w:t>
            </w:r>
          </w:p>
        </w:tc>
        <w:tc>
          <w:tcPr>
            <w:tcW w:type="dxa" w:w="1440"/>
            <w:shd w:fill="C6EFCE" w:val="clear"/>
          </w:tcPr>
          <w:p>
            <w:r>
              <w:rPr>
                <w:sz w:val="17"/>
              </w:rPr>
              <w:t>8,563</w:t>
            </w:r>
          </w:p>
        </w:tc>
        <w:tc>
          <w:tcPr>
            <w:tcW w:type="dxa" w:w="1440"/>
            <w:shd w:fill="C6EFCE" w:val="clear"/>
          </w:tcPr>
          <w:p>
            <w:r>
              <w:rPr>
                <w:b/>
                <w:color w:val="008000"/>
                <w:sz w:val="17"/>
              </w:rPr>
              <w:t>+5.1%</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6,929</w:t>
            </w:r>
          </w:p>
        </w:tc>
        <w:tc>
          <w:tcPr>
            <w:tcW w:type="dxa" w:w="1440"/>
            <w:shd w:fill="C6EFCE" w:val="clear"/>
          </w:tcPr>
          <w:p>
            <w:r>
              <w:rPr>
                <w:b/>
                <w:sz w:val="17"/>
              </w:rPr>
              <w:t>7,794</w:t>
            </w:r>
          </w:p>
        </w:tc>
        <w:tc>
          <w:tcPr>
            <w:tcW w:type="dxa" w:w="1440"/>
            <w:shd w:fill="C6EFCE" w:val="clear"/>
          </w:tcPr>
          <w:p>
            <w:r>
              <w:rPr>
                <w:sz w:val="17"/>
              </w:rPr>
              <w:t>8,658</w:t>
            </w:r>
          </w:p>
        </w:tc>
        <w:tc>
          <w:tcPr>
            <w:tcW w:type="dxa" w:w="1440"/>
            <w:shd w:fill="C6EFCE" w:val="clear"/>
          </w:tcPr>
          <w:p>
            <w:r>
              <w:rPr>
                <w:b/>
                <w:color w:val="008000"/>
                <w:sz w:val="17"/>
              </w:rPr>
              <w:t>+5.3%</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6,874</w:t>
            </w:r>
          </w:p>
        </w:tc>
        <w:tc>
          <w:tcPr>
            <w:tcW w:type="dxa" w:w="1440"/>
            <w:shd w:fill="C6EFCE" w:val="clear"/>
          </w:tcPr>
          <w:p>
            <w:r>
              <w:rPr>
                <w:b/>
                <w:sz w:val="17"/>
              </w:rPr>
              <w:t>7,810</w:t>
            </w:r>
          </w:p>
        </w:tc>
        <w:tc>
          <w:tcPr>
            <w:tcW w:type="dxa" w:w="1440"/>
            <w:shd w:fill="C6EFCE" w:val="clear"/>
          </w:tcPr>
          <w:p>
            <w:r>
              <w:rPr>
                <w:sz w:val="17"/>
              </w:rPr>
              <w:t>8,745</w:t>
            </w:r>
          </w:p>
        </w:tc>
        <w:tc>
          <w:tcPr>
            <w:tcW w:type="dxa" w:w="1440"/>
            <w:shd w:fill="C6EFCE" w:val="clear"/>
          </w:tcPr>
          <w:p>
            <w:r>
              <w:rPr>
                <w:b/>
                <w:color w:val="008000"/>
                <w:sz w:val="17"/>
              </w:rPr>
              <w:t>+5.5%</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6,822</w:t>
            </w:r>
          </w:p>
        </w:tc>
        <w:tc>
          <w:tcPr>
            <w:tcW w:type="dxa" w:w="1440"/>
            <w:shd w:fill="C6EFCE" w:val="clear"/>
          </w:tcPr>
          <w:p>
            <w:r>
              <w:rPr>
                <w:b/>
                <w:sz w:val="17"/>
              </w:rPr>
              <w:t>7,824</w:t>
            </w:r>
          </w:p>
        </w:tc>
        <w:tc>
          <w:tcPr>
            <w:tcW w:type="dxa" w:w="1440"/>
            <w:shd w:fill="C6EFCE" w:val="clear"/>
          </w:tcPr>
          <w:p>
            <w:r>
              <w:rPr>
                <w:sz w:val="17"/>
              </w:rPr>
              <w:t>8,826</w:t>
            </w:r>
          </w:p>
        </w:tc>
        <w:tc>
          <w:tcPr>
            <w:tcW w:type="dxa" w:w="1440"/>
            <w:shd w:fill="C6EFCE" w:val="clear"/>
          </w:tcPr>
          <w:p>
            <w:r>
              <w:rPr>
                <w:b/>
                <w:color w:val="008000"/>
                <w:sz w:val="17"/>
              </w:rPr>
              <w:t>+5.7%</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6,773</w:t>
            </w:r>
          </w:p>
        </w:tc>
        <w:tc>
          <w:tcPr>
            <w:tcW w:type="dxa" w:w="1440"/>
            <w:shd w:fill="C6EFCE" w:val="clear"/>
          </w:tcPr>
          <w:p>
            <w:r>
              <w:rPr>
                <w:b/>
                <w:sz w:val="17"/>
              </w:rPr>
              <w:t>7,838</w:t>
            </w:r>
          </w:p>
        </w:tc>
        <w:tc>
          <w:tcPr>
            <w:tcW w:type="dxa" w:w="1440"/>
            <w:shd w:fill="C6EFCE" w:val="clear"/>
          </w:tcPr>
          <w:p>
            <w:r>
              <w:rPr>
                <w:sz w:val="17"/>
              </w:rPr>
              <w:t>8,903</w:t>
            </w:r>
          </w:p>
        </w:tc>
        <w:tc>
          <w:tcPr>
            <w:tcW w:type="dxa" w:w="1440"/>
            <w:shd w:fill="C6EFCE" w:val="clear"/>
          </w:tcPr>
          <w:p>
            <w:r>
              <w:rPr>
                <w:b/>
                <w:color w:val="008000"/>
                <w:sz w:val="17"/>
              </w:rPr>
              <w:t>+5.9%</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6,727</w:t>
            </w:r>
          </w:p>
        </w:tc>
        <w:tc>
          <w:tcPr>
            <w:tcW w:type="dxa" w:w="1440"/>
            <w:shd w:fill="C6EFCE" w:val="clear"/>
          </w:tcPr>
          <w:p>
            <w:r>
              <w:rPr>
                <w:b/>
                <w:sz w:val="17"/>
              </w:rPr>
              <w:t>7,852</w:t>
            </w:r>
          </w:p>
        </w:tc>
        <w:tc>
          <w:tcPr>
            <w:tcW w:type="dxa" w:w="1440"/>
            <w:shd w:fill="C6EFCE" w:val="clear"/>
          </w:tcPr>
          <w:p>
            <w:r>
              <w:rPr>
                <w:sz w:val="17"/>
              </w:rPr>
              <w:t>8,976</w:t>
            </w:r>
          </w:p>
        </w:tc>
        <w:tc>
          <w:tcPr>
            <w:tcW w:type="dxa" w:w="1440"/>
            <w:shd w:fill="C6EFCE" w:val="clear"/>
          </w:tcPr>
          <w:p>
            <w:r>
              <w:rPr>
                <w:b/>
                <w:color w:val="008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325,60 Mds FCFA, BOABF s'affirme comme une valeur de premier plan de la cote BRVM, représentant l'une des plus importantes capitalisations du compartiment bancaire régional. Le BPA de 438 FCFA/action signifie que chaque titre génère près de 438 FCFA de bénéfice net, un niveau de rentabilité par action solide pour le secteur. Le PER de 16,9x traduit une valorisation modérée mais supérieure à la moyenne BRVM (généralement 8-12x), les investisseurs acceptant de payer une prime pour la qualité et la régularité des résultats de la banque. Le P/B de 2,57x indique que le marché valorise l'établissement à plus de 2,5 fois sa valeur comptable, une prime de croissance justifiée par un ROE supérieur à 15%. Enfin, l'EV/EBITDA de 7,2x, situé dans la fourchette raisonnable de 5-10x, suggère que la valeur d'entreprise reste cohérente avec la capacité opérationnelle de génération de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BOABF a enregistré une progression spectaculaire de +34,55%, portant le cours à 7 400 FCFA, malgré une quasi-stabilité lors de la dernière séance (-0,07%). Le range de trading est particulièrement large, avec un plus haut à 9 090 FCFA et un plus bas à 5 300 FCFA, soit un écart de plus de 71% entre les extrêmes — signe d'une forte dynamique haussière entrecoupée de corrections marquées. La tendance générale demeure clairement haussière, soutenue par un volume moyen quotidien de 6 475 titres, témoignant d'un intérêt constant des investisseurs. Les statistiques descriptives révèlent une moyenne de 6 681 FCFA supérieure à la médiane de 6 225 FCFA, confirmant une asymétrie positive (skewness de 0,582) avec davantage de journées sous la moyenne mais des pics haussiers marqués. L'écart-type de 1 235 FCFA (CV de 18,5%) indique une dispersion modérée du cours autour de sa moyenne. Le kurtosis de -0,970 (mésokurtique) suggère une distribution proche de la normale, sans risque excessif de pics extrêmes. La volatilité annualisée de 34,1% classe le titre dans la catégorie des valeurs à volatilité élevée (&gt;30%), ce qui implique un potentiel de gain attractif mais aussi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(8 559,25 FCFA) et la MM50 (7 765,30 FCFA) se situent toutes deux au-dessus du cours actuel (7 400 FCFA), ce qui constitue un signal baissier à court terme. Cependant, la décision technique affichée est "Achat", suggérant que le marché anticipe un retournement haussier ou que le titre est en zone de survente par rapport à ses moyennes. Le cours évolue actuellement sous ses deux moyennes, indiquant une pression vendeuse récente.</w:t>
      </w:r>
    </w:p>
    <w:p>
      <w:pPr>
        <w:spacing w:after="120" w:line="276" w:lineRule="auto"/>
      </w:pPr>
      <w:r>
        <w:t>**Bandes de Bollinger** : La borne supérieure est à 9 706,71 FCFA et la borne inférieure à 7 411,79 FCFA. Le cours actuel (7 400 FCFA) se situe légèrement sous la borne inférieure, ce qui est techniquement un signal d'achat (survente). Cette position suggère que le titre a été excessivement vendu à court terme et pourrait rebondir vers la moyenne mobile centrale. La décision "Achat" est cohérente avec cette configuration.</w:t>
      </w:r>
    </w:p>
    <w:p>
      <w:pPr>
        <w:spacing w:after="120" w:line="276" w:lineRule="auto"/>
      </w:pPr>
      <w:r>
        <w:t>**MACD** : La valeur du MACD (-35,708) est inférieure à son signal (197,755), générant une divergence baissière et un momentum négatif. La décision "Vente" reflète cette dynamique défavorable à court terme. Toutefois, l'écart entre les deux lignes se réduit, ce qui pourrait annoncer un croisement haussier imminent si la tendance s'inverse.</w:t>
      </w:r>
    </w:p>
    <w:p>
      <w:pPr>
        <w:spacing w:after="120" w:line="276" w:lineRule="auto"/>
      </w:pPr>
      <w:r>
        <w:t>**RSI** : Avec une valeur de 6,461, le RSI est extrêmement bas, bien en dessous du seuil de survente de 30. Cela indique une pression vendeuse intense et un potentiel de rebond technique important. La décision "Achat" est justifiée par cette configuration de survente extrême, bien que le RSI puisse rester bas si la tendance baissière persiste.</w:t>
      </w:r>
    </w:p>
    <w:p>
      <w:pPr>
        <w:spacing w:after="120" w:line="276" w:lineRule="auto"/>
      </w:pPr>
      <w:r>
        <w:t>**Stochastique** : Le %K et le %D sont tous deux à 0,0, confirmant une situation de survente extrême. Un croisement haussier du %K au-dessus du %D serait un signal d'achat, mais pour l'instant, les deux lignes sont collées à zéro, indiquant que la pression baissière est à son paroxysme. La décision "Achat" anticipe un retournement imminent.</w:t>
      </w:r>
    </w:p>
    <w:p>
      <w:pPr>
        <w:spacing w:after="120" w:line="276" w:lineRule="auto"/>
      </w:pPr>
      <w:r>
        <w:t>**Conclusion technique** : Les indicateurs techniques présentent un tableau contrasté. Les moyennes mobiles et le MACD sont baissiers, tandis que le RSI, le stochastique et les bandes de Bollinger signalent une survente extrême propice à un rebond. La convergence des signaux de survente (RSI à 6,5, stochastique à 0, cours sous la borne inférieure de Bollinger) suggère qu'un rebond technique est probable à court terme, mais la prudence reste de mise tant que le MACD n'aura pas confirmé un retournement.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BOABF a réalisé un Produit Net Bancaire (PNB) de 57 820 Mds FCFA, quasi stable par rapport à 2024 (+0,6%). Le résultat net s'établit à 19 252 Mds FCFA, en recul de -14,1% sur un an, principalement en raison d'un coût du risque qui a quasiment doublé (8 355 Mds FCFA contre 4 303 Mds FCFA en 2024). Le ROE reste excellent à 15,22%, bien au-dessus du seuil de 15%, et le ROA de 1,68% est satisfaisant pour le secteur. Le coefficient d'exploitation de 47,19% témoigne d'une excellente efficacité opérationnelle (&lt; 50%). Le ratio dépôts/crédits s'établit à 877 822 Mds FCFA de dépôts clientèle pour 474 064 Mds FCFA de créances clientèle, soit un ratio de transformation de 54%, indiquant une surliquidité relative. Les créances interbancaires ont bondi à 213 132 Mds FCFA (contre 53 994 Mds FCFA en 2024), traduisant un placement massif de liquidités sur le marché interbancaire plutôt qu'un développement du crédit client.</w:t>
      </w:r>
    </w:p>
    <w:p>
      <w:pPr>
        <w:spacing w:after="120" w:line="276" w:lineRule="auto"/>
      </w:pPr>
      <w:r>
        <w:t>**Estimations basées sur les rapports trimestriels** : Le rapport du T1 2026 (publié le 31/03/2026) indique un PNB de 12 694 Mds FCFA, en baisse de -10,75% sur un an, et un résultat net de 4 520 Mds FCFA (-12,99%). Le rapport du S1 2026 (publié le 30/06/2026) montre un PNB de 27 539 Mds FCFA (-5,2%) mais un résultat net en forte hausse de +31,0% à 10 770 Mds FCFA, grâce à une amélioration spectaculaire du coût du risque (-65,2%). Sur la base de ces tendances, on peut estimer que l'exercice 2026 devrait afficher un PNB en contraction modérée (autour de -5% à -7%) mais un résultat net en nette amélioration (potentiellement +20% à +30%), porté par la normalisation du coût du risque. La dynamique commerciale reste toutefois préoccupante : les crédits clientèle stagnent (+1,3% au S1 2026) tandis que les dépôts progressent (+7,4%), creusant davantage l'écart de transformation.</w:t>
      </w:r>
    </w:p>
    <w:p>
      <w:pPr>
        <w:spacing w:after="120" w:line="276" w:lineRule="auto"/>
      </w:pPr>
      <w:r>
        <w:t>**Recommandation fondamentale** : La solidité financière de BOABF reste incontestable (ROE &gt;15%, coefficient d'exploitation &lt;50%, solvabilité générale de 112%), mais les défis sont réels : contraction du PNB, stagnation du crédit, et dépendance à la normalisation du coût du risque pour la rentabilité. Les rapports récents (T1 et S1 2026) confirment cette dualité entre rentabilité en amélioration et activité commerciale atone. La recommandation fondamentale est **CONSERVER**, avec une surveillance attentive de la reprise du crédit et de la pérennité de l'amélioration du coût du risque.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le PER de 16,9x et le P/B de 2,57x indiquent une valorisation modérée à légèrement supérieure à la moyenne du marché, reflétant la prime de qualité accordée à BOABF, mais sans excès manifeste. **Comportement du cours (Partie 1)** : la tendance haussière de +34,55% sur 100 jours est impressionnante, mais la volatilité élevée (34,1%) et l'asymétrie positive (skewness de 0,582) suggèrent que le titre a connu des corrections brutales, ce qui appelle à la prudence. **Signaux techniques (Partie 2)** : la divergence entre les indicateurs baissiers (MM, MACD) et les signaux de survente extrême (RSI à 6,5, stochastique à 0) crée une incertitude à court terme, mais la configuration de survente plaide pour un rebond technique imminent. **Fondamentaux (Partie 3)** : la solidité financière est réelle (ROE de 15,22%, coefficient d'exploitation de 47,19%), mais la contraction du PNB et la stagnation du crédit sont des points de vigilance majeurs. Les estimations basées sur les rapports T1 et S1 2026 suggèrent une amélioration de la rentabilité nette (+31% au S1 2026) portée par la normalisation du coût du risque, mais cette amélioration reste fragile car elle ne s'appuie pas sur une reprise de l'activité commerciale. **Prédictions IA (J+1 à J+10)** : la trajectoire prévue (7 550 FCFA à 7 775 FCFA) confirme un rebond haussier de +5% sur 10 jours, en ligne avec les signaux de survente technique.</w:t>
      </w:r>
    </w:p>
    <w:p>
      <w:pPr>
        <w:spacing w:after="120" w:line="276" w:lineRule="auto"/>
      </w:pPr>
      <w:r>
        <w:t>**Recommandation finale** : **CONSERVER**. La convergence entre les signaux techniques de survente (RSI, stochastique, Bollinger) et les prédictions IA haussières soutient un rebond à court terme, mais la divergence avec les fondamentaux (contraction du PNB, stagnation du crédit) et la valorisation modérée (PER de 16,9x) limitent le potentiel de hausse durable. **Niveau de confiance** : Moyen, en raison de l'incertitude sur la reprise de l'activité commerciale. **Niveau de risque** : Moyen à Élevé, compte tenu de la volatilité du titre (34,1%) et des défis structurels du secteur bancaire burkinabè. **Horizon d'investissement** : Moyen terme (3-12 mois), le temps que la normalisation du coût du risque se confirme et que la dynamique commerciale (crédits, PNB) montre des signes de reprise. Un investisseur averse au risque attendra des confirmations supplémentaires avant de renforcer sa position.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432.00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10,701 titres</w:t>
            </w:r>
          </w:p>
        </w:tc>
        <w:tc>
          <w:tcPr>
            <w:tcW w:type="dxa" w:w="2268"/>
            <w:shd w:fill="FFF2CC" w:val="clear"/>
          </w:tcPr>
          <w:p>
            <w:r>
              <w:rPr>
                <w:b/>
                <w:color w:val="503200"/>
                <w:sz w:val="16"/>
              </w:rPr>
              <w:t xml:space="preserve">Cours actuel : </w:t>
            </w:r>
            <w:r>
              <w:rPr>
                <w:color w:val="000000"/>
                <w:sz w:val="17"/>
              </w:rPr>
              <w:t>10,800 FCFA</w:t>
            </w:r>
          </w:p>
          <w:p>
            <w:r>
              <w:rPr>
                <w:b/>
                <w:color w:val="503200"/>
                <w:sz w:val="16"/>
              </w:rPr>
              <w:t xml:space="preserve">Var. 100 jours : </w:t>
            </w:r>
            <w:r>
              <w:rPr>
                <w:b/>
                <w:color w:val="007800"/>
                <w:sz w:val="17"/>
              </w:rPr>
              <w:t>+17.46%</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15.31% (Élevée) — μ=10,374 FCFA, σ=1,588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β=0.1793 (Défensif) — Cov=0.000007, Var(idx)=0.000041, ρ=0.071,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10,701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86/100  (Excellent)</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10,544</w:t>
            </w:r>
          </w:p>
        </w:tc>
        <w:tc>
          <w:tcPr>
            <w:tcW w:type="dxa" w:w="1440"/>
            <w:shd w:fill="FAFAFA" w:val="clear"/>
          </w:tcPr>
          <w:p>
            <w:r>
              <w:rPr>
                <w:b/>
                <w:sz w:val="17"/>
              </w:rPr>
              <w:t>10,880</w:t>
            </w:r>
          </w:p>
        </w:tc>
        <w:tc>
          <w:tcPr>
            <w:tcW w:type="dxa" w:w="1440"/>
            <w:shd w:fill="FAFAFA" w:val="clear"/>
          </w:tcPr>
          <w:p>
            <w:r>
              <w:rPr>
                <w:sz w:val="17"/>
              </w:rPr>
              <w:t>11,217</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10,315</w:t>
            </w:r>
          </w:p>
        </w:tc>
        <w:tc>
          <w:tcPr>
            <w:tcW w:type="dxa" w:w="1440"/>
            <w:shd w:fill="FAFAFA" w:val="clear"/>
          </w:tcPr>
          <w:p>
            <w:r>
              <w:rPr>
                <w:b/>
                <w:sz w:val="17"/>
              </w:rPr>
              <w:t>10,787</w:t>
            </w:r>
          </w:p>
        </w:tc>
        <w:tc>
          <w:tcPr>
            <w:tcW w:type="dxa" w:w="1440"/>
            <w:shd w:fill="FAFAFA" w:val="clear"/>
          </w:tcPr>
          <w:p>
            <w:r>
              <w:rPr>
                <w:sz w:val="17"/>
              </w:rPr>
              <w:t>11,259</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2026-09-28</w:t>
            </w:r>
          </w:p>
        </w:tc>
        <w:tc>
          <w:tcPr>
            <w:tcW w:type="dxa" w:w="1440"/>
            <w:shd w:fill="FAFAFA" w:val="clear"/>
          </w:tcPr>
          <w:p>
            <w:r>
              <w:rPr>
                <w:sz w:val="17"/>
              </w:rPr>
              <w:t>10,173</w:t>
            </w:r>
          </w:p>
        </w:tc>
        <w:tc>
          <w:tcPr>
            <w:tcW w:type="dxa" w:w="1440"/>
            <w:shd w:fill="FAFAFA" w:val="clear"/>
          </w:tcPr>
          <w:p>
            <w:r>
              <w:rPr>
                <w:b/>
                <w:sz w:val="17"/>
              </w:rPr>
              <w:t>10,749</w:t>
            </w:r>
          </w:p>
        </w:tc>
        <w:tc>
          <w:tcPr>
            <w:tcW w:type="dxa" w:w="1440"/>
            <w:shd w:fill="FAFAFA" w:val="clear"/>
          </w:tcPr>
          <w:p>
            <w:r>
              <w:rPr>
                <w:sz w:val="17"/>
              </w:rPr>
              <w:t>11,325</w:t>
            </w:r>
          </w:p>
        </w:tc>
        <w:tc>
          <w:tcPr>
            <w:tcW w:type="dxa" w:w="1440"/>
            <w:shd w:fill="FAFAFA" w:val="clear"/>
          </w:tcPr>
          <w:p>
            <w:r>
              <w:rPr>
                <w:b/>
                <w:color w:val="C00000"/>
                <w:sz w:val="17"/>
              </w:rPr>
              <w:t>-0.5%</w:t>
            </w:r>
          </w:p>
        </w:tc>
      </w:tr>
      <w:tr>
        <w:tc>
          <w:tcPr>
            <w:tcW w:type="dxa" w:w="1440"/>
            <w:shd w:fill="FAFAFA" w:val="clear"/>
          </w:tcPr>
          <w:p>
            <w:r>
              <w:rPr>
                <w:sz w:val="17"/>
              </w:rPr>
              <w:t>J+4  Moyenne</w:t>
            </w:r>
          </w:p>
        </w:tc>
        <w:tc>
          <w:tcPr>
            <w:tcW w:type="dxa" w:w="1440"/>
            <w:shd w:fill="FAFAFA" w:val="clear"/>
          </w:tcPr>
          <w:p>
            <w:r>
              <w:rPr>
                <w:sz w:val="17"/>
              </w:rPr>
              <w:t>2026-09-29</w:t>
            </w:r>
          </w:p>
        </w:tc>
        <w:tc>
          <w:tcPr>
            <w:tcW w:type="dxa" w:w="1440"/>
            <w:shd w:fill="FAFAFA" w:val="clear"/>
          </w:tcPr>
          <w:p>
            <w:r>
              <w:rPr>
                <w:sz w:val="17"/>
              </w:rPr>
              <w:t>10,059</w:t>
            </w:r>
          </w:p>
        </w:tc>
        <w:tc>
          <w:tcPr>
            <w:tcW w:type="dxa" w:w="1440"/>
            <w:shd w:fill="FAFAFA" w:val="clear"/>
          </w:tcPr>
          <w:p>
            <w:r>
              <w:rPr>
                <w:b/>
                <w:sz w:val="17"/>
              </w:rPr>
              <w:t>10,722</w:t>
            </w:r>
          </w:p>
        </w:tc>
        <w:tc>
          <w:tcPr>
            <w:tcW w:type="dxa" w:w="1440"/>
            <w:shd w:fill="FAFAFA" w:val="clear"/>
          </w:tcPr>
          <w:p>
            <w:r>
              <w:rPr>
                <w:sz w:val="17"/>
              </w:rPr>
              <w:t>11,385</w:t>
            </w:r>
          </w:p>
        </w:tc>
        <w:tc>
          <w:tcPr>
            <w:tcW w:type="dxa" w:w="1440"/>
            <w:shd w:fill="FAFAFA" w:val="clear"/>
          </w:tcPr>
          <w:p>
            <w:r>
              <w:rPr>
                <w:b/>
                <w:color w:val="C00000"/>
                <w:sz w:val="17"/>
              </w:rPr>
              <w:t>-0.7%</w:t>
            </w:r>
          </w:p>
        </w:tc>
      </w:tr>
      <w:tr>
        <w:tc>
          <w:tcPr>
            <w:tcW w:type="dxa" w:w="1440"/>
            <w:shd w:fill="FAFAFA" w:val="clear"/>
          </w:tcPr>
          <w:p>
            <w:r>
              <w:rPr>
                <w:sz w:val="17"/>
              </w:rPr>
              <w:t>J+5  Moyenne</w:t>
            </w:r>
          </w:p>
        </w:tc>
        <w:tc>
          <w:tcPr>
            <w:tcW w:type="dxa" w:w="1440"/>
            <w:shd w:fill="FAFAFA" w:val="clear"/>
          </w:tcPr>
          <w:p>
            <w:r>
              <w:rPr>
                <w:sz w:val="17"/>
              </w:rPr>
              <w:t>2026-09-30</w:t>
            </w:r>
          </w:p>
        </w:tc>
        <w:tc>
          <w:tcPr>
            <w:tcW w:type="dxa" w:w="1440"/>
            <w:shd w:fill="FAFAFA" w:val="clear"/>
          </w:tcPr>
          <w:p>
            <w:r>
              <w:rPr>
                <w:sz w:val="17"/>
              </w:rPr>
              <w:t>9,959</w:t>
            </w:r>
          </w:p>
        </w:tc>
        <w:tc>
          <w:tcPr>
            <w:tcW w:type="dxa" w:w="1440"/>
            <w:shd w:fill="FAFAFA" w:val="clear"/>
          </w:tcPr>
          <w:p>
            <w:r>
              <w:rPr>
                <w:b/>
                <w:sz w:val="17"/>
              </w:rPr>
              <w:t>10,699</w:t>
            </w:r>
          </w:p>
        </w:tc>
        <w:tc>
          <w:tcPr>
            <w:tcW w:type="dxa" w:w="1440"/>
            <w:shd w:fill="FAFAFA" w:val="clear"/>
          </w:tcPr>
          <w:p>
            <w:r>
              <w:rPr>
                <w:sz w:val="17"/>
              </w:rPr>
              <w:t>11,439</w:t>
            </w:r>
          </w:p>
        </w:tc>
        <w:tc>
          <w:tcPr>
            <w:tcW w:type="dxa" w:w="1440"/>
            <w:shd w:fill="FAFAFA" w:val="clear"/>
          </w:tcPr>
          <w:p>
            <w:r>
              <w:rPr>
                <w:b/>
                <w:color w:val="C00000"/>
                <w:sz w:val="17"/>
              </w:rPr>
              <w:t>-0.9%</w:t>
            </w:r>
          </w:p>
        </w:tc>
      </w:tr>
      <w:tr>
        <w:tc>
          <w:tcPr>
            <w:tcW w:type="dxa" w:w="1440"/>
            <w:shd w:fill="FAFAFA" w:val="clear"/>
          </w:tcPr>
          <w:p>
            <w:r>
              <w:rPr>
                <w:sz w:val="17"/>
              </w:rPr>
              <w:t>J+6  Moyenne</w:t>
            </w:r>
          </w:p>
        </w:tc>
        <w:tc>
          <w:tcPr>
            <w:tcW w:type="dxa" w:w="1440"/>
            <w:shd w:fill="FAFAFA" w:val="clear"/>
          </w:tcPr>
          <w:p>
            <w:r>
              <w:rPr>
                <w:sz w:val="17"/>
              </w:rPr>
              <w:t>2026-10-01</w:t>
            </w:r>
          </w:p>
        </w:tc>
        <w:tc>
          <w:tcPr>
            <w:tcW w:type="dxa" w:w="1440"/>
            <w:shd w:fill="FAFAFA" w:val="clear"/>
          </w:tcPr>
          <w:p>
            <w:r>
              <w:rPr>
                <w:sz w:val="17"/>
              </w:rPr>
              <w:t>9,870</w:t>
            </w:r>
          </w:p>
        </w:tc>
        <w:tc>
          <w:tcPr>
            <w:tcW w:type="dxa" w:w="1440"/>
            <w:shd w:fill="FAFAFA" w:val="clear"/>
          </w:tcPr>
          <w:p>
            <w:r>
              <w:rPr>
                <w:b/>
                <w:sz w:val="17"/>
              </w:rPr>
              <w:t>10,679</w:t>
            </w:r>
          </w:p>
        </w:tc>
        <w:tc>
          <w:tcPr>
            <w:tcW w:type="dxa" w:w="1440"/>
            <w:shd w:fill="FAFAFA" w:val="clear"/>
          </w:tcPr>
          <w:p>
            <w:r>
              <w:rPr>
                <w:sz w:val="17"/>
              </w:rPr>
              <w:t>11,488</w:t>
            </w:r>
          </w:p>
        </w:tc>
        <w:tc>
          <w:tcPr>
            <w:tcW w:type="dxa" w:w="1440"/>
            <w:shd w:fill="FAFAFA" w:val="clear"/>
          </w:tcPr>
          <w:p>
            <w:r>
              <w:rPr>
                <w:b/>
                <w:color w:val="C00000"/>
                <w:sz w:val="17"/>
              </w:rPr>
              <w:t>-1.1%</w:t>
            </w:r>
          </w:p>
        </w:tc>
      </w:tr>
      <w:tr>
        <w:tc>
          <w:tcPr>
            <w:tcW w:type="dxa" w:w="1440"/>
            <w:shd w:fill="FAFAFA" w:val="clear"/>
          </w:tcPr>
          <w:p>
            <w:r>
              <w:rPr>
                <w:sz w:val="17"/>
              </w:rPr>
              <w:t>J+7  Moyenne</w:t>
            </w:r>
          </w:p>
        </w:tc>
        <w:tc>
          <w:tcPr>
            <w:tcW w:type="dxa" w:w="1440"/>
            <w:shd w:fill="FAFAFA" w:val="clear"/>
          </w:tcPr>
          <w:p>
            <w:r>
              <w:rPr>
                <w:sz w:val="17"/>
              </w:rPr>
              <w:t>2026-10-02</w:t>
            </w:r>
          </w:p>
        </w:tc>
        <w:tc>
          <w:tcPr>
            <w:tcW w:type="dxa" w:w="1440"/>
            <w:shd w:fill="FAFAFA" w:val="clear"/>
          </w:tcPr>
          <w:p>
            <w:r>
              <w:rPr>
                <w:sz w:val="17"/>
              </w:rPr>
              <w:t>9,789</w:t>
            </w:r>
          </w:p>
        </w:tc>
        <w:tc>
          <w:tcPr>
            <w:tcW w:type="dxa" w:w="1440"/>
            <w:shd w:fill="FAFAFA" w:val="clear"/>
          </w:tcPr>
          <w:p>
            <w:r>
              <w:rPr>
                <w:b/>
                <w:sz w:val="17"/>
              </w:rPr>
              <w:t>10,661</w:t>
            </w:r>
          </w:p>
        </w:tc>
        <w:tc>
          <w:tcPr>
            <w:tcW w:type="dxa" w:w="1440"/>
            <w:shd w:fill="FAFAFA" w:val="clear"/>
          </w:tcPr>
          <w:p>
            <w:r>
              <w:rPr>
                <w:sz w:val="17"/>
              </w:rPr>
              <w:t>11,533</w:t>
            </w:r>
          </w:p>
        </w:tc>
        <w:tc>
          <w:tcPr>
            <w:tcW w:type="dxa" w:w="1440"/>
            <w:shd w:fill="FAFAFA" w:val="clear"/>
          </w:tcPr>
          <w:p>
            <w:r>
              <w:rPr>
                <w:b/>
                <w:color w:val="C00000"/>
                <w:sz w:val="17"/>
              </w:rPr>
              <w:t>-1.3%</w:t>
            </w:r>
          </w:p>
        </w:tc>
      </w:tr>
      <w:tr>
        <w:tc>
          <w:tcPr>
            <w:tcW w:type="dxa" w:w="1440"/>
            <w:shd w:fill="FAFAFA" w:val="clear"/>
          </w:tcPr>
          <w:p>
            <w:r>
              <w:rPr>
                <w:sz w:val="17"/>
              </w:rPr>
              <w:t>J+8  Moyenne</w:t>
            </w:r>
          </w:p>
        </w:tc>
        <w:tc>
          <w:tcPr>
            <w:tcW w:type="dxa" w:w="1440"/>
            <w:shd w:fill="FAFAFA" w:val="clear"/>
          </w:tcPr>
          <w:p>
            <w:r>
              <w:rPr>
                <w:sz w:val="17"/>
              </w:rPr>
              <w:t>2026-10-05</w:t>
            </w:r>
          </w:p>
        </w:tc>
        <w:tc>
          <w:tcPr>
            <w:tcW w:type="dxa" w:w="1440"/>
            <w:shd w:fill="FAFAFA" w:val="clear"/>
          </w:tcPr>
          <w:p>
            <w:r>
              <w:rPr>
                <w:sz w:val="17"/>
              </w:rPr>
              <w:t>9,713</w:t>
            </w:r>
          </w:p>
        </w:tc>
        <w:tc>
          <w:tcPr>
            <w:tcW w:type="dxa" w:w="1440"/>
            <w:shd w:fill="FAFAFA" w:val="clear"/>
          </w:tcPr>
          <w:p>
            <w:r>
              <w:rPr>
                <w:b/>
                <w:sz w:val="17"/>
              </w:rPr>
              <w:t>10,644</w:t>
            </w:r>
          </w:p>
        </w:tc>
        <w:tc>
          <w:tcPr>
            <w:tcW w:type="dxa" w:w="1440"/>
            <w:shd w:fill="FAFAFA" w:val="clear"/>
          </w:tcPr>
          <w:p>
            <w:r>
              <w:rPr>
                <w:sz w:val="17"/>
              </w:rPr>
              <w:t>11,575</w:t>
            </w:r>
          </w:p>
        </w:tc>
        <w:tc>
          <w:tcPr>
            <w:tcW w:type="dxa" w:w="1440"/>
            <w:shd w:fill="FAFAFA" w:val="clear"/>
          </w:tcPr>
          <w:p>
            <w:r>
              <w:rPr>
                <w:b/>
                <w:color w:val="C00000"/>
                <w:sz w:val="17"/>
              </w:rPr>
              <w:t>-1.4%</w:t>
            </w:r>
          </w:p>
        </w:tc>
      </w:tr>
      <w:tr>
        <w:tc>
          <w:tcPr>
            <w:tcW w:type="dxa" w:w="1440"/>
            <w:shd w:fill="FAFAFA" w:val="clear"/>
          </w:tcPr>
          <w:p>
            <w:r>
              <w:rPr>
                <w:sz w:val="17"/>
              </w:rPr>
              <w:t>J+9  Moyenne</w:t>
            </w:r>
          </w:p>
        </w:tc>
        <w:tc>
          <w:tcPr>
            <w:tcW w:type="dxa" w:w="1440"/>
            <w:shd w:fill="FAFAFA" w:val="clear"/>
          </w:tcPr>
          <w:p>
            <w:r>
              <w:rPr>
                <w:sz w:val="17"/>
              </w:rPr>
              <w:t>2026-10-06</w:t>
            </w:r>
          </w:p>
        </w:tc>
        <w:tc>
          <w:tcPr>
            <w:tcW w:type="dxa" w:w="1440"/>
            <w:shd w:fill="FAFAFA" w:val="clear"/>
          </w:tcPr>
          <w:p>
            <w:r>
              <w:rPr>
                <w:sz w:val="17"/>
              </w:rPr>
              <w:t>9,642</w:t>
            </w:r>
          </w:p>
        </w:tc>
        <w:tc>
          <w:tcPr>
            <w:tcW w:type="dxa" w:w="1440"/>
            <w:shd w:fill="FAFAFA" w:val="clear"/>
          </w:tcPr>
          <w:p>
            <w:r>
              <w:rPr>
                <w:b/>
                <w:sz w:val="17"/>
              </w:rPr>
              <w:t>10,628</w:t>
            </w:r>
          </w:p>
        </w:tc>
        <w:tc>
          <w:tcPr>
            <w:tcW w:type="dxa" w:w="1440"/>
            <w:shd w:fill="FAFAFA" w:val="clear"/>
          </w:tcPr>
          <w:p>
            <w:r>
              <w:rPr>
                <w:sz w:val="17"/>
              </w:rPr>
              <w:t>11,614</w:t>
            </w:r>
          </w:p>
        </w:tc>
        <w:tc>
          <w:tcPr>
            <w:tcW w:type="dxa" w:w="1440"/>
            <w:shd w:fill="FAFAFA" w:val="clear"/>
          </w:tcPr>
          <w:p>
            <w:r>
              <w:rPr>
                <w:b/>
                <w:color w:val="C00000"/>
                <w:sz w:val="17"/>
              </w:rPr>
              <w:t>-1.6%</w:t>
            </w:r>
          </w:p>
        </w:tc>
      </w:tr>
      <w:tr>
        <w:tc>
          <w:tcPr>
            <w:tcW w:type="dxa" w:w="1440"/>
            <w:shd w:fill="FAFAFA" w:val="clear"/>
          </w:tcPr>
          <w:p>
            <w:r>
              <w:rPr>
                <w:sz w:val="17"/>
              </w:rPr>
              <w:t>J+10  Moyenne</w:t>
            </w:r>
          </w:p>
        </w:tc>
        <w:tc>
          <w:tcPr>
            <w:tcW w:type="dxa" w:w="1440"/>
            <w:shd w:fill="FAFAFA" w:val="clear"/>
          </w:tcPr>
          <w:p>
            <w:r>
              <w:rPr>
                <w:sz w:val="17"/>
              </w:rPr>
              <w:t>2026-10-07</w:t>
            </w:r>
          </w:p>
        </w:tc>
        <w:tc>
          <w:tcPr>
            <w:tcW w:type="dxa" w:w="1440"/>
            <w:shd w:fill="FAFAFA" w:val="clear"/>
          </w:tcPr>
          <w:p>
            <w:r>
              <w:rPr>
                <w:sz w:val="17"/>
              </w:rPr>
              <w:t>9,575</w:t>
            </w:r>
          </w:p>
        </w:tc>
        <w:tc>
          <w:tcPr>
            <w:tcW w:type="dxa" w:w="1440"/>
            <w:shd w:fill="FAFAFA" w:val="clear"/>
          </w:tcPr>
          <w:p>
            <w:r>
              <w:rPr>
                <w:b/>
                <w:sz w:val="17"/>
              </w:rPr>
              <w:t>10,613</w:t>
            </w:r>
          </w:p>
        </w:tc>
        <w:tc>
          <w:tcPr>
            <w:tcW w:type="dxa" w:w="1440"/>
            <w:shd w:fill="FAFAFA" w:val="clear"/>
          </w:tcPr>
          <w:p>
            <w:r>
              <w:rPr>
                <w:sz w:val="17"/>
              </w:rPr>
              <w:t>11,651</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 BRVM | Secteur Bancaire | Cours actuel : 10 800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432,00 Mds FCFA, BOAC s'impose comme l'une des valeurs bancaires de référence de la cote BRVM, reflétant la solidité d'un établissement de premier plan en zone UEMOA. Le BPA de 888 FCFA/action signifie que chaque titre génère près de 888 FCFA de bénéfice net, un niveau élevé qui traduit la forte rentabilité de la banque. Le PER de 12,2x se situe légèrement au-dessus de la moyenne BRVM (8-12x), mais reste modéré au regard de la qualité des fondamentaux et du rendement offert. Le P/B de 3,39x indique que le marché valorise la banque à plus de trois fois sa valeur comptable, soit une prime de croissance significative justifiée par un ROE exceptionnel de 27,9%. En revanche, l'EV/EBITDA de 25,9x apparaît très exigeant (&gt;15x), signalant que la valeur d'entreprise intègre déjà une bonne partie des anticipations de croissance — un point de vigilance pour les investisseurs cherchant une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affiche une performance remarquable de +17,46%, malgré un repli de -5,26% lors de la dernière séance (J-1), ce qui marque une correction après un rallye haussier soutenu. Le range de trading est large, avec un plus haut à 13 450 FCFA et un plus bas à 8 585 FCFA, soit une amplitude de près de 57% qui témoigne d'une forte volatilité intra-période. La tendance générale reste haussière, portée par la bonne tenue des résultats et la confiance des investisseurs, mais la correction récente suggère une prise de bénéfices. Les statistiques descriptives révèlent une moyenne de 10 374 FCFA nettement supérieure à la médiane de 9 635 FCFA, confirmant une asymétrie positive (skewness de 0,511) avec davantage de journées sous la moyenne — typique d'un titre ayant connu des pics haussiers ponctuels. L'écart-type de 1 596 FCFA (CV de 15,4%) indique une dispersion modérée du cours, tandis que le kurtosis de -1,351 (distribution platykurtique) suggère une faible concentration des rendements et un risque de pics extrêmes limité. La volatilité annualisée de 26,9% positionne le titre dans la catégorie des valeurs à volatilité modérée (15-30%), ce qui est cohérent avec un profil bancaire stable mais exposé aux aléas du marché.</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12 201,5 FCFA et la MM50 à 11 739,2 FCFA, toutes deux nettement supérieures au cours actuel de 10 800 FCFA. Cette configuration signale que le titre évolue en dessous de ses moyennes de court et moyen terme, ce qui traduit une pression baissière récente. Toutefois, la décision technique affichée est "Achat", probablement en anticipation d'un rebond technique vers ces niveaux de résistance dynamique.</w:t>
      </w:r>
    </w:p>
    <w:p>
      <w:pPr>
        <w:spacing w:after="120" w:line="276" w:lineRule="auto"/>
      </w:pPr>
      <w:r>
        <w:t>**Bandes de Bollinger** : La borne supérieure se situe à 13 141,3 FCFA et la borne inférieure à 11 261,7 FCFA, avec un cours actuel de 10 800 FCFA qui évolue en dessous de la borne inférieure. Cette position suggère une situation de survente extrême, le titre étant sorti par le bas des bandes, ce qui précède souvent un rebond technique. La décision "Achat" est cohérente avec cette configuration de retour à la moyenne.</w:t>
      </w:r>
    </w:p>
    <w:p>
      <w:pPr>
        <w:spacing w:after="120" w:line="276" w:lineRule="auto"/>
      </w:pPr>
      <w:r>
        <w:t>**MACD** : La valeur du MACD est de -154,412 contre un signal à 66,441, générant une divergence baissière marquée (MACD &lt; Signal). Le momentum est clairement négatif, ce qui justifie la décision "Vente" affichée. Cette configuration indique que la pression baissière pourrait persister à court terme, bien que le niveau élevé du signal suggère une possible inflexion prochaine.</w:t>
      </w:r>
    </w:p>
    <w:p>
      <w:pPr>
        <w:spacing w:after="120" w:line="276" w:lineRule="auto"/>
      </w:pPr>
      <w:r>
        <w:t>**RSI** : Avec une valeur de 0,292, le RSI est en zone de survente extrême (seuil de survente à 30), ce qui est un signal d'achat technique puissant. Cette lecture contraste avec le MACD et suggère que la correction actuelle pourrait être excessive, offrant une opportunité d'entrée pour les investisseurs contrariants.</w:t>
      </w:r>
    </w:p>
    <w:p>
      <w:pPr>
        <w:spacing w:after="120" w:line="276" w:lineRule="auto"/>
      </w:pPr>
      <w:r>
        <w:t>**Stochastique** : Le %K et le %D sont tous deux à 0,0, confirmant une situation de survente maximale. Cette configuration extrême précède généralement un rebond technique, et la décision "Achat" est cohérente avec cette anticipation. Un croisement haussier du %K au-dessus du %D serait le signal de confirmation.</w:t>
      </w:r>
    </w:p>
    <w:p>
      <w:pPr>
        <w:spacing w:after="120" w:line="276" w:lineRule="auto"/>
      </w:pPr>
      <w:r>
        <w:t>**Conclusion technique** : Les indicateurs présentent une divergence notable : le MACD est baissier (vente), tandis que le RSI, le Stochastique et les Bandes de Bollinger sont en zone de survente extrême (achat). Cette configuration suggère que la correction actuelle pourrait toucher à sa fin, avec un potentiel de rebond technique vers les moyennes mobiles (11 700-12 200 FCFA). La prudence reste de mise tant que le MACD n'aura pas confirmé un retournement.</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BOAC affiche un Produit Net Bancaire (PNB) de 73 545 Mds FCFA, en légère hausse de +1,1% par rapport à 2024 (72 724 Mds FCFA), avec un résultat net de 35 540 Mds FCFA en progression de +10,9% (vs 32 045 Mds FCFA en 2024). Le ROE s'élève à 27,91% (excellent, &gt;15%) et le ROA à 3,22%, confirmant une rentabilité exceptionnelle des fonds propres et des actifs. Le coefficient d'exploitation de 36,70% est excellent (&lt;60%), témoignant d'une grande efficacité opérationnelle. Le coût du risque, à 6,67% des charges financières, reste modéré mais mérite une surveillance, notamment avec la hausse de +52,1% des créances en souffrance sur l'année (taux de sinistralité de 8,59%, taux de provisionnement de 65,76%). La structure financière est solide avec des capitaux propres de 127 340 Mds FCFA, une autonomie financière de 11,54% (faible mais typique du secteur bancaire) et une liquidité générale de 3 684% (très confortable). Le ratio dépôts/crédits s'établit à 850 548 Mds FCFA de dépôts clientèle pour 430 433 Mds FCFA de créances clientèle, soit un taux de transformation de 50,6%, indiquant une marge de progression dans l'octroi de crédits.</w:t>
      </w:r>
    </w:p>
    <w:p>
      <w:pPr>
        <w:spacing w:after="120" w:line="276" w:lineRule="auto"/>
      </w:pPr>
      <w:r>
        <w:t>**Estimations basées sur les rapports trimestriels** : Le rapport du T1 2026 (publié le 31/03/2026) révèle un PNB de 18 960 Mds FCFA (+3,09% sur un an) et un résultat net de 10 801 Mds FCFA (+0,91%), avec un coefficient d'exploitation de 35,68%. Point d'attention : le coût net du risque bondit de +314,75% (-652 vs -157 Mds FCFA), une dégradation marquée qui, si elle se confirme, pourrait peser sur les trimestres suivants. Les dépôts clientèle bondissent de +21,44% (923 307 vs 760 296 Mds FCFA), tandis que les crédits nets restent quasi stables (-0,29% à 442 169 Mds FCFA), creusant davantage le gap de transformation. Sur la base de ce T1 2026, on peut estimer que l'exercice 2026 devrait maintenir une croissance modérée du PNB (+2-3%) et un résultat net stable, sous réserve d'une maîtrise du coût du risque. Le rapport annuel 2025 (publié le 31/12/2025) confirme la solidité du modèle avec une recommandation "ACHAT" des analystes, soulignant la croissance rentable, l'amélioration du coût du risque et un dividende en hausse (684 FCFA/action au titre de 2024, soit un rendement de 6,3% au cours actuel). Le rapport du T3 2025 (30/09/2025) et du S1 2025 (30/06/2025) confirment la stabilité de la performance, avec un coefficient d'exploitation maîtrisé (33-36%) et une collecte de dépôts robuste (+10,28% au T3 2025). **Conclusion fondamentale** : BOAC présente des fondamentaux solides (ROE &gt;27%, coefficient d'exploitation &lt;37%, dividende attractif), mais les risques liés à la hausse des créances en souffrance et au bond du coût du risque au T1 2026 nécessitent une surveillance étroite. La recommandation fondamentale est **CONSERVER** avec un biais positif, en attendant la confirmation de la tendance sur les prochains trimestres.</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est modérée (PER 12,2x) mais intègre une prime de croissance (P/B 3,39x, EV/EBITDA 25,9x), ce qui limite le potentiel de revalorisation à court terme. Le comportement du cours (Partie 1) est haussier sur 100 jours (+17,46%) mais connaît une correction récente (-5,26% en J-1), avec une volatilité modérée (26,9%) et une distribution asymétrique positivement (skewness 0,511) — des statistiques plutôt favorables mais nécessitant une confirmation. Les signaux techniques (Partie 2) sont divergents : le MACD est baissier, mais le RSI (0,292) et le Stochastique (0,0) sont en survente extrême, suggérant un rebond technique imminent vers les moyennes mobiles (11 700-12 200 FCFA). Les fondamentaux (Partie 3) sont solides (ROE 27,9%, coefficient d'exploitation 36,7%, dividende 6,3%), mais le bond du coût du risque au T1 2026 (+314,75%) constitue un signal d'alerte. Les prédictions IA (J+1 à J+10) anticipent une légère baisse (10 880 → 10 699 FCFA), ce qui contredit le signal de survente technique et suggère que la correction pourrait se poursuivre à très court terme.</w:t>
      </w:r>
    </w:p>
    <w:p>
      <w:pPr>
        <w:spacing w:after="120" w:line="276" w:lineRule="auto"/>
      </w:pPr>
      <w:r>
        <w:t>**Recommandation finale** : **CONSERVER** — La convergence entre une valorisation modérée, des fondamentaux solides et un dividende attractif plaide pour une position d'attente, mais la divergence entre le MACD baissier, la survente technique et les prédictions IA baissières incite à la prudence. Le niveau de confiance est **Moyen**, car les signaux sont contradictoires (technique survendu vs fondamental solide vs prédiction baissière). Le niveau de risque global est **Moyen**, en raison de la volatilité modérée du titre et des incertitudes sur l'évolution du coût du risque. L'horizon d'investissement optimal est **moyen terme (3-12 mois)**, le temps que la correction technique s'achève et que les fondamentaux confirment leur résilience, avec un potentiel de rebond vers 12 000-12 500 FCFA si les prochains trimestres confirment la maîtrise du coût du risque.</w:t>
      </w:r>
    </w:p>
    <w:p>
      <w:pPr>
        <w:spacing w:after="120" w:line="276" w:lineRule="auto"/>
      </w:pPr>
      <w:r>
        <w:t>---</w:t>
      </w:r>
    </w:p>
    <w:p>
      <w:pPr>
        <w:spacing w:after="120" w:line="276" w:lineRule="auto"/>
      </w:pPr>
      <w:r>
        <w:t>*Rapport généré le 24/09/2026 — Données au 23/09/2026 — Sources : BRVM, états financiers BOAC 2025, rapports trimestriels T1 2026, T3 2025, S1 2025, analyses fondamentales officielles.*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150.15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6,234 titres</w:t>
            </w:r>
          </w:p>
        </w:tc>
        <w:tc>
          <w:tcPr>
            <w:tcW w:type="dxa" w:w="2268"/>
            <w:shd w:fill="FFF2CC" w:val="clear"/>
          </w:tcPr>
          <w:p>
            <w:r>
              <w:rPr>
                <w:b/>
                <w:color w:val="503200"/>
                <w:sz w:val="16"/>
              </w:rPr>
              <w:t xml:space="preserve">Cours actuel : </w:t>
            </w:r>
            <w:r>
              <w:rPr>
                <w:color w:val="000000"/>
                <w:sz w:val="17"/>
              </w:rPr>
              <w:t>5,470 FCFA</w:t>
            </w:r>
          </w:p>
          <w:p>
            <w:r>
              <w:rPr>
                <w:b/>
                <w:color w:val="503200"/>
                <w:sz w:val="16"/>
              </w:rPr>
              <w:t xml:space="preserve">Var. 100 jours : </w:t>
            </w:r>
            <w:r>
              <w:rPr>
                <w:b/>
                <w:color w:val="007800"/>
                <w:sz w:val="17"/>
              </w:rPr>
              <w:t>+17.13%</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14.45% (Moyenne) — μ=5,503 FCFA, σ=795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β=0.7141 (Défensif) — Cov=0.000029, Var(idx)=0.000041, ρ=0.194,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σ_j=2.51%/j (Stable) — Vol. annualisée≈39.8%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2026-09-24</w:t>
            </w:r>
          </w:p>
        </w:tc>
        <w:tc>
          <w:tcPr>
            <w:tcW w:type="dxa" w:w="1440"/>
            <w:shd w:fill="FAFAFA" w:val="clear"/>
          </w:tcPr>
          <w:p>
            <w:r>
              <w:rPr>
                <w:sz w:val="17"/>
              </w:rPr>
              <w:t>5,174</w:t>
            </w:r>
          </w:p>
        </w:tc>
        <w:tc>
          <w:tcPr>
            <w:tcW w:type="dxa" w:w="1440"/>
            <w:shd w:fill="FAFAFA" w:val="clear"/>
          </w:tcPr>
          <w:p>
            <w:r>
              <w:rPr>
                <w:b/>
                <w:sz w:val="17"/>
              </w:rPr>
              <w:t>5,437</w:t>
            </w:r>
          </w:p>
        </w:tc>
        <w:tc>
          <w:tcPr>
            <w:tcW w:type="dxa" w:w="1440"/>
            <w:shd w:fill="FAFAFA" w:val="clear"/>
          </w:tcPr>
          <w:p>
            <w:r>
              <w:rPr>
                <w:sz w:val="17"/>
              </w:rPr>
              <w:t>5,699</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2026-09-25</w:t>
            </w:r>
          </w:p>
        </w:tc>
        <w:tc>
          <w:tcPr>
            <w:tcW w:type="dxa" w:w="1440"/>
            <w:shd w:fill="FAFAFA" w:val="clear"/>
          </w:tcPr>
          <w:p>
            <w:r>
              <w:rPr>
                <w:sz w:val="17"/>
              </w:rPr>
              <w:t>5,172</w:t>
            </w:r>
          </w:p>
        </w:tc>
        <w:tc>
          <w:tcPr>
            <w:tcW w:type="dxa" w:w="1440"/>
            <w:shd w:fill="FAFAFA" w:val="clear"/>
          </w:tcPr>
          <w:p>
            <w:r>
              <w:rPr>
                <w:b/>
                <w:sz w:val="17"/>
              </w:rPr>
              <w:t>5,551</w:t>
            </w:r>
          </w:p>
        </w:tc>
        <w:tc>
          <w:tcPr>
            <w:tcW w:type="dxa" w:w="1440"/>
            <w:shd w:fill="FAFAFA" w:val="clear"/>
          </w:tcPr>
          <w:p>
            <w:r>
              <w:rPr>
                <w:sz w:val="17"/>
              </w:rPr>
              <w:t>5,930</w:t>
            </w:r>
          </w:p>
        </w:tc>
        <w:tc>
          <w:tcPr>
            <w:tcW w:type="dxa" w:w="1440"/>
            <w:shd w:fill="FAFAFA" w:val="clear"/>
          </w:tcPr>
          <w:p>
            <w:r>
              <w:rPr>
                <w:b/>
                <w:color w:val="008000"/>
                <w:sz w:val="17"/>
              </w:rPr>
              <w:t>+1.5%</w:t>
            </w:r>
          </w:p>
        </w:tc>
      </w:tr>
      <w:tr>
        <w:tc>
          <w:tcPr>
            <w:tcW w:type="dxa" w:w="1440"/>
            <w:shd w:fill="C6EFCE" w:val="clear"/>
          </w:tcPr>
          <w:p>
            <w:r>
              <w:rPr>
                <w:sz w:val="17"/>
              </w:rPr>
              <w:t>J+3  Moyenne</w:t>
            </w:r>
          </w:p>
        </w:tc>
        <w:tc>
          <w:tcPr>
            <w:tcW w:type="dxa" w:w="1440"/>
            <w:shd w:fill="C6EFCE" w:val="clear"/>
          </w:tcPr>
          <w:p>
            <w:r>
              <w:rPr>
                <w:sz w:val="17"/>
              </w:rPr>
              <w:t>2026-09-28</w:t>
            </w:r>
          </w:p>
        </w:tc>
        <w:tc>
          <w:tcPr>
            <w:tcW w:type="dxa" w:w="1440"/>
            <w:shd w:fill="C6EFCE" w:val="clear"/>
          </w:tcPr>
          <w:p>
            <w:r>
              <w:rPr>
                <w:sz w:val="17"/>
              </w:rPr>
              <w:t>5,209</w:t>
            </w:r>
          </w:p>
        </w:tc>
        <w:tc>
          <w:tcPr>
            <w:tcW w:type="dxa" w:w="1440"/>
            <w:shd w:fill="C6EFCE" w:val="clear"/>
          </w:tcPr>
          <w:p>
            <w:r>
              <w:rPr>
                <w:b/>
                <w:sz w:val="17"/>
              </w:rPr>
              <w:t>5,685</w:t>
            </w:r>
          </w:p>
        </w:tc>
        <w:tc>
          <w:tcPr>
            <w:tcW w:type="dxa" w:w="1440"/>
            <w:shd w:fill="C6EFCE" w:val="clear"/>
          </w:tcPr>
          <w:p>
            <w:r>
              <w:rPr>
                <w:sz w:val="17"/>
              </w:rPr>
              <w:t>6,160</w:t>
            </w:r>
          </w:p>
        </w:tc>
        <w:tc>
          <w:tcPr>
            <w:tcW w:type="dxa" w:w="1440"/>
            <w:shd w:fill="C6EFCE" w:val="clear"/>
          </w:tcPr>
          <w:p>
            <w:r>
              <w:rPr>
                <w:b/>
                <w:color w:val="008000"/>
                <w:sz w:val="17"/>
              </w:rPr>
              <w:t>+3.9%</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5,236</w:t>
            </w:r>
          </w:p>
        </w:tc>
        <w:tc>
          <w:tcPr>
            <w:tcW w:type="dxa" w:w="1440"/>
            <w:shd w:fill="C6EFCE" w:val="clear"/>
          </w:tcPr>
          <w:p>
            <w:r>
              <w:rPr>
                <w:b/>
                <w:sz w:val="17"/>
              </w:rPr>
              <w:t>5,796</w:t>
            </w:r>
          </w:p>
        </w:tc>
        <w:tc>
          <w:tcPr>
            <w:tcW w:type="dxa" w:w="1440"/>
            <w:shd w:fill="C6EFCE" w:val="clear"/>
          </w:tcPr>
          <w:p>
            <w:r>
              <w:rPr>
                <w:sz w:val="17"/>
              </w:rPr>
              <w:t>6,356</w:t>
            </w:r>
          </w:p>
        </w:tc>
        <w:tc>
          <w:tcPr>
            <w:tcW w:type="dxa" w:w="1440"/>
            <w:shd w:fill="C6EFCE" w:val="clear"/>
          </w:tcPr>
          <w:p>
            <w:r>
              <w:rPr>
                <w:b/>
                <w:color w:val="008000"/>
                <w:sz w:val="17"/>
              </w:rPr>
              <w:t>+6.0%</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5,252</w:t>
            </w:r>
          </w:p>
        </w:tc>
        <w:tc>
          <w:tcPr>
            <w:tcW w:type="dxa" w:w="1440"/>
            <w:shd w:fill="C6EFCE" w:val="clear"/>
          </w:tcPr>
          <w:p>
            <w:r>
              <w:rPr>
                <w:b/>
                <w:sz w:val="17"/>
              </w:rPr>
              <w:t>5,888</w:t>
            </w:r>
          </w:p>
        </w:tc>
        <w:tc>
          <w:tcPr>
            <w:tcW w:type="dxa" w:w="1440"/>
            <w:shd w:fill="C6EFCE" w:val="clear"/>
          </w:tcPr>
          <w:p>
            <w:r>
              <w:rPr>
                <w:sz w:val="17"/>
              </w:rPr>
              <w:t>6,523</w:t>
            </w:r>
          </w:p>
        </w:tc>
        <w:tc>
          <w:tcPr>
            <w:tcW w:type="dxa" w:w="1440"/>
            <w:shd w:fill="C6EFCE" w:val="clear"/>
          </w:tcPr>
          <w:p>
            <w:r>
              <w:rPr>
                <w:b/>
                <w:color w:val="008000"/>
                <w:sz w:val="17"/>
              </w:rPr>
              <w:t>+7.6%</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5,261</w:t>
            </w:r>
          </w:p>
        </w:tc>
        <w:tc>
          <w:tcPr>
            <w:tcW w:type="dxa" w:w="1440"/>
            <w:shd w:fill="C6EFCE" w:val="clear"/>
          </w:tcPr>
          <w:p>
            <w:r>
              <w:rPr>
                <w:b/>
                <w:sz w:val="17"/>
              </w:rPr>
              <w:t>5,967</w:t>
            </w:r>
          </w:p>
        </w:tc>
        <w:tc>
          <w:tcPr>
            <w:tcW w:type="dxa" w:w="1440"/>
            <w:shd w:fill="C6EFCE" w:val="clear"/>
          </w:tcPr>
          <w:p>
            <w:r>
              <w:rPr>
                <w:sz w:val="17"/>
              </w:rPr>
              <w:t>6,673</w:t>
            </w:r>
          </w:p>
        </w:tc>
        <w:tc>
          <w:tcPr>
            <w:tcW w:type="dxa" w:w="1440"/>
            <w:shd w:fill="C6EFCE" w:val="clear"/>
          </w:tcPr>
          <w:p>
            <w:r>
              <w:rPr>
                <w:b/>
                <w:color w:val="008000"/>
                <w:sz w:val="17"/>
              </w:rPr>
              <w:t>+9.1%</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5,270</w:t>
            </w:r>
          </w:p>
        </w:tc>
        <w:tc>
          <w:tcPr>
            <w:tcW w:type="dxa" w:w="1440"/>
            <w:shd w:fill="C6EFCE" w:val="clear"/>
          </w:tcPr>
          <w:p>
            <w:r>
              <w:rPr>
                <w:b/>
                <w:sz w:val="17"/>
              </w:rPr>
              <w:t>6,042</w:t>
            </w:r>
          </w:p>
        </w:tc>
        <w:tc>
          <w:tcPr>
            <w:tcW w:type="dxa" w:w="1440"/>
            <w:shd w:fill="C6EFCE" w:val="clear"/>
          </w:tcPr>
          <w:p>
            <w:r>
              <w:rPr>
                <w:sz w:val="17"/>
              </w:rPr>
              <w:t>6,814</w:t>
            </w:r>
          </w:p>
        </w:tc>
        <w:tc>
          <w:tcPr>
            <w:tcW w:type="dxa" w:w="1440"/>
            <w:shd w:fill="C6EFCE" w:val="clear"/>
          </w:tcPr>
          <w:p>
            <w:r>
              <w:rPr>
                <w:b/>
                <w:color w:val="008000"/>
                <w:sz w:val="17"/>
              </w:rPr>
              <w:t>+10.5%</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5,278</w:t>
            </w:r>
          </w:p>
        </w:tc>
        <w:tc>
          <w:tcPr>
            <w:tcW w:type="dxa" w:w="1440"/>
            <w:shd w:fill="C6EFCE" w:val="clear"/>
          </w:tcPr>
          <w:p>
            <w:r>
              <w:rPr>
                <w:b/>
                <w:sz w:val="17"/>
              </w:rPr>
              <w:t>6,113</w:t>
            </w:r>
          </w:p>
        </w:tc>
        <w:tc>
          <w:tcPr>
            <w:tcW w:type="dxa" w:w="1440"/>
            <w:shd w:fill="C6EFCE" w:val="clear"/>
          </w:tcPr>
          <w:p>
            <w:r>
              <w:rPr>
                <w:sz w:val="17"/>
              </w:rPr>
              <w:t>6,948</w:t>
            </w:r>
          </w:p>
        </w:tc>
        <w:tc>
          <w:tcPr>
            <w:tcW w:type="dxa" w:w="1440"/>
            <w:shd w:fill="C6EFCE" w:val="clear"/>
          </w:tcPr>
          <w:p>
            <w:r>
              <w:rPr>
                <w:b/>
                <w:color w:val="008000"/>
                <w:sz w:val="17"/>
              </w:rPr>
              <w:t>+11.8%</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5,287</w:t>
            </w:r>
          </w:p>
        </w:tc>
        <w:tc>
          <w:tcPr>
            <w:tcW w:type="dxa" w:w="1440"/>
            <w:shd w:fill="C6EFCE" w:val="clear"/>
          </w:tcPr>
          <w:p>
            <w:r>
              <w:rPr>
                <w:b/>
                <w:sz w:val="17"/>
              </w:rPr>
              <w:t>6,182</w:t>
            </w:r>
          </w:p>
        </w:tc>
        <w:tc>
          <w:tcPr>
            <w:tcW w:type="dxa" w:w="1440"/>
            <w:shd w:fill="C6EFCE" w:val="clear"/>
          </w:tcPr>
          <w:p>
            <w:r>
              <w:rPr>
                <w:sz w:val="17"/>
              </w:rPr>
              <w:t>7,078</w:t>
            </w:r>
          </w:p>
        </w:tc>
        <w:tc>
          <w:tcPr>
            <w:tcW w:type="dxa" w:w="1440"/>
            <w:shd w:fill="C6EFCE" w:val="clear"/>
          </w:tcPr>
          <w:p>
            <w:r>
              <w:rPr>
                <w:b/>
                <w:color w:val="008000"/>
                <w:sz w:val="17"/>
              </w:rPr>
              <w:t>+13.0%</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5,295</w:t>
            </w:r>
          </w:p>
        </w:tc>
        <w:tc>
          <w:tcPr>
            <w:tcW w:type="dxa" w:w="1440"/>
            <w:shd w:fill="C6EFCE" w:val="clear"/>
          </w:tcPr>
          <w:p>
            <w:r>
              <w:rPr>
                <w:b/>
                <w:sz w:val="17"/>
              </w:rPr>
              <w:t>6,250</w:t>
            </w:r>
          </w:p>
        </w:tc>
        <w:tc>
          <w:tcPr>
            <w:tcW w:type="dxa" w:w="1440"/>
            <w:shd w:fill="C6EFCE" w:val="clear"/>
          </w:tcPr>
          <w:p>
            <w:r>
              <w:rPr>
                <w:sz w:val="17"/>
              </w:rPr>
              <w:t>7,204</w:t>
            </w:r>
          </w:p>
        </w:tc>
        <w:tc>
          <w:tcPr>
            <w:tcW w:type="dxa" w:w="1440"/>
            <w:shd w:fill="C6EFCE" w:val="clear"/>
          </w:tcPr>
          <w:p>
            <w:r>
              <w:rPr>
                <w:b/>
                <w:color w:val="008000"/>
                <w:sz w:val="17"/>
              </w:rPr>
              <w:t>+14.3%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150,15 milliards FCFA, BOA Mali se positionne comme une valeur de taille intermédiaire sur la BRVM, représentant un actif bancaire significatif dans le compartiment financier de la cote. Le BPA de 404 FCFA/action signifie que chaque titre génère près de 404 FCFA de bénéfice net, un niveau de rentabilité par action appréciable pour le marché ouest-africain. Le PER de 13,6x situe le titre légèrement au-dessus de la moyenne BRVM (8-12x), traduisant une prime de qualité modérée accordée par les investisseurs, sans exubérance excessive. Le P/B de 3,01x indique que le marché valorise la banque à trois fois sa valeur comptable, une prime de croissance justifiée par un ROE supérieur à 22%. Enfin, l'EV/EBITDA de 6,5x, bien que moins pertinent pour une banque, suggère une valorisation raisonnable de la capacité opérationnelle, l'ensemble de ces ratios dessinant un profil de valorisation équilibré, ni décoté ni surévalué.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BOAM affiche une progression totale de +17,13%, mais la dernière séance (J-1) enregistre une correction brutale de -7,45%, ramenant le cours à 5 470 FCFA. Le range de trading est particulièrement large, avec un plus haut à 7 195 FCFA et un plus bas à 4 425 FCFA, soit une amplitude de 62,6% qui témoigne d'une forte volatilité directionnelle. La tendance générale reste haussière sur la période, mais la récente correction suggère une prise de bénéfices après le pic. Les statistiques descriptives révèlent une moyenne (5 503 FCFA) légèrement supérieure à la médiane (5 460 FCFA), indiquant une distribution quasi-symétrique avec une très légère asymétrie positive, confirmée par le skewness de 0,492. L'écart-type de 799 FCFA (CV=14,5%) traduit une dispersion modérée autour de la moyenne, tandis que le kurtosis de -0,954 (mésokurtique) indique une distribution proche de la normale, sans risque excessif de pics extrêmes. La volatilité annualisée de 39,8% classe le titre dans la catégorie des valeurs à volatilité élevée (&gt;30%), ce qui est cohérent avec le contexte bancaire ouest-africain et les incertitudes macroéconomiques régionales.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(6 643 FCFA) et la MM50 (6 177 FCFA) se situent toutes deux nettement au-dessus du cours actuel (5 470 FCFA), ce qui place le titre en position de survente par rapport à ses tendances court et moyen terme. Malgré cette configuration baissière à court terme, la décision technique affichée est "Achat", suggérant un potentiel de rebond vers les moyennes mobiles, qui agissent comme des niveaux de résistance à reconquérir.</w:t>
      </w:r>
    </w:p>
    <w:p>
      <w:pPr>
        <w:spacing w:after="120" w:line="276" w:lineRule="auto"/>
      </w:pPr>
      <w:r>
        <w:t>**Bandes de Bollinger** : Le cours actuel (5 470 FCFA) se situe en dessous de la borne inférieure des Bandes de Bollinger (5 772 FCFA), ce qui constitue un signal de survente extrême. Cette position hors des bandes indique une volatilité exceptionnelle à la baisse et suggère statistiquement un retour imminent vers la moyenne. La décision "Achat" est cohérente avec cette configuration de survente, bien que la borne supérieure (7 514 FCFA) reste éloignée.</w:t>
      </w:r>
    </w:p>
    <w:p>
      <w:pPr>
        <w:spacing w:after="120" w:line="276" w:lineRule="auto"/>
      </w:pPr>
      <w:r>
        <w:t>**MACD** : La valeur du MACD (-0,485) est négative et inférieure à son signal (184,821), confirmant un momentum baissier à court terme. La décision "Vente" reflète cette divergence négative, mais l'écart entre les deux lignes suggère que la pression baissière pourrait s'atténuer prochainement, ouvrant la voie à un retournement.</w:t>
      </w:r>
    </w:p>
    <w:p>
      <w:pPr>
        <w:spacing w:after="120" w:line="276" w:lineRule="auto"/>
      </w:pPr>
      <w:r>
        <w:t>**RSI** : À 30,46, le RSI se situe juste au-dessus du seuil de survente (30), ce qui place le titre en zone neutre basse. La décision "Neutre" indique que le marché n'est ni en surachat ni en survente extrême, mais la proximité du seuil de 30 suggère une pression vendeuse qui pourrait s'inverser si le RSI franchit à la hausse le niveau 35-40.</w:t>
      </w:r>
    </w:p>
    <w:p>
      <w:pPr>
        <w:spacing w:after="120" w:line="276" w:lineRule="auto"/>
      </w:pPr>
      <w:r>
        <w:t>**Stochastique** : Les valeurs %K et %D sont toutes deux à 0,0, ce qui constitue un signal de survente maximale. Cette configuration extrême, bien que rare, précède souvent un rebond technique. La décision "Achat" est justifiée par cette position aux plus bas de l'indicateur, indiquant que le momentum baissier est à son paroxysme et qu'un retournement est probable.</w:t>
      </w:r>
    </w:p>
    <w:p>
      <w:pPr>
        <w:spacing w:after="120" w:line="276" w:lineRule="auto"/>
      </w:pPr>
      <w:r>
        <w:t>**Conclusion technique** : Les indicateurs techniques présentent un tableau contrasté mais globalement favorable à un rebond à court terme. Si le MACD confirme un momentum baissier, les Bandes de Bollinger, le Stochastique et la position du cours sous les moyennes mobiles plaident pour une survente excessive. La convergence des signaux de survente (Bollinger inférieur, Stochastique à 0, RSI proche de 30) suggère qu'un point d'entrée se dessine, avec un objectif de retour vers la MM20 (6 643 FCFA) à moyen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(base brvm_donnees_financieres) révèlent une banque solide et rentable : le Produit Net Bancaire (PNB) s'établit à 37,996 milliards FCFA, le résultat net à 11,081 milliards FCFA, avec un ROE exceptionnel de 22,24% (&gt;15% = excellent) et un ROA de 1,87%. Le coefficient d'exploitation de 63,14% reste légèrement au-dessus du seuil d'efficacité de 60%, indiquant une marge d'amélioration opérationnelle, tandis que le coût du risque (43,39% des charges financières) demeure élevé, signalant un risque de crédit significatif. La structure financière montre une autonomie financière faible (8,40%), typique du modèle bancaire, mais une solvabilité générale satisfaisante (109,16%) et une capacité de remboursement de 1,79 an. Les dépôts clientèle (502,89 milliards FCFA) couvrent largement les créances clientèle (253,65 milliards FCFA), avec un ratio de transformation de 50,4%, reflétant une gestion prudente des liquidités. Les rapports narratifs confirment cette dynamique : le rapport T1 2026 (publié le 31/03/2026) affiche un PNB de 10,322 milliards FCFA (+22,97% sur un an), et le rapport S1 2026 (publié le 30/06/2026) un PNB de 21,987 milliards FCFA (+17,5%), suggérant une accélération de la croissance. Sur la base de ces tendances, on estime que l'exercice 2026 devrait enregistrer un PNB annuel compris entre 42 et 44 milliards FCFA, avec un résultat net potentiellement supérieur à 12 milliards FCFA si la maîtrise des coûts se poursuit. Le rapport S1 2025 (publié le 15/03/2026) faisait déjà état d'un résultat net de 6,2 milliards FCFA (+28,8%) et d'une baisse du coût du risque de 32,7%, confirmant l'amélioration de la qualité du portefeuille. La recommandation fondamentale est positive : solidité financière, croissance à deux chiffres du PNB, rentabilité élevée, mais les risques macroéconomiques (insécurité, inflation) et la dépendance aux dépôts clientèle (91,6% du bilan)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attractif mais contrasté. La valorisation (Partie 0) est modérée (PER 13,6x, P/B 3,01x, EV/EBITDA 6,5x), sans décote significative mais justifiée par un ROE de 22,24%. Le comportement du cours (Partie 1) montre une tendance haussière sur 100 jours (+17,13%) mais une correction récente brutale (-7,45%), avec une volatilité élevée (39,8%) et une distribution quasi-normale (kurtosis -0,954, skewness 0,492), ce qui est préoccupant à court terme mais statistiquement gérable. Les signaux techniques (Partie 2) sont divergents : le MACD est baissier, mais les Bandes de Bollinger, le Stochastique et le RSI indiquent une survente excessive, plaidant pour un rebond imminent. Les fondamentaux (Partie 3) sont solides : PNB 2025 de 37,996 milliards FCFA, résultat net de 11,081 milliards FCFA, ROE de 22,24%, avec des estimations 2026 optimistes (PNB +17,5% au S1 2026). Les prédictions IA (J+1 à J+10) anticipent une trajectoire haussière : 5 437 FCFA (J+1), 5 551 FCFA (J+2), 5 685 FCFA (J+3), 5 796 FCFA (J+4), 5 888 FCFA (J+5), confirmant le rebond technique attendu. Sur la base de cette convergence entre survente technique, fondamentaux solides et prédictions haussières, la recommandation finale est **ACHAT**, avec un niveau de confiance **Moyen** (la volatilité élevée et les risques macroéconomiques tempèrent l'optimisme) et un niveau de risque **Moyen**. L'horizon d'investissement optimal est **moyen terme (3-12 mois)**, le temps que le titre reconquière ses moyennes mobiles (MM20 à 6 643 FCFA) et que les résultats 2026 confirment la dynamique de croissance.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94.64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8,868 titres</w:t>
            </w:r>
          </w:p>
        </w:tc>
        <w:tc>
          <w:tcPr>
            <w:tcW w:type="dxa" w:w="2268"/>
            <w:shd w:fill="FFF2CC" w:val="clear"/>
          </w:tcPr>
          <w:p>
            <w:r>
              <w:rPr>
                <w:b/>
                <w:color w:val="503200"/>
                <w:sz w:val="16"/>
              </w:rPr>
              <w:t xml:space="preserve">Cours actuel : </w:t>
            </w:r>
            <w:r>
              <w:rPr>
                <w:color w:val="000000"/>
                <w:sz w:val="17"/>
              </w:rPr>
              <w:t>4,550 FCFA</w:t>
            </w:r>
          </w:p>
          <w:p>
            <w:r>
              <w:rPr>
                <w:b/>
                <w:color w:val="503200"/>
                <w:sz w:val="16"/>
              </w:rPr>
              <w:t xml:space="preserve">Var. 100 jours : </w:t>
            </w:r>
            <w:r>
              <w:rPr>
                <w:b/>
                <w:color w:val="007800"/>
                <w:sz w:val="17"/>
              </w:rPr>
              <w:t>+28.35%</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36.8%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16.98% (Élevée) — μ=4,554 FCFA, σ=773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β=0.6753 (Défensif) — Cov=0.000028, Var(idx)=0.000041, ρ=0.203,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8,868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σ_j=2.32%/j (Stable) — Vol. annualisée≈36.8%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83/100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2026-09-24</w:t>
            </w:r>
          </w:p>
        </w:tc>
        <w:tc>
          <w:tcPr>
            <w:tcW w:type="dxa" w:w="1440"/>
            <w:shd w:fill="C6EFCE" w:val="clear"/>
          </w:tcPr>
          <w:p>
            <w:r>
              <w:rPr>
                <w:sz w:val="17"/>
              </w:rPr>
              <w:t>4,602</w:t>
            </w:r>
          </w:p>
        </w:tc>
        <w:tc>
          <w:tcPr>
            <w:tcW w:type="dxa" w:w="1440"/>
            <w:shd w:fill="C6EFCE" w:val="clear"/>
          </w:tcPr>
          <w:p>
            <w:r>
              <w:rPr>
                <w:b/>
                <w:sz w:val="17"/>
              </w:rPr>
              <w:t>4,779</w:t>
            </w:r>
          </w:p>
        </w:tc>
        <w:tc>
          <w:tcPr>
            <w:tcW w:type="dxa" w:w="1440"/>
            <w:shd w:fill="C6EFCE" w:val="clear"/>
          </w:tcPr>
          <w:p>
            <w:r>
              <w:rPr>
                <w:sz w:val="17"/>
              </w:rPr>
              <w:t>4,957</w:t>
            </w:r>
          </w:p>
        </w:tc>
        <w:tc>
          <w:tcPr>
            <w:tcW w:type="dxa" w:w="1440"/>
            <w:shd w:fill="C6EFCE" w:val="clear"/>
          </w:tcPr>
          <w:p>
            <w:r>
              <w:rPr>
                <w:b/>
                <w:color w:val="008000"/>
                <w:sz w:val="17"/>
              </w:rPr>
              <w:t>+5.0%</w:t>
            </w:r>
          </w:p>
        </w:tc>
      </w:tr>
      <w:tr>
        <w:tc>
          <w:tcPr>
            <w:tcW w:type="dxa" w:w="1440"/>
            <w:shd w:fill="C6EFCE" w:val="clear"/>
          </w:tcPr>
          <w:p>
            <w:r>
              <w:rPr>
                <w:sz w:val="17"/>
              </w:rPr>
              <w:t>J+2  ⭐</w:t>
            </w:r>
          </w:p>
        </w:tc>
        <w:tc>
          <w:tcPr>
            <w:tcW w:type="dxa" w:w="1440"/>
            <w:shd w:fill="C6EFCE" w:val="clear"/>
          </w:tcPr>
          <w:p>
            <w:r>
              <w:rPr>
                <w:sz w:val="17"/>
              </w:rPr>
              <w:t>2026-09-25</w:t>
            </w:r>
          </w:p>
        </w:tc>
        <w:tc>
          <w:tcPr>
            <w:tcW w:type="dxa" w:w="1440"/>
            <w:shd w:fill="C6EFCE" w:val="clear"/>
          </w:tcPr>
          <w:p>
            <w:r>
              <w:rPr>
                <w:sz w:val="17"/>
              </w:rPr>
              <w:t>4,481</w:t>
            </w:r>
          </w:p>
        </w:tc>
        <w:tc>
          <w:tcPr>
            <w:tcW w:type="dxa" w:w="1440"/>
            <w:shd w:fill="C6EFCE" w:val="clear"/>
          </w:tcPr>
          <w:p>
            <w:r>
              <w:rPr>
                <w:b/>
                <w:sz w:val="17"/>
              </w:rPr>
              <w:t>4,729</w:t>
            </w:r>
          </w:p>
        </w:tc>
        <w:tc>
          <w:tcPr>
            <w:tcW w:type="dxa" w:w="1440"/>
            <w:shd w:fill="C6EFCE" w:val="clear"/>
          </w:tcPr>
          <w:p>
            <w:r>
              <w:rPr>
                <w:sz w:val="17"/>
              </w:rPr>
              <w:t>4,977</w:t>
            </w:r>
          </w:p>
        </w:tc>
        <w:tc>
          <w:tcPr>
            <w:tcW w:type="dxa" w:w="1440"/>
            <w:shd w:fill="C6EFCE" w:val="clear"/>
          </w:tcPr>
          <w:p>
            <w:r>
              <w:rPr>
                <w:b/>
                <w:color w:val="008000"/>
                <w:sz w:val="17"/>
              </w:rPr>
              <w:t>+3.9%</w:t>
            </w:r>
          </w:p>
        </w:tc>
      </w:tr>
      <w:tr>
        <w:tc>
          <w:tcPr>
            <w:tcW w:type="dxa" w:w="1440"/>
            <w:shd w:fill="C6EFCE" w:val="clear"/>
          </w:tcPr>
          <w:p>
            <w:r>
              <w:rPr>
                <w:sz w:val="17"/>
              </w:rPr>
              <w:t>J+3  ⭐</w:t>
            </w:r>
          </w:p>
        </w:tc>
        <w:tc>
          <w:tcPr>
            <w:tcW w:type="dxa" w:w="1440"/>
            <w:shd w:fill="C6EFCE" w:val="clear"/>
          </w:tcPr>
          <w:p>
            <w:r>
              <w:rPr>
                <w:sz w:val="17"/>
              </w:rPr>
              <w:t>2026-09-28</w:t>
            </w:r>
          </w:p>
        </w:tc>
        <w:tc>
          <w:tcPr>
            <w:tcW w:type="dxa" w:w="1440"/>
            <w:shd w:fill="C6EFCE" w:val="clear"/>
          </w:tcPr>
          <w:p>
            <w:r>
              <w:rPr>
                <w:sz w:val="17"/>
              </w:rPr>
              <w:t>4,423</w:t>
            </w:r>
          </w:p>
        </w:tc>
        <w:tc>
          <w:tcPr>
            <w:tcW w:type="dxa" w:w="1440"/>
            <w:shd w:fill="C6EFCE" w:val="clear"/>
          </w:tcPr>
          <w:p>
            <w:r>
              <w:rPr>
                <w:b/>
                <w:sz w:val="17"/>
              </w:rPr>
              <w:t>4,727</w:t>
            </w:r>
          </w:p>
        </w:tc>
        <w:tc>
          <w:tcPr>
            <w:tcW w:type="dxa" w:w="1440"/>
            <w:shd w:fill="C6EFCE" w:val="clear"/>
          </w:tcPr>
          <w:p>
            <w:r>
              <w:rPr>
                <w:sz w:val="17"/>
              </w:rPr>
              <w:t>5,032</w:t>
            </w:r>
          </w:p>
        </w:tc>
        <w:tc>
          <w:tcPr>
            <w:tcW w:type="dxa" w:w="1440"/>
            <w:shd w:fill="C6EFCE" w:val="clear"/>
          </w:tcPr>
          <w:p>
            <w:r>
              <w:rPr>
                <w:b/>
                <w:color w:val="008000"/>
                <w:sz w:val="17"/>
              </w:rPr>
              <w:t>+3.9%</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4,382</w:t>
            </w:r>
          </w:p>
        </w:tc>
        <w:tc>
          <w:tcPr>
            <w:tcW w:type="dxa" w:w="1440"/>
            <w:shd w:fill="C6EFCE" w:val="clear"/>
          </w:tcPr>
          <w:p>
            <w:r>
              <w:rPr>
                <w:b/>
                <w:sz w:val="17"/>
              </w:rPr>
              <w:t>4,734</w:t>
            </w:r>
          </w:p>
        </w:tc>
        <w:tc>
          <w:tcPr>
            <w:tcW w:type="dxa" w:w="1440"/>
            <w:shd w:fill="C6EFCE" w:val="clear"/>
          </w:tcPr>
          <w:p>
            <w:r>
              <w:rPr>
                <w:sz w:val="17"/>
              </w:rPr>
              <w:t>5,085</w:t>
            </w:r>
          </w:p>
        </w:tc>
        <w:tc>
          <w:tcPr>
            <w:tcW w:type="dxa" w:w="1440"/>
            <w:shd w:fill="C6EFCE" w:val="clear"/>
          </w:tcPr>
          <w:p>
            <w:r>
              <w:rPr>
                <w:b/>
                <w:color w:val="008000"/>
                <w:sz w:val="17"/>
              </w:rPr>
              <w:t>+4.0%</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4,346</w:t>
            </w:r>
          </w:p>
        </w:tc>
        <w:tc>
          <w:tcPr>
            <w:tcW w:type="dxa" w:w="1440"/>
            <w:shd w:fill="C6EFCE" w:val="clear"/>
          </w:tcPr>
          <w:p>
            <w:r>
              <w:rPr>
                <w:b/>
                <w:sz w:val="17"/>
              </w:rPr>
              <w:t>4,740</w:t>
            </w:r>
          </w:p>
        </w:tc>
        <w:tc>
          <w:tcPr>
            <w:tcW w:type="dxa" w:w="1440"/>
            <w:shd w:fill="C6EFCE" w:val="clear"/>
          </w:tcPr>
          <w:p>
            <w:r>
              <w:rPr>
                <w:sz w:val="17"/>
              </w:rPr>
              <w:t>5,134</w:t>
            </w:r>
          </w:p>
        </w:tc>
        <w:tc>
          <w:tcPr>
            <w:tcW w:type="dxa" w:w="1440"/>
            <w:shd w:fill="C6EFCE" w:val="clear"/>
          </w:tcPr>
          <w:p>
            <w:r>
              <w:rPr>
                <w:b/>
                <w:color w:val="008000"/>
                <w:sz w:val="17"/>
              </w:rPr>
              <w:t>+4.2%</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4,314</w:t>
            </w:r>
          </w:p>
        </w:tc>
        <w:tc>
          <w:tcPr>
            <w:tcW w:type="dxa" w:w="1440"/>
            <w:shd w:fill="C6EFCE" w:val="clear"/>
          </w:tcPr>
          <w:p>
            <w:r>
              <w:rPr>
                <w:b/>
                <w:sz w:val="17"/>
              </w:rPr>
              <w:t>4,746</w:t>
            </w:r>
          </w:p>
        </w:tc>
        <w:tc>
          <w:tcPr>
            <w:tcW w:type="dxa" w:w="1440"/>
            <w:shd w:fill="C6EFCE" w:val="clear"/>
          </w:tcPr>
          <w:p>
            <w:r>
              <w:rPr>
                <w:sz w:val="17"/>
              </w:rPr>
              <w:t>5,178</w:t>
            </w:r>
          </w:p>
        </w:tc>
        <w:tc>
          <w:tcPr>
            <w:tcW w:type="dxa" w:w="1440"/>
            <w:shd w:fill="C6EFCE" w:val="clear"/>
          </w:tcPr>
          <w:p>
            <w:r>
              <w:rPr>
                <w:b/>
                <w:color w:val="008000"/>
                <w:sz w:val="17"/>
              </w:rPr>
              <w:t>+4.3%</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4,285</w:t>
            </w:r>
          </w:p>
        </w:tc>
        <w:tc>
          <w:tcPr>
            <w:tcW w:type="dxa" w:w="1440"/>
            <w:shd w:fill="C6EFCE" w:val="clear"/>
          </w:tcPr>
          <w:p>
            <w:r>
              <w:rPr>
                <w:b/>
                <w:sz w:val="17"/>
              </w:rPr>
              <w:t>4,752</w:t>
            </w:r>
          </w:p>
        </w:tc>
        <w:tc>
          <w:tcPr>
            <w:tcW w:type="dxa" w:w="1440"/>
            <w:shd w:fill="C6EFCE" w:val="clear"/>
          </w:tcPr>
          <w:p>
            <w:r>
              <w:rPr>
                <w:sz w:val="17"/>
              </w:rPr>
              <w:t>5,219</w:t>
            </w:r>
          </w:p>
        </w:tc>
        <w:tc>
          <w:tcPr>
            <w:tcW w:type="dxa" w:w="1440"/>
            <w:shd w:fill="C6EFCE" w:val="clear"/>
          </w:tcPr>
          <w:p>
            <w:r>
              <w:rPr>
                <w:b/>
                <w:color w:val="008000"/>
                <w:sz w:val="17"/>
              </w:rPr>
              <w:t>+4.4%</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4,258</w:t>
            </w:r>
          </w:p>
        </w:tc>
        <w:tc>
          <w:tcPr>
            <w:tcW w:type="dxa" w:w="1440"/>
            <w:shd w:fill="C6EFCE" w:val="clear"/>
          </w:tcPr>
          <w:p>
            <w:r>
              <w:rPr>
                <w:b/>
                <w:sz w:val="17"/>
              </w:rPr>
              <w:t>4,758</w:t>
            </w:r>
          </w:p>
        </w:tc>
        <w:tc>
          <w:tcPr>
            <w:tcW w:type="dxa" w:w="1440"/>
            <w:shd w:fill="C6EFCE" w:val="clear"/>
          </w:tcPr>
          <w:p>
            <w:r>
              <w:rPr>
                <w:sz w:val="17"/>
              </w:rPr>
              <w:t>5,258</w:t>
            </w:r>
          </w:p>
        </w:tc>
        <w:tc>
          <w:tcPr>
            <w:tcW w:type="dxa" w:w="1440"/>
            <w:shd w:fill="C6EFCE" w:val="clear"/>
          </w:tcPr>
          <w:p>
            <w:r>
              <w:rPr>
                <w:b/>
                <w:color w:val="008000"/>
                <w:sz w:val="17"/>
              </w:rPr>
              <w:t>+4.6%</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4,233</w:t>
            </w:r>
          </w:p>
        </w:tc>
        <w:tc>
          <w:tcPr>
            <w:tcW w:type="dxa" w:w="1440"/>
            <w:shd w:fill="C6EFCE" w:val="clear"/>
          </w:tcPr>
          <w:p>
            <w:r>
              <w:rPr>
                <w:b/>
                <w:sz w:val="17"/>
              </w:rPr>
              <w:t>4,764</w:t>
            </w:r>
          </w:p>
        </w:tc>
        <w:tc>
          <w:tcPr>
            <w:tcW w:type="dxa" w:w="1440"/>
            <w:shd w:fill="C6EFCE" w:val="clear"/>
          </w:tcPr>
          <w:p>
            <w:r>
              <w:rPr>
                <w:sz w:val="17"/>
              </w:rPr>
              <w:t>5,295</w:t>
            </w:r>
          </w:p>
        </w:tc>
        <w:tc>
          <w:tcPr>
            <w:tcW w:type="dxa" w:w="1440"/>
            <w:shd w:fill="C6EFCE" w:val="clear"/>
          </w:tcPr>
          <w:p>
            <w:r>
              <w:rPr>
                <w:b/>
                <w:color w:val="008000"/>
                <w:sz w:val="17"/>
              </w:rPr>
              <w:t>+4.7%</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4,210</w:t>
            </w:r>
          </w:p>
        </w:tc>
        <w:tc>
          <w:tcPr>
            <w:tcW w:type="dxa" w:w="1440"/>
            <w:shd w:fill="C6EFCE" w:val="clear"/>
          </w:tcPr>
          <w:p>
            <w:r>
              <w:rPr>
                <w:b/>
                <w:sz w:val="17"/>
              </w:rPr>
              <w:t>4,770</w:t>
            </w:r>
          </w:p>
        </w:tc>
        <w:tc>
          <w:tcPr>
            <w:tcW w:type="dxa" w:w="1440"/>
            <w:shd w:fill="C6EFCE" w:val="clear"/>
          </w:tcPr>
          <w:p>
            <w:r>
              <w:rPr>
                <w:sz w:val="17"/>
              </w:rPr>
              <w:t>5,330</w:t>
            </w:r>
          </w:p>
        </w:tc>
        <w:tc>
          <w:tcPr>
            <w:tcW w:type="dxa" w:w="1440"/>
            <w:shd w:fill="C6EFCE" w:val="clear"/>
          </w:tcPr>
          <w:p>
            <w:r>
              <w:rPr>
                <w:b/>
                <w:color w:val="008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94,64 milliards FCFA, BOAN se situe dans la catégorie des valeurs moyennes de la cote BRVM, représentant une capitalisation modeste à l'échelle régionale mais significative pour le compartiment bancaire nigérien. Le BPA de 20 FCFA/action traduit un bénéfice net par titre extrêmement faible, conséquence directe de l'effondrement du résultat net 2025 à 409 millions FCFA. Le PER de 231,4x constitue un signal d'alerte majeur : les investisseurs paient plus de 230 fois les bénéfices actuels, très loin du PER moyen BRVM (8-12x), ce qui traduit soit une anticipation de rebond spectaculaire, soit une décorrélation totale entre le cours et la réalité bénéficiaire. Le P/B de 2,62x indique que le marché valorise la banque à 2,6 fois ses fonds propres comptables (36,06 Mds FCFA), soit une prime de croissance significative difficile à justifier au regard du ROE de 1,13%. Enfin, l'EV/EBITDA de 37,4x apparaît très exigeant (seuil d'alerte &gt;15x), confirmant que la valeur d'entreprise intègre des anticipations de redressement que les fondamentaux actuels ne soutiennent pas encore.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affiche une progression totale de +28,35%, mais la dernière séance (J-1) enregistre un repli marqué de -7,14%, signalant une prise de profit ou un retournement de sentiment à court terme. Le cours actuel de 4 550 FCFA se situe dans la partie basse du range de trading établi entre 3 395 FCFA (plus bas) et 5 645 FCFA (plus haut), soit un écart de 2 250 FCFA (66% du plus bas), traduisant une forte amplitude. La tendance générale reste haussière sur la période, mais le repli récent suggère une correction après un rallye soutenu. Les statistiques descriptives révèlent une moyenne (4 554 FCFA) quasi identique à la médiane (4 732 FCFA), avec un léger biais baissier (moyenne &lt; médiane), tandis que le mode à 3 700 FCFA indique que le prix le plus fréquemment traité se situe nettement sous les niveaux actuels. L'écart-type de 777 FCFA (CV=17,1%) traduit une dispersion modérée à élevée du cours autour de sa moyenne. Le kurtosis négatif (-1,701, distribution platykurtique) indique une distribution aplatie avec une faible concentration autour de la moyenne et un risque de pics moins prononcé qu'une loi normale, tandis que le skewness quasi nul (-0,127) confirme une distribution symétrique sans asymétrie marquée. La volatilité annualisée de 36,8% classe BOAN parmi les titres à volatilité élevée (&gt;30%), ce qui implique un risque de perte en capital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(5 374,75 FCFA) et la MM50 (5 278,5 FCFA) se situent toutes deux nettement au-dessus du cours actuel (4 550 FCFA), ce qui place le titre en position baissière sous ses moyennes. La MM20 &gt; MM50 indique une configuration haussière de fond, mais le prix sous les deux moyennes signale une pression vendeuse récente. La décision "Achat" fournie par l'indicateur peut s'interpréter comme une opportunité de rebond technique, mais elle est contredite par la position du cours.</w:t>
      </w:r>
    </w:p>
    <w:p>
      <w:pPr>
        <w:spacing w:after="120" w:line="276" w:lineRule="auto"/>
      </w:pPr>
      <w:r>
        <w:t>**Bandes de Bollinger** : La borne supérieure est à 5 874,07 FCFA et la borne inférieure à 4 875,43 FCFA, avec un cours actuel de 4 550 FCFA qui se situe **sous la borne inférieure**, configuration inhabituelle signalant une survente extrême ou un début de tendance baissière soutenue. La largeur des bandes (998,64 FCFA) reflète une volatilité élevée. La décision "Achat" s'appuie sur le principe de retour à la moyenne, mais la cassure baissière de la borne inférieure est un signal de prudence.</w:t>
      </w:r>
    </w:p>
    <w:p>
      <w:pPr>
        <w:spacing w:after="120" w:line="276" w:lineRule="auto"/>
      </w:pPr>
      <w:r>
        <w:t>**MACD** : La valeur du MACD (-62,71) est négative et inférieure à son signal (41,2), générant une divergence baissière marquée. Le momentum est clairement négatif, et la décision "Vente" de cet indicateur contredit les signaux d'achat des autres outils techniques, ce qui constitue un avertissement sérieux sur la durabilité du rebond.</w:t>
      </w:r>
    </w:p>
    <w:p>
      <w:pPr>
        <w:spacing w:after="120" w:line="276" w:lineRule="auto"/>
      </w:pPr>
      <w:r>
        <w:t>**RSI** : À 14,741, le RSI se situe en zone de **survente extrême** (seuil &lt;30), un niveau rarement atteint qui historiquement précède souvent un rebond technique à court terme. La décision "Achat" est cohérente avec cette lecture contrarienne, mais un RSI aussi bas peut aussi signaler une détérioration fondamentale profonde.</w:t>
      </w:r>
    </w:p>
    <w:p>
      <w:pPr>
        <w:spacing w:after="120" w:line="276" w:lineRule="auto"/>
      </w:pPr>
      <w:r>
        <w:t>**Stochastique** : Le %K et le %D sont tous deux à 0,0, indiquant que le cours clôture au plus bas de sa fourchette récente sur la période de référence. Cette configuration extrême est un signal de survente maximale, mais l'absence de croisement haussier (%K &gt; %D) ne confirme pas encore de retournement. La décision "Achat" repose sur l'anticipation d'un rebond technique.</w:t>
      </w:r>
    </w:p>
    <w:p>
      <w:pPr>
        <w:spacing w:after="120" w:line="276" w:lineRule="auto"/>
      </w:pPr>
      <w:r>
        <w:t>**Conclusion technique** : Les indicateurs sont **divergents** : les oscillateurs (RSI, Stochastique, Bollinger) signalent une survente extrême propice à un rebond technique, tandis que le MACD et la position du cours sous les moyennes mobiles confirment une tendance baissière sous-jacente. Cette configuration suggère qu'un rebond à court terme est possible, mais qu'il s'inscrit dans une dynamique baissière plus large, nécessitant une confirmation par le MACD et un retour du cours au-dessus de la MM20 (5 374,75 FCFA) pour valider un véritable retournement.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une situation financière très dégradée pour BOAN. Le Produit Net Bancaire (PNB, équivalent du chiffre d'affaires pour une banque) s'établit à **21 125 millions FCFA en 2025**, en léger recul de -1,2% par rapport à 2024 (21 380 M FCFA), après une chute de -20,7% en 2024 (rapport annuel 2024). Le résultat net s'effondre à **409 millions FCFA en 2025**, contre 5 002 millions en 2024, soit une chute de -91,8%, conséquence directe d'un coût du risque plus que doublé (+121,5%, à -6 016 M FCFA) incluant une provision exceptionnelle de 4,8 milliards FCFA liée au taux de sinistralité sectoriel de 24% au Niger. Les ratios de rentabilité sont catastrophiques : **ROE de 1,13%** (contre 11,39% en 2024 et 22,43% en 2023) et **ROA de 0,14%** (contre 1,49% en 2024), très loin des standards bancaires (&gt;15% pour le ROE). Le coefficient d'exploitation se dégrade à **74,37%** (contre 58,1% au S1 2025 et 47,7% en 2021), bien au-dessus du seuil de 60% synonyme d'efficacité, traduisant une pression sur les coûts. La structure financière reste fragile avec une autonomie financière de seulement 12,36% (capitaux propres/total bilan) et un ratio d'endettement de 178,6%, bien que le ratio de solvabilité (14,06%) demeure conforme aux exigences UEMOA (≥10%). Le rapport du T1 2026 (publié le 31 mars 2026) apporte toutefois un signal positif : le PNB progresse de +7,9% à 5 170 M FCFA, le résultat net bondit de +28,9% à 1 467,3 M FCFA, et le coefficient d'exploitation s'améliore à 56,2% (contre 66,8% au T1 2025), porté par une baisse des frais généraux (-9,1%) et une hausse du RBE (+42,2%). **On estime donc que l'exercice 2026 pourrait marquer un début de redressement**, avec un PNB annualisé proche de 22 327 M FCFA (objectif budgétaire +6,4%) et un résultat net potentiellement multiplié par 6 si la trajectoire du T1 se confirme, sous réserve d'une maîtrise du coût du risque (objectif de réduction de -65,7% à -2 060 M FCFA). La recommandation fondamentale est **CONSERVER sous surveillance rapprochée** : la banque dispose d'atouts (soutien du groupe BOA, digitalisation, croissance du PIB nigérien à +7% prévu en 2026-2029), mais les risques (créances douteuses à 24%, instabilité politique, dépendance aux hydrocarbures) restent élevés et nécessitent une confirmation sur au moins deux trimestres supplémentaires.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majeure** entre les signaux. La valorisation (Partie 0) est extrêmement tendue : PER de 231,4x, P/B de 2,62x et EV/EBITDA de 37,4x intègrent des anticipations de rebond que les fondamentaux 2025 ne justifient pas encore, bien que le T1 2026 apporte un début de confirmation. Le comportement du cours (Partie 1) montre une tendance haussière sur 100 jours (+28,35%) mais un repli récent de -7,14% et une volatilité élevée (36,8%), avec une distribution symétrique (skewness -0,127) et un risque de pics modéré (kurtosis -1,701). Les signaux techniques (Partie 2) sont **contradictoires** : survente extrême (RSI 14,7, Stochastique 0,0) propice à un rebond, mais MACD baissier et cours sous les moyennes mobiles et sous la borne inférieure de Bollinger, ce qui plaide pour une poursuite de la correction. Les fondamentaux (Partie 3) restent très dégradés en 2025 (ROE 1,13%, résultat net -91,8%), mais le T1 2026 (+28,9% de résultat net, coefficient d'exploitation à 56,2%) suggère un début de redressement à confirmer. Les prédictions IA (J+1 à J+10) tablent sur une stabilisation autour de 4 727-4 779 FCFA, soit une légère hausse de +3,9% à +5,0% par rapport au cours actuel (4 550 FCFA), ce qui **contredit partiellement** les signaux baissiers à court terme mais **confirme** l'anticipation d'un rebond technique modéré. **Recommandation finale : CONSERVER**, avec un niveau de confiance **Moyen** et un risque global **Élevé**. La convergence entre la survente technique, les prédictions IA haussières et l'amélioration des indicateurs au T1 2026 justifie de ne pas vendre, mais la valorisation extrême, la fragilité des fondamentaux 2025 et l'incertitude macroéconomique au Niger interdisent un achat agressif. **Horizon d'investissement optimal : moyen terme (3-12 mois)**, en surveillant impérativement la confirmation du redressement sur le T2 2026 (publication attendue fin juillet 2026) et l'évolution du coût du risque, qui reste le principal facteur de risque.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275.40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11,033 titres</w:t>
            </w:r>
          </w:p>
        </w:tc>
        <w:tc>
          <w:tcPr>
            <w:tcW w:type="dxa" w:w="2268"/>
            <w:shd w:fill="FFF2CC" w:val="clear"/>
          </w:tcPr>
          <w:p>
            <w:r>
              <w:rPr>
                <w:b/>
                <w:color w:val="503200"/>
                <w:sz w:val="16"/>
              </w:rPr>
              <w:t xml:space="preserve">Cours actuel : </w:t>
            </w:r>
            <w:r>
              <w:rPr>
                <w:color w:val="000000"/>
                <w:sz w:val="17"/>
              </w:rPr>
              <w:t>7,650 FCFA</w:t>
            </w:r>
          </w:p>
          <w:p>
            <w:r>
              <w:rPr>
                <w:b/>
                <w:color w:val="503200"/>
                <w:sz w:val="16"/>
              </w:rPr>
              <w:t xml:space="preserve">Var. 100 jours : </w:t>
            </w:r>
            <w:r>
              <w:rPr>
                <w:b/>
                <w:color w:val="007800"/>
                <w:sz w:val="17"/>
              </w:rPr>
              <w:t>+9.29%</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25.9%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4.92% (Faible) — μ=7,674 FCFA, σ=378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β=0.2805 (Défensif) — Cov=0.000011, Var(idx)=0.000041, ρ=0.113,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11,033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σ_j=1.63%/j (Stable) — Vol. annualisée≈25.9%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89/100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7,520</w:t>
            </w:r>
          </w:p>
        </w:tc>
        <w:tc>
          <w:tcPr>
            <w:tcW w:type="dxa" w:w="1440"/>
            <w:shd w:fill="FAFAFA" w:val="clear"/>
          </w:tcPr>
          <w:p>
            <w:r>
              <w:rPr>
                <w:b/>
                <w:sz w:val="17"/>
              </w:rPr>
              <w:t>7,731</w:t>
            </w:r>
          </w:p>
        </w:tc>
        <w:tc>
          <w:tcPr>
            <w:tcW w:type="dxa" w:w="1440"/>
            <w:shd w:fill="FAFAFA" w:val="clear"/>
          </w:tcPr>
          <w:p>
            <w:r>
              <w:rPr>
                <w:sz w:val="17"/>
              </w:rPr>
              <w:t>7,942</w:t>
            </w:r>
          </w:p>
        </w:tc>
        <w:tc>
          <w:tcPr>
            <w:tcW w:type="dxa" w:w="1440"/>
            <w:shd w:fill="FAFAFA" w:val="clear"/>
          </w:tcPr>
          <w:p>
            <w:r>
              <w:rPr>
                <w:b/>
                <w:color w:val="008000"/>
                <w:sz w:val="17"/>
              </w:rPr>
              <w:t>+1.1%</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7,410</w:t>
            </w:r>
          </w:p>
        </w:tc>
        <w:tc>
          <w:tcPr>
            <w:tcW w:type="dxa" w:w="1440"/>
            <w:shd w:fill="FAFAFA" w:val="clear"/>
          </w:tcPr>
          <w:p>
            <w:r>
              <w:rPr>
                <w:b/>
                <w:sz w:val="17"/>
              </w:rPr>
              <w:t>7,707</w:t>
            </w:r>
          </w:p>
        </w:tc>
        <w:tc>
          <w:tcPr>
            <w:tcW w:type="dxa" w:w="1440"/>
            <w:shd w:fill="FAFAFA" w:val="clear"/>
          </w:tcPr>
          <w:p>
            <w:r>
              <w:rPr>
                <w:sz w:val="17"/>
              </w:rPr>
              <w:t>8,004</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2026-09-28</w:t>
            </w:r>
          </w:p>
        </w:tc>
        <w:tc>
          <w:tcPr>
            <w:tcW w:type="dxa" w:w="1440"/>
            <w:shd w:fill="FAFAFA" w:val="clear"/>
          </w:tcPr>
          <w:p>
            <w:r>
              <w:rPr>
                <w:sz w:val="17"/>
              </w:rPr>
              <w:t>7,331</w:t>
            </w:r>
          </w:p>
        </w:tc>
        <w:tc>
          <w:tcPr>
            <w:tcW w:type="dxa" w:w="1440"/>
            <w:shd w:fill="FAFAFA" w:val="clear"/>
          </w:tcPr>
          <w:p>
            <w:r>
              <w:rPr>
                <w:b/>
                <w:sz w:val="17"/>
              </w:rPr>
              <w:t>7,695</w:t>
            </w:r>
          </w:p>
        </w:tc>
        <w:tc>
          <w:tcPr>
            <w:tcW w:type="dxa" w:w="1440"/>
            <w:shd w:fill="FAFAFA" w:val="clear"/>
          </w:tcPr>
          <w:p>
            <w:r>
              <w:rPr>
                <w:sz w:val="17"/>
              </w:rPr>
              <w:t>8,059</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2026-09-29</w:t>
            </w:r>
          </w:p>
        </w:tc>
        <w:tc>
          <w:tcPr>
            <w:tcW w:type="dxa" w:w="1440"/>
            <w:shd w:fill="FAFAFA" w:val="clear"/>
          </w:tcPr>
          <w:p>
            <w:r>
              <w:rPr>
                <w:sz w:val="17"/>
              </w:rPr>
              <w:t>7,260</w:t>
            </w:r>
          </w:p>
        </w:tc>
        <w:tc>
          <w:tcPr>
            <w:tcW w:type="dxa" w:w="1440"/>
            <w:shd w:fill="FAFAFA" w:val="clear"/>
          </w:tcPr>
          <w:p>
            <w:r>
              <w:rPr>
                <w:b/>
                <w:sz w:val="17"/>
              </w:rPr>
              <w:t>7,679</w:t>
            </w:r>
          </w:p>
        </w:tc>
        <w:tc>
          <w:tcPr>
            <w:tcW w:type="dxa" w:w="1440"/>
            <w:shd w:fill="FAFAFA" w:val="clear"/>
          </w:tcPr>
          <w:p>
            <w:r>
              <w:rPr>
                <w:sz w:val="17"/>
              </w:rPr>
              <w:t>8,098</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2026-09-30</w:t>
            </w:r>
          </w:p>
        </w:tc>
        <w:tc>
          <w:tcPr>
            <w:tcW w:type="dxa" w:w="1440"/>
            <w:shd w:fill="FAFAFA" w:val="clear"/>
          </w:tcPr>
          <w:p>
            <w:r>
              <w:rPr>
                <w:sz w:val="17"/>
              </w:rPr>
              <w:t>7,195</w:t>
            </w:r>
          </w:p>
        </w:tc>
        <w:tc>
          <w:tcPr>
            <w:tcW w:type="dxa" w:w="1440"/>
            <w:shd w:fill="FAFAFA" w:val="clear"/>
          </w:tcPr>
          <w:p>
            <w:r>
              <w:rPr>
                <w:b/>
                <w:sz w:val="17"/>
              </w:rPr>
              <w:t>7,663</w:t>
            </w:r>
          </w:p>
        </w:tc>
        <w:tc>
          <w:tcPr>
            <w:tcW w:type="dxa" w:w="1440"/>
            <w:shd w:fill="FAFAFA" w:val="clear"/>
          </w:tcPr>
          <w:p>
            <w:r>
              <w:rPr>
                <w:sz w:val="17"/>
              </w:rPr>
              <w:t>8,130</w:t>
            </w:r>
          </w:p>
        </w:tc>
        <w:tc>
          <w:tcPr>
            <w:tcW w:type="dxa" w:w="1440"/>
            <w:shd w:fill="FAFAFA" w:val="clear"/>
          </w:tcPr>
          <w:p>
            <w:r>
              <w:rPr>
                <w:b/>
                <w:color w:val="008000"/>
                <w:sz w:val="17"/>
              </w:rPr>
              <w:t>+0.2%</w:t>
            </w:r>
          </w:p>
        </w:tc>
      </w:tr>
      <w:tr>
        <w:tc>
          <w:tcPr>
            <w:tcW w:type="dxa" w:w="1440"/>
            <w:shd w:fill="FAFAFA" w:val="clear"/>
          </w:tcPr>
          <w:p>
            <w:r>
              <w:rPr>
                <w:sz w:val="17"/>
              </w:rPr>
              <w:t>J+6  Moyenne</w:t>
            </w:r>
          </w:p>
        </w:tc>
        <w:tc>
          <w:tcPr>
            <w:tcW w:type="dxa" w:w="1440"/>
            <w:shd w:fill="FAFAFA" w:val="clear"/>
          </w:tcPr>
          <w:p>
            <w:r>
              <w:rPr>
                <w:sz w:val="17"/>
              </w:rPr>
              <w:t>2026-10-01</w:t>
            </w:r>
          </w:p>
        </w:tc>
        <w:tc>
          <w:tcPr>
            <w:tcW w:type="dxa" w:w="1440"/>
            <w:shd w:fill="FAFAFA" w:val="clear"/>
          </w:tcPr>
          <w:p>
            <w:r>
              <w:rPr>
                <w:sz w:val="17"/>
              </w:rPr>
              <w:t>7,136</w:t>
            </w:r>
          </w:p>
        </w:tc>
        <w:tc>
          <w:tcPr>
            <w:tcW w:type="dxa" w:w="1440"/>
            <w:shd w:fill="FAFAFA" w:val="clear"/>
          </w:tcPr>
          <w:p>
            <w:r>
              <w:rPr>
                <w:b/>
                <w:sz w:val="17"/>
              </w:rPr>
              <w:t>7,647</w:t>
            </w:r>
          </w:p>
        </w:tc>
        <w:tc>
          <w:tcPr>
            <w:tcW w:type="dxa" w:w="1440"/>
            <w:shd w:fill="FAFAFA" w:val="clear"/>
          </w:tcPr>
          <w:p>
            <w:r>
              <w:rPr>
                <w:sz w:val="17"/>
              </w:rPr>
              <w:t>8,158</w:t>
            </w:r>
          </w:p>
        </w:tc>
        <w:tc>
          <w:tcPr>
            <w:tcW w:type="dxa" w:w="1440"/>
            <w:shd w:fill="FAFAFA" w:val="clear"/>
          </w:tcPr>
          <w:p>
            <w:r>
              <w:rPr>
                <w:b/>
                <w:color w:val="C00000"/>
                <w:sz w:val="17"/>
              </w:rPr>
              <w:t>-0.0%</w:t>
            </w:r>
          </w:p>
        </w:tc>
      </w:tr>
      <w:tr>
        <w:tc>
          <w:tcPr>
            <w:tcW w:type="dxa" w:w="1440"/>
            <w:shd w:fill="FAFAFA" w:val="clear"/>
          </w:tcPr>
          <w:p>
            <w:r>
              <w:rPr>
                <w:sz w:val="17"/>
              </w:rPr>
              <w:t>J+7  Moyenne</w:t>
            </w:r>
          </w:p>
        </w:tc>
        <w:tc>
          <w:tcPr>
            <w:tcW w:type="dxa" w:w="1440"/>
            <w:shd w:fill="FAFAFA" w:val="clear"/>
          </w:tcPr>
          <w:p>
            <w:r>
              <w:rPr>
                <w:sz w:val="17"/>
              </w:rPr>
              <w:t>2026-10-02</w:t>
            </w:r>
          </w:p>
        </w:tc>
        <w:tc>
          <w:tcPr>
            <w:tcW w:type="dxa" w:w="1440"/>
            <w:shd w:fill="FAFAFA" w:val="clear"/>
          </w:tcPr>
          <w:p>
            <w:r>
              <w:rPr>
                <w:sz w:val="17"/>
              </w:rPr>
              <w:t>7,080</w:t>
            </w:r>
          </w:p>
        </w:tc>
        <w:tc>
          <w:tcPr>
            <w:tcW w:type="dxa" w:w="1440"/>
            <w:shd w:fill="FAFAFA" w:val="clear"/>
          </w:tcPr>
          <w:p>
            <w:r>
              <w:rPr>
                <w:b/>
                <w:sz w:val="17"/>
              </w:rPr>
              <w:t>7,631</w:t>
            </w:r>
          </w:p>
        </w:tc>
        <w:tc>
          <w:tcPr>
            <w:tcW w:type="dxa" w:w="1440"/>
            <w:shd w:fill="FAFAFA" w:val="clear"/>
          </w:tcPr>
          <w:p>
            <w:r>
              <w:rPr>
                <w:sz w:val="17"/>
              </w:rPr>
              <w:t>8,182</w:t>
            </w:r>
          </w:p>
        </w:tc>
        <w:tc>
          <w:tcPr>
            <w:tcW w:type="dxa" w:w="1440"/>
            <w:shd w:fill="FAFAFA" w:val="clear"/>
          </w:tcPr>
          <w:p>
            <w:r>
              <w:rPr>
                <w:b/>
                <w:color w:val="C00000"/>
                <w:sz w:val="17"/>
              </w:rPr>
              <w:t>-0.2%</w:t>
            </w:r>
          </w:p>
        </w:tc>
      </w:tr>
      <w:tr>
        <w:tc>
          <w:tcPr>
            <w:tcW w:type="dxa" w:w="1440"/>
            <w:shd w:fill="FAFAFA" w:val="clear"/>
          </w:tcPr>
          <w:p>
            <w:r>
              <w:rPr>
                <w:sz w:val="17"/>
              </w:rPr>
              <w:t>J+8  Moyenne</w:t>
            </w:r>
          </w:p>
        </w:tc>
        <w:tc>
          <w:tcPr>
            <w:tcW w:type="dxa" w:w="1440"/>
            <w:shd w:fill="FAFAFA" w:val="clear"/>
          </w:tcPr>
          <w:p>
            <w:r>
              <w:rPr>
                <w:sz w:val="17"/>
              </w:rPr>
              <w:t>2026-10-05</w:t>
            </w:r>
          </w:p>
        </w:tc>
        <w:tc>
          <w:tcPr>
            <w:tcW w:type="dxa" w:w="1440"/>
            <w:shd w:fill="FAFAFA" w:val="clear"/>
          </w:tcPr>
          <w:p>
            <w:r>
              <w:rPr>
                <w:sz w:val="17"/>
              </w:rPr>
              <w:t>7,029</w:t>
            </w:r>
          </w:p>
        </w:tc>
        <w:tc>
          <w:tcPr>
            <w:tcW w:type="dxa" w:w="1440"/>
            <w:shd w:fill="FAFAFA" w:val="clear"/>
          </w:tcPr>
          <w:p>
            <w:r>
              <w:rPr>
                <w:b/>
                <w:sz w:val="17"/>
              </w:rPr>
              <w:t>7,617</w:t>
            </w:r>
          </w:p>
        </w:tc>
        <w:tc>
          <w:tcPr>
            <w:tcW w:type="dxa" w:w="1440"/>
            <w:shd w:fill="FAFAFA" w:val="clear"/>
          </w:tcPr>
          <w:p>
            <w:r>
              <w:rPr>
                <w:sz w:val="17"/>
              </w:rPr>
              <w:t>8,204</w:t>
            </w:r>
          </w:p>
        </w:tc>
        <w:tc>
          <w:tcPr>
            <w:tcW w:type="dxa" w:w="1440"/>
            <w:shd w:fill="FAFAFA" w:val="clear"/>
          </w:tcPr>
          <w:p>
            <w:r>
              <w:rPr>
                <w:b/>
                <w:color w:val="C00000"/>
                <w:sz w:val="17"/>
              </w:rPr>
              <w:t>-0.4%</w:t>
            </w:r>
          </w:p>
        </w:tc>
      </w:tr>
      <w:tr>
        <w:tc>
          <w:tcPr>
            <w:tcW w:type="dxa" w:w="1440"/>
            <w:shd w:fill="FAFAFA" w:val="clear"/>
          </w:tcPr>
          <w:p>
            <w:r>
              <w:rPr>
                <w:sz w:val="17"/>
              </w:rPr>
              <w:t>J+9  Moyenne</w:t>
            </w:r>
          </w:p>
        </w:tc>
        <w:tc>
          <w:tcPr>
            <w:tcW w:type="dxa" w:w="1440"/>
            <w:shd w:fill="FAFAFA" w:val="clear"/>
          </w:tcPr>
          <w:p>
            <w:r>
              <w:rPr>
                <w:sz w:val="17"/>
              </w:rPr>
              <w:t>2026-10-06</w:t>
            </w:r>
          </w:p>
        </w:tc>
        <w:tc>
          <w:tcPr>
            <w:tcW w:type="dxa" w:w="1440"/>
            <w:shd w:fill="FAFAFA" w:val="clear"/>
          </w:tcPr>
          <w:p>
            <w:r>
              <w:rPr>
                <w:sz w:val="17"/>
              </w:rPr>
              <w:t>6,980</w:t>
            </w:r>
          </w:p>
        </w:tc>
        <w:tc>
          <w:tcPr>
            <w:tcW w:type="dxa" w:w="1440"/>
            <w:shd w:fill="FAFAFA" w:val="clear"/>
          </w:tcPr>
          <w:p>
            <w:r>
              <w:rPr>
                <w:b/>
                <w:sz w:val="17"/>
              </w:rPr>
              <w:t>7,603</w:t>
            </w:r>
          </w:p>
        </w:tc>
        <w:tc>
          <w:tcPr>
            <w:tcW w:type="dxa" w:w="1440"/>
            <w:shd w:fill="FAFAFA" w:val="clear"/>
          </w:tcPr>
          <w:p>
            <w:r>
              <w:rPr>
                <w:sz w:val="17"/>
              </w:rPr>
              <w:t>8,225</w:t>
            </w:r>
          </w:p>
        </w:tc>
        <w:tc>
          <w:tcPr>
            <w:tcW w:type="dxa" w:w="1440"/>
            <w:shd w:fill="FAFAFA" w:val="clear"/>
          </w:tcPr>
          <w:p>
            <w:r>
              <w:rPr>
                <w:b/>
                <w:color w:val="C00000"/>
                <w:sz w:val="17"/>
              </w:rPr>
              <w:t>-0.6%</w:t>
            </w:r>
          </w:p>
        </w:tc>
      </w:tr>
      <w:tr>
        <w:tc>
          <w:tcPr>
            <w:tcW w:type="dxa" w:w="1440"/>
            <w:shd w:fill="FAFAFA" w:val="clear"/>
          </w:tcPr>
          <w:p>
            <w:r>
              <w:rPr>
                <w:sz w:val="17"/>
              </w:rPr>
              <w:t>J+10  Moyenne</w:t>
            </w:r>
          </w:p>
        </w:tc>
        <w:tc>
          <w:tcPr>
            <w:tcW w:type="dxa" w:w="1440"/>
            <w:shd w:fill="FAFAFA" w:val="clear"/>
          </w:tcPr>
          <w:p>
            <w:r>
              <w:rPr>
                <w:sz w:val="17"/>
              </w:rPr>
              <w:t>2026-10-07</w:t>
            </w:r>
          </w:p>
        </w:tc>
        <w:tc>
          <w:tcPr>
            <w:tcW w:type="dxa" w:w="1440"/>
            <w:shd w:fill="FAFAFA" w:val="clear"/>
          </w:tcPr>
          <w:p>
            <w:r>
              <w:rPr>
                <w:sz w:val="17"/>
              </w:rPr>
              <w:t>6,934</w:t>
            </w:r>
          </w:p>
        </w:tc>
        <w:tc>
          <w:tcPr>
            <w:tcW w:type="dxa" w:w="1440"/>
            <w:shd w:fill="FAFAFA" w:val="clear"/>
          </w:tcPr>
          <w:p>
            <w:r>
              <w:rPr>
                <w:b/>
                <w:sz w:val="17"/>
              </w:rPr>
              <w:t>7,589</w:t>
            </w:r>
          </w:p>
        </w:tc>
        <w:tc>
          <w:tcPr>
            <w:tcW w:type="dxa" w:w="1440"/>
            <w:shd w:fill="FAFAFA" w:val="clear"/>
          </w:tcPr>
          <w:p>
            <w:r>
              <w:rPr>
                <w:sz w:val="17"/>
              </w:rPr>
              <w:t>8,244</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275,40 milliards FCFA, BOAS s'impose comme l'une des valeurs bancaires de référence de la cote BRVM, témoignant de la solidité de son assise institutionnelle au sein du groupe Bank of Africa. Le BPA de 608 FCFA par action signifie que chaque titre détenu génère près de 608 FCFA de bénéfice net, un niveau de rentabilité par action particulièrement attractif pour le marché ouest-africain. Le PER de 12,6x situe le titre légèrement au-dessus de la moyenne BRVM (8-12x), ce qui traduit une valorisation modérée mais non excessive, le marché acceptant de payer une prime raisonnable pour la qualité des bénéfices. Le P/B de 2,85x indique que le marché valorise BOAS à près de trois fois sa valeur comptable, une prime de croissance justifiée par un ROE de 22,69% nettement supérieur au coût des fonds propres. Enfin, l'EV/EBITDA de 8,1x, dans la fourchette raisonnable de 5-10x, confirme que la valeur d'entreprise reste cohérente avec la capacité opérationnelle de la banque, sans signe de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BOAS affiche une variation positive de +9,29%, mais la dernière séance (J-1) enregistre un repli marqué de -4,26%, signalant une pression vendeuse récente. Le cours actuel de 7 650 FCFA se situe dans la partie basse du range de trading établi entre 7 000 FCFA (plus bas) et 8 500 FCFA (plus haut), ce qui suggère une correction après un sommet. La tendance générale reste haussière sur la période, mais le titre subit actuellement une phase de consolidation. Les statistiques descriptives révèlent une moyenne de 7 674 FCFA légèrement supérieure à la médiane de 7 588 FCFA, avec un mode à 7 700 FCFA, indiquant une distribution relativement équilibrée mais tirée vers le haut par quelques séances de forte hausse. L'écart-type de 380 FCFA (CV de 4,9%) traduit une dispersion modérée du cours, tandis que le kurtosis de -0,868 (mésokurtique) suggère une distribution proche de la normale, sans risque excessif de pics extrêmes. Le skewness positif de 0,512 indique une asymétrie avec davantage de journées sous la moyenne, ce qui est cohérent avec la correction récente. La volatilité annualisée de 25,9% classe le titre dans la catégorie modérée (15-30%), acceptable pour un investisseur recherchant un équilibre entre rendement et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8 204,25 FCFA et la MM50 à 7 934,00 FCFA, toutes deux nettement supérieures au cours actuel de 7 650 FCFA. Cette configuration indique que le titre évolue en dessous de ses moyennes mobiles, signalant une pression baissière à court terme. Toutefois, la décision technique affichée est "Achat", probablement en anticipation d'un rebond technique après la correction, la MM50 restant en support dynamique potentiel.</w:t>
      </w:r>
    </w:p>
    <w:p>
      <w:pPr>
        <w:spacing w:after="120" w:line="276" w:lineRule="auto"/>
      </w:pPr>
      <w:r>
        <w:t>**Bandes de Bollinger** : La borne supérieure est à 8 547,75 FCFA et la borne inférieure à 7 860,75 FCFA, avec un cours actuel de 7 650 FCFA qui se situe en dessous de la borne inférieure. Cette position suggère une situation de survente technique, le titre ayant cassé à la baisse l'enveloppe de volatilité. La décision "Achat" est cohérente avec cette configuration, un retour vers la borne inférieure étant statistiquement probable.</w:t>
      </w:r>
    </w:p>
    <w:p>
      <w:pPr>
        <w:spacing w:after="120" w:line="276" w:lineRule="auto"/>
      </w:pPr>
      <w:r>
        <w:t>**MACD** : La valeur du MACD est de -4,236 contre un signal à 75,942, créant une divergence négative marquée. Le momentum est clairement baissier, le MACD étant passé en territoire négatif. La décision "Vente" reflète cette dynamique défavorable, bien que la divergence extrême puisse annoncer un retournement prochain.</w:t>
      </w:r>
    </w:p>
    <w:p>
      <w:pPr>
        <w:spacing w:after="120" w:line="276" w:lineRule="auto"/>
      </w:pPr>
      <w:r>
        <w:t>**RSI** : Avec une valeur de 23,361, le RSI se situe en zone de survente prononcée (seuil &lt;30). Cette lecture indique que le titre a été massivement vendu et pourrait être sujet à un rebond technique. La décision "Achat" est justifiée par cette configuration de survente, historiquement favorable à une reprise.</w:t>
      </w:r>
    </w:p>
    <w:p>
      <w:pPr>
        <w:spacing w:after="120" w:line="276" w:lineRule="auto"/>
      </w:pPr>
      <w:r>
        <w:t>**Stochastique** : Les valeurs %K et %D sont toutes deux à 0,0, confirmant une situation de survente extrême. Aucun croisement haussier n'est encore visible, mais cette configuration précède souvent un retournement. La décision "Achat" anticipe ce rebond potentiel.</w:t>
      </w:r>
    </w:p>
    <w:p>
      <w:pPr>
        <w:spacing w:after="120" w:line="276" w:lineRule="auto"/>
      </w:pPr>
      <w:r>
        <w:t>**Conclusion technique** : Les indicateurs présentent une divergence notable. Les moyennes mobiles et le MACD sont baissiers, tandis que le RSI, le stochastique et les Bandes de Bollinger signalent une survente extrême propice à un rebond. Cette configuration contradictoire suggère une phase de transition, avec un potentiel de rebond technique à court terme, mais une prudence reste de mise tant que le MACD n'amorce pas de retournement.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(base brvm_donnees_financieres) révèlent une banque solide et rentable : le Produit Net Bancaire (équivalent du chiffre d'affaires pour une banque) s'établit à 51,926 milliards FCFA, générant un résultat net de 21,905 milliards FCFA, soit une marge nette remarquable de 42,19%. Le ROE de 22,69% dépasse largement le seuil d'excellence de 15%, et le ROA de 2,62% confirme une utilisation efficace des actifs. Le coefficient d'exploitation de 44,02% (inférieur à 50%) témoigne d'une excellente maîtrise des charges, tandis que le coût du risque de 23,31% des charges financières reste élevé et mérite une surveillance attentive. La structure financière affiche une autonomie financière de 11,54% (faible mais typique du modèle bancaire) et une solvabilité générale de 113,05%, garantissant la couverture des engagements. Les rapports trimestriels confirment cette dynamique : le rapport du T1 2026 (publié en 2026) indique un PNB de 12 580 millions FCFA (+6,82%) et un résultat net de 5 741 millions FCFA (+9,78%), avec un coefficient d'exploitation amélioré à 42,1%. Le rapport du T3 2025 (daté du 30 septembre 2025) faisait état d'un PNB cumulé de 37,44 milliards FCFA (+6,71%) et d'un résultat net de 16,37 milliards FCFA (+10,01%), avec un coût du risque en baisse à -0,5% du PNB. Sur la base de ces tendances, on estime que l'exercice 2026 devrait enregistrer une croissance du PNB de l'ordre de 6-7% et une progression du résultat net de 9-10%, poursuivant la trajectoire vertueuse observée depuis 2021 (croissance du résultat net de 44,4% cette année-là). La recommandation fondamentale est positive : BOAS présente un profil de banque solide, rentable et en croissance maîtrisée, avec des risques principaux liés au coût du risque et à la concentration sur le marché sénégalais.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La valorisation (Partie 0) est modérée avec un PER de 12,6x et un P/B de 2,85x, reflétant une prime de qualité justifiée par un ROE de 22,69%, sans surévaluation excessive. Le comportement du cours (Partie 1) montre une tendance haussière sur 100 jours (+9,29%) mais une correction récente (-4,26% en J-1), avec une volatilité modérée (25,9%) et des statistiques de distribution équilibrées (kurtosis proche de la normale, skewness légèrement positif). Les signaux techniques (Partie 2) sont divergents : baissiers pour les MM et le MACD, mais haussiers pour le RSI (23,36 en survente), le stochastique (0,0) et les Bandes de Bollinger (cours sous la borne inférieure), suggérant un rebond technique imminent. Les fondamentaux (Partie 3) sont solides, avec une croissance régulière du PNB et du résultat net, un coefficient d'exploitation maîtrisé et une rentabilité élevée. Les prédictions IA (J+1 à J+10) anticipent une légère baisse vers 7 663 FCFA d'ici le 30 septembre 2026, ce qui contredit partiellement les signaux de survente technique mais confirme la prudence à court terme. Compte tenu de cette convergence partielle — fondamentaux solides, valorisation raisonnable, technique en survente mais momentum baissier — la recommandation finale est **ACHAT** avec un niveau de confiance **Moyen** et un risque global **Moyen**. L'horizon d'investissement optimal est le **moyen terme (3-12 mois)**, le temps que la correction technique s'achève et que la croissance fondamentale se matérialise dans les cours.</w:t>
      </w:r>
    </w:p>
    <w:p>
      <w:pPr>
        <w:spacing w:after="120" w:line="276" w:lineRule="auto"/>
      </w:pPr>
      <w:r>
        <w: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2,052 titres</w:t>
            </w:r>
          </w:p>
        </w:tc>
        <w:tc>
          <w:tcPr>
            <w:tcW w:type="dxa" w:w="2268"/>
            <w:shd w:fill="FFF2CC" w:val="clear"/>
          </w:tcPr>
          <w:p>
            <w:r>
              <w:rPr>
                <w:b/>
                <w:color w:val="503200"/>
                <w:sz w:val="16"/>
              </w:rPr>
              <w:t xml:space="preserve">Cours actuel : </w:t>
            </w:r>
            <w:r>
              <w:rPr>
                <w:color w:val="000000"/>
                <w:sz w:val="17"/>
              </w:rPr>
              <w:t>3,190 FCFA</w:t>
            </w:r>
          </w:p>
          <w:p>
            <w:r>
              <w:rPr>
                <w:b/>
                <w:color w:val="503200"/>
                <w:sz w:val="16"/>
              </w:rPr>
              <w:t xml:space="preserve">Var. 100 jours : </w:t>
            </w:r>
            <w:r>
              <w:rPr>
                <w:b/>
                <w:color w:val="B40000"/>
                <w:sz w:val="17"/>
              </w:rPr>
              <w:t>-14.93%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7.61% (Moyenne) — μ=3,694 FCFA, σ=281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β=0.1944 (Défensif) — Cov=0.000008, Var(idx)=0.000041, ρ=0.044,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σ_j=2.86%/j (Stable) — Vol. annualisée≈45.3%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3,074</w:t>
            </w:r>
          </w:p>
        </w:tc>
        <w:tc>
          <w:tcPr>
            <w:tcW w:type="dxa" w:w="1440"/>
            <w:shd w:fill="FAFAFA" w:val="clear"/>
          </w:tcPr>
          <w:p>
            <w:r>
              <w:rPr>
                <w:b/>
                <w:sz w:val="17"/>
              </w:rPr>
              <w:t>3,158</w:t>
            </w:r>
          </w:p>
        </w:tc>
        <w:tc>
          <w:tcPr>
            <w:tcW w:type="dxa" w:w="1440"/>
            <w:shd w:fill="FAFAFA" w:val="clear"/>
          </w:tcPr>
          <w:p>
            <w:r>
              <w:rPr>
                <w:sz w:val="17"/>
              </w:rPr>
              <w:t>3,243</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3,020</w:t>
            </w:r>
          </w:p>
        </w:tc>
        <w:tc>
          <w:tcPr>
            <w:tcW w:type="dxa" w:w="1440"/>
            <w:shd w:fill="FAFAFA" w:val="clear"/>
          </w:tcPr>
          <w:p>
            <w:r>
              <w:rPr>
                <w:b/>
                <w:sz w:val="17"/>
              </w:rPr>
              <w:t>3,139</w:t>
            </w:r>
          </w:p>
        </w:tc>
        <w:tc>
          <w:tcPr>
            <w:tcW w:type="dxa" w:w="1440"/>
            <w:shd w:fill="FAFAFA" w:val="clear"/>
          </w:tcPr>
          <w:p>
            <w:r>
              <w:rPr>
                <w:sz w:val="17"/>
              </w:rPr>
              <w:t>3,257</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2026-09-28</w:t>
            </w:r>
          </w:p>
        </w:tc>
        <w:tc>
          <w:tcPr>
            <w:tcW w:type="dxa" w:w="1440"/>
            <w:shd w:fill="FFDCE0" w:val="clear"/>
          </w:tcPr>
          <w:p>
            <w:r>
              <w:rPr>
                <w:sz w:val="17"/>
              </w:rPr>
              <w:t>2,980</w:t>
            </w:r>
          </w:p>
        </w:tc>
        <w:tc>
          <w:tcPr>
            <w:tcW w:type="dxa" w:w="1440"/>
            <w:shd w:fill="FFDCE0" w:val="clear"/>
          </w:tcPr>
          <w:p>
            <w:r>
              <w:rPr>
                <w:b/>
                <w:sz w:val="17"/>
              </w:rPr>
              <w:t>3,125</w:t>
            </w:r>
          </w:p>
        </w:tc>
        <w:tc>
          <w:tcPr>
            <w:tcW w:type="dxa" w:w="1440"/>
            <w:shd w:fill="FFDCE0" w:val="clear"/>
          </w:tcPr>
          <w:p>
            <w:r>
              <w:rPr>
                <w:sz w:val="17"/>
              </w:rPr>
              <w:t>3,270</w:t>
            </w:r>
          </w:p>
        </w:tc>
        <w:tc>
          <w:tcPr>
            <w:tcW w:type="dxa" w:w="1440"/>
            <w:shd w:fill="FFDCE0"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2026-09-29</w:t>
            </w:r>
          </w:p>
        </w:tc>
        <w:tc>
          <w:tcPr>
            <w:tcW w:type="dxa" w:w="1440"/>
            <w:shd w:fill="FFDCE0" w:val="clear"/>
          </w:tcPr>
          <w:p>
            <w:r>
              <w:rPr>
                <w:sz w:val="17"/>
              </w:rPr>
              <w:t>2,947</w:t>
            </w:r>
          </w:p>
        </w:tc>
        <w:tc>
          <w:tcPr>
            <w:tcW w:type="dxa" w:w="1440"/>
            <w:shd w:fill="FFDCE0" w:val="clear"/>
          </w:tcPr>
          <w:p>
            <w:r>
              <w:rPr>
                <w:b/>
                <w:sz w:val="17"/>
              </w:rPr>
              <w:t>3,113</w:t>
            </w:r>
          </w:p>
        </w:tc>
        <w:tc>
          <w:tcPr>
            <w:tcW w:type="dxa" w:w="1440"/>
            <w:shd w:fill="FFDCE0" w:val="clear"/>
          </w:tcPr>
          <w:p>
            <w:r>
              <w:rPr>
                <w:sz w:val="17"/>
              </w:rPr>
              <w:t>3,280</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2026-09-30</w:t>
            </w:r>
          </w:p>
        </w:tc>
        <w:tc>
          <w:tcPr>
            <w:tcW w:type="dxa" w:w="1440"/>
            <w:shd w:fill="FFDCE0" w:val="clear"/>
          </w:tcPr>
          <w:p>
            <w:r>
              <w:rPr>
                <w:sz w:val="17"/>
              </w:rPr>
              <w:t>2,916</w:t>
            </w:r>
          </w:p>
        </w:tc>
        <w:tc>
          <w:tcPr>
            <w:tcW w:type="dxa" w:w="1440"/>
            <w:shd w:fill="FFDCE0" w:val="clear"/>
          </w:tcPr>
          <w:p>
            <w:r>
              <w:rPr>
                <w:b/>
                <w:sz w:val="17"/>
              </w:rPr>
              <w:t>3,101</w:t>
            </w:r>
          </w:p>
        </w:tc>
        <w:tc>
          <w:tcPr>
            <w:tcW w:type="dxa" w:w="1440"/>
            <w:shd w:fill="FFDCE0" w:val="clear"/>
          </w:tcPr>
          <w:p>
            <w:r>
              <w:rPr>
                <w:sz w:val="17"/>
              </w:rPr>
              <w:t>3,287</w:t>
            </w:r>
          </w:p>
        </w:tc>
        <w:tc>
          <w:tcPr>
            <w:tcW w:type="dxa" w:w="1440"/>
            <w:shd w:fill="FFDCE0" w:val="clear"/>
          </w:tcPr>
          <w:p>
            <w:r>
              <w:rPr>
                <w:b/>
                <w:color w:val="C00000"/>
                <w:sz w:val="17"/>
              </w:rPr>
              <w:t>-2.8%</w:t>
            </w:r>
          </w:p>
        </w:tc>
      </w:tr>
      <w:tr>
        <w:tc>
          <w:tcPr>
            <w:tcW w:type="dxa" w:w="1440"/>
            <w:shd w:fill="FFDCE0" w:val="clear"/>
          </w:tcPr>
          <w:p>
            <w:r>
              <w:rPr>
                <w:sz w:val="17"/>
              </w:rPr>
              <w:t>J+6  Moyenne</w:t>
            </w:r>
          </w:p>
        </w:tc>
        <w:tc>
          <w:tcPr>
            <w:tcW w:type="dxa" w:w="1440"/>
            <w:shd w:fill="FFDCE0" w:val="clear"/>
          </w:tcPr>
          <w:p>
            <w:r>
              <w:rPr>
                <w:sz w:val="17"/>
              </w:rPr>
              <w:t>2026-10-01</w:t>
            </w:r>
          </w:p>
        </w:tc>
        <w:tc>
          <w:tcPr>
            <w:tcW w:type="dxa" w:w="1440"/>
            <w:shd w:fill="FFDCE0" w:val="clear"/>
          </w:tcPr>
          <w:p>
            <w:r>
              <w:rPr>
                <w:sz w:val="17"/>
              </w:rPr>
              <w:t>2,886</w:t>
            </w:r>
          </w:p>
        </w:tc>
        <w:tc>
          <w:tcPr>
            <w:tcW w:type="dxa" w:w="1440"/>
            <w:shd w:fill="FFDCE0" w:val="clear"/>
          </w:tcPr>
          <w:p>
            <w:r>
              <w:rPr>
                <w:b/>
                <w:sz w:val="17"/>
              </w:rPr>
              <w:t>3,088</w:t>
            </w:r>
          </w:p>
        </w:tc>
        <w:tc>
          <w:tcPr>
            <w:tcW w:type="dxa" w:w="1440"/>
            <w:shd w:fill="FFDCE0" w:val="clear"/>
          </w:tcPr>
          <w:p>
            <w:r>
              <w:rPr>
                <w:sz w:val="17"/>
              </w:rPr>
              <w:t>3,290</w:t>
            </w:r>
          </w:p>
        </w:tc>
        <w:tc>
          <w:tcPr>
            <w:tcW w:type="dxa" w:w="1440"/>
            <w:shd w:fill="FFDCE0" w:val="clear"/>
          </w:tcPr>
          <w:p>
            <w:r>
              <w:rPr>
                <w:b/>
                <w:color w:val="C00000"/>
                <w:sz w:val="17"/>
              </w:rPr>
              <w:t>-3.2%</w:t>
            </w:r>
          </w:p>
        </w:tc>
      </w:tr>
      <w:tr>
        <w:tc>
          <w:tcPr>
            <w:tcW w:type="dxa" w:w="1440"/>
            <w:shd w:fill="FFDCE0" w:val="clear"/>
          </w:tcPr>
          <w:p>
            <w:r>
              <w:rPr>
                <w:sz w:val="17"/>
              </w:rPr>
              <w:t>J+7  Moyenne</w:t>
            </w:r>
          </w:p>
        </w:tc>
        <w:tc>
          <w:tcPr>
            <w:tcW w:type="dxa" w:w="1440"/>
            <w:shd w:fill="FFDCE0" w:val="clear"/>
          </w:tcPr>
          <w:p>
            <w:r>
              <w:rPr>
                <w:sz w:val="17"/>
              </w:rPr>
              <w:t>2026-10-02</w:t>
            </w:r>
          </w:p>
        </w:tc>
        <w:tc>
          <w:tcPr>
            <w:tcW w:type="dxa" w:w="1440"/>
            <w:shd w:fill="FFDCE0" w:val="clear"/>
          </w:tcPr>
          <w:p>
            <w:r>
              <w:rPr>
                <w:sz w:val="17"/>
              </w:rPr>
              <w:t>2,855</w:t>
            </w:r>
          </w:p>
        </w:tc>
        <w:tc>
          <w:tcPr>
            <w:tcW w:type="dxa" w:w="1440"/>
            <w:shd w:fill="FFDCE0" w:val="clear"/>
          </w:tcPr>
          <w:p>
            <w:r>
              <w:rPr>
                <w:b/>
                <w:sz w:val="17"/>
              </w:rPr>
              <w:t>3,072</w:t>
            </w:r>
          </w:p>
        </w:tc>
        <w:tc>
          <w:tcPr>
            <w:tcW w:type="dxa" w:w="1440"/>
            <w:shd w:fill="FFDCE0" w:val="clear"/>
          </w:tcPr>
          <w:p>
            <w:r>
              <w:rPr>
                <w:sz w:val="17"/>
              </w:rPr>
              <w:t>3,289</w:t>
            </w:r>
          </w:p>
        </w:tc>
        <w:tc>
          <w:tcPr>
            <w:tcW w:type="dxa" w:w="1440"/>
            <w:shd w:fill="FFDCE0" w:val="clear"/>
          </w:tcPr>
          <w:p>
            <w:r>
              <w:rPr>
                <w:b/>
                <w:color w:val="C00000"/>
                <w:sz w:val="17"/>
              </w:rPr>
              <w:t>-3.7%</w:t>
            </w:r>
          </w:p>
        </w:tc>
      </w:tr>
      <w:tr>
        <w:tc>
          <w:tcPr>
            <w:tcW w:type="dxa" w:w="1440"/>
            <w:shd w:fill="FFDCE0" w:val="clear"/>
          </w:tcPr>
          <w:p>
            <w:r>
              <w:rPr>
                <w:sz w:val="17"/>
              </w:rPr>
              <w:t>J+8  Moyenne</w:t>
            </w:r>
          </w:p>
        </w:tc>
        <w:tc>
          <w:tcPr>
            <w:tcW w:type="dxa" w:w="1440"/>
            <w:shd w:fill="FFDCE0" w:val="clear"/>
          </w:tcPr>
          <w:p>
            <w:r>
              <w:rPr>
                <w:sz w:val="17"/>
              </w:rPr>
              <w:t>2026-10-05</w:t>
            </w:r>
          </w:p>
        </w:tc>
        <w:tc>
          <w:tcPr>
            <w:tcW w:type="dxa" w:w="1440"/>
            <w:shd w:fill="FFDCE0" w:val="clear"/>
          </w:tcPr>
          <w:p>
            <w:r>
              <w:rPr>
                <w:sz w:val="17"/>
              </w:rPr>
              <w:t>2,823</w:t>
            </w:r>
          </w:p>
        </w:tc>
        <w:tc>
          <w:tcPr>
            <w:tcW w:type="dxa" w:w="1440"/>
            <w:shd w:fill="FFDCE0" w:val="clear"/>
          </w:tcPr>
          <w:p>
            <w:r>
              <w:rPr>
                <w:b/>
                <w:sz w:val="17"/>
              </w:rPr>
              <w:t>3,054</w:t>
            </w:r>
          </w:p>
        </w:tc>
        <w:tc>
          <w:tcPr>
            <w:tcW w:type="dxa" w:w="1440"/>
            <w:shd w:fill="FFDCE0" w:val="clear"/>
          </w:tcPr>
          <w:p>
            <w:r>
              <w:rPr>
                <w:sz w:val="17"/>
              </w:rPr>
              <w:t>3,285</w:t>
            </w:r>
          </w:p>
        </w:tc>
        <w:tc>
          <w:tcPr>
            <w:tcW w:type="dxa" w:w="1440"/>
            <w:shd w:fill="FFDCE0" w:val="clear"/>
          </w:tcPr>
          <w:p>
            <w:r>
              <w:rPr>
                <w:b/>
                <w:color w:val="C00000"/>
                <w:sz w:val="17"/>
              </w:rPr>
              <w:t>-4.3%</w:t>
            </w:r>
          </w:p>
        </w:tc>
      </w:tr>
      <w:tr>
        <w:tc>
          <w:tcPr>
            <w:tcW w:type="dxa" w:w="1440"/>
            <w:shd w:fill="FFDCE0" w:val="clear"/>
          </w:tcPr>
          <w:p>
            <w:r>
              <w:rPr>
                <w:sz w:val="17"/>
              </w:rPr>
              <w:t>J+9  Moyenne</w:t>
            </w:r>
          </w:p>
        </w:tc>
        <w:tc>
          <w:tcPr>
            <w:tcW w:type="dxa" w:w="1440"/>
            <w:shd w:fill="FFDCE0" w:val="clear"/>
          </w:tcPr>
          <w:p>
            <w:r>
              <w:rPr>
                <w:sz w:val="17"/>
              </w:rPr>
              <w:t>2026-10-06</w:t>
            </w:r>
          </w:p>
        </w:tc>
        <w:tc>
          <w:tcPr>
            <w:tcW w:type="dxa" w:w="1440"/>
            <w:shd w:fill="FFDCE0" w:val="clear"/>
          </w:tcPr>
          <w:p>
            <w:r>
              <w:rPr>
                <w:sz w:val="17"/>
              </w:rPr>
              <w:t>2,790</w:t>
            </w:r>
          </w:p>
        </w:tc>
        <w:tc>
          <w:tcPr>
            <w:tcW w:type="dxa" w:w="1440"/>
            <w:shd w:fill="FFDCE0" w:val="clear"/>
          </w:tcPr>
          <w:p>
            <w:r>
              <w:rPr>
                <w:b/>
                <w:sz w:val="17"/>
              </w:rPr>
              <w:t>3,034</w:t>
            </w:r>
          </w:p>
        </w:tc>
        <w:tc>
          <w:tcPr>
            <w:tcW w:type="dxa" w:w="1440"/>
            <w:shd w:fill="FFDCE0" w:val="clear"/>
          </w:tcPr>
          <w:p>
            <w:r>
              <w:rPr>
                <w:sz w:val="17"/>
              </w:rPr>
              <w:t>3,277</w:t>
            </w:r>
          </w:p>
        </w:tc>
        <w:tc>
          <w:tcPr>
            <w:tcW w:type="dxa" w:w="1440"/>
            <w:shd w:fill="FFDCE0" w:val="clear"/>
          </w:tcPr>
          <w:p>
            <w:r>
              <w:rPr>
                <w:b/>
                <w:color w:val="C00000"/>
                <w:sz w:val="17"/>
              </w:rPr>
              <w:t>-4.9%</w:t>
            </w:r>
          </w:p>
        </w:tc>
      </w:tr>
      <w:tr>
        <w:tc>
          <w:tcPr>
            <w:tcW w:type="dxa" w:w="1440"/>
            <w:shd w:fill="FFDCE0" w:val="clear"/>
          </w:tcPr>
          <w:p>
            <w:r>
              <w:rPr>
                <w:sz w:val="17"/>
              </w:rPr>
              <w:t>J+10  Moyenne</w:t>
            </w:r>
          </w:p>
        </w:tc>
        <w:tc>
          <w:tcPr>
            <w:tcW w:type="dxa" w:w="1440"/>
            <w:shd w:fill="FFDCE0" w:val="clear"/>
          </w:tcPr>
          <w:p>
            <w:r>
              <w:rPr>
                <w:sz w:val="17"/>
              </w:rPr>
              <w:t>2026-10-07</w:t>
            </w:r>
          </w:p>
        </w:tc>
        <w:tc>
          <w:tcPr>
            <w:tcW w:type="dxa" w:w="1440"/>
            <w:shd w:fill="FFDCE0" w:val="clear"/>
          </w:tcPr>
          <w:p>
            <w:r>
              <w:rPr>
                <w:sz w:val="17"/>
              </w:rPr>
              <w:t>2,757</w:t>
            </w:r>
          </w:p>
        </w:tc>
        <w:tc>
          <w:tcPr>
            <w:tcW w:type="dxa" w:w="1440"/>
            <w:shd w:fill="FFDCE0" w:val="clear"/>
          </w:tcPr>
          <w:p>
            <w:r>
              <w:rPr>
                <w:b/>
                <w:sz w:val="17"/>
              </w:rPr>
              <w:t>3,012</w:t>
            </w:r>
          </w:p>
        </w:tc>
        <w:tc>
          <w:tcPr>
            <w:tcW w:type="dxa" w:w="1440"/>
            <w:shd w:fill="FFDCE0" w:val="clear"/>
          </w:tcPr>
          <w:p>
            <w:r>
              <w:rPr>
                <w:sz w:val="17"/>
              </w:rPr>
              <w:t>3,267</w:t>
            </w:r>
          </w:p>
        </w:tc>
        <w:tc>
          <w:tcPr>
            <w:tcW w:type="dxa" w:w="1440"/>
            <w:shd w:fill="FFDCE0" w:val="clear"/>
          </w:tcPr>
          <w:p>
            <w:r>
              <w:rPr>
                <w:b/>
                <w:color w:val="C00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Côte d'Ivoire*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18,88 milliards FCFA, CABC se positionne comme une valeur de petite capitalisation sur le marché BRVM, ce qui la rend plus sensible aux mouvements de marché et moins liquide que les grandes valeurs comme SONATEL ou BOA. Le BPA de 243 FCFA/action indique que chaque titre génère un bénéfice net de 243 FCFA, ce qui, rapporté au cours actuel de 3 190 FCFA, donne un PER de 13,1x — légèrement supérieur à la moyenne du marché BRVM (8-12x), suggérant que les investisseurs paient une prime modérée pour cette valeur. Le P/B de 2,02x montre que le marché valorise l'entreprise à environ deux fois sa valeur comptable, ce qui traduit une prime de croissance accordée par le marché, bien que cette prime soit modérée comparée aux valeurs technologiques. Enfin, l'EV/EBITDA de 6,5x situe la valeur totale de l'entreprise (incluant la dette) à 6,5 fois sa capacité opérationnelle, un niveau raisonnable qui indique que le marché n'anticipe pas de surperformance exceptionnelle mais ne sous-évalue pas non plus l'entreprise.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CABC affiche une variation totale de -14,93%, avec une dernière séance en léger repli de -0,31%, confirmant une tendance baissière persistante. Le cours actuel de 3 190 FCFA se situe au plus bas de la période, tandis que le plus haut a atteint 4 500 FCFA, soit un range de trading de 1 310 FCFA (41% d'amplitude), ce qui témoigne d'une volatilité significative. La moyenne des cours s'établit à 3 694 FCFA, supérieure à la médiane de 3 600 FCFA, avec un mode à 3 500 FCFA — cet écart entre moyenne et médiane, combiné à un skewness de 1,007 (asymétrie positive), indique que la distribution des cours est tirée vers le haut par quelques séances exceptionnelles, mais que la majorité des transactions se sont faites sous la moyenne, reflétant une pression vendeuse dominante. L'écart-type de 282 FCFA (CV=7,6%) révèle une dispersion modérée des cours autour de la moyenne, tandis que le kurtosis de 0,604 (mésokurtique) suggère une distribution proche de la normale, sans risque extrême de pics de volatilité. La volatilité annualisée de 45,3% classe le titre dans la catégorie des valeurs à volatilité élevée (&gt;30%), ce qui implique un risque de perte en capital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(3 453,75 FCFA) et la MM50 (3 561,1 FCFA) se situent toutes deux bien au-dessus du cours actuel (3 190 FCFA), confirmant une tendance baissière de court et moyen terme. Le croisement baissier (MM20 &lt; MM50) et l'écart négatif entre le cours et les moyennes justifient la décision de vente, le titre évoluant sous ses supports mobiles.</w:t>
      </w:r>
    </w:p>
    <w:p>
      <w:pPr>
        <w:spacing w:after="120" w:line="276" w:lineRule="auto"/>
      </w:pPr>
      <w:r>
        <w:t>**Bandes de Bollinger** : Le cours actuel (3 190 FCFA) se situe en dessous de la borne inférieure (3 257,5 FCFA), ce qui est techniquement rare et signale une survente extrême. Cette position suggère un potentiel rebond technique à court terme, justifiant la décision d'achat malgré la tendance baissière, car le titre est sorti de sa zone de normalité statistique.</w:t>
      </w:r>
    </w:p>
    <w:p>
      <w:pPr>
        <w:spacing w:after="120" w:line="276" w:lineRule="auto"/>
      </w:pPr>
      <w:r>
        <w:t>**MACD** : La valeur du MACD (-83,733) est inférieure à son signal (-60,505), avec un histogramme négatif, confirmant un momentum baissier toujours actif. La divergence négative entre MACD et signal indique que la pression vendeuse persiste, justifiant la décision de vente, bien que l'écart commence à se réduire, ce qui pourrait annoncer un retournement prochain.</w:t>
      </w:r>
    </w:p>
    <w:p>
      <w:pPr>
        <w:spacing w:after="120" w:line="276" w:lineRule="auto"/>
      </w:pPr>
      <w:r>
        <w:t>**RSI** : Avec une valeur de 18,966, le RSI est en zone de survente extrême (&lt;30), ce qui est un signal d'achat classique. Un RSI aussi bas indique que le titre a été massivement vendu et qu'un rebond technique est probable à court terme, justifiant la décision d'achat malgré le contexte baissier.</w:t>
      </w:r>
    </w:p>
    <w:p>
      <w:pPr>
        <w:spacing w:after="120" w:line="276" w:lineRule="auto"/>
      </w:pPr>
      <w:r>
        <w:t>**Stochastique** : Le %K et le %D sont tous deux à 0,0, ce qui est le niveau le plus bas possible de l'indicateur, signalant une survente extrême. Cette configuration est généralement suivie d'un rebond, justifiant la décision d'achat, mais elle peut aussi persister en cas de tendance baissière forte.</w:t>
      </w:r>
    </w:p>
    <w:p>
      <w:pPr>
        <w:spacing w:after="120" w:line="276" w:lineRule="auto"/>
      </w:pPr>
      <w:r>
        <w:t>**Conclusion technique** : Les indicateurs techniques présentent une divergence marquée : les moyennes mobiles et le MACD confirment une tendance baissière, tandis que le RSI, le stochastique et les bandes de Bollinger signalent une survente extrême propice à un rebond technique. Cette configuration suggère que le titre pourrait connaître un rebond à court terme, mais la tendance de fond reste baissière tant que le cours ne repasse pas au-dessus de la MM20 (3 453,75 FCFA). La prudence est de mise, car un rebond technique dans un contexte baissier peut être de courte durée.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(source : brvm_donnees_financieres) révèlent une situation financière contrastée pour CABC. Le chiffre d'affaires s'établit à 21,263 milliards FCFA, en croissance de 11,18% par rapport à 2024, porté par la demande en infrastructures électriques et télécoms. Le résultat net atteint 1,439 milliard FCFA, avec une marge nette de 6,77%, un ROE de 15,40% (excellent, supérieur au seuil de 15%) et un ROA de 6,10%. Cependant, l'analyse du bilan met en évidence des vulnérabilités : les créances clients s'élèvent à 8,429 milliards FCFA (délai client de 144,69 jours, très élevé, signalant un risque de trésorerie), les stocks atteignent 7,400 milliards FCFA (durée de stockage de 152,12 jours, immobilisant du capital), et le BFR de 7,186 milliards FCFA pèse sur la liquidité. Le flux opérationnel est négatif (-819,66 millions FCFA) et le Free Cash Flow est de -982,71 millions FCFA, ce qui est préoccupant malgré une trésorerie nette de 5,139 milliards FCFA. La structure financière reste saine avec une autonomie financière de 39,58% et un ratio d'endettement de 60,42%, mais la dépendance financière est faible (4,47%). Les rapports narratifs confirment ces tendances : le rapport du 3ème trimestre 2025 (daté du 30/09/2025) indique un CA de 16,630 milliards FCFA (+13,7%) et un résultat net de 1,329 milliard FCFA (+26,0%), avec une marge nette de 8,0% et une marge opérationnelle de 11,5%. Le rapport du 1er semestre 2025 (daté du 30/06/2025) montre un résultat net de 851,5 millions FCFA (+55,3%) et une marge nette de 7,9%. Le rapport annuel 2024 (daté du 31/12/2024) fait état d'un CA de 19,125 milliards FCFA (+7,7%) et d'un résultat net de 1,225 milliard FCFA (-14,3% à cause d'une provision de 490 millions FCFA sur créance douteuse et d'une hausse de 94% de l'impôt). Le rapport du T1 2026 (daté de 2026) signale un CA en baisse de 26,5% à 3,794 milliards FCFA et une perte nette de 221,7 millions FCFA, due à une maintenance planifiée et à la hausse des cours des métaux (+23%). Sur la base de ces rapports, on estime que l'exercice 2026 pourrait être impacté par cette contre-performance trimestrielle, mais la direction anticipe une normalisation dès le T2 2026. La recommandation fondamentale est de **conserver** le titre avec une surveillance active, car la société reste solide (ROE &gt;15%, trésorerie positive) mais fait face à des défis de liquidité (BFR élevé, flux opérationnel négatif) et à une volatilité des matières premières.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révèle une situation complexe pour CABC. La valorisation (Partie 0) est modérée avec un PER de 13,1x (légèrement supérieur à la moyenne du marché) et un P/B de 2,02x, ce qui n'indique ni sous-évaluation ni surévaluation flagrante. Le comportement du cours (Partie 1) est préoccupant : tendance baissière (-14,93% sur 100 jours), volatilité élevée (45,3%), et skewness positive (1,007) indiquant une pression vendeuse dominante, bien que le kurtosis (0,604) suggère une distribution normale sans risque extrême. Les signaux techniques (Partie 2) sont divergents : les moyennes mobiles et le MACD confirment la tendance baissière, tandis que le RSI (18,97), le stochastique (0,0) et les bandes de Bollinger (cours sous la borne inférieure) signalent une survente extrême propice à un rebond technique à court terme. Les fondamentaux (Partie 3) sont mitigés : croissance du CA (+11,18% en 2025), ROE solide (15,40%), mais flux opérationnel négatif (-819,66 millions FCFA), BFR élevé (7,186 milliards FCFA) et délais clients/stocks très longs (144,69 et 152,12 jours). Les prédictions IA (J+1 à J+10) anticipent une poursuite de la baisse jusqu'à 3 101 FCFA le 30/09/2026, ce qui contredit les signaux de survente technique et suggère que le rebond pourrait être retardé ou de faible amplitude. Sur la base de cette synthèse, la recommandation finale est **CONSERVER** avec un niveau de confiance **Moyen** et un niveau de risque **Élevé**. La convergence entre la tendance baissière (cours, MM, MACD) et les prédictions IA (baisse continue) l'emporte sur les signaux de survente technique, tandis que les fondamentaux (ROE &gt;15%, trésorerie positive) justifient de ne pas vendre massivement. L'horizon d'investissement optimal est **moyen terme (3-12 mois)**, en attendant une normalisation des performances opérationnelles (réduction du BFR, amélioration du flux de trésorerie) et un retournement technique confirmé (cours &gt; MM20). Les investisseurs à court terme devraient éviter le titre en raison de la volatilité élevée et de la tendance baissière, tandis que les investisseurs à long terme pourraient accumuler progressivement si le cours se stabilise autour de 3 000-3 100 FCFA.</w:t>
      </w:r>
    </w:p>
    <w:p>
      <w:pPr>
        <w:spacing w:after="120" w:line="276" w:lineRule="auto"/>
      </w:pPr>
      <w:r>
        <w:t>---</w:t>
      </w:r>
    </w:p>
    <w:p>
      <w:pPr>
        <w:spacing w:after="120" w:line="276" w:lineRule="auto"/>
      </w:pPr>
      <w:r>
        <w:t>*Sources : BRVM, brvm_donnees_financieres (2025), rapports narratifs CABC (T3 2025, S1 2025, Annuel 2024, T1 2026), analyses MISTRAL (2025-2026).*</w:t>
        <w:br/>
        <w:t>*Date de l'analyse : Septembre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917.60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1,586 titres</w:t>
            </w:r>
          </w:p>
        </w:tc>
        <w:tc>
          <w:tcPr>
            <w:tcW w:type="dxa" w:w="2268"/>
            <w:shd w:fill="FFF2CC" w:val="clear"/>
          </w:tcPr>
          <w:p>
            <w:r>
              <w:rPr>
                <w:b/>
                <w:color w:val="503200"/>
                <w:sz w:val="16"/>
              </w:rPr>
              <w:t xml:space="preserve">Cours actuel : </w:t>
            </w:r>
            <w:r>
              <w:rPr>
                <w:color w:val="000000"/>
                <w:sz w:val="17"/>
              </w:rPr>
              <w:t>28,675 FCFA</w:t>
            </w:r>
          </w:p>
          <w:p>
            <w:r>
              <w:rPr>
                <w:b/>
                <w:color w:val="503200"/>
                <w:sz w:val="16"/>
              </w:rPr>
              <w:t xml:space="preserve">Var. 100 jours : </w:t>
            </w:r>
            <w:r>
              <w:rPr>
                <w:b/>
                <w:color w:val="007800"/>
                <w:sz w:val="17"/>
              </w:rPr>
              <w:t>+79.22%</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16,000 FCFA</w:t>
            </w:r>
          </w:p>
          <w:p>
            <w:r>
              <w:rPr>
                <w:b/>
                <w:color w:val="503200"/>
                <w:sz w:val="16"/>
              </w:rPr>
              <w:t xml:space="preserve">Volatilité ann. : </w:t>
            </w:r>
            <w:r>
              <w:rPr>
                <w:color w:val="000000"/>
                <w:sz w:val="17"/>
              </w:rPr>
              <w:t>43.0%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19.82% (Élevée) — μ=25,729 FCFA, σ=5,101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β=0.9868 (Neutre (suit le marché)) — Cov=0.000040, Var(idx)=0.000041, ρ=0.251,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1,586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82/100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2026-09-24</w:t>
            </w:r>
          </w:p>
        </w:tc>
        <w:tc>
          <w:tcPr>
            <w:tcW w:type="dxa" w:w="1440"/>
            <w:shd w:fill="FAFAFA" w:val="clear"/>
          </w:tcPr>
          <w:p>
            <w:r>
              <w:rPr>
                <w:sz w:val="17"/>
              </w:rPr>
              <w:t>27,806</w:t>
            </w:r>
          </w:p>
        </w:tc>
        <w:tc>
          <w:tcPr>
            <w:tcW w:type="dxa" w:w="1440"/>
            <w:shd w:fill="FAFAFA" w:val="clear"/>
          </w:tcPr>
          <w:p>
            <w:r>
              <w:rPr>
                <w:b/>
                <w:sz w:val="17"/>
              </w:rPr>
              <w:t>29,054</w:t>
            </w:r>
          </w:p>
        </w:tc>
        <w:tc>
          <w:tcPr>
            <w:tcW w:type="dxa" w:w="1440"/>
            <w:shd w:fill="FAFAFA" w:val="clear"/>
          </w:tcPr>
          <w:p>
            <w:r>
              <w:rPr>
                <w:sz w:val="17"/>
              </w:rPr>
              <w:t>30,301</w:t>
            </w:r>
          </w:p>
        </w:tc>
        <w:tc>
          <w:tcPr>
            <w:tcW w:type="dxa" w:w="1440"/>
            <w:shd w:fill="FAFAFA" w:val="clear"/>
          </w:tcPr>
          <w:p>
            <w:r>
              <w:rPr>
                <w:b/>
                <w:color w:val="008000"/>
                <w:sz w:val="17"/>
              </w:rPr>
              <w:t>+1.3%</w:t>
            </w:r>
          </w:p>
        </w:tc>
      </w:tr>
      <w:tr>
        <w:tc>
          <w:tcPr>
            <w:tcW w:type="dxa" w:w="1440"/>
            <w:shd w:fill="FAFAFA" w:val="clear"/>
          </w:tcPr>
          <w:p>
            <w:r>
              <w:rPr>
                <w:sz w:val="17"/>
              </w:rPr>
              <w:t>J+2  Moyenne</w:t>
            </w:r>
          </w:p>
        </w:tc>
        <w:tc>
          <w:tcPr>
            <w:tcW w:type="dxa" w:w="1440"/>
            <w:shd w:fill="FAFAFA" w:val="clear"/>
          </w:tcPr>
          <w:p>
            <w:r>
              <w:rPr>
                <w:sz w:val="17"/>
              </w:rPr>
              <w:t>2026-09-25</w:t>
            </w:r>
          </w:p>
        </w:tc>
        <w:tc>
          <w:tcPr>
            <w:tcW w:type="dxa" w:w="1440"/>
            <w:shd w:fill="FAFAFA" w:val="clear"/>
          </w:tcPr>
          <w:p>
            <w:r>
              <w:rPr>
                <w:sz w:val="17"/>
              </w:rPr>
              <w:t>27,399</w:t>
            </w:r>
          </w:p>
        </w:tc>
        <w:tc>
          <w:tcPr>
            <w:tcW w:type="dxa" w:w="1440"/>
            <w:shd w:fill="FAFAFA" w:val="clear"/>
          </w:tcPr>
          <w:p>
            <w:r>
              <w:rPr>
                <w:b/>
                <w:sz w:val="17"/>
              </w:rPr>
              <w:t>29,170</w:t>
            </w:r>
          </w:p>
        </w:tc>
        <w:tc>
          <w:tcPr>
            <w:tcW w:type="dxa" w:w="1440"/>
            <w:shd w:fill="FAFAFA" w:val="clear"/>
          </w:tcPr>
          <w:p>
            <w:r>
              <w:rPr>
                <w:sz w:val="17"/>
              </w:rPr>
              <w:t>30,941</w:t>
            </w:r>
          </w:p>
        </w:tc>
        <w:tc>
          <w:tcPr>
            <w:tcW w:type="dxa" w:w="1440"/>
            <w:shd w:fill="FAFAFA" w:val="clear"/>
          </w:tcPr>
          <w:p>
            <w:r>
              <w:rPr>
                <w:b/>
                <w:color w:val="008000"/>
                <w:sz w:val="17"/>
              </w:rPr>
              <w:t>+1.7%</w:t>
            </w:r>
          </w:p>
        </w:tc>
      </w:tr>
      <w:tr>
        <w:tc>
          <w:tcPr>
            <w:tcW w:type="dxa" w:w="1440"/>
            <w:shd w:fill="FAFAFA" w:val="clear"/>
          </w:tcPr>
          <w:p>
            <w:r>
              <w:rPr>
                <w:sz w:val="17"/>
              </w:rPr>
              <w:t>J+3  Moyenne</w:t>
            </w:r>
          </w:p>
        </w:tc>
        <w:tc>
          <w:tcPr>
            <w:tcW w:type="dxa" w:w="1440"/>
            <w:shd w:fill="FAFAFA" w:val="clear"/>
          </w:tcPr>
          <w:p>
            <w:r>
              <w:rPr>
                <w:sz w:val="17"/>
              </w:rPr>
              <w:t>2026-09-28</w:t>
            </w:r>
          </w:p>
        </w:tc>
        <w:tc>
          <w:tcPr>
            <w:tcW w:type="dxa" w:w="1440"/>
            <w:shd w:fill="FAFAFA" w:val="clear"/>
          </w:tcPr>
          <w:p>
            <w:r>
              <w:rPr>
                <w:sz w:val="17"/>
              </w:rPr>
              <w:t>26,882</w:t>
            </w:r>
          </w:p>
        </w:tc>
        <w:tc>
          <w:tcPr>
            <w:tcW w:type="dxa" w:w="1440"/>
            <w:shd w:fill="FAFAFA" w:val="clear"/>
          </w:tcPr>
          <w:p>
            <w:r>
              <w:rPr>
                <w:b/>
                <w:sz w:val="17"/>
              </w:rPr>
              <w:t>29,042</w:t>
            </w:r>
          </w:p>
        </w:tc>
        <w:tc>
          <w:tcPr>
            <w:tcW w:type="dxa" w:w="1440"/>
            <w:shd w:fill="FAFAFA" w:val="clear"/>
          </w:tcPr>
          <w:p>
            <w:r>
              <w:rPr>
                <w:sz w:val="17"/>
              </w:rPr>
              <w:t>31,201</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2026-09-29</w:t>
            </w:r>
          </w:p>
        </w:tc>
        <w:tc>
          <w:tcPr>
            <w:tcW w:type="dxa" w:w="1440"/>
            <w:shd w:fill="FAFAFA" w:val="clear"/>
          </w:tcPr>
          <w:p>
            <w:r>
              <w:rPr>
                <w:sz w:val="17"/>
              </w:rPr>
              <w:t>26,391</w:t>
            </w:r>
          </w:p>
        </w:tc>
        <w:tc>
          <w:tcPr>
            <w:tcW w:type="dxa" w:w="1440"/>
            <w:shd w:fill="FAFAFA" w:val="clear"/>
          </w:tcPr>
          <w:p>
            <w:r>
              <w:rPr>
                <w:b/>
                <w:sz w:val="17"/>
              </w:rPr>
              <w:t>28,870</w:t>
            </w:r>
          </w:p>
        </w:tc>
        <w:tc>
          <w:tcPr>
            <w:tcW w:type="dxa" w:w="1440"/>
            <w:shd w:fill="FAFAFA" w:val="clear"/>
          </w:tcPr>
          <w:p>
            <w:r>
              <w:rPr>
                <w:sz w:val="17"/>
              </w:rPr>
              <w:t>31,349</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2026-09-30</w:t>
            </w:r>
          </w:p>
        </w:tc>
        <w:tc>
          <w:tcPr>
            <w:tcW w:type="dxa" w:w="1440"/>
            <w:shd w:fill="FAFAFA" w:val="clear"/>
          </w:tcPr>
          <w:p>
            <w:r>
              <w:rPr>
                <w:sz w:val="17"/>
              </w:rPr>
              <w:t>25,971</w:t>
            </w:r>
          </w:p>
        </w:tc>
        <w:tc>
          <w:tcPr>
            <w:tcW w:type="dxa" w:w="1440"/>
            <w:shd w:fill="FAFAFA" w:val="clear"/>
          </w:tcPr>
          <w:p>
            <w:r>
              <w:rPr>
                <w:b/>
                <w:sz w:val="17"/>
              </w:rPr>
              <w:t>28,729</w:t>
            </w:r>
          </w:p>
        </w:tc>
        <w:tc>
          <w:tcPr>
            <w:tcW w:type="dxa" w:w="1440"/>
            <w:shd w:fill="FAFAFA" w:val="clear"/>
          </w:tcPr>
          <w:p>
            <w:r>
              <w:rPr>
                <w:sz w:val="17"/>
              </w:rPr>
              <w:t>31,487</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2026-10-01</w:t>
            </w:r>
          </w:p>
        </w:tc>
        <w:tc>
          <w:tcPr>
            <w:tcW w:type="dxa" w:w="1440"/>
            <w:shd w:fill="FAFAFA" w:val="clear"/>
          </w:tcPr>
          <w:p>
            <w:r>
              <w:rPr>
                <w:sz w:val="17"/>
              </w:rPr>
              <w:t>25,597</w:t>
            </w:r>
          </w:p>
        </w:tc>
        <w:tc>
          <w:tcPr>
            <w:tcW w:type="dxa" w:w="1440"/>
            <w:shd w:fill="FAFAFA" w:val="clear"/>
          </w:tcPr>
          <w:p>
            <w:r>
              <w:rPr>
                <w:b/>
                <w:sz w:val="17"/>
              </w:rPr>
              <w:t>28,606</w:t>
            </w:r>
          </w:p>
        </w:tc>
        <w:tc>
          <w:tcPr>
            <w:tcW w:type="dxa" w:w="1440"/>
            <w:shd w:fill="FAFAFA" w:val="clear"/>
          </w:tcPr>
          <w:p>
            <w:r>
              <w:rPr>
                <w:sz w:val="17"/>
              </w:rPr>
              <w:t>31,614</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2026-10-02</w:t>
            </w:r>
          </w:p>
        </w:tc>
        <w:tc>
          <w:tcPr>
            <w:tcW w:type="dxa" w:w="1440"/>
            <w:shd w:fill="FAFAFA" w:val="clear"/>
          </w:tcPr>
          <w:p>
            <w:r>
              <w:rPr>
                <w:sz w:val="17"/>
              </w:rPr>
              <w:t>25,257</w:t>
            </w:r>
          </w:p>
        </w:tc>
        <w:tc>
          <w:tcPr>
            <w:tcW w:type="dxa" w:w="1440"/>
            <w:shd w:fill="FAFAFA" w:val="clear"/>
          </w:tcPr>
          <w:p>
            <w:r>
              <w:rPr>
                <w:b/>
                <w:sz w:val="17"/>
              </w:rPr>
              <w:t>28,494</w:t>
            </w:r>
          </w:p>
        </w:tc>
        <w:tc>
          <w:tcPr>
            <w:tcW w:type="dxa" w:w="1440"/>
            <w:shd w:fill="FAFAFA" w:val="clear"/>
          </w:tcPr>
          <w:p>
            <w:r>
              <w:rPr>
                <w:sz w:val="17"/>
              </w:rPr>
              <w:t>31,730</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2026-10-05</w:t>
            </w:r>
          </w:p>
        </w:tc>
        <w:tc>
          <w:tcPr>
            <w:tcW w:type="dxa" w:w="1440"/>
            <w:shd w:fill="FAFAFA" w:val="clear"/>
          </w:tcPr>
          <w:p>
            <w:r>
              <w:rPr>
                <w:sz w:val="17"/>
              </w:rPr>
              <w:t>24,946</w:t>
            </w:r>
          </w:p>
        </w:tc>
        <w:tc>
          <w:tcPr>
            <w:tcW w:type="dxa" w:w="1440"/>
            <w:shd w:fill="FAFAFA" w:val="clear"/>
          </w:tcPr>
          <w:p>
            <w:r>
              <w:rPr>
                <w:b/>
                <w:sz w:val="17"/>
              </w:rPr>
              <w:t>28,394</w:t>
            </w:r>
          </w:p>
        </w:tc>
        <w:tc>
          <w:tcPr>
            <w:tcW w:type="dxa" w:w="1440"/>
            <w:shd w:fill="FAFAFA" w:val="clear"/>
          </w:tcPr>
          <w:p>
            <w:r>
              <w:rPr>
                <w:sz w:val="17"/>
              </w:rPr>
              <w:t>31,841</w:t>
            </w:r>
          </w:p>
        </w:tc>
        <w:tc>
          <w:tcPr>
            <w:tcW w:type="dxa" w:w="1440"/>
            <w:shd w:fill="FAFAFA" w:val="clear"/>
          </w:tcPr>
          <w:p>
            <w:r>
              <w:rPr>
                <w:b/>
                <w:color w:val="C00000"/>
                <w:sz w:val="17"/>
              </w:rPr>
              <w:t>-1.0%</w:t>
            </w:r>
          </w:p>
        </w:tc>
      </w:tr>
      <w:tr>
        <w:tc>
          <w:tcPr>
            <w:tcW w:type="dxa" w:w="1440"/>
            <w:shd w:fill="FAFAFA" w:val="clear"/>
          </w:tcPr>
          <w:p>
            <w:r>
              <w:rPr>
                <w:sz w:val="17"/>
              </w:rPr>
              <w:t>J+9  ⭐</w:t>
            </w:r>
          </w:p>
        </w:tc>
        <w:tc>
          <w:tcPr>
            <w:tcW w:type="dxa" w:w="1440"/>
            <w:shd w:fill="FAFAFA" w:val="clear"/>
          </w:tcPr>
          <w:p>
            <w:r>
              <w:rPr>
                <w:sz w:val="17"/>
              </w:rPr>
              <w:t>2026-10-06</w:t>
            </w:r>
          </w:p>
        </w:tc>
        <w:tc>
          <w:tcPr>
            <w:tcW w:type="dxa" w:w="1440"/>
            <w:shd w:fill="FAFAFA" w:val="clear"/>
          </w:tcPr>
          <w:p>
            <w:r>
              <w:rPr>
                <w:sz w:val="17"/>
              </w:rPr>
              <w:t>24,659</w:t>
            </w:r>
          </w:p>
        </w:tc>
        <w:tc>
          <w:tcPr>
            <w:tcW w:type="dxa" w:w="1440"/>
            <w:shd w:fill="FAFAFA" w:val="clear"/>
          </w:tcPr>
          <w:p>
            <w:r>
              <w:rPr>
                <w:b/>
                <w:sz w:val="17"/>
              </w:rPr>
              <w:t>28,304</w:t>
            </w:r>
          </w:p>
        </w:tc>
        <w:tc>
          <w:tcPr>
            <w:tcW w:type="dxa" w:w="1440"/>
            <w:shd w:fill="FAFAFA" w:val="clear"/>
          </w:tcPr>
          <w:p>
            <w:r>
              <w:rPr>
                <w:sz w:val="17"/>
              </w:rPr>
              <w:t>31,949</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2026-10-07</w:t>
            </w:r>
          </w:p>
        </w:tc>
        <w:tc>
          <w:tcPr>
            <w:tcW w:type="dxa" w:w="1440"/>
            <w:shd w:fill="FAFAFA" w:val="clear"/>
          </w:tcPr>
          <w:p>
            <w:r>
              <w:rPr>
                <w:sz w:val="17"/>
              </w:rPr>
              <w:t>24,392</w:t>
            </w:r>
          </w:p>
        </w:tc>
        <w:tc>
          <w:tcPr>
            <w:tcW w:type="dxa" w:w="1440"/>
            <w:shd w:fill="FAFAFA" w:val="clear"/>
          </w:tcPr>
          <w:p>
            <w:r>
              <w:rPr>
                <w:b/>
                <w:sz w:val="17"/>
              </w:rPr>
              <w:t>28,224</w:t>
            </w:r>
          </w:p>
        </w:tc>
        <w:tc>
          <w:tcPr>
            <w:tcW w:type="dxa" w:w="1440"/>
            <w:shd w:fill="FAFAFA" w:val="clear"/>
          </w:tcPr>
          <w:p>
            <w:r>
              <w:rPr>
                <w:sz w:val="17"/>
              </w:rPr>
              <w:t>32,056</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 RAPPORT D'ANALYSE FINANCIÈRE — CORIS BANK INTERNATIONAL (CBIBF)</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Coris Bank International affiche une capitalisation boursière de 917,60 milliards FCFA, un niveau qui la place parmi les valeurs les plus importantes de la cote BRVM, témoignant de la confiance des investisseurs envers le groupe bancaire burkinabè. Le BPA s'établit à 2 047 FCFA par action pour l'exercice 2025, ce qui signifie que chaque titre détenu génère près de 2 047 FCFA de bénéfice net, un niveau de rentabilité par action particulièrement élevé. Le PER de 14,0x traduit une valorisation modérée mais légèrement supérieure à la moyenne du marché BRVM (généralement située entre 8 et 12x), ce qui suggère que le marché intègre déjà une prime de croissance dans le cours. Le ratio EV/EBITDA de 10,4x, situé dans la fourchette 10-15x, indique une valorisation élevée de la capacité opérationnelle, cohérente avec la qualité des résultats et la dynamique de croissance observée. Le ratio P/B n'étant pas fourni dans les données disponibles, il n'est pas possible de comparer la valorisation de marché à la valeur comptable des fonds propres.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progression spectaculaire de +79,22%, passant d'un plus bas de 16 000 FCFA à un plus haut de 34 450 FCFA, avant de se replier à 28 675 FCFA, soit une correction de -7,50% sur la dernière séance. Cette tendance générale est nettement haussière, portée par l'amélioration des fondamentaux et la forte croissance des dépôts observée au premier trimestre 2026. Les statistiques descriptives révèlent une moyenne de 25 729 FCFA légèrement inférieure à la médiane de 27 040 FCFA, ce qui indique une distribution légèrement asymétrique à gauche, cohérente avec un skewness de -0,115 qualifié de symétrique. L'écart-type de 5 126 FCFA, associé à un coefficient de variation de 19,9%, traduit une dispersion modérée du cours autour de sa moyenne, tandis que le kurtosis de -0,985 (mésokurtique) suggère une distribution proche de la normale, sans risque excessif de pics extrêmes. La volatilité annualisée de 43,0% positionne le titre dans la catégorie des valeurs à volatilité élevée (&gt;30%), ce qui implique un risque de marché significatif mais aussi des opportunités de rendement attractives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(32 432,25 FCFA) et la MM50 (29 968,90 FCFA) se situent toutes deux au-dessus du cours actuel (28 675 FCFA), ce qui place le titre en position de repli sous ses moyennes. La MM20 étant supérieure à la MM50, la configuration reste haussière de fond, mais le croisement baissier du cours sous ces deux moyennes justifie la décision technique "Achat" dans une optique de rebond sur support.</w:t>
      </w:r>
    </w:p>
    <w:p>
      <w:pPr>
        <w:spacing w:after="120" w:line="276" w:lineRule="auto"/>
      </w:pPr>
      <w:r>
        <w:t>**Bandes de Bollinger** : Le cours actuel (28 675 FCFA) se situe juste en dessous de la borne inférieure (28 694,44 FCFA), ce qui constitue un signal de survente technique et une opportunité d'achat potentielle. La borne supérieure à 36 170,07 FCFA indique un canal de volatilité large, cohérent avec la volatilité annualisée de 43%, et la décision "Achat" reflète l'anticipation d'un retour vers la moyenne des bandes.</w:t>
      </w:r>
    </w:p>
    <w:p>
      <w:pPr>
        <w:spacing w:after="120" w:line="276" w:lineRule="auto"/>
      </w:pPr>
      <w:r>
        <w:t>**MACD** : La valeur du MACD (633,31) est inférieure à son signal (1 213,48), générant une divergence baissière qui justifie la décision "Vente". Ce croisement négatif indique un essoufflement du momentum haussier à court terme, bien que la valeur positive du MACD traduise encore une tendance de fond haussière.</w:t>
      </w:r>
    </w:p>
    <w:p>
      <w:pPr>
        <w:spacing w:after="120" w:line="276" w:lineRule="auto"/>
      </w:pPr>
      <w:r>
        <w:t>**RSI** : Le RSI s'établit à 26,70, un niveau inférieur au seuil de survente de 30, ce qui déclenche la décision "Achat". Cette lecture suggère que le titre a été excessivement vendu à court terme et qu'un rebond technique est probable, surtout après la correction de -7,50% de la dernière séance.</w:t>
      </w:r>
    </w:p>
    <w:p>
      <w:pPr>
        <w:spacing w:after="120" w:line="276" w:lineRule="auto"/>
      </w:pPr>
      <w:r>
        <w:t>**Stochastique** : Le %K (0,0) et le %D (8,55) sont tous deux en zone de survente extrême, avec un %K au plancher absolu. Cette configuration précède généralement un retournement haussier, justifiant la décision "Achat" malgré l'absence de croisement haussier confirmé pour l'instant.</w:t>
      </w:r>
    </w:p>
    <w:p>
      <w:pPr>
        <w:spacing w:after="120" w:line="276" w:lineRule="auto"/>
      </w:pPr>
      <w:r>
        <w:t>**Conclusion technique** : Les indicateurs techniques présentent une divergence notable : les oscillateurs (RSI, Stochastique, Bollinger) signalent une survente extrême propice à un rebond, tandis que le MACD confirme un momentum baissier de court terme. La position du cours sous les moyennes mobiles et la correction récente suggèrent une phase de consolidation, mais la convergence des signaux de survente plaide pour un point d'entrée tactique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Coris Bank International a réalisé un Produit Net Bancaire (PNB) de 138,986 milliards FCFA, en croissance de 6,11% par rapport à 2024, et un résultat net de 65,495 milliards FCFA, en progression remarquable de 36,6% sur un an. La marge nette s'établit à 47,12%, la marge opérationnelle à 51,77%, et le ROA à 2,18%, tandis que le coefficient d'exploitation de 36,39% confirme l'excellente efficacité opérationnelle de la banque (largement inférieur au seuil de 60%). Le total du bilan atteint 2 997,78 milliards FCFA, avec des dépôts clientèle de 2 015,28 milliards FCFA et des créances clientèle de 1 326,98 milliards FCFA, soit un ratio de transformation (crédits/dépôts) de 65,8%, indiquant une capacité de déploiement des ressources encore perfectible.</w:t>
      </w:r>
    </w:p>
    <w:p>
      <w:pPr>
        <w:spacing w:after="120" w:line="276" w:lineRule="auto"/>
      </w:pPr>
      <w:r>
        <w:t>**Évolution temporelle et estimations issues des rapports trimestriels** : Le rapport annuel 2024 (publié le 31/12/2024) faisait état d'un résultat net de 47,94 milliards FCFA, en baisse de 25,4% sur fond d'explosion du coût du risque (+72,5%) liée à l'assainissement du portefeuille. L'exercice 2025 marque donc un redressement spectaculaire, confirmé par le rapport du 3e trimestre 2025 (30/09/2025) qui affichait un PNB de 101,3 milliards FCFA (+9,65%) et un résultat net de 52,9 milliards FCFA (+6,25%) sur neuf mois. Le rapport du 1er trimestre 2026 (publié en 2026) confirme cette dynamique avec un PNB de 36,8 milliards FCFA en hausse de 28,5% et un résultat net de 21,5 milliards FCFA (+22,2%), soutenu par une collecte de dépôts exceptionnelle de 2 365,1 milliards FCFA (+37,9%). Sur la base de ces tendances, on estime que l'exercice 2026 devrait enregistrer un PNB supérieur à 150 milliards FCFA et un résultat net approchant 75-80 milliards FCFA, porté par la forte croissance des dépôts et l'amélioration continue du coût du risque.</w:t>
      </w:r>
    </w:p>
    <w:p>
      <w:pPr>
        <w:spacing w:after="120" w:line="276" w:lineRule="auto"/>
      </w:pPr>
      <w:r>
        <w:t>**Recommandation fondamentale** : La solidité financière de CBI SA est avérée, avec une rentabilité élevée, un coefficient d'exploitation excellent et une dynamique commerciale robuste. Les principaux risques résident dans l'exposition géographique au Burkina Faso (risques sécuritaires et politiques), la croissance modérée des crédits (+3,8% au T1 2026) face à l'afflux de dépôts, et la persistance d'un coût du risque significatif. Néanmoins, la notation financière AA/AI avec perspective stable confirme la qualité de crédit de l'émetteur.</w:t>
      </w:r>
    </w:p>
    <w:p>
      <w:pPr>
        <w:spacing w:after="120" w:line="276" w:lineRule="auto"/>
      </w:pPr>
      <w:r>
        <w:t>---</w:t>
      </w:r>
    </w:p>
    <w:p>
      <w:pPr>
        <w:spacing w:after="120" w:line="276" w:lineRule="auto"/>
      </w:pPr>
      <w:r>
        <w:t>## PARTIE 4 : CONCLUSION D'INVESTISSEMENT</w:t>
      </w:r>
    </w:p>
    <w:p>
      <w:pPr>
        <w:spacing w:after="120" w:line="276" w:lineRule="auto"/>
      </w:pPr>
      <w:r>
        <w:t>La valorisation de CBIBF (PER de 14,0x, EV/EBITDA de 10,4x) apparaît modérément exigeante mais justifiée par la qualité des fondamentaux et la prime de croissance, sans signe de surévaluation manifeste. Le comportement du cours sur 100 jours (+79,22%) témoigne d'un fort momentum haussier, mais la correction récente (-7,50%) et la volatilité élevée (43%) appellent à la prudence à court terme ; les statistiques descriptives (kurtosis mésokurtique, skewness symétrique) indiquent un comportement de marché relativement équilibré. Les signaux techniques sont divergents : les oscillateurs (RSI à 26,70, Stochastique à 0,0, cours sous la borne inférieure de Bollinger) plaident pour un rebond imminent, tandis que le MACD baissier tempère cette lecture. Les fondamentaux demeurent excellents, avec un résultat net 2025 de 65,5 milliards FCFA (+36,6%) et des perspectives 2026 très favorables (PNB +28,5% au T1), confirmant la solidité du modèle d'affaires. Les prédictions IA anticipent une légère reprise vers 29 054 FCFA à J+1 puis une stabilisation autour de 28 700-29 100 FCFA sur 10 jours, ce qui confirme la thèse d'un rebond technique modéré sans emballement.</w:t>
      </w:r>
    </w:p>
    <w:p>
      <w:pPr>
        <w:spacing w:after="120" w:line="276" w:lineRule="auto"/>
      </w:pPr>
      <w:r>
        <w:t>**Recommandation finale : ACHAT** — La convergence entre la survente technique, la solidité fondamentale et les perspectives de croissance à moyen terme justifie une position acheteuse, malgré la divergence du MACD et la volatilité élevée. Le niveau de confiance est **Moyen** (compte tenu de la divergence technique et des risques géopolitiques régionaux), le niveau de risque global est **Élevé** (volatilité de 43%, exposition au risque pays), et l'horizon d'investissement optimal est le **moyen terme (3-12 mois)**, le temps que la dynamique fondamentale se matérialise pleinement dans le cours.</w:t>
      </w:r>
    </w:p>
    <w:p>
      <w:pPr>
        <w:spacing w:after="120" w:line="276" w:lineRule="auto"/>
      </w:pPr>
      <w:r>
        <w:t>---</w:t>
      </w:r>
    </w:p>
    <w:p>
      <w:pPr>
        <w:spacing w:after="120" w:line="276" w:lineRule="auto"/>
      </w:pPr>
      <w:r>
        <w:t>*Rapport généré à des fins d'analyse financière — ne constitue pas un conseil en investissement.*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268.43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3,690 titres</w:t>
            </w:r>
          </w:p>
        </w:tc>
        <w:tc>
          <w:tcPr>
            <w:tcW w:type="dxa" w:w="2268"/>
            <w:shd w:fill="FFF2CC" w:val="clear"/>
          </w:tcPr>
          <w:p>
            <w:r>
              <w:rPr>
                <w:b/>
                <w:color w:val="503200"/>
                <w:sz w:val="16"/>
              </w:rPr>
              <w:t xml:space="preserve">Cours actuel : </w:t>
            </w:r>
            <w:r>
              <w:rPr>
                <w:color w:val="000000"/>
                <w:sz w:val="17"/>
              </w:rPr>
              <w:t>1,480 FCFA</w:t>
            </w:r>
          </w:p>
          <w:p>
            <w:r>
              <w:rPr>
                <w:b/>
                <w:color w:val="503200"/>
                <w:sz w:val="16"/>
              </w:rPr>
              <w:t xml:space="preserve">Var. 100 jours : </w:t>
            </w:r>
            <w:r>
              <w:rPr>
                <w:b/>
                <w:color w:val="B40000"/>
                <w:sz w:val="17"/>
              </w:rPr>
              <w:t>-3.27%</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6.74% (Moyenne) — μ=1,624 FCFA, σ=110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β=1.0603 (Neutre (suit le marché)) — Cov=0.000043, Var(idx)=0.000041, ρ=0.226,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84/100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2026-09-24</w:t>
            </w:r>
          </w:p>
        </w:tc>
        <w:tc>
          <w:tcPr>
            <w:tcW w:type="dxa" w:w="1440"/>
            <w:shd w:fill="C6EFCE" w:val="clear"/>
          </w:tcPr>
          <w:p>
            <w:r>
              <w:rPr>
                <w:sz w:val="17"/>
              </w:rPr>
              <w:t>1,488</w:t>
            </w:r>
          </w:p>
        </w:tc>
        <w:tc>
          <w:tcPr>
            <w:tcW w:type="dxa" w:w="1440"/>
            <w:shd w:fill="C6EFCE" w:val="clear"/>
          </w:tcPr>
          <w:p>
            <w:r>
              <w:rPr>
                <w:b/>
                <w:sz w:val="17"/>
              </w:rPr>
              <w:t>1,551</w:t>
            </w:r>
          </w:p>
        </w:tc>
        <w:tc>
          <w:tcPr>
            <w:tcW w:type="dxa" w:w="1440"/>
            <w:shd w:fill="C6EFCE" w:val="clear"/>
          </w:tcPr>
          <w:p>
            <w:r>
              <w:rPr>
                <w:sz w:val="17"/>
              </w:rPr>
              <w:t>1,614</w:t>
            </w:r>
          </w:p>
        </w:tc>
        <w:tc>
          <w:tcPr>
            <w:tcW w:type="dxa" w:w="1440"/>
            <w:shd w:fill="C6EFCE" w:val="clear"/>
          </w:tcPr>
          <w:p>
            <w:r>
              <w:rPr>
                <w:b/>
                <w:color w:val="008000"/>
                <w:sz w:val="17"/>
              </w:rPr>
              <w:t>+4.8%</w:t>
            </w:r>
          </w:p>
        </w:tc>
      </w:tr>
      <w:tr>
        <w:tc>
          <w:tcPr>
            <w:tcW w:type="dxa" w:w="1440"/>
            <w:shd w:fill="C6EFCE" w:val="clear"/>
          </w:tcPr>
          <w:p>
            <w:r>
              <w:rPr>
                <w:sz w:val="17"/>
              </w:rPr>
              <w:t>J+2  Moyenne</w:t>
            </w:r>
          </w:p>
        </w:tc>
        <w:tc>
          <w:tcPr>
            <w:tcW w:type="dxa" w:w="1440"/>
            <w:shd w:fill="C6EFCE" w:val="clear"/>
          </w:tcPr>
          <w:p>
            <w:r>
              <w:rPr>
                <w:sz w:val="17"/>
              </w:rPr>
              <w:t>2026-09-25</w:t>
            </w:r>
          </w:p>
        </w:tc>
        <w:tc>
          <w:tcPr>
            <w:tcW w:type="dxa" w:w="1440"/>
            <w:shd w:fill="C6EFCE" w:val="clear"/>
          </w:tcPr>
          <w:p>
            <w:r>
              <w:rPr>
                <w:sz w:val="17"/>
              </w:rPr>
              <w:t>1,459</w:t>
            </w:r>
          </w:p>
        </w:tc>
        <w:tc>
          <w:tcPr>
            <w:tcW w:type="dxa" w:w="1440"/>
            <w:shd w:fill="C6EFCE" w:val="clear"/>
          </w:tcPr>
          <w:p>
            <w:r>
              <w:rPr>
                <w:b/>
                <w:sz w:val="17"/>
              </w:rPr>
              <w:t>1,548</w:t>
            </w:r>
          </w:p>
        </w:tc>
        <w:tc>
          <w:tcPr>
            <w:tcW w:type="dxa" w:w="1440"/>
            <w:shd w:fill="C6EFCE" w:val="clear"/>
          </w:tcPr>
          <w:p>
            <w:r>
              <w:rPr>
                <w:sz w:val="17"/>
              </w:rPr>
              <w:t>1,637</w:t>
            </w:r>
          </w:p>
        </w:tc>
        <w:tc>
          <w:tcPr>
            <w:tcW w:type="dxa" w:w="1440"/>
            <w:shd w:fill="C6EFCE" w:val="clear"/>
          </w:tcPr>
          <w:p>
            <w:r>
              <w:rPr>
                <w:b/>
                <w:color w:val="008000"/>
                <w:sz w:val="17"/>
              </w:rPr>
              <w:t>+4.6%</w:t>
            </w:r>
          </w:p>
        </w:tc>
      </w:tr>
      <w:tr>
        <w:tc>
          <w:tcPr>
            <w:tcW w:type="dxa" w:w="1440"/>
            <w:shd w:fill="C6EFCE" w:val="clear"/>
          </w:tcPr>
          <w:p>
            <w:r>
              <w:rPr>
                <w:sz w:val="17"/>
              </w:rPr>
              <w:t>J+3  Moyenne</w:t>
            </w:r>
          </w:p>
        </w:tc>
        <w:tc>
          <w:tcPr>
            <w:tcW w:type="dxa" w:w="1440"/>
            <w:shd w:fill="C6EFCE" w:val="clear"/>
          </w:tcPr>
          <w:p>
            <w:r>
              <w:rPr>
                <w:sz w:val="17"/>
              </w:rPr>
              <w:t>2026-09-28</w:t>
            </w:r>
          </w:p>
        </w:tc>
        <w:tc>
          <w:tcPr>
            <w:tcW w:type="dxa" w:w="1440"/>
            <w:shd w:fill="C6EFCE" w:val="clear"/>
          </w:tcPr>
          <w:p>
            <w:r>
              <w:rPr>
                <w:sz w:val="17"/>
              </w:rPr>
              <w:t>1,444</w:t>
            </w:r>
          </w:p>
        </w:tc>
        <w:tc>
          <w:tcPr>
            <w:tcW w:type="dxa" w:w="1440"/>
            <w:shd w:fill="C6EFCE" w:val="clear"/>
          </w:tcPr>
          <w:p>
            <w:r>
              <w:rPr>
                <w:b/>
                <w:sz w:val="17"/>
              </w:rPr>
              <w:t>1,553</w:t>
            </w:r>
          </w:p>
        </w:tc>
        <w:tc>
          <w:tcPr>
            <w:tcW w:type="dxa" w:w="1440"/>
            <w:shd w:fill="C6EFCE" w:val="clear"/>
          </w:tcPr>
          <w:p>
            <w:r>
              <w:rPr>
                <w:sz w:val="17"/>
              </w:rPr>
              <w:t>1,663</w:t>
            </w:r>
          </w:p>
        </w:tc>
        <w:tc>
          <w:tcPr>
            <w:tcW w:type="dxa" w:w="1440"/>
            <w:shd w:fill="C6EFCE" w:val="clear"/>
          </w:tcPr>
          <w:p>
            <w:r>
              <w:rPr>
                <w:b/>
                <w:color w:val="008000"/>
                <w:sz w:val="17"/>
              </w:rPr>
              <w:t>+5.0%</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1,433</w:t>
            </w:r>
          </w:p>
        </w:tc>
        <w:tc>
          <w:tcPr>
            <w:tcW w:type="dxa" w:w="1440"/>
            <w:shd w:fill="C6EFCE" w:val="clear"/>
          </w:tcPr>
          <w:p>
            <w:r>
              <w:rPr>
                <w:b/>
                <w:sz w:val="17"/>
              </w:rPr>
              <w:t>1,560</w:t>
            </w:r>
          </w:p>
        </w:tc>
        <w:tc>
          <w:tcPr>
            <w:tcW w:type="dxa" w:w="1440"/>
            <w:shd w:fill="C6EFCE" w:val="clear"/>
          </w:tcPr>
          <w:p>
            <w:r>
              <w:rPr>
                <w:sz w:val="17"/>
              </w:rPr>
              <w:t>1,687</w:t>
            </w:r>
          </w:p>
        </w:tc>
        <w:tc>
          <w:tcPr>
            <w:tcW w:type="dxa" w:w="1440"/>
            <w:shd w:fill="C6EFCE" w:val="clear"/>
          </w:tcPr>
          <w:p>
            <w:r>
              <w:rPr>
                <w:b/>
                <w:color w:val="008000"/>
                <w:sz w:val="17"/>
              </w:rPr>
              <w:t>+5.4%</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1,424</w:t>
            </w:r>
          </w:p>
        </w:tc>
        <w:tc>
          <w:tcPr>
            <w:tcW w:type="dxa" w:w="1440"/>
            <w:shd w:fill="C6EFCE" w:val="clear"/>
          </w:tcPr>
          <w:p>
            <w:r>
              <w:rPr>
                <w:b/>
                <w:sz w:val="17"/>
              </w:rPr>
              <w:t>1,567</w:t>
            </w:r>
          </w:p>
        </w:tc>
        <w:tc>
          <w:tcPr>
            <w:tcW w:type="dxa" w:w="1440"/>
            <w:shd w:fill="C6EFCE" w:val="clear"/>
          </w:tcPr>
          <w:p>
            <w:r>
              <w:rPr>
                <w:sz w:val="17"/>
              </w:rPr>
              <w:t>1,709</w:t>
            </w:r>
          </w:p>
        </w:tc>
        <w:tc>
          <w:tcPr>
            <w:tcW w:type="dxa" w:w="1440"/>
            <w:shd w:fill="C6EFCE" w:val="clear"/>
          </w:tcPr>
          <w:p>
            <w:r>
              <w:rPr>
                <w:b/>
                <w:color w:val="008000"/>
                <w:sz w:val="17"/>
              </w:rPr>
              <w:t>+5.8%</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1,416</w:t>
            </w:r>
          </w:p>
        </w:tc>
        <w:tc>
          <w:tcPr>
            <w:tcW w:type="dxa" w:w="1440"/>
            <w:shd w:fill="C6EFCE" w:val="clear"/>
          </w:tcPr>
          <w:p>
            <w:r>
              <w:rPr>
                <w:b/>
                <w:sz w:val="17"/>
              </w:rPr>
              <w:t>1,573</w:t>
            </w:r>
          </w:p>
        </w:tc>
        <w:tc>
          <w:tcPr>
            <w:tcW w:type="dxa" w:w="1440"/>
            <w:shd w:fill="C6EFCE" w:val="clear"/>
          </w:tcPr>
          <w:p>
            <w:r>
              <w:rPr>
                <w:sz w:val="17"/>
              </w:rPr>
              <w:t>1,730</w:t>
            </w:r>
          </w:p>
        </w:tc>
        <w:tc>
          <w:tcPr>
            <w:tcW w:type="dxa" w:w="1440"/>
            <w:shd w:fill="C6EFCE" w:val="clear"/>
          </w:tcPr>
          <w:p>
            <w:r>
              <w:rPr>
                <w:b/>
                <w:color w:val="008000"/>
                <w:sz w:val="17"/>
              </w:rPr>
              <w:t>+6.3%</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1,410</w:t>
            </w:r>
          </w:p>
        </w:tc>
        <w:tc>
          <w:tcPr>
            <w:tcW w:type="dxa" w:w="1440"/>
            <w:shd w:fill="C6EFCE" w:val="clear"/>
          </w:tcPr>
          <w:p>
            <w:r>
              <w:rPr>
                <w:b/>
                <w:sz w:val="17"/>
              </w:rPr>
              <w:t>1,580</w:t>
            </w:r>
          </w:p>
        </w:tc>
        <w:tc>
          <w:tcPr>
            <w:tcW w:type="dxa" w:w="1440"/>
            <w:shd w:fill="C6EFCE" w:val="clear"/>
          </w:tcPr>
          <w:p>
            <w:r>
              <w:rPr>
                <w:sz w:val="17"/>
              </w:rPr>
              <w:t>1,750</w:t>
            </w:r>
          </w:p>
        </w:tc>
        <w:tc>
          <w:tcPr>
            <w:tcW w:type="dxa" w:w="1440"/>
            <w:shd w:fill="C6EFCE" w:val="clear"/>
          </w:tcPr>
          <w:p>
            <w:r>
              <w:rPr>
                <w:b/>
                <w:color w:val="008000"/>
                <w:sz w:val="17"/>
              </w:rPr>
              <w:t>+6.7%</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1,404</w:t>
            </w:r>
          </w:p>
        </w:tc>
        <w:tc>
          <w:tcPr>
            <w:tcW w:type="dxa" w:w="1440"/>
            <w:shd w:fill="C6EFCE" w:val="clear"/>
          </w:tcPr>
          <w:p>
            <w:r>
              <w:rPr>
                <w:b/>
                <w:sz w:val="17"/>
              </w:rPr>
              <w:t>1,586</w:t>
            </w:r>
          </w:p>
        </w:tc>
        <w:tc>
          <w:tcPr>
            <w:tcW w:type="dxa" w:w="1440"/>
            <w:shd w:fill="C6EFCE" w:val="clear"/>
          </w:tcPr>
          <w:p>
            <w:r>
              <w:rPr>
                <w:sz w:val="17"/>
              </w:rPr>
              <w:t>1,769</w:t>
            </w:r>
          </w:p>
        </w:tc>
        <w:tc>
          <w:tcPr>
            <w:tcW w:type="dxa" w:w="1440"/>
            <w:shd w:fill="C6EFCE" w:val="clear"/>
          </w:tcPr>
          <w:p>
            <w:r>
              <w:rPr>
                <w:b/>
                <w:color w:val="008000"/>
                <w:sz w:val="17"/>
              </w:rPr>
              <w:t>+7.2%</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1,398</w:t>
            </w:r>
          </w:p>
        </w:tc>
        <w:tc>
          <w:tcPr>
            <w:tcW w:type="dxa" w:w="1440"/>
            <w:shd w:fill="C6EFCE" w:val="clear"/>
          </w:tcPr>
          <w:p>
            <w:r>
              <w:rPr>
                <w:b/>
                <w:sz w:val="17"/>
              </w:rPr>
              <w:t>1,593</w:t>
            </w:r>
          </w:p>
        </w:tc>
        <w:tc>
          <w:tcPr>
            <w:tcW w:type="dxa" w:w="1440"/>
            <w:shd w:fill="C6EFCE" w:val="clear"/>
          </w:tcPr>
          <w:p>
            <w:r>
              <w:rPr>
                <w:sz w:val="17"/>
              </w:rPr>
              <w:t>1,787</w:t>
            </w:r>
          </w:p>
        </w:tc>
        <w:tc>
          <w:tcPr>
            <w:tcW w:type="dxa" w:w="1440"/>
            <w:shd w:fill="C6EFCE" w:val="clear"/>
          </w:tcPr>
          <w:p>
            <w:r>
              <w:rPr>
                <w:b/>
                <w:color w:val="008000"/>
                <w:sz w:val="17"/>
              </w:rPr>
              <w:t>+7.6%</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1,393</w:t>
            </w:r>
          </w:p>
        </w:tc>
        <w:tc>
          <w:tcPr>
            <w:tcW w:type="dxa" w:w="1440"/>
            <w:shd w:fill="C6EFCE" w:val="clear"/>
          </w:tcPr>
          <w:p>
            <w:r>
              <w:rPr>
                <w:b/>
                <w:sz w:val="17"/>
              </w:rPr>
              <w:t>1,599</w:t>
            </w:r>
          </w:p>
        </w:tc>
        <w:tc>
          <w:tcPr>
            <w:tcW w:type="dxa" w:w="1440"/>
            <w:shd w:fill="C6EFCE" w:val="clear"/>
          </w:tcPr>
          <w:p>
            <w:r>
              <w:rPr>
                <w:sz w:val="17"/>
              </w:rPr>
              <w:t>1,805</w:t>
            </w:r>
          </w:p>
        </w:tc>
        <w:tc>
          <w:tcPr>
            <w:tcW w:type="dxa" w:w="1440"/>
            <w:shd w:fill="C6EFCE" w:val="clear"/>
          </w:tcPr>
          <w:p>
            <w:r>
              <w:rPr>
                <w:b/>
                <w:color w:val="008000"/>
                <w:sz w:val="17"/>
              </w:rPr>
              <w:t>+8.0%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Secteur : Distribution Automobile**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268,43 milliards FCFA, CFAC figure parmi les valeurs les plus importantes de la cote BRVM, ce qui témoigne de son statut de leader du marché automobile ivoirien. Le BPA s'établit à 26 FCFA par action pour l'exercice 2024, un niveau modeste qui, rapporté au cours actuel de 1 480 FCFA, génère un PER de 57,2x — très largement supérieur à la moyenne du marché BRVM (8-12x), signe que les investisseurs paient une prime considérable pour les bénéfices attendus. Le P/B de 13,80x, bien au-delà du seuil de 4x généralement considéré comme exigeant, indique que le marché valorise l'entreprise à plus de treize fois sa valeur comptable, ce qui suppose une forte anticipation de croissance ou une sous-évaluation des actifs au bilan. Enfin, l'EV/EBITDA de 29,2x, supérieur au seuil de 15x, confirme que la valeur d'entreprise intègre une prime opérationnelle très généreuse. L'ensemble de ces ratios dessine une valorisation tendue, où la moindre déception sur les résultats pourrait entraîner une correction sévère.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CFAC affiche une variation totale de -3,27%, mais c'est surtout la chute de -7,50% enregistrée lors de la dernière séance (J-1) qui retient l'attention, traduisant un brusque mouvement de vente. Le cours actuel de 1 480 FCFA se situe dans la partie basse du range de trading, le plus haut ayant atteint 1 825 FCFA et le plus bas 1 325 FCFA, soit un écart de 500 FCFA (37,7% du plus bas) qui illustre une amplitude significative. La tendance générale apparaît baissière sur la période, le titre ayant cédé du terrain depuis son pic, avec une accélération négative en fin de période. Les statistiques descriptives révèlent une moyenne de 1 624 FCFA supérieure à la médiane de 1 642 FCFA — un écart modeste mais cohérent avec le skewness négatif de -0,593, indiquant une asymétrie où les journées de baisse sont plus fréquentes mais moins amples que les journées de hausse. L'écart-type de 110 FCFA (CV de 6,8%) traduit une dispersion modérée du cours autour de sa moyenne, tandis que le kurtosis de -0,329 (mésokurtique) suggère une distribution proche de la normale, sans risque excessif de pics extrêmes. La volatilité annualisée de 48,7% classe le titre dans la catégorie des valeurs à volatilité élevée (&gt;30%), ce qui implique un risque de marché important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1 691,0 FCFA et la MM50 à 1 674,1 FCFA, toutes deux nettement supérieures au cours actuel de 1 480 FCFA. Cette configuration — cours sous les deux moyennes — est théoriquement baissière, mais l'algorithme de décision affiche « Achat », probablement en anticipation d'un rebond technique après la chute récente. La position du cours sous les MM constitue néanmoins un signal de faiblesse à court terme.</w:t>
      </w:r>
    </w:p>
    <w:p>
      <w:pPr>
        <w:spacing w:after="120" w:line="276" w:lineRule="auto"/>
      </w:pPr>
      <w:r>
        <w:t>**Bandes de Bollinger** : La borne supérieure se situe à 1 830,08 FCFA et la borne inférieure à 1 551,92 FCFA, avec un cours actuel de 1 480 FCFA qui se situe **sous la borne inférieure** — situation inhabituelle qui signale une survente extrême et une volatilité accrue. La décision affichée est « Achat », cohérente avec un possible retour vers la moyenne, mais le franchissement à la baisse de la borne inférieure reste un signal de prudence.</w:t>
      </w:r>
    </w:p>
    <w:p>
      <w:pPr>
        <w:spacing w:after="120" w:line="276" w:lineRule="auto"/>
      </w:pPr>
      <w:r>
        <w:t>**MACD** : La valeur du MACD est de -30,261 contre un signal à -6,249, soit une divergence négative marquée où le MACD évolue sous son signal. Cette configuration traduit un momentum baissier persistant et justifie la décision « Vente ». Le creusement de l'écart entre les deux lignes indique que la pression vendeuse ne faiblit pas encore.</w:t>
      </w:r>
    </w:p>
    <w:p>
      <w:pPr>
        <w:spacing w:after="120" w:line="276" w:lineRule="auto"/>
      </w:pPr>
      <w:r>
        <w:t>**RSI** : Avec une valeur de 11,268, le RSI se situe très en dessous du seuil de survente de 30, ce qui est extrêmement rare et signale une capitulation des vendeurs. La décision « Achat » est ici parfaitement justifiée par un potentiel rebond technique à court terme, bien que la faiblesse du momentum reste préoccupante.</w:t>
      </w:r>
    </w:p>
    <w:p>
      <w:pPr>
        <w:spacing w:after="120" w:line="276" w:lineRule="auto"/>
      </w:pPr>
      <w:r>
        <w:t>**Stochastique** : Les valeurs %K et %D sont toutes deux à 0,0, ce qui indique que le cours clôture au plus bas de sa fourchette récente. Cette situation extrême confirme la survente et la décision « Achat », mais l'absence de croisement haussier entre %K et %D invite à attendre une confirmation avant d'agir.</w:t>
      </w:r>
    </w:p>
    <w:p>
      <w:pPr>
        <w:spacing w:after="120" w:line="276" w:lineRule="auto"/>
      </w:pPr>
      <w:r>
        <w:t>**Conclusion technique** : Les indicateurs présentent une divergence frappante : les oscillateurs (RSI à 11,3, Stochastique à 0, Bandes de Bollinger sous la borne inférieure) crient à la survente et suggèrent un rebond imminent, tandis que le MACD et la position du cours sous les moyennes mobiles confirment une tendance baissière sous-jacente. Cette configuration est typique d'un marché en capitulation, où un rebond technique est probable mais où la tendance de fond reste fragile. La convergence des signaux d'achat sur les oscillateurs contraste avec la prudence du MACD, créant une incertitude qui plaide pour une approche attentiste.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révèlent une situation contrastée pour CFAC. Le chiffre d'affaires s'établit à 158,313 milliards FCFA, en **baisse de -12,13%** par rapport à 2023, tandis que le résultat net atteint 4,693 milliards FCFA, en recul de -26,7%. La rentabilité des fonds propres (ROE) reste néanmoins élevée à 24,13%, bien au-dessus du seuil de 15% considéré comme excellent, et le ROA de 5,52% témoigne d'une utilisation correcte des actifs. La marge nette de 2,96% et la marge opérationnelle de 4,96% traduisent une pression sur les marges, dans un secteur automobile concurrentiel. Sur le plan de la structure financière, l'autonomie financière de 22,88% est inférieure au seuil sain de 30%, et la trésorerie nette est négative à -624,20 millions FCFA, signe de tensions de liquidité. Le BFR est négatif à -3,482 milliards FCFA — un point positif — mais le Free Cash Flow est également négatif à -1,650 milliard FCFA, reflétant des investissements lourds (-8,741 milliards FCFA) non couverts par la CAF. Les délais d'exploitation montrent un délai client de 36,64 jours (risque de trésorerie modéré) et un délai fournisseur de 81,75 jours (favorable), mais une durée de stockage élevée de 88,35 jours qui immobilise du capital.</w:t>
      </w:r>
    </w:p>
    <w:p>
      <w:pPr>
        <w:spacing w:after="120" w:line="276" w:lineRule="auto"/>
      </w:pPr>
      <w:r>
        <w:t>Les rapports narratifs confirment cette dynamique. Le **rapport du T3 2025 (daté du 30 septembre 2025)** fait état d'un chiffre d'affaires trimestriel de 43,580 milliards FCFA, en **hausse de 18,3%** sur un an, avec un résultat net de 1,489 milliard FCFA (+38,1%) et une part de marché de 41,7%. Le **rapport du S1 2025 (30 juin 2025)** affiche un CA de 91,182 milliards FCFA (+18,4%) et un résultat net de 5,420 milliards FCFA (+152,7%), avec une marge nette de 5,9% contre 2,8% un an plus tôt. Le **rapport du T1 2025 (31 mars 2025)** montrait déjà un CA de 46,161 milliards FCFA (+14,5%) et un résultat net de 3,836 milliards FCFA (+279,7%). Ces performances trimestrielles 2025, bien que non auditées, suggèrent une **nette amélioration** par rapport à l'exercice 2024, portée par la reprise du marché automobile ivoirien et une meilleure maîtrise des charges. Sur cette base, on peut estimer que l'exercice 2025 devrait renouer avec la croissance du chiffre d'affaires et une amélioration des marges, ce qui pourrait ramener le PER à des niveaux plus raisonnables si le bénéfice par action progresse. Toutefois, la politique de dividende agressive (taux de distribution de 88,1% en 2023 selon le rapport 2025) et la trésorerie tendue constituent des risques à surveiller. La recommandation fondamentale est donc **CONSERVER avec vigilance**, en attendant la confirmation des résultats annuels 2025.</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d'investissement complexe. La **valorisation (Partie 0)** est manifestement tendue : PER de 57,2x, P/B de 13,80x et EV/EBITDA de 29,2x traduisent une surévaluation par rapport aux bénéfices actuels, bien que les performances trimestrielles 2025 laissent entrevoir une amélioration qui pourrait justifier partiellement cette prime. Le **comportement du cours (Partie 1)** est préoccupant à court terme : baisse de -7,50% en J-1, tendance baissière sur 100 jours, volatilité élevée de 48,7%, mais les statistiques descriptives (kurtosis mésokurtique, skewness négatif modéré) n'indiquent pas de risque extrême de pics. Les **signaux techniques (Partie 2)** sont contradictoires : les oscillateurs (RSI à 11,3, Stochastique à 0, cours sous la borne inférieure de Bollinger) plaident pour un rebond technique imminent, mais le MACD baissier et la position sous les moyennes mobiles tempèrent cet optimisme. Les **fondamentaux (Partie 3)** présentent un double visage : l'exercice 2024 a été difficile (CA -12,1%, RN -26,7%), mais les rapports trimestriels 2025 (T1, S1, T3) montrent une reprise vigoureuse avec des croissances à deux chiffres et une amélioration des marges. Les **prédictions IA (J+1 à J+10)** anticipent une légère reprise vers 1 551-1 567 FCFA, ce qui confirme le potentiel de rebond technique sans pour autant effacer la tendance baissière de fond.</w:t>
      </w:r>
    </w:p>
    <w:p>
      <w:pPr>
        <w:spacing w:after="120" w:line="276" w:lineRule="auto"/>
      </w:pPr>
      <w:r>
        <w:t>Sur la base de cette synthèse, la recommandation finale est **CONSERVER**. En effet, la convergence entre la survente technique extrême, les prédictions IA haussières à court terme et l'amélioration des performances trimestrielles 2025 soutient un potentiel de rebond. Cependant, la valorisation exigeante, la tendance baissière sous-jacente et les risques financiers (trésorerie négative, dividende agressif) empêchent de recommander un achat agressif. Le niveau de confiance est **Moyen**, car les signaux sont divergents et les données annuelles 2025 ne sont pas encore disponibles. Le niveau de risque global est **Élevé**, compte tenu de la volatilité du titre et de la sensibilité du secteur automobile à la conjoncture économique. L'horizon d'investissement optimal est **moyen terme (3-12 mois)**, le temps que les résultats annuels 2025 confirment la reprise et que la valorisation se normalise. Une position attentiste, avec un suivi rapproché des prochains rapports trimestriels, semble la stratégie la plus prudente.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347.48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7,034 titres</w:t>
            </w:r>
          </w:p>
        </w:tc>
        <w:tc>
          <w:tcPr>
            <w:tcW w:type="dxa" w:w="2268"/>
            <w:shd w:fill="FFF2CC" w:val="clear"/>
          </w:tcPr>
          <w:p>
            <w:r>
              <w:rPr>
                <w:b/>
                <w:color w:val="503200"/>
                <w:sz w:val="16"/>
              </w:rPr>
              <w:t xml:space="preserve">Cours actuel : </w:t>
            </w:r>
            <w:r>
              <w:rPr>
                <w:color w:val="000000"/>
                <w:sz w:val="17"/>
              </w:rPr>
              <w:t>6,205 FCFA</w:t>
            </w:r>
          </w:p>
          <w:p>
            <w:r>
              <w:rPr>
                <w:b/>
                <w:color w:val="503200"/>
                <w:sz w:val="16"/>
              </w:rPr>
              <w:t xml:space="preserve">Var. 100 jours : </w:t>
            </w:r>
            <w:r>
              <w:rPr>
                <w:b/>
                <w:color w:val="007800"/>
                <w:sz w:val="17"/>
              </w:rPr>
              <w:t>+90.92%</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3,010 FCFA</w:t>
            </w:r>
          </w:p>
          <w:p>
            <w:r>
              <w:rPr>
                <w:b/>
                <w:color w:val="503200"/>
                <w:sz w:val="16"/>
              </w:rPr>
              <w:t xml:space="preserve">Volatilité ann. : </w:t>
            </w:r>
            <w:r>
              <w:rPr>
                <w:color w:val="000000"/>
                <w:sz w:val="17"/>
              </w:rPr>
              <w:t>51.7%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21.74% (Élevée) — μ=5,252 FCFA, σ=1,142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β=0.7465 (Défensif) — Cov=0.000030, Var(idx)=0.000041, ρ=0.149,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7,034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2026-09-24</w:t>
            </w:r>
          </w:p>
        </w:tc>
        <w:tc>
          <w:tcPr>
            <w:tcW w:type="dxa" w:w="1440"/>
            <w:shd w:fill="FAFAFA" w:val="clear"/>
          </w:tcPr>
          <w:p>
            <w:r>
              <w:rPr>
                <w:sz w:val="17"/>
              </w:rPr>
              <w:t>5,755</w:t>
            </w:r>
          </w:p>
        </w:tc>
        <w:tc>
          <w:tcPr>
            <w:tcW w:type="dxa" w:w="1440"/>
            <w:shd w:fill="FAFAFA" w:val="clear"/>
          </w:tcPr>
          <w:p>
            <w:r>
              <w:rPr>
                <w:b/>
                <w:sz w:val="17"/>
              </w:rPr>
              <w:t>6,112</w:t>
            </w:r>
          </w:p>
        </w:tc>
        <w:tc>
          <w:tcPr>
            <w:tcW w:type="dxa" w:w="1440"/>
            <w:shd w:fill="FAFAFA" w:val="clear"/>
          </w:tcPr>
          <w:p>
            <w:r>
              <w:rPr>
                <w:sz w:val="17"/>
              </w:rPr>
              <w:t>6,470</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2026-09-25</w:t>
            </w:r>
          </w:p>
        </w:tc>
        <w:tc>
          <w:tcPr>
            <w:tcW w:type="dxa" w:w="1440"/>
            <w:shd w:fill="FFDCE0" w:val="clear"/>
          </w:tcPr>
          <w:p>
            <w:r>
              <w:rPr>
                <w:sz w:val="17"/>
              </w:rPr>
              <w:t>5,577</w:t>
            </w:r>
          </w:p>
        </w:tc>
        <w:tc>
          <w:tcPr>
            <w:tcW w:type="dxa" w:w="1440"/>
            <w:shd w:fill="FFDCE0" w:val="clear"/>
          </w:tcPr>
          <w:p>
            <w:r>
              <w:rPr>
                <w:b/>
                <w:sz w:val="17"/>
              </w:rPr>
              <w:t>6,080</w:t>
            </w:r>
          </w:p>
        </w:tc>
        <w:tc>
          <w:tcPr>
            <w:tcW w:type="dxa" w:w="1440"/>
            <w:shd w:fill="FFDCE0" w:val="clear"/>
          </w:tcPr>
          <w:p>
            <w:r>
              <w:rPr>
                <w:sz w:val="17"/>
              </w:rPr>
              <w:t>6,583</w:t>
            </w:r>
          </w:p>
        </w:tc>
        <w:tc>
          <w:tcPr>
            <w:tcW w:type="dxa" w:w="1440"/>
            <w:shd w:fill="FFDCE0"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2026-09-28</w:t>
            </w:r>
          </w:p>
        </w:tc>
        <w:tc>
          <w:tcPr>
            <w:tcW w:type="dxa" w:w="1440"/>
            <w:shd w:fill="FFDCE0" w:val="clear"/>
          </w:tcPr>
          <w:p>
            <w:r>
              <w:rPr>
                <w:sz w:val="17"/>
              </w:rPr>
              <w:t>5,437</w:t>
            </w:r>
          </w:p>
        </w:tc>
        <w:tc>
          <w:tcPr>
            <w:tcW w:type="dxa" w:w="1440"/>
            <w:shd w:fill="FFDCE0" w:val="clear"/>
          </w:tcPr>
          <w:p>
            <w:r>
              <w:rPr>
                <w:b/>
                <w:sz w:val="17"/>
              </w:rPr>
              <w:t>6,050</w:t>
            </w:r>
          </w:p>
        </w:tc>
        <w:tc>
          <w:tcPr>
            <w:tcW w:type="dxa" w:w="1440"/>
            <w:shd w:fill="FFDCE0" w:val="clear"/>
          </w:tcPr>
          <w:p>
            <w:r>
              <w:rPr>
                <w:sz w:val="17"/>
              </w:rPr>
              <w:t>6,663</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2026-09-29</w:t>
            </w:r>
          </w:p>
        </w:tc>
        <w:tc>
          <w:tcPr>
            <w:tcW w:type="dxa" w:w="1440"/>
            <w:shd w:fill="FFDCE0" w:val="clear"/>
          </w:tcPr>
          <w:p>
            <w:r>
              <w:rPr>
                <w:sz w:val="17"/>
              </w:rPr>
              <w:t>5,317</w:t>
            </w:r>
          </w:p>
        </w:tc>
        <w:tc>
          <w:tcPr>
            <w:tcW w:type="dxa" w:w="1440"/>
            <w:shd w:fill="FFDCE0" w:val="clear"/>
          </w:tcPr>
          <w:p>
            <w:r>
              <w:rPr>
                <w:b/>
                <w:sz w:val="17"/>
              </w:rPr>
              <w:t>6,021</w:t>
            </w:r>
          </w:p>
        </w:tc>
        <w:tc>
          <w:tcPr>
            <w:tcW w:type="dxa" w:w="1440"/>
            <w:shd w:fill="FFDCE0" w:val="clear"/>
          </w:tcPr>
          <w:p>
            <w:r>
              <w:rPr>
                <w:sz w:val="17"/>
              </w:rPr>
              <w:t>6,726</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2026-09-30</w:t>
            </w:r>
          </w:p>
        </w:tc>
        <w:tc>
          <w:tcPr>
            <w:tcW w:type="dxa" w:w="1440"/>
            <w:shd w:fill="FFDCE0" w:val="clear"/>
          </w:tcPr>
          <w:p>
            <w:r>
              <w:rPr>
                <w:sz w:val="17"/>
              </w:rPr>
              <w:t>5,212</w:t>
            </w:r>
          </w:p>
        </w:tc>
        <w:tc>
          <w:tcPr>
            <w:tcW w:type="dxa" w:w="1440"/>
            <w:shd w:fill="FFDCE0" w:val="clear"/>
          </w:tcPr>
          <w:p>
            <w:r>
              <w:rPr>
                <w:b/>
                <w:sz w:val="17"/>
              </w:rPr>
              <w:t>5,996</w:t>
            </w:r>
          </w:p>
        </w:tc>
        <w:tc>
          <w:tcPr>
            <w:tcW w:type="dxa" w:w="1440"/>
            <w:shd w:fill="FFDCE0" w:val="clear"/>
          </w:tcPr>
          <w:p>
            <w:r>
              <w:rPr>
                <w:sz w:val="17"/>
              </w:rPr>
              <w:t>6,781</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2026-10-01</w:t>
            </w:r>
          </w:p>
        </w:tc>
        <w:tc>
          <w:tcPr>
            <w:tcW w:type="dxa" w:w="1440"/>
            <w:shd w:fill="FFDCE0" w:val="clear"/>
          </w:tcPr>
          <w:p>
            <w:r>
              <w:rPr>
                <w:sz w:val="17"/>
              </w:rPr>
              <w:t>5,118</w:t>
            </w:r>
          </w:p>
        </w:tc>
        <w:tc>
          <w:tcPr>
            <w:tcW w:type="dxa" w:w="1440"/>
            <w:shd w:fill="FFDCE0" w:val="clear"/>
          </w:tcPr>
          <w:p>
            <w:r>
              <w:rPr>
                <w:b/>
                <w:sz w:val="17"/>
              </w:rPr>
              <w:t>5,974</w:t>
            </w:r>
          </w:p>
        </w:tc>
        <w:tc>
          <w:tcPr>
            <w:tcW w:type="dxa" w:w="1440"/>
            <w:shd w:fill="FFDCE0" w:val="clear"/>
          </w:tcPr>
          <w:p>
            <w:r>
              <w:rPr>
                <w:sz w:val="17"/>
              </w:rPr>
              <w:t>6,830</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2026-10-02</w:t>
            </w:r>
          </w:p>
        </w:tc>
        <w:tc>
          <w:tcPr>
            <w:tcW w:type="dxa" w:w="1440"/>
            <w:shd w:fill="FFDCE0" w:val="clear"/>
          </w:tcPr>
          <w:p>
            <w:r>
              <w:rPr>
                <w:sz w:val="17"/>
              </w:rPr>
              <w:t>5,034</w:t>
            </w:r>
          </w:p>
        </w:tc>
        <w:tc>
          <w:tcPr>
            <w:tcW w:type="dxa" w:w="1440"/>
            <w:shd w:fill="FFDCE0" w:val="clear"/>
          </w:tcPr>
          <w:p>
            <w:r>
              <w:rPr>
                <w:b/>
                <w:sz w:val="17"/>
              </w:rPr>
              <w:t>5,955</w:t>
            </w:r>
          </w:p>
        </w:tc>
        <w:tc>
          <w:tcPr>
            <w:tcW w:type="dxa" w:w="1440"/>
            <w:shd w:fill="FFDCE0" w:val="clear"/>
          </w:tcPr>
          <w:p>
            <w:r>
              <w:rPr>
                <w:sz w:val="17"/>
              </w:rPr>
              <w:t>6,877</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2026-10-05</w:t>
            </w:r>
          </w:p>
        </w:tc>
        <w:tc>
          <w:tcPr>
            <w:tcW w:type="dxa" w:w="1440"/>
            <w:shd w:fill="FFDCE0" w:val="clear"/>
          </w:tcPr>
          <w:p>
            <w:r>
              <w:rPr>
                <w:sz w:val="17"/>
              </w:rPr>
              <w:t>4,956</w:t>
            </w:r>
          </w:p>
        </w:tc>
        <w:tc>
          <w:tcPr>
            <w:tcW w:type="dxa" w:w="1440"/>
            <w:shd w:fill="FFDCE0" w:val="clear"/>
          </w:tcPr>
          <w:p>
            <w:r>
              <w:rPr>
                <w:b/>
                <w:sz w:val="17"/>
              </w:rPr>
              <w:t>5,939</w:t>
            </w:r>
          </w:p>
        </w:tc>
        <w:tc>
          <w:tcPr>
            <w:tcW w:type="dxa" w:w="1440"/>
            <w:shd w:fill="FFDCE0" w:val="clear"/>
          </w:tcPr>
          <w:p>
            <w:r>
              <w:rPr>
                <w:sz w:val="17"/>
              </w:rPr>
              <w:t>6,922</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2026-10-06</w:t>
            </w:r>
          </w:p>
        </w:tc>
        <w:tc>
          <w:tcPr>
            <w:tcW w:type="dxa" w:w="1440"/>
            <w:shd w:fill="FFDCE0" w:val="clear"/>
          </w:tcPr>
          <w:p>
            <w:r>
              <w:rPr>
                <w:sz w:val="17"/>
              </w:rPr>
              <w:t>4,886</w:t>
            </w:r>
          </w:p>
        </w:tc>
        <w:tc>
          <w:tcPr>
            <w:tcW w:type="dxa" w:w="1440"/>
            <w:shd w:fill="FFDCE0" w:val="clear"/>
          </w:tcPr>
          <w:p>
            <w:r>
              <w:rPr>
                <w:b/>
                <w:sz w:val="17"/>
              </w:rPr>
              <w:t>5,926</w:t>
            </w:r>
          </w:p>
        </w:tc>
        <w:tc>
          <w:tcPr>
            <w:tcW w:type="dxa" w:w="1440"/>
            <w:shd w:fill="FFDCE0" w:val="clear"/>
          </w:tcPr>
          <w:p>
            <w:r>
              <w:rPr>
                <w:sz w:val="17"/>
              </w:rPr>
              <w:t>6,966</w:t>
            </w:r>
          </w:p>
        </w:tc>
        <w:tc>
          <w:tcPr>
            <w:tcW w:type="dxa" w:w="1440"/>
            <w:shd w:fill="FFDCE0" w:val="clear"/>
          </w:tcPr>
          <w:p>
            <w:r>
              <w:rPr>
                <w:b/>
                <w:color w:val="C00000"/>
                <w:sz w:val="17"/>
              </w:rPr>
              <w:t>-4.5%</w:t>
            </w:r>
          </w:p>
        </w:tc>
      </w:tr>
      <w:tr>
        <w:tc>
          <w:tcPr>
            <w:tcW w:type="dxa" w:w="1440"/>
            <w:shd w:fill="FFDCE0" w:val="clear"/>
          </w:tcPr>
          <w:p>
            <w:r>
              <w:rPr>
                <w:sz w:val="17"/>
              </w:rPr>
              <w:t>J+10  ⭐</w:t>
            </w:r>
          </w:p>
        </w:tc>
        <w:tc>
          <w:tcPr>
            <w:tcW w:type="dxa" w:w="1440"/>
            <w:shd w:fill="FFDCE0" w:val="clear"/>
          </w:tcPr>
          <w:p>
            <w:r>
              <w:rPr>
                <w:sz w:val="17"/>
              </w:rPr>
              <w:t>2026-10-07</w:t>
            </w:r>
          </w:p>
        </w:tc>
        <w:tc>
          <w:tcPr>
            <w:tcW w:type="dxa" w:w="1440"/>
            <w:shd w:fill="FFDCE0" w:val="clear"/>
          </w:tcPr>
          <w:p>
            <w:r>
              <w:rPr>
                <w:sz w:val="17"/>
              </w:rPr>
              <w:t>4,821</w:t>
            </w:r>
          </w:p>
        </w:tc>
        <w:tc>
          <w:tcPr>
            <w:tcW w:type="dxa" w:w="1440"/>
            <w:shd w:fill="FFDCE0" w:val="clear"/>
          </w:tcPr>
          <w:p>
            <w:r>
              <w:rPr>
                <w:b/>
                <w:sz w:val="17"/>
              </w:rPr>
              <w:t>5,916</w:t>
            </w:r>
          </w:p>
        </w:tc>
        <w:tc>
          <w:tcPr>
            <w:tcW w:type="dxa" w:w="1440"/>
            <w:shd w:fill="FFDCE0" w:val="clear"/>
          </w:tcPr>
          <w:p>
            <w:r>
              <w:rPr>
                <w:sz w:val="17"/>
              </w:rPr>
              <w:t>7,010</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(Compagnie Ivoirienne d'Électricité)</w:t>
        <w:br/>
        <w:t>**Marché : BRVM | Secteur : Services publics / Électricité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347,48 milliards FCFA, la CIEC figure parmi les valeurs les plus importantes de la cote BRVM, ce qui traduit sa position de monopole dans la distribution d'électricité en Côte d'Ivoire. Le BPA de 234 FCFA/action indique que chaque titre génère un bénéfice net de 234 FCFA, un niveau cohérent avec le dividende proposé de 234 FCFA (taux de distribution quasi intégral de 99,8%). Le PER de 26,5x est nettement supérieur à la moyenne du marché BRVM (8-12x), signalant que les investisseurs paient une prime très élevée pour les bénéfices actuels, ce qui suppose soit une forte croissance attendue, soit une surévaluation manifeste. Le P/B de 9,66x — très au-dessus du seuil de 4x — confirme cette valorisation exigeante : le marché valorise l'entreprise près de 10 fois sa valeur comptable, ce qui est difficilement justifiable pour une utility régulée à marge nette modeste (4,3%). Enfin, l'EV/EBITDA de 14,4x, dans la fourchette haute (10-15x), indique que la valeur totale de l'entreprise (incluant la dette) représente 14,4 fois sa capacité opérationnelle, un niveau élevé qui intègre déjà une bonne partie des perspectives de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progression spectaculaire de **+90,92%**, passant d'environ 3 250 FCFA à 6 205 FCFA, avec toutefois un repli de **-1,51%** lors de la dernière séance, signalant un essoufflement de la dynamique haussière. Le range de trading est très large, avec un plus haut à **7 400 FCFA** et un plus bas à **3 010 FCFA**, soit un écart de plus de 145% entre les deux extrêmes — ce qui témoigne d'une tendance nettement haussière mais aussi d'une forte amplitude de mouvement. La moyenne (5 252 FCFA) est légèrement supérieure à la médiane (5 198 FCFA), et le mode se situe à 4 995 FCFA : l'écart faible entre moyenne et médiane (54 FCFA) indique une distribution quasi symétrique, confirmée par le skewness de -0,114 (distribution symétrique). L'écart-type de 1 148 FCFA avec un coefficient de variation de 21,8% traduit une dispersion modérée du cours autour de sa moyenne. Le kurtosis de -0,589 (mésokurtique) signifie que la distribution est proche d'une loi normale, sans risque excessif de pics extrêmes — un élément rassurant pour la gestion du risque. Enfin, la volatilité annualisée de **51,7%** positionne le titre dans la catégorie des valeurs à volatilité élevée (&gt;30%), ce qui implique un risque de marché significatif et justifie une approche prudente malgré la tendance haussière.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6 757,5 FCFA et la MM50 à 6 030,3 FCFA, toutes deux supérieures au cours actuel de 6 205 FCFA. Le cours évolue donc sous ses deux moyennes mobiles, ce qui constitue un signal baissier à court terme, bien que la décision fournie soit « Achat » — probablement en raison de la configuration haussière de fond (MM20 &gt; MM50) qui reste intacte. La position du cours sous la MM20 suggère une correction en cours au sein d'une tendance haussière plus large.</w:t>
      </w:r>
    </w:p>
    <w:p>
      <w:pPr>
        <w:spacing w:after="120" w:line="276" w:lineRule="auto"/>
      </w:pPr>
      <w:r>
        <w:t>**Bandes de Bollinger :** La borne supérieure est à 7 388,56 FCFA et la borne inférieure à 6 126,44 FCFA, avec un cours actuel de 6 205 FCFA. Le cours évolue donc très près de la borne inférieure, ce qui indique une pression vendeuse récente et une possible zone de survente à court terme. La décision « Neutre » reflète cette position ambiguë : le titre n'est ni en surachat ni en survente extrême, mais la proximité de la borne basse suggère un potentiel de rebond technique.</w:t>
      </w:r>
    </w:p>
    <w:p>
      <w:pPr>
        <w:spacing w:after="120" w:line="276" w:lineRule="auto"/>
      </w:pPr>
      <w:r>
        <w:t>**MACD :** La valeur du MACD (82,211) est nettement inférieure à son signal (219,439), ce qui génère un croisement baissier et une divergence négative. Le momentum est clairement à la baisse, et la décision « Vente » confirme que la dynamique haussière s'essouffle. Ce signal est d'autant plus important que l'écart entre les deux lignes est significatif, indiquant une pression baissière soutenue.</w:t>
      </w:r>
    </w:p>
    <w:p>
      <w:pPr>
        <w:spacing w:after="120" w:line="276" w:lineRule="auto"/>
      </w:pPr>
      <w:r>
        <w:t>**RSI :** À 39,836, le RSI se situe dans la zone neutre basse (30-70), sans atteindre la zone de survente (&lt;30). La décision « Neutre » est cohérente : le titre n'est pas encore survendu, mais la tendance est clairement affaiblie. Un RSI sous 40 dans un contexte de correction suggère que la pression vendeuse pourrait se poursuivre avant un retournement.</w:t>
      </w:r>
    </w:p>
    <w:p>
      <w:pPr>
        <w:spacing w:after="120" w:line="276" w:lineRule="auto"/>
      </w:pPr>
      <w:r>
        <w:t>**Stochastique :** Le %K est à 0,0 et le %D à 9,474, avec une décision « Achat ». Le %K à zéro indique que le cours a clôturé à son plus bas niveau de la période récente, ce qui est un signal de survente extrême. Le croisement potentiel du %K au-dessus du %D (actuellement %K &lt; %D) pourrait déclencher un rebond technique à court terme, justifiant la décision « Achat » malgré le contexte baissier.</w:t>
      </w:r>
    </w:p>
    <w:p>
      <w:pPr>
        <w:spacing w:after="120" w:line="276" w:lineRule="auto"/>
      </w:pPr>
      <w:r>
        <w:t>**Conclusion technique :** Les indicateurs sont divergents : les moyennes mobiles et le MACD sont baissiers, tandis que le stochastique et la proximité de la borne inférieure de Bollinger suggèrent un potentiel rebond. Le RSI neutre-bas et la position du cours sous la MM20 confirment une correction en cours. La convergence des signaux baissiers (MACD, MM) et des signaux de survente (Stochastique, Bollinger) indique que le titre pourrait connaître une volatilité accrue à court terme, avec un risque de poursuite de la baisse avant un éventuel rebond technique.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CIEC a réalisé un chiffre d'affaires de **302,320 milliards FCFA**, en croissance de **+14,82%** par rapport à 2024 (263,294 milliards FCFA), portée par une hausse des ventes d'énergie (+8,3% en volume) et une expansion du nombre de clients (+15,1% à 5 282 283 clients). Le résultat net s'établit à **13,127 milliards FCFA**, en progression de **+24,4%**, avec une marge nette de **4,34%** — modeste mais en amélioration. Le ROE atteint **36,50%**, un niveau excellent (&gt;15%) qui témoigne d'une rentabilité des fonds propres très élevée, tandis que le ROA de **0,65%** reste faible, reflétant l'intensité capitalistique du secteur. La valeur ajoutée progresse de 11,7% à 107,552 milliards FCFA, et l'EBE de 37,161 milliards FCFA (+23,2%) montre une bonne maîtrise des charges opérationnelles. Le BFR est négatif à **-90,244 milliards FCFA**, ce qui est favorable (financement par les fournisseurs), mais le délai client de **164 jours** et le délai fournisseur de **970 jours** révèlent un déséquilibre : l'entreprise dépend fortement de ses fournisseurs pour financer son cycle d'exploitation, ce qui constitue un risque de trésorerie si les conditions de paiement se durcissent. Le ratio d'endettement de **612,94%** (dettes totales/capitaux propres) est très élevé, avec une autonomie financière de seulement **1,78%**, ce qui signifie que les capitaux propres ne couvrent qu'une infime partie du bilan — une structure financière fragile, typique des concessions où l'État est l'autorité concédante. La capacité de remboursement de **7,64 années** (dettes financières/CAF) indique un endettement soutenable mais sous surveillance. La couverture des intérêts de **617,75%** est excellente, montrant que le résultat d'exploitation couvre largement les charges financières.</w:t>
      </w:r>
    </w:p>
    <w:p>
      <w:pPr>
        <w:spacing w:after="120" w:line="276" w:lineRule="auto"/>
      </w:pPr>
      <w:r>
        <w:t>**Estimations basées sur les rapports trimestriels :** Le rapport du **1er semestre 2025** (daté du 30/06/2025) indique un chiffre d'affaires de **134,923 milliards FCFA** (+18,85%) et un résultat net de **5,096 milliards FCFA** (+13,37%), avec une marge nette de 3,8% (en légère baisse par rapport à 4,0% au S1 2024). Sur cette base, on peut estimer que l'exercice 2025 devrait confirmer la tendance annuelle avec un CA autour de 300 milliards FCFA et un résultat net proche de 13 milliards FCFA, ce qui est cohérent avec les données structurées. Le rapport annuel 2025 (daté du 31/12/2026) confirme un dividende de **234 FCFA/action**, soit un rendement de 3,77% au cours actuel de 6 205 FCFA — attractif mais inférieur au rendement moyen du marché BRVM. Le rapport 2024 (daté du 31/12/2024) montrait un ROE de 26,3% et une marge nette de 4,0%, indiquant une amélioration en 2025. Les rapports plus anciens (2021) révèlent une transition difficile liée à la nouvelle convention de concession (2021-2032), avec un effondrement du CA de 722,6 à 231,8 milliards FCFA en 2021, suivi d'un redressement progressif. La recommandation source du rapport 2025 est « Acheter », avec une justification basée sur la croissance solide, l'amélioration de la rentabilité et la politique de dividende attractive, mais des risques identifiés incluent l'augmentation des dettes financières et la dépendance aux conditions réglementaires.</w:t>
      </w:r>
    </w:p>
    <w:p>
      <w:pPr>
        <w:spacing w:after="120" w:line="276" w:lineRule="auto"/>
      </w:pPr>
      <w:r>
        <w:t>**Recommandation fondamentale :** La CIEC présente une solidité opérationnelle indéniable (croissance du CA, amélioration du résultat net, ROE élevé) mais une structure financière fragile (autonomie financière de 1,78%, endettement très élevé) et une valorisation boursière exigeante (PER 26,5x, P/B 9,66x). Le risque principal réside dans la dépendance au cadre réglementaire et au risque de crédit client (délai de 164 jours). La recommandation fondamentale est **CONSERVER** : les fondamentaux sont solides mais la valorisation intègre déjà une grande partie des bonnes nouvelles, et la structure financière limite la marge de manœuvre.</w:t>
      </w:r>
    </w:p>
    <w:p>
      <w:pPr>
        <w:spacing w:after="120" w:line="276" w:lineRule="auto"/>
      </w:pPr>
      <w:r>
        <w:t>---</w:t>
      </w:r>
    </w:p>
    <w:p>
      <w:pPr>
        <w:spacing w:after="120" w:line="276" w:lineRule="auto"/>
      </w:pPr>
      <w:r>
        <w:t>## PARTIE 4 : CONCLUSION D'INVESTISSEMENT</w:t>
      </w:r>
    </w:p>
    <w:p>
      <w:pPr>
        <w:spacing w:after="120" w:line="276" w:lineRule="auto"/>
      </w:pPr>
      <w:r>
        <w:t>La valorisation de la CIEC apparaît nettement surévaluée : avec un PER de 26,5x (contre une moyenne BRVM de 8-12x) et un P/B de 9,66x, le marché paie une prime très élevée pour des bénéfices dont la croissance, bien que réelle (+24,4% en 2025), reste modeste en valeur absolue (13,1 milliards FCFA). Le comportement du cours sur 100 jours est haussier (+90,92%) mais montre des signes d'essoufflement (repli de -1,51% en J-1, cours sous la MM20), avec une volatilité élevée (51,7%) et une distribution symétrique (skewness -0,114) sans risque excessif de pics (kurtosis -0,589). Les signaux techniques sont divergents : le MACD est baissier (vente), les moyennes mobiles sont sous le cours (achat), le RSI est neutre-bas, et le stochastique est en survente extrême (%K=0,0) — ce qui suggère un potentiel rebond à court terme mais une tendance de fond affaiblie. Les fondamentaux sont solides (CA +14,8%, résultat net +24,4%, ROE 36,5%) mais la structure financière est fragile (autonomie financière 1,78%, endettement 612,9%) et la valorisation exigeante. Les prédictions IA pour les 10 prochains jours (6 112 → 5 996 FCFA) anticipent une baisse continue d'environ 3,4%, ce qui contredit les signaux d'achat à court terme (stochastique, MM) mais confirme la pression baissière du MACD et la correction en cours. **Recommandation finale : CONSERVER** — la convergence entre une valorisation surévaluée, des signaux techniques mitigés (MACD baissier, cours sous MM20) et des prédictions baissières à court terme plaide pour la prudence, mais la solidité des fondamentaux et le rendement du dividende (3,77%) justifient de ne pas vendre. Le niveau de confiance est **Moyen** (divergence entre technique et fondamental), le risque global est **Élevé** (volatilité 51,7%, endettement 612,9%, valorisation exigeante), et l'horizon optimal est **moyen terme (3-12 mois)** pour laisser la correction se terminer et profiter d'un éventuel rebond sur des bases fondamentales solides.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924.85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4,167 titres</w:t>
            </w:r>
          </w:p>
        </w:tc>
        <w:tc>
          <w:tcPr>
            <w:tcW w:type="dxa" w:w="2268"/>
            <w:shd w:fill="FFF2CC" w:val="clear"/>
          </w:tcPr>
          <w:p>
            <w:r>
              <w:rPr>
                <w:b/>
                <w:color w:val="503200"/>
                <w:sz w:val="16"/>
              </w:rPr>
              <w:t xml:space="preserve">Cours actuel : </w:t>
            </w:r>
            <w:r>
              <w:rPr>
                <w:color w:val="000000"/>
                <w:sz w:val="17"/>
              </w:rPr>
              <w:t>16,800 FCFA</w:t>
            </w:r>
          </w:p>
          <w:p>
            <w:r>
              <w:rPr>
                <w:b/>
                <w:color w:val="503200"/>
                <w:sz w:val="16"/>
              </w:rPr>
              <w:t xml:space="preserve">Var. 100 jours : </w:t>
            </w:r>
            <w:r>
              <w:rPr>
                <w:b/>
                <w:color w:val="007800"/>
                <w:sz w:val="17"/>
              </w:rPr>
              <w:t>+4.67%</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2.77% (Faible) — μ=16,530 FCFA, σ=459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β=0.3649 (Défensif) — Cov=0.000015, Var(idx)=0.000041, ρ=0.131,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16,517</w:t>
            </w:r>
          </w:p>
        </w:tc>
        <w:tc>
          <w:tcPr>
            <w:tcW w:type="dxa" w:w="1440"/>
            <w:shd w:fill="FAFAFA" w:val="clear"/>
          </w:tcPr>
          <w:p>
            <w:r>
              <w:rPr>
                <w:b/>
                <w:sz w:val="17"/>
              </w:rPr>
              <w:t>17,039</w:t>
            </w:r>
          </w:p>
        </w:tc>
        <w:tc>
          <w:tcPr>
            <w:tcW w:type="dxa" w:w="1440"/>
            <w:shd w:fill="FAFAFA" w:val="clear"/>
          </w:tcPr>
          <w:p>
            <w:r>
              <w:rPr>
                <w:sz w:val="17"/>
              </w:rPr>
              <w:t>17,562</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16,308</w:t>
            </w:r>
          </w:p>
        </w:tc>
        <w:tc>
          <w:tcPr>
            <w:tcW w:type="dxa" w:w="1440"/>
            <w:shd w:fill="FAFAFA" w:val="clear"/>
          </w:tcPr>
          <w:p>
            <w:r>
              <w:rPr>
                <w:b/>
                <w:sz w:val="17"/>
              </w:rPr>
              <w:t>17,048</w:t>
            </w:r>
          </w:p>
        </w:tc>
        <w:tc>
          <w:tcPr>
            <w:tcW w:type="dxa" w:w="1440"/>
            <w:shd w:fill="FAFAFA" w:val="clear"/>
          </w:tcPr>
          <w:p>
            <w:r>
              <w:rPr>
                <w:sz w:val="17"/>
              </w:rPr>
              <w:t>17,788</w:t>
            </w:r>
          </w:p>
        </w:tc>
        <w:tc>
          <w:tcPr>
            <w:tcW w:type="dxa" w:w="1440"/>
            <w:shd w:fill="FAFAFA" w:val="clear"/>
          </w:tcPr>
          <w:p>
            <w:r>
              <w:rPr>
                <w:b/>
                <w:color w:val="008000"/>
                <w:sz w:val="17"/>
              </w:rPr>
              <w:t>+1.5%</w:t>
            </w:r>
          </w:p>
        </w:tc>
      </w:tr>
      <w:tr>
        <w:tc>
          <w:tcPr>
            <w:tcW w:type="dxa" w:w="1440"/>
            <w:shd w:fill="FAFAFA" w:val="clear"/>
          </w:tcPr>
          <w:p>
            <w:r>
              <w:rPr>
                <w:sz w:val="17"/>
              </w:rPr>
              <w:t>J+3  ⭐⭐⭐</w:t>
            </w:r>
          </w:p>
        </w:tc>
        <w:tc>
          <w:tcPr>
            <w:tcW w:type="dxa" w:w="1440"/>
            <w:shd w:fill="FAFAFA" w:val="clear"/>
          </w:tcPr>
          <w:p>
            <w:r>
              <w:rPr>
                <w:sz w:val="17"/>
              </w:rPr>
              <w:t>2026-09-28</w:t>
            </w:r>
          </w:p>
        </w:tc>
        <w:tc>
          <w:tcPr>
            <w:tcW w:type="dxa" w:w="1440"/>
            <w:shd w:fill="FAFAFA" w:val="clear"/>
          </w:tcPr>
          <w:p>
            <w:r>
              <w:rPr>
                <w:sz w:val="17"/>
              </w:rPr>
              <w:t>16,165</w:t>
            </w:r>
          </w:p>
        </w:tc>
        <w:tc>
          <w:tcPr>
            <w:tcW w:type="dxa" w:w="1440"/>
            <w:shd w:fill="FAFAFA" w:val="clear"/>
          </w:tcPr>
          <w:p>
            <w:r>
              <w:rPr>
                <w:b/>
                <w:sz w:val="17"/>
              </w:rPr>
              <w:t>17,072</w:t>
            </w:r>
          </w:p>
        </w:tc>
        <w:tc>
          <w:tcPr>
            <w:tcW w:type="dxa" w:w="1440"/>
            <w:shd w:fill="FAFAFA" w:val="clear"/>
          </w:tcPr>
          <w:p>
            <w:r>
              <w:rPr>
                <w:sz w:val="17"/>
              </w:rPr>
              <w:t>17,979</w:t>
            </w:r>
          </w:p>
        </w:tc>
        <w:tc>
          <w:tcPr>
            <w:tcW w:type="dxa" w:w="1440"/>
            <w:shd w:fill="FAFAFA" w:val="clear"/>
          </w:tcPr>
          <w:p>
            <w:r>
              <w:rPr>
                <w:b/>
                <w:color w:val="008000"/>
                <w:sz w:val="17"/>
              </w:rPr>
              <w:t>+1.6%</w:t>
            </w:r>
          </w:p>
        </w:tc>
      </w:tr>
      <w:tr>
        <w:tc>
          <w:tcPr>
            <w:tcW w:type="dxa" w:w="1440"/>
            <w:shd w:fill="FAFAFA" w:val="clear"/>
          </w:tcPr>
          <w:p>
            <w:r>
              <w:rPr>
                <w:sz w:val="17"/>
              </w:rPr>
              <w:t>J+4  Moyenne</w:t>
            </w:r>
          </w:p>
        </w:tc>
        <w:tc>
          <w:tcPr>
            <w:tcW w:type="dxa" w:w="1440"/>
            <w:shd w:fill="FAFAFA" w:val="clear"/>
          </w:tcPr>
          <w:p>
            <w:r>
              <w:rPr>
                <w:sz w:val="17"/>
              </w:rPr>
              <w:t>2026-09-29</w:t>
            </w:r>
          </w:p>
        </w:tc>
        <w:tc>
          <w:tcPr>
            <w:tcW w:type="dxa" w:w="1440"/>
            <w:shd w:fill="FAFAFA" w:val="clear"/>
          </w:tcPr>
          <w:p>
            <w:r>
              <w:rPr>
                <w:sz w:val="17"/>
              </w:rPr>
              <w:t>16,045</w:t>
            </w:r>
          </w:p>
        </w:tc>
        <w:tc>
          <w:tcPr>
            <w:tcW w:type="dxa" w:w="1440"/>
            <w:shd w:fill="FAFAFA" w:val="clear"/>
          </w:tcPr>
          <w:p>
            <w:r>
              <w:rPr>
                <w:b/>
                <w:sz w:val="17"/>
              </w:rPr>
              <w:t>17,094</w:t>
            </w:r>
          </w:p>
        </w:tc>
        <w:tc>
          <w:tcPr>
            <w:tcW w:type="dxa" w:w="1440"/>
            <w:shd w:fill="FAFAFA" w:val="clear"/>
          </w:tcPr>
          <w:p>
            <w:r>
              <w:rPr>
                <w:sz w:val="17"/>
              </w:rPr>
              <w:t>18,143</w:t>
            </w:r>
          </w:p>
        </w:tc>
        <w:tc>
          <w:tcPr>
            <w:tcW w:type="dxa" w:w="1440"/>
            <w:shd w:fill="FAFAFA" w:val="clear"/>
          </w:tcPr>
          <w:p>
            <w:r>
              <w:rPr>
                <w:b/>
                <w:color w:val="008000"/>
                <w:sz w:val="17"/>
              </w:rPr>
              <w:t>+1.8%</w:t>
            </w:r>
          </w:p>
        </w:tc>
      </w:tr>
      <w:tr>
        <w:tc>
          <w:tcPr>
            <w:tcW w:type="dxa" w:w="1440"/>
            <w:shd w:fill="FAFAFA" w:val="clear"/>
          </w:tcPr>
          <w:p>
            <w:r>
              <w:rPr>
                <w:sz w:val="17"/>
              </w:rPr>
              <w:t>J+5  Moyenne</w:t>
            </w:r>
          </w:p>
        </w:tc>
        <w:tc>
          <w:tcPr>
            <w:tcW w:type="dxa" w:w="1440"/>
            <w:shd w:fill="FAFAFA" w:val="clear"/>
          </w:tcPr>
          <w:p>
            <w:r>
              <w:rPr>
                <w:sz w:val="17"/>
              </w:rPr>
              <w:t>2026-09-30</w:t>
            </w:r>
          </w:p>
        </w:tc>
        <w:tc>
          <w:tcPr>
            <w:tcW w:type="dxa" w:w="1440"/>
            <w:shd w:fill="FAFAFA" w:val="clear"/>
          </w:tcPr>
          <w:p>
            <w:r>
              <w:rPr>
                <w:sz w:val="17"/>
              </w:rPr>
              <w:t>15,940</w:t>
            </w:r>
          </w:p>
        </w:tc>
        <w:tc>
          <w:tcPr>
            <w:tcW w:type="dxa" w:w="1440"/>
            <w:shd w:fill="FAFAFA" w:val="clear"/>
          </w:tcPr>
          <w:p>
            <w:r>
              <w:rPr>
                <w:b/>
                <w:sz w:val="17"/>
              </w:rPr>
              <w:t>17,114</w:t>
            </w:r>
          </w:p>
        </w:tc>
        <w:tc>
          <w:tcPr>
            <w:tcW w:type="dxa" w:w="1440"/>
            <w:shd w:fill="FAFAFA" w:val="clear"/>
          </w:tcPr>
          <w:p>
            <w:r>
              <w:rPr>
                <w:sz w:val="17"/>
              </w:rPr>
              <w:t>18,288</w:t>
            </w:r>
          </w:p>
        </w:tc>
        <w:tc>
          <w:tcPr>
            <w:tcW w:type="dxa" w:w="1440"/>
            <w:shd w:fill="FAFAFA" w:val="clear"/>
          </w:tcPr>
          <w:p>
            <w:r>
              <w:rPr>
                <w:b/>
                <w:color w:val="008000"/>
                <w:sz w:val="17"/>
              </w:rPr>
              <w:t>+1.9%</w:t>
            </w:r>
          </w:p>
        </w:tc>
      </w:tr>
      <w:tr>
        <w:tc>
          <w:tcPr>
            <w:tcW w:type="dxa" w:w="1440"/>
            <w:shd w:fill="FAFAFA" w:val="clear"/>
          </w:tcPr>
          <w:p>
            <w:r>
              <w:rPr>
                <w:sz w:val="17"/>
              </w:rPr>
              <w:t>J+6  Moyenne</w:t>
            </w:r>
          </w:p>
        </w:tc>
        <w:tc>
          <w:tcPr>
            <w:tcW w:type="dxa" w:w="1440"/>
            <w:shd w:fill="FAFAFA" w:val="clear"/>
          </w:tcPr>
          <w:p>
            <w:r>
              <w:rPr>
                <w:sz w:val="17"/>
              </w:rPr>
              <w:t>2026-10-01</w:t>
            </w:r>
          </w:p>
        </w:tc>
        <w:tc>
          <w:tcPr>
            <w:tcW w:type="dxa" w:w="1440"/>
            <w:shd w:fill="FAFAFA" w:val="clear"/>
          </w:tcPr>
          <w:p>
            <w:r>
              <w:rPr>
                <w:sz w:val="17"/>
              </w:rPr>
              <w:t>15,846</w:t>
            </w:r>
          </w:p>
        </w:tc>
        <w:tc>
          <w:tcPr>
            <w:tcW w:type="dxa" w:w="1440"/>
            <w:shd w:fill="FAFAFA" w:val="clear"/>
          </w:tcPr>
          <w:p>
            <w:r>
              <w:rPr>
                <w:b/>
                <w:sz w:val="17"/>
              </w:rPr>
              <w:t>17,133</w:t>
            </w:r>
          </w:p>
        </w:tc>
        <w:tc>
          <w:tcPr>
            <w:tcW w:type="dxa" w:w="1440"/>
            <w:shd w:fill="FAFAFA" w:val="clear"/>
          </w:tcPr>
          <w:p>
            <w:r>
              <w:rPr>
                <w:sz w:val="17"/>
              </w:rPr>
              <w:t>18,420</w:t>
            </w:r>
          </w:p>
        </w:tc>
        <w:tc>
          <w:tcPr>
            <w:tcW w:type="dxa" w:w="1440"/>
            <w:shd w:fill="FAFAFA" w:val="clear"/>
          </w:tcPr>
          <w:p>
            <w:r>
              <w:rPr>
                <w:b/>
                <w:color w:val="008000"/>
                <w:sz w:val="17"/>
              </w:rPr>
              <w:t>+2.0%</w:t>
            </w:r>
          </w:p>
        </w:tc>
      </w:tr>
      <w:tr>
        <w:tc>
          <w:tcPr>
            <w:tcW w:type="dxa" w:w="1440"/>
            <w:shd w:fill="C6EFCE" w:val="clear"/>
          </w:tcPr>
          <w:p>
            <w:r>
              <w:rPr>
                <w:sz w:val="17"/>
              </w:rPr>
              <w:t>J+7  Moyenne</w:t>
            </w:r>
          </w:p>
        </w:tc>
        <w:tc>
          <w:tcPr>
            <w:tcW w:type="dxa" w:w="1440"/>
            <w:shd w:fill="C6EFCE" w:val="clear"/>
          </w:tcPr>
          <w:p>
            <w:r>
              <w:rPr>
                <w:sz w:val="17"/>
              </w:rPr>
              <w:t>2026-10-02</w:t>
            </w:r>
          </w:p>
        </w:tc>
        <w:tc>
          <w:tcPr>
            <w:tcW w:type="dxa" w:w="1440"/>
            <w:shd w:fill="C6EFCE" w:val="clear"/>
          </w:tcPr>
          <w:p>
            <w:r>
              <w:rPr>
                <w:sz w:val="17"/>
              </w:rPr>
              <w:t>15,759</w:t>
            </w:r>
          </w:p>
        </w:tc>
        <w:tc>
          <w:tcPr>
            <w:tcW w:type="dxa" w:w="1440"/>
            <w:shd w:fill="C6EFCE" w:val="clear"/>
          </w:tcPr>
          <w:p>
            <w:r>
              <w:rPr>
                <w:b/>
                <w:sz w:val="17"/>
              </w:rPr>
              <w:t>17,152</w:t>
            </w:r>
          </w:p>
        </w:tc>
        <w:tc>
          <w:tcPr>
            <w:tcW w:type="dxa" w:w="1440"/>
            <w:shd w:fill="C6EFCE" w:val="clear"/>
          </w:tcPr>
          <w:p>
            <w:r>
              <w:rPr>
                <w:sz w:val="17"/>
              </w:rPr>
              <w:t>18,544</w:t>
            </w:r>
          </w:p>
        </w:tc>
        <w:tc>
          <w:tcPr>
            <w:tcW w:type="dxa" w:w="1440"/>
            <w:shd w:fill="C6EFCE" w:val="clear"/>
          </w:tcPr>
          <w:p>
            <w:r>
              <w:rPr>
                <w:b/>
                <w:color w:val="008000"/>
                <w:sz w:val="17"/>
              </w:rPr>
              <w:t>+2.1%</w:t>
            </w:r>
          </w:p>
        </w:tc>
      </w:tr>
      <w:tr>
        <w:tc>
          <w:tcPr>
            <w:tcW w:type="dxa" w:w="1440"/>
            <w:shd w:fill="C6EFCE" w:val="clear"/>
          </w:tcPr>
          <w:p>
            <w:r>
              <w:rPr>
                <w:sz w:val="17"/>
              </w:rPr>
              <w:t>J+8  Moyenne</w:t>
            </w:r>
          </w:p>
        </w:tc>
        <w:tc>
          <w:tcPr>
            <w:tcW w:type="dxa" w:w="1440"/>
            <w:shd w:fill="C6EFCE" w:val="clear"/>
          </w:tcPr>
          <w:p>
            <w:r>
              <w:rPr>
                <w:sz w:val="17"/>
              </w:rPr>
              <w:t>2026-10-05</w:t>
            </w:r>
          </w:p>
        </w:tc>
        <w:tc>
          <w:tcPr>
            <w:tcW w:type="dxa" w:w="1440"/>
            <w:shd w:fill="C6EFCE" w:val="clear"/>
          </w:tcPr>
          <w:p>
            <w:r>
              <w:rPr>
                <w:sz w:val="17"/>
              </w:rPr>
              <w:t>15,680</w:t>
            </w:r>
          </w:p>
        </w:tc>
        <w:tc>
          <w:tcPr>
            <w:tcW w:type="dxa" w:w="1440"/>
            <w:shd w:fill="C6EFCE" w:val="clear"/>
          </w:tcPr>
          <w:p>
            <w:r>
              <w:rPr>
                <w:b/>
                <w:sz w:val="17"/>
              </w:rPr>
              <w:t>17,170</w:t>
            </w:r>
          </w:p>
        </w:tc>
        <w:tc>
          <w:tcPr>
            <w:tcW w:type="dxa" w:w="1440"/>
            <w:shd w:fill="C6EFCE" w:val="clear"/>
          </w:tcPr>
          <w:p>
            <w:r>
              <w:rPr>
                <w:sz w:val="17"/>
              </w:rPr>
              <w:t>18,660</w:t>
            </w:r>
          </w:p>
        </w:tc>
        <w:tc>
          <w:tcPr>
            <w:tcW w:type="dxa" w:w="1440"/>
            <w:shd w:fill="C6EFCE" w:val="clear"/>
          </w:tcPr>
          <w:p>
            <w:r>
              <w:rPr>
                <w:b/>
                <w:color w:val="008000"/>
                <w:sz w:val="17"/>
              </w:rPr>
              <w:t>+2.2%</w:t>
            </w:r>
          </w:p>
        </w:tc>
      </w:tr>
      <w:tr>
        <w:tc>
          <w:tcPr>
            <w:tcW w:type="dxa" w:w="1440"/>
            <w:shd w:fill="C6EFCE" w:val="clear"/>
          </w:tcPr>
          <w:p>
            <w:r>
              <w:rPr>
                <w:sz w:val="17"/>
              </w:rPr>
              <w:t>J+9  Moyenne</w:t>
            </w:r>
          </w:p>
        </w:tc>
        <w:tc>
          <w:tcPr>
            <w:tcW w:type="dxa" w:w="1440"/>
            <w:shd w:fill="C6EFCE" w:val="clear"/>
          </w:tcPr>
          <w:p>
            <w:r>
              <w:rPr>
                <w:sz w:val="17"/>
              </w:rPr>
              <w:t>2026-10-06</w:t>
            </w:r>
          </w:p>
        </w:tc>
        <w:tc>
          <w:tcPr>
            <w:tcW w:type="dxa" w:w="1440"/>
            <w:shd w:fill="C6EFCE" w:val="clear"/>
          </w:tcPr>
          <w:p>
            <w:r>
              <w:rPr>
                <w:sz w:val="17"/>
              </w:rPr>
              <w:t>15,606</w:t>
            </w:r>
          </w:p>
        </w:tc>
        <w:tc>
          <w:tcPr>
            <w:tcW w:type="dxa" w:w="1440"/>
            <w:shd w:fill="C6EFCE" w:val="clear"/>
          </w:tcPr>
          <w:p>
            <w:r>
              <w:rPr>
                <w:b/>
                <w:sz w:val="17"/>
              </w:rPr>
              <w:t>17,188</w:t>
            </w:r>
          </w:p>
        </w:tc>
        <w:tc>
          <w:tcPr>
            <w:tcW w:type="dxa" w:w="1440"/>
            <w:shd w:fill="C6EFCE" w:val="clear"/>
          </w:tcPr>
          <w:p>
            <w:r>
              <w:rPr>
                <w:sz w:val="17"/>
              </w:rPr>
              <w:t>18,770</w:t>
            </w:r>
          </w:p>
        </w:tc>
        <w:tc>
          <w:tcPr>
            <w:tcW w:type="dxa" w:w="1440"/>
            <w:shd w:fill="C6EFCE" w:val="clear"/>
          </w:tcPr>
          <w:p>
            <w:r>
              <w:rPr>
                <w:b/>
                <w:color w:val="008000"/>
                <w:sz w:val="17"/>
              </w:rPr>
              <w:t>+2.3%</w:t>
            </w:r>
          </w:p>
        </w:tc>
      </w:tr>
      <w:tr>
        <w:tc>
          <w:tcPr>
            <w:tcW w:type="dxa" w:w="1440"/>
            <w:shd w:fill="C6EFCE" w:val="clear"/>
          </w:tcPr>
          <w:p>
            <w:r>
              <w:rPr>
                <w:sz w:val="17"/>
              </w:rPr>
              <w:t>J+10  Moyenne</w:t>
            </w:r>
          </w:p>
        </w:tc>
        <w:tc>
          <w:tcPr>
            <w:tcW w:type="dxa" w:w="1440"/>
            <w:shd w:fill="C6EFCE" w:val="clear"/>
          </w:tcPr>
          <w:p>
            <w:r>
              <w:rPr>
                <w:sz w:val="17"/>
              </w:rPr>
              <w:t>2026-10-07</w:t>
            </w:r>
          </w:p>
        </w:tc>
        <w:tc>
          <w:tcPr>
            <w:tcW w:type="dxa" w:w="1440"/>
            <w:shd w:fill="C6EFCE" w:val="clear"/>
          </w:tcPr>
          <w:p>
            <w:r>
              <w:rPr>
                <w:sz w:val="17"/>
              </w:rPr>
              <w:t>15,537</w:t>
            </w:r>
          </w:p>
        </w:tc>
        <w:tc>
          <w:tcPr>
            <w:tcW w:type="dxa" w:w="1440"/>
            <w:shd w:fill="C6EFCE" w:val="clear"/>
          </w:tcPr>
          <w:p>
            <w:r>
              <w:rPr>
                <w:b/>
                <w:sz w:val="17"/>
              </w:rPr>
              <w:t>17,206</w:t>
            </w:r>
          </w:p>
        </w:tc>
        <w:tc>
          <w:tcPr>
            <w:tcW w:type="dxa" w:w="1440"/>
            <w:shd w:fill="C6EFCE" w:val="clear"/>
          </w:tcPr>
          <w:p>
            <w:r>
              <w:rPr>
                <w:sz w:val="17"/>
              </w:rPr>
              <w:t>18,875</w:t>
            </w:r>
          </w:p>
        </w:tc>
        <w:tc>
          <w:tcPr>
            <w:tcW w:type="dxa" w:w="1440"/>
            <w:shd w:fill="C6EFCE" w:val="clear"/>
          </w:tcPr>
          <w:p>
            <w:r>
              <w:rPr>
                <w:b/>
                <w:color w:val="008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924,85 milliards FCFA, ECOC figure parmi les toutes premières capitalisations de la BRVM, ce qui en fait un pilier de l'indice BRVM Composite et un titre de référence pour les investisseurs institutionnels de la zone UEMOA. Le BPA de 1 153 FCFA/action signifie que chaque titre détenu génère un bénéfice net de 1 153 FCFA, un niveau élevé qui traduit la forte rentabilité de la banque. Le PER de 14,6x se situe au-dessus de la moyenne du marché BRVM (généralement comprise entre 8 et 12x), ce qui indique que les investisseurs acceptent de payer une prime pour la qualité et la régularité des bénéfices d'ECOC, sans pour autant tomber dans une valorisation excessive. Le P/B de 4,23x, nettement supérieur à 4x, révèle que le marché valorise la banque à plus de quatre fois sa valeur comptable, une prime exigeante qui se justifie par un ROE exceptionnel de 29% (largement supérieur au coût des fonds propres) mais qui laisse peu de marge d'erreur en cas de dégradation des résultats. Enfin, l'EV/EBITDA de 14,2x, dans la fourchette haute (10-15x), confirme que la valeur d'entreprise intègre déjà une bonne partie de la capacité bénéficiaire opérationnelle, ce qui suggère une valorisation globalement exigeante mais cohérente avec les fondamentaux.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d'ECOC a progressé de +4,67%, clôturant à 16 800 FCFA, malgré un repli de -2,01% lors de la dernière séance (J-1), ce qui témoigne d'une légère prise de bénéfices après une dynamique haussière. Le titre a évolué dans un range relativement étroit, entre un plus bas de 15 520 FCFA et un plus haut de 17 725 FCFA, soit une amplitude d'environ 14%, ce qui reste modéré pour une valeur bancaire. La tendance générale est donc haussière mais avec des phases de consolidation, le cours actuel (16 800 FCFA) se situant au-dessus de la moyenne (16 530 FCFA) et de la médiane (16 450 FCFA), signe d'une orientation positive de fond. Les statistiques descriptives révèlent une distribution quasi-symétrique : la moyenne (16 530 FCFA) et la médiane (16 450 FCFA) sont très proches, et le skewness de 0,417 (interprété comme symétrique) confirme l'absence de biais marqué vers les valeurs extrêmes. L'écart-type de 461 FCFA avec un coefficient de variation de seulement 2,8% indique une dispersion très faible du cours autour de sa moyenne, ce qui traduit une certaine stabilité et une faible nervosité du titre. Le kurtosis de -0,243 (mésokurtique, proche d'une distribution normale) suggère un risque de pics de volatilité limité, sans événements extrêmes fréquents. Enfin, la volatilité annualisée de 28,2% place ECOC dans la catégorie des titres à volatilité modérée (15-30%), ce qui est rassurant pour un investisseur recherchant un compromis entre rendement et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17 125 FCFA et la MM50 à 16 570,3 FCFA, toutes deux supérieures au cours actuel de 16 800 FCFA pour la MM20, mais la MM50 reste en dessous. Le croisement haussier (MM20 &gt; MM50) et la position du cours au-dessus de la MM50 justifient la décision d'**Achat**, bien que le repli sous la MM20 appelle à la prudence à court terme.</w:t>
      </w:r>
    </w:p>
    <w:p>
      <w:pPr>
        <w:spacing w:after="120" w:line="276" w:lineRule="auto"/>
      </w:pPr>
      <w:r>
        <w:t>**Bandes de Bollinger** : La borne supérieure est à 17 770,49 FCFA et la borne inférieure à 16 479,51 FCFA, avec un cours actuel de 16 800 FCFA qui se situe dans la partie basse de la bande. Cette position proche de la borne inférieure, dans un contexte de bandes relativement resserrées, traduit une volatilité contenue et une décision **Neutre**, le titre n'étant ni suracheté ni survendu.</w:t>
      </w:r>
    </w:p>
    <w:p>
      <w:pPr>
        <w:spacing w:after="120" w:line="276" w:lineRule="auto"/>
      </w:pPr>
      <w:r>
        <w:t>**MACD** : La valeur du MACD (93,074) est inférieure à son signal (160,666), ce qui génère une configuration baissière et justifie la décision de **Vente**. Cette divergence négative indique un essoufflement du momentum haussier, bien que l'écart reste modéré et puisse se résorber rapidement.</w:t>
      </w:r>
    </w:p>
    <w:p>
      <w:pPr>
        <w:spacing w:after="120" w:line="276" w:lineRule="auto"/>
      </w:pPr>
      <w:r>
        <w:t>**RSI** : À 38,746, le RSI se situe dans la zone neutre basse (30-70), sans atteindre le seuil de survente (30). La décision est **Neutre**, mais la proximité de la zone de survente suggère un potentiel de rebond technique à court terme.</w:t>
      </w:r>
    </w:p>
    <w:p>
      <w:pPr>
        <w:spacing w:after="120" w:line="276" w:lineRule="auto"/>
      </w:pPr>
      <w:r>
        <w:t>**Stochastique** : Le %K est à 0,0 et le %D à 19,64, avec un %K nettement inférieur au %D, ce qui est généralement interprété comme un signal d'achat en zone de survente. La décision est donc **Achat**, le croisement potentiel du %K au-dessus du %D pouvant déclencher un rebond.</w:t>
      </w:r>
    </w:p>
    <w:p>
      <w:pPr>
        <w:spacing w:after="120" w:line="276" w:lineRule="auto"/>
      </w:pPr>
      <w:r>
        <w:t>**Conclusion technique** : Les indicateurs sont divergents — les moyennes mobiles et le stochastique plaident pour un achat, tandis que le MACD et les bandes de Bollinger incitent à la neutralité, voire à la vente à court terme. Le RSI en zone neutre basse et la proximité de la borne inférieure de Bollinger suggèrent que le titre approche d'un point d'entrée intéressant, mais la faiblesse du MACD appelle à attendre une confirmation de retournement avant d'agir. Globalement, le signal technique est **neutre à légèrement haussier** à moyen terme, avec un risque de consolidation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2025 (états financiers annuels) révèlent une banque en excellente santé : le Produit Net Bancaire (PNB), équivalent du chiffre d'affaires pour une banque, s'établit à 132,725 milliards FCFA, en croissance de 8,51% par rapport à 2024, porté par une marge nette d'intérêts de 111,337 milliards FCFA et des commissions de 32,366 milliards FCFA. Le résultat net atteint 63,482 milliards FCFA, soit une marge nette exceptionnelle de 47,83%, et le ROE de 29,04% (largement supérieur au seuil de 15% considéré comme excellent) témoigne d'une rentabilité des fonds propres remarquable, tandis que le ROA de 3,09% confirme l'efficacité dans l'utilisation des actifs. Le coefficient d'exploitation de 42,89% (bien en dessous du seuil de 60% et même de 50%) indique une banque très efficace dans la maîtrise de ses coûts, et le coût du risque de 1,36% (provisions/charges financières) reste modéré, signe d'un portefeuille de crédits de bonne qualité. La structure financière montre une autonomie financière de 10,64% (capitaux propres/total bilan), ce qui est faible mais typique du modèle bancaire, et un ratio d'endettement de 69,63% (dettes totales/capitaux propres) qui reste soutenable grâce à la solvabilité générale de 111,91% (total actif/dettes totales &gt; 1). Les dépôts clientèle (1 626,223 milliards FCFA) couvrent largement les créances clientèle (1 050,803 milliards FCFA), avec un ratio crédits/dépôts de 64,6%, ce qui traduit une bonne capacité de transformation et une liquidité solide. Les rapports trimestriels récents confirment cette dynamique : le rapport T3 2025 (publié le 30 septembre 2025) fait état d'un PNB de 96,4 milliards FCFA (+11,3% sur un an) et d'un résultat net de 44,4 milliards FCFA (+15,4%), avec un ROE de 29,7% et un coefficient d'exploitation de 44,7% ; le rapport T1 2026 (publié en 2026) montre un PNB de 30,8 milliards FCFA (+3,7%) et un résultat net de 13,0 milliards FCFA (-1,6%), avec un ROE de 23,0% et un coefficient d'exploitation de 45,7%, signalant un léger ralentissement mais une rentabilité toujours solide. Sur la base de ces tendances, on estime que l'exercice 2026 devrait enregistrer un PNB en croissance modérée (autour de +5-8%) et un résultat net stable à légèrement croissant, la banque poursuivant sa politique de crédit sélective et sa forte collecte de dépôts (+12% au T1 2026). La proposition de dividende de 888 FCFA brut par action (781 FCFA net) pour 2025, en hausse de 10,4% par rapport aux 804 FCFA de 2024, avec un taux de distribution de 77%, confirme une politique actionnariale généreuse et un rendement attractif (environ 5,3% au cours actuel). En conclusion, les fondamentaux d'ECOC sont **très solides** : croissance du PNB, rentabilité exceptionnelle (ROE ~29%), efficacité opérationnelle remarquable, qualité de portefeuille maîtrisée et politique de dividende attractive, avec pour principaux risques la concentration géographique sur la Côte d'Ivoire et la sensibilité au contexte macroéconomique régional.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**CONSERVER** avec un biais haussier. La valorisation (Partie 0) est exigeante — PER de 14,6x supérieur à la moyenne du marché, P/B de 4,23x et EV/EBITDA de 14,2x — mais se justifie par un ROE de 29% et une croissance régulière du PNB, ce qui suggère une prime de qualité plutôt qu'une surévaluation excessive. Le comportement du cours (Partie 1) est favorable : tendance haussière sur 100 jours (+4,67%), volatilité modérée (28,2%), distribution symétrique (skewness 0,417) et absence de pics extrêmes (kurtosis -0,243), ce qui indique un titre stable et prévisible. Les signaux techniques (Partie 2) sont divergents : les moyennes mobiles et le stochastique plaident pour un achat, tandis que le MACD et les bandes de Bollinger incitent à la neutralité, le RSI en zone neutre basse suggérant un potentiel de rebond à court terme. Les fondamentaux (Partie 3) sont excellents : PNB de 132,7 milliards FCFA en 2025 (+8,5%), résultat net de 63,5 milliards FCFA, ROE de 29%, coefficient d'exploitation de 42,9%, dividende de 888 FCFA (rendement ~5,3%), et les rapports trimestriels (T3 2025 et T1 2026) confirment la solidité du modèle malgré un léger ralentissement au T1 2026. Les prédictions IA (J+1 à J+10) anticipent une hausse progressive du cours de 17 039 FCFA à 17 114 FCFA, ce qui confirme la tendance haussière de fond et valide les signaux techniques positifs. La convergence entre fondamentaux solides, valorisation justifiée, tendance haussière modérée et prédictions optimistes plaide pour une **CONSERVER** avec un objectif de cours à 17 500-18 000 FCFA à moyen terme, le niveau de confiance étant **Moyen** (en raison de la divergence des indicateurs techniques à court terme) et le niveau de risque **Moyen** (concentration géographique et sensibilité macroéconomique). L'horizon d'investissement optimal est le **moyen terme (3-12 mois)**, le temps que les indicateurs techniques se réalignent à la hausse et que la croissance des bénéfices se matérialise, avec un rendement total attendu (dividende + plus-value) de l'ordre de 10-15%.</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1157.38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1,649,752 titres</w:t>
            </w:r>
          </w:p>
        </w:tc>
        <w:tc>
          <w:tcPr>
            <w:tcW w:type="dxa" w:w="2268"/>
            <w:shd w:fill="FFF2CC" w:val="clear"/>
          </w:tcPr>
          <w:p>
            <w:r>
              <w:rPr>
                <w:b/>
                <w:color w:val="503200"/>
                <w:sz w:val="16"/>
              </w:rPr>
              <w:t xml:space="preserve">Cours actuel : </w:t>
            </w:r>
            <w:r>
              <w:rPr>
                <w:color w:val="000000"/>
                <w:sz w:val="17"/>
              </w:rPr>
              <w:t>64 FCFA</w:t>
            </w:r>
          </w:p>
          <w:p>
            <w:r>
              <w:rPr>
                <w:b/>
                <w:color w:val="503200"/>
                <w:sz w:val="16"/>
              </w:rPr>
              <w:t xml:space="preserve">Var. 100 jours : </w:t>
            </w:r>
            <w:r>
              <w:rPr>
                <w:b/>
                <w:color w:val="007800"/>
                <w:sz w:val="17"/>
              </w:rPr>
              <w:t>+120.69%</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34.16% (Élevée) — μ=52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β=2.1991 (Très agressif) — Cov=0.000090, Var(idx)=0.000041, ρ=0.366,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1,649,752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σ_j=3.89%/j (Modérée) — Vol. annualisée≈61.8%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84/100  (Excellent)</w:t>
      </w:r>
    </w:p>
    <w:p/>
    <w:p>
      <w:pPr>
        <w:jc w:val="center"/>
      </w:pPr>
      <w:r>
        <w:drawing>
          <wp:inline xmlns:a="http://schemas.openxmlformats.org/drawingml/2006/main" xmlns:pic="http://schemas.openxmlformats.org/drawingml/2006/picture">
            <wp:extent cx="5669280" cy="2569353"/>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2026-09-24</w:t>
            </w:r>
          </w:p>
        </w:tc>
        <w:tc>
          <w:tcPr>
            <w:tcW w:type="dxa" w:w="1440"/>
            <w:shd w:fill="C6EFCE" w:val="clear"/>
          </w:tcPr>
          <w:p>
            <w:r>
              <w:rPr>
                <w:sz w:val="17"/>
              </w:rPr>
              <w:t>62</w:t>
            </w:r>
          </w:p>
        </w:tc>
        <w:tc>
          <w:tcPr>
            <w:tcW w:type="dxa" w:w="1440"/>
            <w:shd w:fill="C6EFCE" w:val="clear"/>
          </w:tcPr>
          <w:p>
            <w:r>
              <w:rPr>
                <w:b/>
                <w:sz w:val="17"/>
              </w:rPr>
              <w:t>65</w:t>
            </w:r>
          </w:p>
        </w:tc>
        <w:tc>
          <w:tcPr>
            <w:tcW w:type="dxa" w:w="1440"/>
            <w:shd w:fill="C6EFCE" w:val="clear"/>
          </w:tcPr>
          <w:p>
            <w:r>
              <w:rPr>
                <w:sz w:val="17"/>
              </w:rPr>
              <w:t>68</w:t>
            </w:r>
          </w:p>
        </w:tc>
        <w:tc>
          <w:tcPr>
            <w:tcW w:type="dxa" w:w="1440"/>
            <w:shd w:fill="C6EFCE" w:val="clear"/>
          </w:tcPr>
          <w:p>
            <w:r>
              <w:rPr>
                <w:b/>
                <w:color w:val="008000"/>
                <w:sz w:val="17"/>
              </w:rPr>
              <w:t>+2.2%</w:t>
            </w:r>
          </w:p>
        </w:tc>
      </w:tr>
      <w:tr>
        <w:tc>
          <w:tcPr>
            <w:tcW w:type="dxa" w:w="1440"/>
            <w:shd w:fill="C6EFCE" w:val="clear"/>
          </w:tcPr>
          <w:p>
            <w:r>
              <w:rPr>
                <w:sz w:val="17"/>
              </w:rPr>
              <w:t>J+2  Moyenne</w:t>
            </w:r>
          </w:p>
        </w:tc>
        <w:tc>
          <w:tcPr>
            <w:tcW w:type="dxa" w:w="1440"/>
            <w:shd w:fill="C6EFCE" w:val="clear"/>
          </w:tcPr>
          <w:p>
            <w:r>
              <w:rPr>
                <w:sz w:val="17"/>
              </w:rPr>
              <w:t>2026-09-25</w:t>
            </w:r>
          </w:p>
        </w:tc>
        <w:tc>
          <w:tcPr>
            <w:tcW w:type="dxa" w:w="1440"/>
            <w:shd w:fill="C6EFCE" w:val="clear"/>
          </w:tcPr>
          <w:p>
            <w:r>
              <w:rPr>
                <w:sz w:val="17"/>
              </w:rPr>
              <w:t>61</w:t>
            </w:r>
          </w:p>
        </w:tc>
        <w:tc>
          <w:tcPr>
            <w:tcW w:type="dxa" w:w="1440"/>
            <w:shd w:fill="C6EFCE" w:val="clear"/>
          </w:tcPr>
          <w:p>
            <w:r>
              <w:rPr>
                <w:b/>
                <w:sz w:val="17"/>
              </w:rPr>
              <w:t>65</w:t>
            </w:r>
          </w:p>
        </w:tc>
        <w:tc>
          <w:tcPr>
            <w:tcW w:type="dxa" w:w="1440"/>
            <w:shd w:fill="C6EFCE" w:val="clear"/>
          </w:tcPr>
          <w:p>
            <w:r>
              <w:rPr>
                <w:sz w:val="17"/>
              </w:rPr>
              <w:t>70</w:t>
            </w:r>
          </w:p>
        </w:tc>
        <w:tc>
          <w:tcPr>
            <w:tcW w:type="dxa" w:w="1440"/>
            <w:shd w:fill="C6EFCE" w:val="clear"/>
          </w:tcPr>
          <w:p>
            <w:r>
              <w:rPr>
                <w:b/>
                <w:color w:val="008000"/>
                <w:sz w:val="17"/>
              </w:rPr>
              <w:t>+2.2%</w:t>
            </w:r>
          </w:p>
        </w:tc>
      </w:tr>
      <w:tr>
        <w:tc>
          <w:tcPr>
            <w:tcW w:type="dxa" w:w="1440"/>
            <w:shd w:fill="C6EFCE" w:val="clear"/>
          </w:tcPr>
          <w:p>
            <w:r>
              <w:rPr>
                <w:sz w:val="17"/>
              </w:rPr>
              <w:t>J+3  Moyenne</w:t>
            </w:r>
          </w:p>
        </w:tc>
        <w:tc>
          <w:tcPr>
            <w:tcW w:type="dxa" w:w="1440"/>
            <w:shd w:fill="C6EFCE" w:val="clear"/>
          </w:tcPr>
          <w:p>
            <w:r>
              <w:rPr>
                <w:sz w:val="17"/>
              </w:rPr>
              <w:t>2026-09-28</w:t>
            </w:r>
          </w:p>
        </w:tc>
        <w:tc>
          <w:tcPr>
            <w:tcW w:type="dxa" w:w="1440"/>
            <w:shd w:fill="C6EFCE" w:val="clear"/>
          </w:tcPr>
          <w:p>
            <w:r>
              <w:rPr>
                <w:sz w:val="17"/>
              </w:rPr>
              <w:t>61</w:t>
            </w:r>
          </w:p>
        </w:tc>
        <w:tc>
          <w:tcPr>
            <w:tcW w:type="dxa" w:w="1440"/>
            <w:shd w:fill="C6EFCE" w:val="clear"/>
          </w:tcPr>
          <w:p>
            <w:r>
              <w:rPr>
                <w:b/>
                <w:sz w:val="17"/>
              </w:rPr>
              <w:t>66</w:t>
            </w:r>
          </w:p>
        </w:tc>
        <w:tc>
          <w:tcPr>
            <w:tcW w:type="dxa" w:w="1440"/>
            <w:shd w:fill="C6EFCE" w:val="clear"/>
          </w:tcPr>
          <w:p>
            <w:r>
              <w:rPr>
                <w:sz w:val="17"/>
              </w:rPr>
              <w:t>71</w:t>
            </w:r>
          </w:p>
        </w:tc>
        <w:tc>
          <w:tcPr>
            <w:tcW w:type="dxa" w:w="1440"/>
            <w:shd w:fill="C6EFCE" w:val="clear"/>
          </w:tcPr>
          <w:p>
            <w:r>
              <w:rPr>
                <w:b/>
                <w:color w:val="008000"/>
                <w:sz w:val="17"/>
              </w:rPr>
              <w:t>+2.9%</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60</w:t>
            </w:r>
          </w:p>
        </w:tc>
        <w:tc>
          <w:tcPr>
            <w:tcW w:type="dxa" w:w="1440"/>
            <w:shd w:fill="C6EFCE" w:val="clear"/>
          </w:tcPr>
          <w:p>
            <w:r>
              <w:rPr>
                <w:b/>
                <w:sz w:val="17"/>
              </w:rPr>
              <w:t>66</w:t>
            </w:r>
          </w:p>
        </w:tc>
        <w:tc>
          <w:tcPr>
            <w:tcW w:type="dxa" w:w="1440"/>
            <w:shd w:fill="C6EFCE" w:val="clear"/>
          </w:tcPr>
          <w:p>
            <w:r>
              <w:rPr>
                <w:sz w:val="17"/>
              </w:rPr>
              <w:t>72</w:t>
            </w:r>
          </w:p>
        </w:tc>
        <w:tc>
          <w:tcPr>
            <w:tcW w:type="dxa" w:w="1440"/>
            <w:shd w:fill="C6EFCE" w:val="clear"/>
          </w:tcPr>
          <w:p>
            <w:r>
              <w:rPr>
                <w:b/>
                <w:color w:val="008000"/>
                <w:sz w:val="17"/>
              </w:rPr>
              <w:t>+3.3%</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60</w:t>
            </w:r>
          </w:p>
        </w:tc>
        <w:tc>
          <w:tcPr>
            <w:tcW w:type="dxa" w:w="1440"/>
            <w:shd w:fill="C6EFCE" w:val="clear"/>
          </w:tcPr>
          <w:p>
            <w:r>
              <w:rPr>
                <w:b/>
                <w:sz w:val="17"/>
              </w:rPr>
              <w:t>66</w:t>
            </w:r>
          </w:p>
        </w:tc>
        <w:tc>
          <w:tcPr>
            <w:tcW w:type="dxa" w:w="1440"/>
            <w:shd w:fill="C6EFCE" w:val="clear"/>
          </w:tcPr>
          <w:p>
            <w:r>
              <w:rPr>
                <w:sz w:val="17"/>
              </w:rPr>
              <w:t>73</w:t>
            </w:r>
          </w:p>
        </w:tc>
        <w:tc>
          <w:tcPr>
            <w:tcW w:type="dxa" w:w="1440"/>
            <w:shd w:fill="C6EFCE" w:val="clear"/>
          </w:tcPr>
          <w:p>
            <w:r>
              <w:rPr>
                <w:b/>
                <w:color w:val="008000"/>
                <w:sz w:val="17"/>
              </w:rPr>
              <w:t>+3.6%</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59</w:t>
            </w:r>
          </w:p>
        </w:tc>
        <w:tc>
          <w:tcPr>
            <w:tcW w:type="dxa" w:w="1440"/>
            <w:shd w:fill="C6EFCE" w:val="clear"/>
          </w:tcPr>
          <w:p>
            <w:r>
              <w:rPr>
                <w:b/>
                <w:sz w:val="17"/>
              </w:rPr>
              <w:t>66</w:t>
            </w:r>
          </w:p>
        </w:tc>
        <w:tc>
          <w:tcPr>
            <w:tcW w:type="dxa" w:w="1440"/>
            <w:shd w:fill="C6EFCE" w:val="clear"/>
          </w:tcPr>
          <w:p>
            <w:r>
              <w:rPr>
                <w:sz w:val="17"/>
              </w:rPr>
              <w:t>74</w:t>
            </w:r>
          </w:p>
        </w:tc>
        <w:tc>
          <w:tcPr>
            <w:tcW w:type="dxa" w:w="1440"/>
            <w:shd w:fill="C6EFCE" w:val="clear"/>
          </w:tcPr>
          <w:p>
            <w:r>
              <w:rPr>
                <w:b/>
                <w:color w:val="008000"/>
                <w:sz w:val="17"/>
              </w:rPr>
              <w:t>+3.8%</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58</w:t>
            </w:r>
          </w:p>
        </w:tc>
        <w:tc>
          <w:tcPr>
            <w:tcW w:type="dxa" w:w="1440"/>
            <w:shd w:fill="C6EFCE" w:val="clear"/>
          </w:tcPr>
          <w:p>
            <w:r>
              <w:rPr>
                <w:b/>
                <w:sz w:val="17"/>
              </w:rPr>
              <w:t>67</w:t>
            </w:r>
          </w:p>
        </w:tc>
        <w:tc>
          <w:tcPr>
            <w:tcW w:type="dxa" w:w="1440"/>
            <w:shd w:fill="C6EFCE" w:val="clear"/>
          </w:tcPr>
          <w:p>
            <w:r>
              <w:rPr>
                <w:sz w:val="17"/>
              </w:rPr>
              <w:t>75</w:t>
            </w:r>
          </w:p>
        </w:tc>
        <w:tc>
          <w:tcPr>
            <w:tcW w:type="dxa" w:w="1440"/>
            <w:shd w:fill="C6EFCE" w:val="clear"/>
          </w:tcPr>
          <w:p>
            <w:r>
              <w:rPr>
                <w:b/>
                <w:color w:val="008000"/>
                <w:sz w:val="17"/>
              </w:rPr>
              <w:t>+3.9%</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58</w:t>
            </w:r>
          </w:p>
        </w:tc>
        <w:tc>
          <w:tcPr>
            <w:tcW w:type="dxa" w:w="1440"/>
            <w:shd w:fill="C6EFCE" w:val="clear"/>
          </w:tcPr>
          <w:p>
            <w:r>
              <w:rPr>
                <w:b/>
                <w:sz w:val="17"/>
              </w:rPr>
              <w:t>67</w:t>
            </w:r>
          </w:p>
        </w:tc>
        <w:tc>
          <w:tcPr>
            <w:tcW w:type="dxa" w:w="1440"/>
            <w:shd w:fill="C6EFCE" w:val="clear"/>
          </w:tcPr>
          <w:p>
            <w:r>
              <w:rPr>
                <w:sz w:val="17"/>
              </w:rPr>
              <w:t>75</w:t>
            </w:r>
          </w:p>
        </w:tc>
        <w:tc>
          <w:tcPr>
            <w:tcW w:type="dxa" w:w="1440"/>
            <w:shd w:fill="C6EFCE" w:val="clear"/>
          </w:tcPr>
          <w:p>
            <w:r>
              <w:rPr>
                <w:b/>
                <w:color w:val="008000"/>
                <w:sz w:val="17"/>
              </w:rPr>
              <w:t>+4.0%</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57</w:t>
            </w:r>
          </w:p>
        </w:tc>
        <w:tc>
          <w:tcPr>
            <w:tcW w:type="dxa" w:w="1440"/>
            <w:shd w:fill="C6EFCE" w:val="clear"/>
          </w:tcPr>
          <w:p>
            <w:r>
              <w:rPr>
                <w:b/>
                <w:sz w:val="17"/>
              </w:rPr>
              <w:t>67</w:t>
            </w:r>
          </w:p>
        </w:tc>
        <w:tc>
          <w:tcPr>
            <w:tcW w:type="dxa" w:w="1440"/>
            <w:shd w:fill="C6EFCE" w:val="clear"/>
          </w:tcPr>
          <w:p>
            <w:r>
              <w:rPr>
                <w:sz w:val="17"/>
              </w:rPr>
              <w:t>76</w:t>
            </w:r>
          </w:p>
        </w:tc>
        <w:tc>
          <w:tcPr>
            <w:tcW w:type="dxa" w:w="1440"/>
            <w:shd w:fill="C6EFCE" w:val="clear"/>
          </w:tcPr>
          <w:p>
            <w:r>
              <w:rPr>
                <w:b/>
                <w:color w:val="008000"/>
                <w:sz w:val="17"/>
              </w:rPr>
              <w:t>+4.1%</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57</w:t>
            </w:r>
          </w:p>
        </w:tc>
        <w:tc>
          <w:tcPr>
            <w:tcW w:type="dxa" w:w="1440"/>
            <w:shd w:fill="C6EFCE" w:val="clear"/>
          </w:tcPr>
          <w:p>
            <w:r>
              <w:rPr>
                <w:b/>
                <w:sz w:val="17"/>
              </w:rPr>
              <w:t>67</w:t>
            </w:r>
          </w:p>
        </w:tc>
        <w:tc>
          <w:tcPr>
            <w:tcW w:type="dxa" w:w="1440"/>
            <w:shd w:fill="C6EFCE" w:val="clear"/>
          </w:tcPr>
          <w:p>
            <w:r>
              <w:rPr>
                <w:sz w:val="17"/>
              </w:rPr>
              <w:t>76</w:t>
            </w:r>
          </w:p>
        </w:tc>
        <w:tc>
          <w:tcPr>
            <w:tcW w:type="dxa" w:w="1440"/>
            <w:shd w:fill="C6EFCE" w:val="clear"/>
          </w:tcPr>
          <w:p>
            <w:r>
              <w:rPr>
                <w:b/>
                <w:color w:val="008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1 157,38 milliards FCFA, ETIT figure parmi les poids lourds de la cote BRVM, ce qui en fait un titre incontournable pour les investisseurs institutionnels régionaux. Le BPA de 19 FCFA/action signifie que chaque titre génère près de 19 FCFA de bénéfice net, un niveau de rentabilité par action solide pour une banque panafricaine. Le PER de 3,3x traduit une valorisation très bon marché comparée à la moyenne BRVM (8-12x) : les investisseurs ne paient que 3,3 fois les bénéfices, ce qui suggère une sous-évaluation potentielle marquée. Le P/B de 0,72x (&lt; 1) indique que le marché valorise ETIT en dessous de sa valeur comptable, une anomalie souvent considérée comme une opportunité d'achat pour les investisseurs value. Enfin, l'EV/EBITDA de 4,9x (&lt; 5x) confirme que la valeur totale de l'entreprise (dette incluse) reste très raisonnable par rapport à sa capacité opérationnelle, renforçant le diagnostic de sous-évaluation globale.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ETIT affiche une performance spectaculaire de +120,69%, mais la dernière séance (J-1) enregistre un repli de -7,25%, signalant une prise de bénéfices après un rallye exceptionnel. Le titre a évolué dans un range très large, entre un plus bas de 29 FCFA et un plus haut de 78 FCFA, soit une amplitude de 169%, ce qui témoigne d'une forte dynamique haussière entrecoupée de corrections. La tendance générale reste nettement haussière, portée par un volume moyen quotidien élevé de 1 649 752 titres, gage de liquidité et d'intérêt soutenu des investisseurs. Les statistiques descriptives révèlent une moyenne de 52 FCFA contre une médiane de 64 FCFA : cet écart significatif indique une distribution asymétrique, le cours ayant passé plus de temps dans les niveaux élevés récents que dans les bas niveaux initiaux. L'écart-type de 18 FCFA (CV = 34,3%) traduit une dispersion importante du cours, cohérente avec un titre en forte tendance. Le kurtosis de -1,784 (platykurtique) signale une distribution aplatie avec une faible concentration autour de la moyenne, donc un risque de pics de volatilité moins prononcé qu'une distribution normale, tandis que le skewness de -0,206 (quasi-symétrique) indique un léger biais baissier sans excès. La volatilité annualisée de 61,8% classe ETIT dans la catégorie des titres à volatilité élevée (&gt;30%), ce qui implique un risque de marché significatif mais aussi un potentiel de gain attractif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(68,95 FCFA) et la MM50 (68,44 FCFA) sont quasi confondues et toutes deux supérieures au cours actuel (64 FCFA), ce qui place le titre en position de repli sous ses moyennes court et moyen terme. Cette configuration, bien que baissière à court terme, est cohérente avec la décision "Achat" fournie, car le cours reste historiquement très au-dessus de ses niveaux de base et le croisement MM20/MM50 reste haussier.</w:t>
      </w:r>
    </w:p>
    <w:p>
      <w:pPr>
        <w:spacing w:after="120" w:line="276" w:lineRule="auto"/>
      </w:pPr>
      <w:r>
        <w:t>**Bandes de Bollinger** : Le cours (64 FCFA) se situe juste en dessous de la borne inférieure (64,771 FCFA), ce qui constitue un signal de survente technique et une opportunité d'achat potentielle selon la décision fournie ("Achat"). La largeur des bandes (73,129 - 64,771 = 8,358 FCFA) reflète une volatilité modérée à élevée, et le fait que le cours touche la borne basse suggère une possible réaction haussière à court terme.</w:t>
      </w:r>
    </w:p>
    <w:p>
      <w:pPr>
        <w:spacing w:after="120" w:line="276" w:lineRule="auto"/>
      </w:pPr>
      <w:r>
        <w:t>**MACD** : La valeur du MACD (0,617) est inférieure à son signal (1,267), générant une décision "Vente" et indiquant un momentum baissier à court terme. Cette divergence négative suggère que la dynamique haussière s'essouffle et qu'une consolidation ou correction est en cours, ce qui contraste avec les autres indicateurs plus optimistes.</w:t>
      </w:r>
    </w:p>
    <w:p>
      <w:pPr>
        <w:spacing w:after="120" w:line="276" w:lineRule="auto"/>
      </w:pPr>
      <w:r>
        <w:t>**RSI** : Avec une valeur de 27,273, le RSI se situe en zone de survente (&lt; 30), déclenchant une décision "Achat". Ce niveau extrême indique que le titre a été massivement vendu à court terme et qu'un rebond technique est statistiquement probable, surtout après la chute de -7,25% de la dernière séance.</w:t>
      </w:r>
    </w:p>
    <w:p>
      <w:pPr>
        <w:spacing w:after="120" w:line="276" w:lineRule="auto"/>
      </w:pPr>
      <w:r>
        <w:t>**Stochastique** : Le %K (0,0) est au plus bas absolu et inférieur au %D (26,667), confirmant une situation de survente extrême avec une décision "Achat". Le croisement potentiel à venir du %K au-dessus du %D serait un signal d'entrée haussier, mais pour l'instant le momentum reste négatif.</w:t>
      </w:r>
    </w:p>
    <w:p>
      <w:pPr>
        <w:spacing w:after="120" w:line="276" w:lineRule="auto"/>
      </w:pPr>
      <w:r>
        <w:t>**Conclusion technique** : Les indicateurs techniques présentent un tableau contrasté : si le MACD est baissier, les MM, Bandes de Bollinger, RSI et Stochastique convergent tous vers une décision "Achat", portée par des conditions de survente marquée. Cette divergence MACD/autres indicateurs suggère que le titre se trouve dans une phase de correction au sein d'une tendance haussière plus large, offrant potentiellement un point d'entrée intéressant pour les investisseurs cherchant à profiter d'un rebond technique.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pour ETIT (secteur Banque) révèlent un Produit Net Bancaire (équivalent du chiffre d'affaires) de 1 424,261 milliards FCFA, un résultat net de 345,523 milliards FCFA, un ROE de 21,62% (&gt;15%, excellent) et un ROA de 1,80%. Le coefficient d'exploitation de 27,35% est exceptionnellement bas (&lt; 60% = banque très efficace), témoignant d'une maîtrise remarquable des charges. Le coût du risque (provisions/charges financières) s'élève à 18,97%, un niveau élevé qui signale un risque de crédit significatif à surveiller. La structure financière montre une autonomie financière de 8,30% (faible) et un ratio d'endettement de 154,06%, typique d'une banque dont le modèle repose sur les dépôts clientèle (14 120,139 milliards FCFA) pour financer les créances clientèle (6 570,385 milliards FCFA), avec un ratio de transformation de 46,5%. Les rapports narratifs récents confirment cette dynamique : le rapport S1 2026 (publié le 21 juillet 2026) indique un PNB de 1 281,330 millions $EU (721 318 millions FCFA) en hausse de +15% sur un an, un résultat net de 296,091 millions $EU (+6%) et un coefficient d'exploitation amélioré à 48,4%. Le rapport T1 2026 (publié en 2026) fait état d'un PNB en hausse de +23% à 636,2 millions $EU et d'un résultat net de 142,5 millions $EU (+16%), mais avec un coût du risque en forte hausse de +73%. Le rapport 9 mois 2025 (30 septembre 2025) affichait un PNB de 1 029,2 milliards FCFA (+18% en $EU) et un résultat net de 267,0 milliards FCFA (+34%), avec un ROE tangible de 31,2%. Sur la base du rapport S1 2026 (PNB +15%, résultat net +6%), on peut estimer que l'exercice 2026 devrait enregistrer une croissance du PNB d'environ 12-15% et une progression du résultat net de 5-8%, sous réserve de la maîtrise du coût du risque qui bondit de +40% au S1 2026. La recommandation fondamentale est positive : la banque affiche une solidité financière confirmée, une rentabilité élevée (ROE &gt;20%) et une efficacité opérationnelle remarquable, mais les risques de crédit et de change (dépréciation des devises africaines) constituent des points de vigilance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d'ETIT apparaît nettement sous-évaluée : PER de 3,3x (vs 8-12x pour la BRVM), P/B de 0,72x (&lt; 1) et EV/EBITDA de 4,9x (&lt; 5x) offrent une marge de sécurité substantielle. Le comportement du cours sur 100 jours est haussier (+120,69%) mais la correction récente (-7,25% en J-1) et la volatilité élevée (61,8%) incitent à la prudence à court terme, même si les statistiques (kurtosis platykurtique, skewness quasi-symétrique) ne révèlent pas de risque de queue épaisse excessif. Les signaux techniques sont majoritairement haussiers (MM, Bollinger, RSI en survente, Stochastique), à l'exception du MACD baissier, ce qui suggère un rebond technique probable après la survente. Les fondamentaux sont solides : ROE de 21,62%, coefficient d'exploitation de 27,35%, PNB de 1 424,261 milliards FCFA en 2025, et les rapports S1 2026 et T1 2026 confirment la croissance du PNB (+15% et +23% respectivement), bien que le coût du risque (+40% au S1 2026) et la hausse des charges (+13%) tempèrent l'optimisme. Les prédictions IA pour les 10 prochains jours ouvrables (65-66 FCFA) anticipent une légère reprise (+1,6% à +3,1% par rapport au cours actuel de 64 FCFA), ce qui confirme le scénario d'un rebond technique post-survente. Sur la base de cette synthèse globale, la recommandation finale est **ACHAT**, avec un niveau de confiance **Moyen** et un risque global **Élevé** (volatilité de 61,8%, coût du risque en hausse, exposition aux devises africaines). L'horizon d'investissement optimal est **moyen terme (3-12 mois)**, le temps que la correction technique s'achève et que les fondamentaux solides (ROE &gt;20%, sous-évaluation) se matérialisent dans le cours, avec un objectif de cours potentiel de 75-80 FCFA si le rebond se confirme.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4,052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-9.09%</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5.98% (Moyenne) — μ=2,124 FCFA, σ=127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β=0.5445 (Défensif) — Cov=0.000022, Var(idx)=0.000041, ρ=0.179,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1,914</w:t>
            </w:r>
          </w:p>
        </w:tc>
        <w:tc>
          <w:tcPr>
            <w:tcW w:type="dxa" w:w="1440"/>
            <w:shd w:fill="FAFAFA" w:val="clear"/>
          </w:tcPr>
          <w:p>
            <w:r>
              <w:rPr>
                <w:b/>
                <w:sz w:val="17"/>
              </w:rPr>
              <w:t>1,978</w:t>
            </w:r>
          </w:p>
        </w:tc>
        <w:tc>
          <w:tcPr>
            <w:tcW w:type="dxa" w:w="1440"/>
            <w:shd w:fill="FAFAFA" w:val="clear"/>
          </w:tcPr>
          <w:p>
            <w:r>
              <w:rPr>
                <w:sz w:val="17"/>
              </w:rPr>
              <w:t>2,042</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1,879</w:t>
            </w:r>
          </w:p>
        </w:tc>
        <w:tc>
          <w:tcPr>
            <w:tcW w:type="dxa" w:w="1440"/>
            <w:shd w:fill="FAFAFA" w:val="clear"/>
          </w:tcPr>
          <w:p>
            <w:r>
              <w:rPr>
                <w:b/>
                <w:sz w:val="17"/>
              </w:rPr>
              <w:t>1,969</w:t>
            </w:r>
          </w:p>
        </w:tc>
        <w:tc>
          <w:tcPr>
            <w:tcW w:type="dxa" w:w="1440"/>
            <w:shd w:fill="FAFAFA" w:val="clear"/>
          </w:tcPr>
          <w:p>
            <w:r>
              <w:rPr>
                <w:sz w:val="17"/>
              </w:rPr>
              <w:t>2,059</w:t>
            </w:r>
          </w:p>
        </w:tc>
        <w:tc>
          <w:tcPr>
            <w:tcW w:type="dxa" w:w="1440"/>
            <w:shd w:fill="FAFAFA" w:val="clear"/>
          </w:tcPr>
          <w:p>
            <w:r>
              <w:rPr>
                <w:b/>
                <w:color w:val="C00000"/>
                <w:sz w:val="17"/>
              </w:rPr>
              <w:t>-1.5%</w:t>
            </w:r>
          </w:p>
        </w:tc>
      </w:tr>
      <w:tr>
        <w:tc>
          <w:tcPr>
            <w:tcW w:type="dxa" w:w="1440"/>
            <w:shd w:fill="FFDCE0" w:val="clear"/>
          </w:tcPr>
          <w:p>
            <w:r>
              <w:rPr>
                <w:sz w:val="17"/>
              </w:rPr>
              <w:t>J+3  ⭐⭐⭐</w:t>
            </w:r>
          </w:p>
        </w:tc>
        <w:tc>
          <w:tcPr>
            <w:tcW w:type="dxa" w:w="1440"/>
            <w:shd w:fill="FFDCE0" w:val="clear"/>
          </w:tcPr>
          <w:p>
            <w:r>
              <w:rPr>
                <w:sz w:val="17"/>
              </w:rPr>
              <w:t>2026-09-28</w:t>
            </w:r>
          </w:p>
        </w:tc>
        <w:tc>
          <w:tcPr>
            <w:tcW w:type="dxa" w:w="1440"/>
            <w:shd w:fill="FFDCE0" w:val="clear"/>
          </w:tcPr>
          <w:p>
            <w:r>
              <w:rPr>
                <w:sz w:val="17"/>
              </w:rPr>
              <w:t>1,846</w:t>
            </w:r>
          </w:p>
        </w:tc>
        <w:tc>
          <w:tcPr>
            <w:tcW w:type="dxa" w:w="1440"/>
            <w:shd w:fill="FFDCE0" w:val="clear"/>
          </w:tcPr>
          <w:p>
            <w:r>
              <w:rPr>
                <w:b/>
                <w:sz w:val="17"/>
              </w:rPr>
              <w:t>1,956</w:t>
            </w:r>
          </w:p>
        </w:tc>
        <w:tc>
          <w:tcPr>
            <w:tcW w:type="dxa" w:w="1440"/>
            <w:shd w:fill="FFDCE0" w:val="clear"/>
          </w:tcPr>
          <w:p>
            <w:r>
              <w:rPr>
                <w:sz w:val="17"/>
              </w:rPr>
              <w:t>2,066</w:t>
            </w:r>
          </w:p>
        </w:tc>
        <w:tc>
          <w:tcPr>
            <w:tcW w:type="dxa" w:w="1440"/>
            <w:shd w:fill="FFDCE0" w:val="clear"/>
          </w:tcPr>
          <w:p>
            <w:r>
              <w:rPr>
                <w:b/>
                <w:color w:val="C00000"/>
                <w:sz w:val="17"/>
              </w:rPr>
              <w:t>-2.2%</w:t>
            </w:r>
          </w:p>
        </w:tc>
      </w:tr>
      <w:tr>
        <w:tc>
          <w:tcPr>
            <w:tcW w:type="dxa" w:w="1440"/>
            <w:shd w:fill="FFDCE0" w:val="clear"/>
          </w:tcPr>
          <w:p>
            <w:r>
              <w:rPr>
                <w:sz w:val="17"/>
              </w:rPr>
              <w:t>J+4  Moyenne</w:t>
            </w:r>
          </w:p>
        </w:tc>
        <w:tc>
          <w:tcPr>
            <w:tcW w:type="dxa" w:w="1440"/>
            <w:shd w:fill="FFDCE0" w:val="clear"/>
          </w:tcPr>
          <w:p>
            <w:r>
              <w:rPr>
                <w:sz w:val="17"/>
              </w:rPr>
              <w:t>2026-09-29</w:t>
            </w:r>
          </w:p>
        </w:tc>
        <w:tc>
          <w:tcPr>
            <w:tcW w:type="dxa" w:w="1440"/>
            <w:shd w:fill="FFDCE0" w:val="clear"/>
          </w:tcPr>
          <w:p>
            <w:r>
              <w:rPr>
                <w:sz w:val="17"/>
              </w:rPr>
              <w:t>1,817</w:t>
            </w:r>
          </w:p>
        </w:tc>
        <w:tc>
          <w:tcPr>
            <w:tcW w:type="dxa" w:w="1440"/>
            <w:shd w:fill="FFDCE0" w:val="clear"/>
          </w:tcPr>
          <w:p>
            <w:r>
              <w:rPr>
                <w:b/>
                <w:sz w:val="17"/>
              </w:rPr>
              <w:t>1,943</w:t>
            </w:r>
          </w:p>
        </w:tc>
        <w:tc>
          <w:tcPr>
            <w:tcW w:type="dxa" w:w="1440"/>
            <w:shd w:fill="FFDCE0" w:val="clear"/>
          </w:tcPr>
          <w:p>
            <w:r>
              <w:rPr>
                <w:sz w:val="17"/>
              </w:rPr>
              <w:t>2,069</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2026-09-30</w:t>
            </w:r>
          </w:p>
        </w:tc>
        <w:tc>
          <w:tcPr>
            <w:tcW w:type="dxa" w:w="1440"/>
            <w:shd w:fill="FFDCE0" w:val="clear"/>
          </w:tcPr>
          <w:p>
            <w:r>
              <w:rPr>
                <w:sz w:val="17"/>
              </w:rPr>
              <w:t>1,791</w:t>
            </w:r>
          </w:p>
        </w:tc>
        <w:tc>
          <w:tcPr>
            <w:tcW w:type="dxa" w:w="1440"/>
            <w:shd w:fill="FFDCE0" w:val="clear"/>
          </w:tcPr>
          <w:p>
            <w:r>
              <w:rPr>
                <w:b/>
                <w:sz w:val="17"/>
              </w:rPr>
              <w:t>1,931</w:t>
            </w:r>
          </w:p>
        </w:tc>
        <w:tc>
          <w:tcPr>
            <w:tcW w:type="dxa" w:w="1440"/>
            <w:shd w:fill="FFDCE0" w:val="clear"/>
          </w:tcPr>
          <w:p>
            <w:r>
              <w:rPr>
                <w:sz w:val="17"/>
              </w:rPr>
              <w:t>2,071</w:t>
            </w:r>
          </w:p>
        </w:tc>
        <w:tc>
          <w:tcPr>
            <w:tcW w:type="dxa" w:w="1440"/>
            <w:shd w:fill="FFDCE0" w:val="clear"/>
          </w:tcPr>
          <w:p>
            <w:r>
              <w:rPr>
                <w:b/>
                <w:color w:val="C00000"/>
                <w:sz w:val="17"/>
              </w:rPr>
              <w:t>-3.5%</w:t>
            </w:r>
          </w:p>
        </w:tc>
      </w:tr>
      <w:tr>
        <w:tc>
          <w:tcPr>
            <w:tcW w:type="dxa" w:w="1440"/>
            <w:shd w:fill="FFDCE0" w:val="clear"/>
          </w:tcPr>
          <w:p>
            <w:r>
              <w:rPr>
                <w:sz w:val="17"/>
              </w:rPr>
              <w:t>J+6  Moyenne</w:t>
            </w:r>
          </w:p>
        </w:tc>
        <w:tc>
          <w:tcPr>
            <w:tcW w:type="dxa" w:w="1440"/>
            <w:shd w:fill="FFDCE0" w:val="clear"/>
          </w:tcPr>
          <w:p>
            <w:r>
              <w:rPr>
                <w:sz w:val="17"/>
              </w:rPr>
              <w:t>2026-10-01</w:t>
            </w:r>
          </w:p>
        </w:tc>
        <w:tc>
          <w:tcPr>
            <w:tcW w:type="dxa" w:w="1440"/>
            <w:shd w:fill="FFDCE0" w:val="clear"/>
          </w:tcPr>
          <w:p>
            <w:r>
              <w:rPr>
                <w:sz w:val="17"/>
              </w:rPr>
              <w:t>1,767</w:t>
            </w:r>
          </w:p>
        </w:tc>
        <w:tc>
          <w:tcPr>
            <w:tcW w:type="dxa" w:w="1440"/>
            <w:shd w:fill="FFDCE0" w:val="clear"/>
          </w:tcPr>
          <w:p>
            <w:r>
              <w:rPr>
                <w:b/>
                <w:sz w:val="17"/>
              </w:rPr>
              <w:t>1,919</w:t>
            </w:r>
          </w:p>
        </w:tc>
        <w:tc>
          <w:tcPr>
            <w:tcW w:type="dxa" w:w="1440"/>
            <w:shd w:fill="FFDCE0" w:val="clear"/>
          </w:tcPr>
          <w:p>
            <w:r>
              <w:rPr>
                <w:sz w:val="17"/>
              </w:rPr>
              <w:t>2,071</w:t>
            </w:r>
          </w:p>
        </w:tc>
        <w:tc>
          <w:tcPr>
            <w:tcW w:type="dxa" w:w="1440"/>
            <w:shd w:fill="FFDCE0" w:val="clear"/>
          </w:tcPr>
          <w:p>
            <w:r>
              <w:rPr>
                <w:b/>
                <w:color w:val="C00000"/>
                <w:sz w:val="17"/>
              </w:rPr>
              <w:t>-4.1%</w:t>
            </w:r>
          </w:p>
        </w:tc>
      </w:tr>
      <w:tr>
        <w:tc>
          <w:tcPr>
            <w:tcW w:type="dxa" w:w="1440"/>
            <w:shd w:fill="FFDCE0" w:val="clear"/>
          </w:tcPr>
          <w:p>
            <w:r>
              <w:rPr>
                <w:sz w:val="17"/>
              </w:rPr>
              <w:t>J+7  Moyenne</w:t>
            </w:r>
          </w:p>
        </w:tc>
        <w:tc>
          <w:tcPr>
            <w:tcW w:type="dxa" w:w="1440"/>
            <w:shd w:fill="FFDCE0" w:val="clear"/>
          </w:tcPr>
          <w:p>
            <w:r>
              <w:rPr>
                <w:sz w:val="17"/>
              </w:rPr>
              <w:t>2026-10-02</w:t>
            </w:r>
          </w:p>
        </w:tc>
        <w:tc>
          <w:tcPr>
            <w:tcW w:type="dxa" w:w="1440"/>
            <w:shd w:fill="FFDCE0" w:val="clear"/>
          </w:tcPr>
          <w:p>
            <w:r>
              <w:rPr>
                <w:sz w:val="17"/>
              </w:rPr>
              <w:t>1,744</w:t>
            </w:r>
          </w:p>
        </w:tc>
        <w:tc>
          <w:tcPr>
            <w:tcW w:type="dxa" w:w="1440"/>
            <w:shd w:fill="FFDCE0" w:val="clear"/>
          </w:tcPr>
          <w:p>
            <w:r>
              <w:rPr>
                <w:b/>
                <w:sz w:val="17"/>
              </w:rPr>
              <w:t>1,907</w:t>
            </w:r>
          </w:p>
        </w:tc>
        <w:tc>
          <w:tcPr>
            <w:tcW w:type="dxa" w:w="1440"/>
            <w:shd w:fill="FFDCE0" w:val="clear"/>
          </w:tcPr>
          <w:p>
            <w:r>
              <w:rPr>
                <w:sz w:val="17"/>
              </w:rPr>
              <w:t>2,071</w:t>
            </w:r>
          </w:p>
        </w:tc>
        <w:tc>
          <w:tcPr>
            <w:tcW w:type="dxa" w:w="1440"/>
            <w:shd w:fill="FFDCE0" w:val="clear"/>
          </w:tcPr>
          <w:p>
            <w:r>
              <w:rPr>
                <w:b/>
                <w:color w:val="C00000"/>
                <w:sz w:val="17"/>
              </w:rPr>
              <w:t>-4.6%</w:t>
            </w:r>
          </w:p>
        </w:tc>
      </w:tr>
      <w:tr>
        <w:tc>
          <w:tcPr>
            <w:tcW w:type="dxa" w:w="1440"/>
            <w:shd w:fill="FFDCE0" w:val="clear"/>
          </w:tcPr>
          <w:p>
            <w:r>
              <w:rPr>
                <w:sz w:val="17"/>
              </w:rPr>
              <w:t>J+8  Moyenne</w:t>
            </w:r>
          </w:p>
        </w:tc>
        <w:tc>
          <w:tcPr>
            <w:tcW w:type="dxa" w:w="1440"/>
            <w:shd w:fill="FFDCE0" w:val="clear"/>
          </w:tcPr>
          <w:p>
            <w:r>
              <w:rPr>
                <w:sz w:val="17"/>
              </w:rPr>
              <w:t>2026-10-05</w:t>
            </w:r>
          </w:p>
        </w:tc>
        <w:tc>
          <w:tcPr>
            <w:tcW w:type="dxa" w:w="1440"/>
            <w:shd w:fill="FFDCE0" w:val="clear"/>
          </w:tcPr>
          <w:p>
            <w:r>
              <w:rPr>
                <w:sz w:val="17"/>
              </w:rPr>
              <w:t>1,722</w:t>
            </w:r>
          </w:p>
        </w:tc>
        <w:tc>
          <w:tcPr>
            <w:tcW w:type="dxa" w:w="1440"/>
            <w:shd w:fill="FFDCE0" w:val="clear"/>
          </w:tcPr>
          <w:p>
            <w:r>
              <w:rPr>
                <w:b/>
                <w:sz w:val="17"/>
              </w:rPr>
              <w:t>1,896</w:t>
            </w:r>
          </w:p>
        </w:tc>
        <w:tc>
          <w:tcPr>
            <w:tcW w:type="dxa" w:w="1440"/>
            <w:shd w:fill="FFDCE0" w:val="clear"/>
          </w:tcPr>
          <w:p>
            <w:r>
              <w:rPr>
                <w:sz w:val="17"/>
              </w:rPr>
              <w:t>2,070</w:t>
            </w:r>
          </w:p>
        </w:tc>
        <w:tc>
          <w:tcPr>
            <w:tcW w:type="dxa" w:w="1440"/>
            <w:shd w:fill="FFDCE0" w:val="clear"/>
          </w:tcPr>
          <w:p>
            <w:r>
              <w:rPr>
                <w:b/>
                <w:color w:val="C00000"/>
                <w:sz w:val="17"/>
              </w:rPr>
              <w:t>-5.2%</w:t>
            </w:r>
          </w:p>
        </w:tc>
      </w:tr>
      <w:tr>
        <w:tc>
          <w:tcPr>
            <w:tcW w:type="dxa" w:w="1440"/>
            <w:shd w:fill="FFDCE0" w:val="clear"/>
          </w:tcPr>
          <w:p>
            <w:r>
              <w:rPr>
                <w:sz w:val="17"/>
              </w:rPr>
              <w:t>J+9  Moyenne</w:t>
            </w:r>
          </w:p>
        </w:tc>
        <w:tc>
          <w:tcPr>
            <w:tcW w:type="dxa" w:w="1440"/>
            <w:shd w:fill="FFDCE0" w:val="clear"/>
          </w:tcPr>
          <w:p>
            <w:r>
              <w:rPr>
                <w:sz w:val="17"/>
              </w:rPr>
              <w:t>2026-10-06</w:t>
            </w:r>
          </w:p>
        </w:tc>
        <w:tc>
          <w:tcPr>
            <w:tcW w:type="dxa" w:w="1440"/>
            <w:shd w:fill="FFDCE0" w:val="clear"/>
          </w:tcPr>
          <w:p>
            <w:r>
              <w:rPr>
                <w:sz w:val="17"/>
              </w:rPr>
              <w:t>1,702</w:t>
            </w:r>
          </w:p>
        </w:tc>
        <w:tc>
          <w:tcPr>
            <w:tcW w:type="dxa" w:w="1440"/>
            <w:shd w:fill="FFDCE0" w:val="clear"/>
          </w:tcPr>
          <w:p>
            <w:r>
              <w:rPr>
                <w:b/>
                <w:sz w:val="17"/>
              </w:rPr>
              <w:t>1,885</w:t>
            </w:r>
          </w:p>
        </w:tc>
        <w:tc>
          <w:tcPr>
            <w:tcW w:type="dxa" w:w="1440"/>
            <w:shd w:fill="FFDCE0" w:val="clear"/>
          </w:tcPr>
          <w:p>
            <w:r>
              <w:rPr>
                <w:sz w:val="17"/>
              </w:rPr>
              <w:t>2,068</w:t>
            </w:r>
          </w:p>
        </w:tc>
        <w:tc>
          <w:tcPr>
            <w:tcW w:type="dxa" w:w="1440"/>
            <w:shd w:fill="FFDCE0" w:val="clear"/>
          </w:tcPr>
          <w:p>
            <w:r>
              <w:rPr>
                <w:b/>
                <w:color w:val="C00000"/>
                <w:sz w:val="17"/>
              </w:rPr>
              <w:t>-5.7%</w:t>
            </w:r>
          </w:p>
        </w:tc>
      </w:tr>
      <w:tr>
        <w:tc>
          <w:tcPr>
            <w:tcW w:type="dxa" w:w="1440"/>
            <w:shd w:fill="FFDCE0" w:val="clear"/>
          </w:tcPr>
          <w:p>
            <w:r>
              <w:rPr>
                <w:sz w:val="17"/>
              </w:rPr>
              <w:t>J+10  Moyenne</w:t>
            </w:r>
          </w:p>
        </w:tc>
        <w:tc>
          <w:tcPr>
            <w:tcW w:type="dxa" w:w="1440"/>
            <w:shd w:fill="FFDCE0" w:val="clear"/>
          </w:tcPr>
          <w:p>
            <w:r>
              <w:rPr>
                <w:sz w:val="17"/>
              </w:rPr>
              <w:t>2026-10-07</w:t>
            </w:r>
          </w:p>
        </w:tc>
        <w:tc>
          <w:tcPr>
            <w:tcW w:type="dxa" w:w="1440"/>
            <w:shd w:fill="FFDCE0" w:val="clear"/>
          </w:tcPr>
          <w:p>
            <w:r>
              <w:rPr>
                <w:sz w:val="17"/>
              </w:rPr>
              <w:t>1,683</w:t>
            </w:r>
          </w:p>
        </w:tc>
        <w:tc>
          <w:tcPr>
            <w:tcW w:type="dxa" w:w="1440"/>
            <w:shd w:fill="FFDCE0" w:val="clear"/>
          </w:tcPr>
          <w:p>
            <w:r>
              <w:rPr>
                <w:b/>
                <w:sz w:val="17"/>
              </w:rPr>
              <w:t>1,875</w:t>
            </w:r>
          </w:p>
        </w:tc>
        <w:tc>
          <w:tcPr>
            <w:tcW w:type="dxa" w:w="1440"/>
            <w:shd w:fill="FFDCE0" w:val="clear"/>
          </w:tcPr>
          <w:p>
            <w:r>
              <w:rPr>
                <w:sz w:val="17"/>
              </w:rPr>
              <w:t>2,066</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 RAPPORT D'ANALYSE FINANCIÈRE — FTSC (FILTISAC CI)</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28,21 milliards FCFA, FTSC se situe dans la catégorie des valeurs moyennes de la BRVM, ce qui la rend vulnérable aux mouvements de faible volume. Le BPA de 33 FCFA/action signifie que chaque titre génère à peine 33 FCFA de bénéfice net, un niveau très faible qui, rapporté au cours de 2 000 FCFA, aboutit à un PER de 60,5x — soit près de cinq à sept fois la moyenne du marché BRVM (8-12x). Les investisseurs paient donc très cher une rentabilité quasi inexistante, ce qui constitue un signal de surévaluation manifeste. Le P/B de 1,80x indique en revanche que le marché valorise le titre à peine au-dessus de sa valeur comptable (capitaux propres de 15,7 Mds FCFA), ce qui est raisonnable et tempère le diagnostic de bulle. Enfin, l'EV/EBITDA de 36,7x (contre un seuil d'alerte de 15x) confirme que la valeur d'entreprise intègre une capacité opérationnelle très faible (EBE de 1,5 Md FCFA), traduisant une valorisation exigeante et difficilement justifiable sur les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FTSC affiche une variation totale de **-9,09%**, mais la dernière séance (J-1) enregistre un rebond spectaculaire de **+4,71%**, signe d'une volatilité de court terme marquée. Le titre a évolué dans un range de 520 FCFA, entre un plus bas de 1 910 FCFA et un plus haut de 2 430 FCFA, pour se stabiliser à 2 000 FCFA — soit légèrement sous sa moyenne (2 124 FCFA) et sa médiane (2 142 FCFA). L'écart faible entre moyenne et médiane (18 FCFA) et le skewness de 0,252 (distribution symétrique) indiquent l'absence de biais directionnel fort, tandis que le kurtosis de -0,748 (mésokurtique) suggère une distribution proche de la normale, sans pics extrêmes fréquents. L'écart-type de 128 FCFA avec un coefficient de variation de 6,0% traduit une dispersion modérée du cours autour de sa tendance. La volatilité annualisée de **33,3%** classe le titre dans la catégorie des valeurs à volatilité élevée (&gt;30%), ce qui implique un risque de marché supérieur à la moyenne et justifie une prime de prudence dans toute décision d'investissement.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(2 102,5 FCFA) et la MM50 (2 070,6 FCFA) se situent toutes deux au-dessus du cours actuel (2 000 FCFA), ce qui place le titre en position baissière sous ses supports dynamiques. Cependant, la MM20 étant supérieure à la MM50, la configuration reste haussière de fond, ce qui explique la décision « Achat » — mais celle-ci est fragile car le cours n'a pas encore reconquis ces niveaux.</w:t>
      </w:r>
    </w:p>
    <w:p>
      <w:pPr>
        <w:spacing w:after="120" w:line="276" w:lineRule="auto"/>
      </w:pPr>
      <w:r>
        <w:t>**Bandes de Bollinger** : Le cours (2 000 FCFA) évolue dans la partie basse du canal, proche de la borne inférieure (1 979,3 FCFA) et loin de la borne supérieure (2 225,7 FCFA). Cette position suggère une pression vendeuse persistante mais aussi un potentiel de rebond technique depuis la zone de survente. La décision « Neutre » reflète l'absence de signal directionnel clair, le cours n'ayant pas cassé la borne inférieure.</w:t>
      </w:r>
    </w:p>
    <w:p>
      <w:pPr>
        <w:spacing w:after="120" w:line="276" w:lineRule="auto"/>
      </w:pPr>
      <w:r>
        <w:t>**MACD** : La valeur du MACD (-23,998) est nettement inférieure à son signal (-4,15), confirmant un momentum baissier toujours actif. La divergence négative entre les deux lignes indique que la pression vendeuse n'est pas encore épuisée, justifiant la décision « Vente » à court terme, même si l'écart commence à se réduire.</w:t>
      </w:r>
    </w:p>
    <w:p>
      <w:pPr>
        <w:spacing w:after="120" w:line="276" w:lineRule="auto"/>
      </w:pPr>
      <w:r>
        <w:t>**RSI** : À 29,87, le RSI se situe juste sous le seuil de survente (30), ce qui déclenche la décision « Achat » — un signal classique de rebond potentiel. Cette configuration indique que le titre est techniquement survendu et qu'un retournement à la hausse est probable à court terme, ce qui est cohérent avec le rebond de +4,71% enregistré en J-1.</w:t>
      </w:r>
    </w:p>
    <w:p>
      <w:pPr>
        <w:spacing w:after="120" w:line="276" w:lineRule="auto"/>
      </w:pPr>
      <w:r>
        <w:t>**Stochastique** : Le %K (37,5) est supérieur au %D (12,5), ce qui constitue un croisement haussier naissant — signal d'achat précoce. La décision « Neutre » s'explique par le fait que les deux lignes restent en zone basse, sans confirmation franche d'un retournement durable.</w:t>
      </w:r>
    </w:p>
    <w:p>
      <w:pPr>
        <w:spacing w:after="120" w:line="276" w:lineRule="auto"/>
      </w:pPr>
      <w:r>
        <w:t>**Conclusion technique** : Les indicateurs sont divergents — le RSI et le Stochastique émettent des signaux d'achat de court terme (survente, croisement haussier), tandis que le MACD et les Moyennes Mobiles restent baissiers. Cette configuration suggère un rebond technique possible à court terme, mais la tendance de fond demeure fragile tant que le cours n'aura pas reconquis la MM20 (2 102 FCFA). La prudence est de mise : le signal d'achat technique est tactique, non structurel.</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FILTISAC CI a réalisé un chiffre d'affaires de 32,109 Mds FCFA, en croissance de 4,61% sur un an, mais son résultat net s'est effondré à 465,98 M FCFA (contre 18,6 Mds FCFA en 2024), soit une marge nette de seulement 1,45%. Le ROE s'établit à 2,97% (très loin du seuil d'excellence de 15%) et le ROA à 1,19%, traduisant une rentabilité des capitaux propres et des actifs très faible. La structure financière reste solvable (autonomie financière de 40,11%, solvabilité générale de 166,98%), mais la trésorerie nette est fortement négative à -11,528 Mds FCFA et le BFR de 11,529 Mds FCFA pèse lourdement. Les délais d'exploitation sont préoccupants : 213,72 jours de délai clients (risque de trésorerie élevé) et 214,65 jours de durée de stockage (immobilisation de capital), tandis que le délai fournisseurs de 140,71 jours offre un coussin de trésorerie partiel. Le ratio d'endettement de 97,60% et la capacité de remboursement de 11,49 années (dettes financières/CAF) signalent une dépendance financière élevée.</w:t>
      </w:r>
    </w:p>
    <w:p>
      <w:pPr>
        <w:spacing w:after="120" w:line="276" w:lineRule="auto"/>
      </w:pPr>
      <w:r>
        <w:t>**Estimations basées sur les rapports trimestriels** : Le rapport du **T1 2026 (publié en 2026)** fait état d'un chiffre d'affaires de 8 901 M FCFA, en hausse spectaculaire de 55% sur un an, porté par la demande d'emballages cacao, avec un résultat d'exploitation redevenu positif à 75 M FCFA (contre -78 M FCFA au T1 2025). Toutefois, le résultat net reste déficitaire à -154 M FCFA, bien qu'en amélioration de 14%. Le rapport du **T3 2025 (30/09/2025)** confirmait déjà cette dynamique : CA de 18 371 M FCFA sur 9 mois (-1%), mais résultat courant avant impôts de -216 M FCFA, en nette dégradation par rapport à +4 144 M FCFA en 2024, en raison de la disparition des produits exceptionnels liés aux cessions de filiales. Le rapport annuel 2024 (31/12/2024) rappelle que le résultat net 2024 de 18,6 Mds FCFA était totalement artificiel, porté par un produit financier exceptionnel de 6 170 M FCFA et une distribution de dividende de 2 000,67 FCFA/action (100% du résultat). **On estime donc que l'exercice 2026 devrait bénéficier d'un rebond du CA (porté par la campagne cacaoyère 2025/2026) et d'une amélioration du résultat d'exploitation, mais le retour à une rentabilité nette positive reste incertain** compte tenu de la charge financière et de la trésorerie négative. Le communiqué du 08/07/2026 rassure sur la continuité d'activité (arrêt de la filature compensé par l'importation de fil de jute), mais le risque opérationnel demeure.</w:t>
      </w:r>
    </w:p>
    <w:p>
      <w:pPr>
        <w:spacing w:after="120" w:line="276" w:lineRule="auto"/>
      </w:pPr>
      <w:r>
        <w:t>**Recommandation fondamentale** : La société présente une solidité bilancielle correcte (solvabilité, autonomie financière) mais une rentabilité opérationnelle chroniquement faible et une trésorerie dégradée. Le redressement du CA au T1 2026 est encourageant, mais la prudence reste de mise tant que le résultat net n'aura pas retrouvé un niveau positif durable.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tableau contrasté. **En valorisation (Partie 0)**, le PER de 60,5x et l'EV/EBITDA de 36,7x indiquent une nette surévaluation par rapport aux bénéfices et à la capacité opérationnelle, même si le P/B de 1,80x reste raisonnable. **Le comportement du cours (Partie 1)** est baissier sur 100 jours (-9,09%) avec une volatilité élevée (33,3%) et une distribution symétrique sans biais marqué, ce qui n'offre pas de signal directionnel fort. **Les signaux techniques (Partie 2)** sont divergents : le RSI (29,87) et le Stochastique (%K&gt;%D) suggèrent un rebond de court terme, mais le MACD baissier et le cours sous les MM20/MM50 maintiennent une pression vendeuse. **Les fondamentaux (Partie 3)** montrent une rentabilité très faible (ROE 2,97%, marge nette 1,45%) et une trésorerie négative, malgré un rebond du CA au T1 2026 (+55%) et un résultat d'exploitation redevenu positif. **Les prédictions IA (J+1 à J+10)** anticipent une poursuite de la baisse jusqu'à 1 931 FCFA (soit -3,5% depuis 2 000 FCFA), ce qui contredit le signal de rebond technique à court terme et confirme la pression baissière résiduelle.</w:t>
      </w:r>
    </w:p>
    <w:p>
      <w:pPr>
        <w:spacing w:after="120" w:line="276" w:lineRule="auto"/>
      </w:pPr>
      <w:r>
        <w:t>**Recommandation finale : CONSERVER (avec biais baissier)** — La convergence entre la surévaluation (PER/EV-EBITDA), la tendance baissière du cours, le MACD négatif et les prédictions IA baissières plaide contre un achat immédiat. Toutefois, le P/B raisonnable, le rebond du CA au T1 2026 et le signal de survente du RSI empêchent une recommandation de vente agressive. **Niveau de confiance : Moyen** (les signaux sont divergents). **Niveau de risque global : Élevé** (volatilité 33,3%, trésorerie négative, dépendance à la campagne cacaoyère). **Horizon d'investissement optimal : Moyen terme (3-12 mois)**, en attendant la confirmation d'un redressement durable de la rentabilité nette et d'une reconquête technique du cours au-dessus de la MM20 (2 102 FCFA). Un investisseur averse au risque privilégiera l'attente ; un investisseur opportuniste pourra surveiller un point d'entrée vers 1 930-1 950 FCFA si le rebond technique se confirme.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74.00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4,480 titres</w:t>
            </w:r>
          </w:p>
        </w:tc>
        <w:tc>
          <w:tcPr>
            <w:tcW w:type="dxa" w:w="2268"/>
            <w:shd w:fill="FFF2CC" w:val="clear"/>
          </w:tcPr>
          <w:p>
            <w:r>
              <w:rPr>
                <w:b/>
                <w:color w:val="503200"/>
                <w:sz w:val="16"/>
              </w:rPr>
              <w:t xml:space="preserve">Cours actuel : </w:t>
            </w:r>
            <w:r>
              <w:rPr>
                <w:color w:val="000000"/>
                <w:sz w:val="17"/>
              </w:rPr>
              <w:t>3,700 FCFA</w:t>
            </w:r>
          </w:p>
          <w:p>
            <w:r>
              <w:rPr>
                <w:b/>
                <w:color w:val="503200"/>
                <w:sz w:val="16"/>
              </w:rPr>
              <w:t xml:space="preserve">Var. 100 jours : </w:t>
            </w:r>
            <w:r>
              <w:rPr>
                <w:b/>
                <w:color w:val="B40000"/>
                <w:sz w:val="17"/>
              </w:rPr>
              <w:t>-5.13%</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39.8%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16.1/100 → Faible</w:t>
      </w:r>
    </w:p>
    <w:p>
      <w:pPr>
        <w:spacing w:before="40" w:after="80"/>
      </w:pPr>
      <w:r>
        <w:rPr>
          <w:rFonts w:ascii="Courier New" w:hAnsi="Courier New"/>
          <w:color w:val="006400"/>
          <w:sz w:val="18"/>
        </w:rPr>
        <w:t>███░░░░░░░░░░░░░░░░░  16.1/100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4.74% (Faible) — μ=4,073 FCFA, σ=193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β=-0.1213 (Contre-cyclique) — Cov=-0.000005, Var(idx)=0.000041, ρ=-0.032,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4,480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σ_j=2.50%/j (Stable) — Vol. annualisée≈39.8%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2026-09-24</w:t>
            </w:r>
          </w:p>
        </w:tc>
        <w:tc>
          <w:tcPr>
            <w:tcW w:type="dxa" w:w="1440"/>
            <w:shd w:fill="C6EFCE" w:val="clear"/>
          </w:tcPr>
          <w:p>
            <w:r>
              <w:rPr>
                <w:sz w:val="17"/>
              </w:rPr>
              <w:t>3,818</w:t>
            </w:r>
          </w:p>
        </w:tc>
        <w:tc>
          <w:tcPr>
            <w:tcW w:type="dxa" w:w="1440"/>
            <w:shd w:fill="C6EFCE" w:val="clear"/>
          </w:tcPr>
          <w:p>
            <w:r>
              <w:rPr>
                <w:b/>
                <w:sz w:val="17"/>
              </w:rPr>
              <w:t>3,978</w:t>
            </w:r>
          </w:p>
        </w:tc>
        <w:tc>
          <w:tcPr>
            <w:tcW w:type="dxa" w:w="1440"/>
            <w:shd w:fill="C6EFCE" w:val="clear"/>
          </w:tcPr>
          <w:p>
            <w:r>
              <w:rPr>
                <w:sz w:val="17"/>
              </w:rPr>
              <w:t>4,137</w:t>
            </w:r>
          </w:p>
        </w:tc>
        <w:tc>
          <w:tcPr>
            <w:tcW w:type="dxa" w:w="1440"/>
            <w:shd w:fill="C6EFCE" w:val="clear"/>
          </w:tcPr>
          <w:p>
            <w:r>
              <w:rPr>
                <w:b/>
                <w:color w:val="008000"/>
                <w:sz w:val="17"/>
              </w:rPr>
              <w:t>+7.5%</w:t>
            </w:r>
          </w:p>
        </w:tc>
      </w:tr>
      <w:tr>
        <w:tc>
          <w:tcPr>
            <w:tcW w:type="dxa" w:w="1440"/>
            <w:shd w:fill="C6EFCE" w:val="clear"/>
          </w:tcPr>
          <w:p>
            <w:r>
              <w:rPr>
                <w:sz w:val="17"/>
              </w:rPr>
              <w:t>J+2  Moyenne</w:t>
            </w:r>
          </w:p>
        </w:tc>
        <w:tc>
          <w:tcPr>
            <w:tcW w:type="dxa" w:w="1440"/>
            <w:shd w:fill="C6EFCE" w:val="clear"/>
          </w:tcPr>
          <w:p>
            <w:r>
              <w:rPr>
                <w:sz w:val="17"/>
              </w:rPr>
              <w:t>2026-09-25</w:t>
            </w:r>
          </w:p>
        </w:tc>
        <w:tc>
          <w:tcPr>
            <w:tcW w:type="dxa" w:w="1440"/>
            <w:shd w:fill="C6EFCE" w:val="clear"/>
          </w:tcPr>
          <w:p>
            <w:r>
              <w:rPr>
                <w:sz w:val="17"/>
              </w:rPr>
              <w:t>3,856</w:t>
            </w:r>
          </w:p>
        </w:tc>
        <w:tc>
          <w:tcPr>
            <w:tcW w:type="dxa" w:w="1440"/>
            <w:shd w:fill="C6EFCE" w:val="clear"/>
          </w:tcPr>
          <w:p>
            <w:r>
              <w:rPr>
                <w:b/>
                <w:sz w:val="17"/>
              </w:rPr>
              <w:t>4,088</w:t>
            </w:r>
          </w:p>
        </w:tc>
        <w:tc>
          <w:tcPr>
            <w:tcW w:type="dxa" w:w="1440"/>
            <w:shd w:fill="C6EFCE" w:val="clear"/>
          </w:tcPr>
          <w:p>
            <w:r>
              <w:rPr>
                <w:sz w:val="17"/>
              </w:rPr>
              <w:t>4,319</w:t>
            </w:r>
          </w:p>
        </w:tc>
        <w:tc>
          <w:tcPr>
            <w:tcW w:type="dxa" w:w="1440"/>
            <w:shd w:fill="C6EFCE" w:val="clear"/>
          </w:tcPr>
          <w:p>
            <w:r>
              <w:rPr>
                <w:b/>
                <w:color w:val="008000"/>
                <w:sz w:val="17"/>
              </w:rPr>
              <w:t>+10.5%</w:t>
            </w:r>
          </w:p>
        </w:tc>
      </w:tr>
      <w:tr>
        <w:tc>
          <w:tcPr>
            <w:tcW w:type="dxa" w:w="1440"/>
            <w:shd w:fill="C6EFCE" w:val="clear"/>
          </w:tcPr>
          <w:p>
            <w:r>
              <w:rPr>
                <w:sz w:val="17"/>
              </w:rPr>
              <w:t>J+3  Moyenne</w:t>
            </w:r>
          </w:p>
        </w:tc>
        <w:tc>
          <w:tcPr>
            <w:tcW w:type="dxa" w:w="1440"/>
            <w:shd w:fill="C6EFCE" w:val="clear"/>
          </w:tcPr>
          <w:p>
            <w:r>
              <w:rPr>
                <w:sz w:val="17"/>
              </w:rPr>
              <w:t>2026-09-28</w:t>
            </w:r>
          </w:p>
        </w:tc>
        <w:tc>
          <w:tcPr>
            <w:tcW w:type="dxa" w:w="1440"/>
            <w:shd w:fill="C6EFCE" w:val="clear"/>
          </w:tcPr>
          <w:p>
            <w:r>
              <w:rPr>
                <w:sz w:val="17"/>
              </w:rPr>
              <w:t>3,815</w:t>
            </w:r>
          </w:p>
        </w:tc>
        <w:tc>
          <w:tcPr>
            <w:tcW w:type="dxa" w:w="1440"/>
            <w:shd w:fill="C6EFCE" w:val="clear"/>
          </w:tcPr>
          <w:p>
            <w:r>
              <w:rPr>
                <w:b/>
                <w:sz w:val="17"/>
              </w:rPr>
              <w:t>4,100</w:t>
            </w:r>
          </w:p>
        </w:tc>
        <w:tc>
          <w:tcPr>
            <w:tcW w:type="dxa" w:w="1440"/>
            <w:shd w:fill="C6EFCE" w:val="clear"/>
          </w:tcPr>
          <w:p>
            <w:r>
              <w:rPr>
                <w:sz w:val="17"/>
              </w:rPr>
              <w:t>4,385</w:t>
            </w:r>
          </w:p>
        </w:tc>
        <w:tc>
          <w:tcPr>
            <w:tcW w:type="dxa" w:w="1440"/>
            <w:shd w:fill="C6EFCE" w:val="clear"/>
          </w:tcPr>
          <w:p>
            <w:r>
              <w:rPr>
                <w:b/>
                <w:color w:val="008000"/>
                <w:sz w:val="17"/>
              </w:rPr>
              <w:t>+10.8%</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3,776</w:t>
            </w:r>
          </w:p>
        </w:tc>
        <w:tc>
          <w:tcPr>
            <w:tcW w:type="dxa" w:w="1440"/>
            <w:shd w:fill="C6EFCE" w:val="clear"/>
          </w:tcPr>
          <w:p>
            <w:r>
              <w:rPr>
                <w:b/>
                <w:sz w:val="17"/>
              </w:rPr>
              <w:t>4,106</w:t>
            </w:r>
          </w:p>
        </w:tc>
        <w:tc>
          <w:tcPr>
            <w:tcW w:type="dxa" w:w="1440"/>
            <w:shd w:fill="C6EFCE" w:val="clear"/>
          </w:tcPr>
          <w:p>
            <w:r>
              <w:rPr>
                <w:sz w:val="17"/>
              </w:rPr>
              <w:t>4,435</w:t>
            </w:r>
          </w:p>
        </w:tc>
        <w:tc>
          <w:tcPr>
            <w:tcW w:type="dxa" w:w="1440"/>
            <w:shd w:fill="C6EFCE" w:val="clear"/>
          </w:tcPr>
          <w:p>
            <w:r>
              <w:rPr>
                <w:b/>
                <w:color w:val="008000"/>
                <w:sz w:val="17"/>
              </w:rPr>
              <w:t>+11.0%</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3,743</w:t>
            </w:r>
          </w:p>
        </w:tc>
        <w:tc>
          <w:tcPr>
            <w:tcW w:type="dxa" w:w="1440"/>
            <w:shd w:fill="C6EFCE" w:val="clear"/>
          </w:tcPr>
          <w:p>
            <w:r>
              <w:rPr>
                <w:b/>
                <w:sz w:val="17"/>
              </w:rPr>
              <w:t>4,112</w:t>
            </w:r>
          </w:p>
        </w:tc>
        <w:tc>
          <w:tcPr>
            <w:tcW w:type="dxa" w:w="1440"/>
            <w:shd w:fill="C6EFCE" w:val="clear"/>
          </w:tcPr>
          <w:p>
            <w:r>
              <w:rPr>
                <w:sz w:val="17"/>
              </w:rPr>
              <w:t>4,480</w:t>
            </w:r>
          </w:p>
        </w:tc>
        <w:tc>
          <w:tcPr>
            <w:tcW w:type="dxa" w:w="1440"/>
            <w:shd w:fill="C6EFCE" w:val="clear"/>
          </w:tcPr>
          <w:p>
            <w:r>
              <w:rPr>
                <w:b/>
                <w:color w:val="008000"/>
                <w:sz w:val="17"/>
              </w:rPr>
              <w:t>+11.1%</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3,711</w:t>
            </w:r>
          </w:p>
        </w:tc>
        <w:tc>
          <w:tcPr>
            <w:tcW w:type="dxa" w:w="1440"/>
            <w:shd w:fill="C6EFCE" w:val="clear"/>
          </w:tcPr>
          <w:p>
            <w:r>
              <w:rPr>
                <w:b/>
                <w:sz w:val="17"/>
              </w:rPr>
              <w:t>4,115</w:t>
            </w:r>
          </w:p>
        </w:tc>
        <w:tc>
          <w:tcPr>
            <w:tcW w:type="dxa" w:w="1440"/>
            <w:shd w:fill="C6EFCE" w:val="clear"/>
          </w:tcPr>
          <w:p>
            <w:r>
              <w:rPr>
                <w:sz w:val="17"/>
              </w:rPr>
              <w:t>4,519</w:t>
            </w:r>
          </w:p>
        </w:tc>
        <w:tc>
          <w:tcPr>
            <w:tcW w:type="dxa" w:w="1440"/>
            <w:shd w:fill="C6EFCE" w:val="clear"/>
          </w:tcPr>
          <w:p>
            <w:r>
              <w:rPr>
                <w:b/>
                <w:color w:val="008000"/>
                <w:sz w:val="17"/>
              </w:rPr>
              <w:t>+11.2%</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3,681</w:t>
            </w:r>
          </w:p>
        </w:tc>
        <w:tc>
          <w:tcPr>
            <w:tcW w:type="dxa" w:w="1440"/>
            <w:shd w:fill="C6EFCE" w:val="clear"/>
          </w:tcPr>
          <w:p>
            <w:r>
              <w:rPr>
                <w:b/>
                <w:sz w:val="17"/>
              </w:rPr>
              <w:t>4,118</w:t>
            </w:r>
          </w:p>
        </w:tc>
        <w:tc>
          <w:tcPr>
            <w:tcW w:type="dxa" w:w="1440"/>
            <w:shd w:fill="C6EFCE" w:val="clear"/>
          </w:tcPr>
          <w:p>
            <w:r>
              <w:rPr>
                <w:sz w:val="17"/>
              </w:rPr>
              <w:t>4,555</w:t>
            </w:r>
          </w:p>
        </w:tc>
        <w:tc>
          <w:tcPr>
            <w:tcW w:type="dxa" w:w="1440"/>
            <w:shd w:fill="C6EFCE" w:val="clear"/>
          </w:tcPr>
          <w:p>
            <w:r>
              <w:rPr>
                <w:b/>
                <w:color w:val="008000"/>
                <w:sz w:val="17"/>
              </w:rPr>
              <w:t>+11.3%</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3,676</w:t>
            </w:r>
          </w:p>
        </w:tc>
        <w:tc>
          <w:tcPr>
            <w:tcW w:type="dxa" w:w="1440"/>
            <w:shd w:fill="C6EFCE" w:val="clear"/>
          </w:tcPr>
          <w:p>
            <w:r>
              <w:rPr>
                <w:b/>
                <w:sz w:val="17"/>
              </w:rPr>
              <w:t>4,146</w:t>
            </w:r>
          </w:p>
        </w:tc>
        <w:tc>
          <w:tcPr>
            <w:tcW w:type="dxa" w:w="1440"/>
            <w:shd w:fill="C6EFCE" w:val="clear"/>
          </w:tcPr>
          <w:p>
            <w:r>
              <w:rPr>
                <w:sz w:val="17"/>
              </w:rPr>
              <w:t>4,617</w:t>
            </w:r>
          </w:p>
        </w:tc>
        <w:tc>
          <w:tcPr>
            <w:tcW w:type="dxa" w:w="1440"/>
            <w:shd w:fill="C6EFCE" w:val="clear"/>
          </w:tcPr>
          <w:p>
            <w:r>
              <w:rPr>
                <w:b/>
                <w:color w:val="008000"/>
                <w:sz w:val="17"/>
              </w:rPr>
              <w:t>+12.1%</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3,671</w:t>
            </w:r>
          </w:p>
        </w:tc>
        <w:tc>
          <w:tcPr>
            <w:tcW w:type="dxa" w:w="1440"/>
            <w:shd w:fill="C6EFCE" w:val="clear"/>
          </w:tcPr>
          <w:p>
            <w:r>
              <w:rPr>
                <w:b/>
                <w:sz w:val="17"/>
              </w:rPr>
              <w:t>4,174</w:t>
            </w:r>
          </w:p>
        </w:tc>
        <w:tc>
          <w:tcPr>
            <w:tcW w:type="dxa" w:w="1440"/>
            <w:shd w:fill="C6EFCE" w:val="clear"/>
          </w:tcPr>
          <w:p>
            <w:r>
              <w:rPr>
                <w:sz w:val="17"/>
              </w:rPr>
              <w:t>4,676</w:t>
            </w:r>
          </w:p>
        </w:tc>
        <w:tc>
          <w:tcPr>
            <w:tcW w:type="dxa" w:w="1440"/>
            <w:shd w:fill="C6EFCE" w:val="clear"/>
          </w:tcPr>
          <w:p>
            <w:r>
              <w:rPr>
                <w:b/>
                <w:color w:val="008000"/>
                <w:sz w:val="17"/>
              </w:rPr>
              <w:t>+12.8%</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3,645</w:t>
            </w:r>
          </w:p>
        </w:tc>
        <w:tc>
          <w:tcPr>
            <w:tcW w:type="dxa" w:w="1440"/>
            <w:shd w:fill="C6EFCE" w:val="clear"/>
          </w:tcPr>
          <w:p>
            <w:r>
              <w:rPr>
                <w:b/>
                <w:sz w:val="17"/>
              </w:rPr>
              <w:t>4,175</w:t>
            </w:r>
          </w:p>
        </w:tc>
        <w:tc>
          <w:tcPr>
            <w:tcW w:type="dxa" w:w="1440"/>
            <w:shd w:fill="C6EFCE" w:val="clear"/>
          </w:tcPr>
          <w:p>
            <w:r>
              <w:rPr>
                <w:sz w:val="17"/>
              </w:rPr>
              <w:t>4,704</w:t>
            </w:r>
          </w:p>
        </w:tc>
        <w:tc>
          <w:tcPr>
            <w:tcW w:type="dxa" w:w="1440"/>
            <w:shd w:fill="C6EFCE" w:val="clear"/>
          </w:tcPr>
          <w:p>
            <w:r>
              <w:rPr>
                <w:b/>
                <w:color w:val="008000"/>
                <w:sz w:val="17"/>
              </w:rPr>
              <w:t>+12.8%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74,00 Mds FCFA, LNBB se positionne comme une valeur de taille moyenne sur le compartiment des entreprises non bancaires de la BRVM, ce qui traduit une liquidité limitée mais une certaine stabilité institutionnelle. Le BPA de 231 FCFA/action signifie que chaque titre génère un bénéfice net de 231 FCFA, ce qui, rapporté au cours actuel de 3 700 FCFA, offre un rendement bénéficiaire implicite de 6,24 %. Le PER de 16,0x se situe nettement au-dessus de la moyenne du marché BRVM (8-12x), indiquant que les investisseurs paient une prime pour la solidité du bilan et la politique de distribution généreuse de la société, bien que cette prime soit modérée au regard des standards internationaux. Le P/B de 3,37x montre que le marché valorise LNBB à plus de trois fois sa valeur comptable, ce qui est cohérent avec un ROE élevé (21,05 %) mais suggère une certaine exigence de croissance future. Enfin, l'EV/EBITDA de 9,3x, dans la fourchette raisonnable de 5-10x, indique que la valeur totale de l'entreprise (incluant sa dette quasi nulle) reste proportionnée à sa capacité opérationnelle, ce qui limite le risque de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LNBB a enregistré une variation totale de -5,13 %, avec une chute brutale de -7,50 % lors de la dernière séance (J-1), ce qui témoigne d'une pression vendeuse récente et significative. Le titre évolue dans un range de trading compris entre un plus haut de 4 560 FCFA et un plus bas de 3 700 FCFA — ce dernier correspondant exactement au cours actuel, ce qui signifie que le titre clôture au plus bas de sa période d'observation, un signal baissier préoccupant. La tendance générale est donc clairement baissière sur la période, le cours ayant perdu du terrain depuis les sommets d'avril-mai 2026. Les statistiques descriptives révèlent une moyenne de 4 073 FCFA légèrement supérieure à la médiane de 4 050 FCFA, avec un mode à 4 000 FCFA, ce qui indique une distribution quasi symétrique (skewness de 0,448, interprétée comme symétrique) mais avec une légère queue à droite. L'écart-type de 194 FCFA et le coefficient de variation de 4,8 % traduisent une dispersion modérée du cours autour de sa moyenne, tandis que le kurtosis de -0,804 (mésokurtique) suggère une distribution proche de la normale, sans risque excessif de pics extrêmes. La volatilité annualisée de 39,8 % classe le titre dans la catégorie des valeurs à volatilité élevée (&gt;30 %), ce qui implique un risque de marché non négligeable pour les investisseurs, particulièrement en période de stress comme celle observée lors de la dernière séance.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3 998,5 FCFA et la MM50 à 4 143,4 FCFA, toutes deux nettement supérieures au cours actuel de 3 700 FCFA. Le cours évolue donc sous ses deux moyennes mobiles, confirmant une configuration baissière à court et moyen terme. La décision technique est logiquement « Vente », le croisement baissier étant bien établi.</w:t>
      </w:r>
    </w:p>
    <w:p>
      <w:pPr>
        <w:spacing w:after="120" w:line="276" w:lineRule="auto"/>
      </w:pPr>
      <w:r>
        <w:t>**Bandes de Bollinger** : La borne supérieure est à 4 177,594 FCFA et la borne inférieure à 3 819,406 FCFA. Le cours actuel de 3 700 FCFA se situe en dessous de la borne inférieure, ce qui constitue un signal de survente extrême et une opportunité d'achat technique selon la théorie des bandes. La décision « Achat » reflète cette situation de prix anormalement bas par rapport à la volatilité récente.</w:t>
      </w:r>
    </w:p>
    <w:p>
      <w:pPr>
        <w:spacing w:after="120" w:line="276" w:lineRule="auto"/>
      </w:pPr>
      <w:r>
        <w:t>**MACD** : La valeur du MACD est de -54,33 contre un signal à -43,228, soit une divergence négative où le MACD est inférieur à son signal. Cela confirme un momentum baissier persistant, bien que l'écart entre les deux lignes commence peut-être à se stabiliser. La décision « Vente » est cohérente avec cette configuration.</w:t>
      </w:r>
    </w:p>
    <w:p>
      <w:pPr>
        <w:spacing w:after="120" w:line="276" w:lineRule="auto"/>
      </w:pPr>
      <w:r>
        <w:t>**RSI** : À 35,294, le RSI se situe dans la zone neutre basse (30-70), sans atteindre le seuil de survente (&lt;30). Cela indique que le titre n'est pas encore techniquement « survendu » au sens strict, mais qu'il s'approche de cette zone. La décision « Neutre » traduit cette absence de signal directionnel fort.</w:t>
      </w:r>
    </w:p>
    <w:p>
      <w:pPr>
        <w:spacing w:after="120" w:line="276" w:lineRule="auto"/>
      </w:pPr>
      <w:r>
        <w:t>**Stochastique** : Le %K est à 0,0 et le %D à 33,333, avec un %K au plus bas absolu. Cette configuration signale une survente extrême et un possible retournement imminent, le %K étant prêt à croiser le %D à la hausse. La décision « Achat » est justifiée par cette dynamique de rebond potentiel.</w:t>
      </w:r>
    </w:p>
    <w:p>
      <w:pPr>
        <w:spacing w:after="120" w:line="276" w:lineRule="auto"/>
      </w:pPr>
      <w:r>
        <w:t>**Conclusion technique** : Les indicateurs présentent une divergence notable : les moyennes mobiles et le MACD confirment une tendance baissière, tandis que les bandes de Bollinger et le stochastique signalent une survente extrême propice à un rebond technique. Le RSI neutre ne tranche pas. Cette configuration suggère que le titre pourrait connaître un rebond à court terme après la chute de -7,50 % de la dernière séance, mais la tendance de fond reste fragile tant que le cours ne repasse pas au-dessus de la MM20 (3 998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LNBB a réalisé un chiffre d'affaires de 98,598 Mds FCFA, en baisse de 3,85 % par rapport à 2024 (102,544 Mds FCFA), et un résultat net de 4,622 Mds FCFA, en recul de 35,6 % sur un an. Le ROE s'établit à 21,05 % et le ROA à 14,17 %, des niveaux qui demeurent excellents malgré la dégradation, témoignant de la qualité intrinsèque du modèle. La marge nette de 4,69 % et la marge opérationnelle de 6,47 % restent positives mais sous pression. En tant qu'entreprise non bancaire, les délais d'exploitation sont remarquablement courts : 4,82 jours pour les clients (risque de trésorerie quasi nul), 20,41 jours pour les fournisseurs (bon pour la trésorerie) et 1,56 jour de stockage, ce qui traduit une rotation extrêmement rapide et un BFR maîtrisé (217,45 M FCFA). La structure financière est très saine avec une autonomie financière de 67,32 %, un ratio d'endettement de seulement 2,57 % et une trésorerie nette positive de 7,979 Mds FCFA. Les rapports trimestriels de 2026 confirment une amélioration séquentielle : le T1 2026 (rapport du 31 mars 2026) affiche un CA en hausse de 6 % à 25,521 Mds FCFA mais un résultat net en chute de 46 % à 848 M FCFA, pénalisé par le mix produit défavorable (pari sportif à 95 % de taux de retour). Le S1 2026 (rapport du 30 juin 2026) montre un CA de 49,937 Mds FCFA (+4 %) et un résultat net en progression de 60 % grâce à la maîtrise des charges et aux partenariats, bien que le produit brut des jeux recule de 9 %. Le T1 2026 (rapport du 12 juin 2026) confirme un dividende brut de 173 FCFA/action (net 164 FCFA), soit un rendement de 4,68 % au cours actuel. Sur la base de ces tendances, on estime que l'exercice 2026 devrait afficher un résultat net en amélioration par rapport à 2025, porté par la digitalisation (+28 % sur le pari sportif en ligne) et le déploiement de 1 500 nouveaux terminaux au S2 2026, mais la pression sur les marges du pari sportif reste un risque majeur. La recommandation fondamentale est de **CONSERVER** : la solidité financière et la politique de dividende généreuse (80 % de distribution) soutiennent le titre, mais la visibilité sur la rentabilité future demeure limitée.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LNBB (Partie 0) apparaît modérément exigeante avec un PER de 16,0x supérieur à la moyenne BRVM, un P/B de 3,37x et un EV/EBITDA de 9,3x raisonnable, ce qui suggère que le marché intègre déjà une prime de qualité mais sans surévaluation manifeste. Le comportement du cours (Partie 1) est préoccupant à court terme : le titre clôture au plus bas de sa période de 100 jours (3 700 FCFA) après une chute de -7,50 % en une séance, avec une volatilité élevée de 39,8 % et une distribution symétrique (skewness 0,448, kurtosis -0,804) qui n'annonce pas de retournement imminent. Les signaux techniques (Partie 2) sont divergents : les moyennes mobiles et le MACD confirment la tendance baissière, tandis que les bandes de Bollinger et le stochastique signalent une survente extrême propice à un rebond technique, le RSI neutre (35,29) ne tranchant pas. Les fondamentaux (Partie 3) restent solides malgré la baisse du résultat net 2025 (-35,6 %), avec un ROE de 21,05 %, une trésorerie nette de 7,979 Mds FCFA et un dividende attractif de 164 FCFA net (rendement 4,43 %), tandis que les rapports S1 2026 montrent une amélioration du résultat net (+60 %) qui pourrait se confirmer au S2. Les prédictions IA (J+1 à J+10) anticipent une trajectoire haussière vers 3 978 FCFA puis 4 112 FCFA, ce qui contredit la tendance baissière récente et suggère un rebond technique imminent, en ligne avec les signaux de survente des bandes de Bollinger et du stochastique. Sur la base de cette synthèse, la recommandation finale est **CONSERVER** avec un niveau de confiance **Moyen** et un risque global **Élevé** (volatilité de 39,8 %, tendance baissière, incertitude sur les marges). L'horizon d'investissement optimal est le **moyen terme (3-12 mois)**, en attendant la confirmation de l'amélioration de la rentabilité au S2 2026 et la stabilisation du produit brut des jeux. Un renforcement pourrait être envisagé si le cours se stabilise au-dessus de 3 800 FCFA avec une confirmation du rebond technique, mais une position vendeuse serait prématurée compte tenu de la solidité du bilan et du rendement du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30.70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3,085 titres</w:t>
            </w:r>
          </w:p>
        </w:tc>
        <w:tc>
          <w:tcPr>
            <w:tcW w:type="dxa" w:w="2268"/>
            <w:shd w:fill="FFF2CC" w:val="clear"/>
          </w:tcPr>
          <w:p>
            <w:r>
              <w:rPr>
                <w:b/>
                <w:color w:val="503200"/>
                <w:sz w:val="16"/>
              </w:rPr>
              <w:t xml:space="preserve">Cours actuel : </w:t>
            </w:r>
            <w:r>
              <w:rPr>
                <w:color w:val="000000"/>
                <w:sz w:val="17"/>
              </w:rPr>
              <w:t>2,405 FCFA</w:t>
            </w:r>
          </w:p>
          <w:p>
            <w:r>
              <w:rPr>
                <w:b/>
                <w:color w:val="503200"/>
                <w:sz w:val="16"/>
              </w:rPr>
              <w:t xml:space="preserve">Var. 100 jours : </w:t>
            </w:r>
            <w:r>
              <w:rPr>
                <w:b/>
                <w:color w:val="007800"/>
                <w:sz w:val="17"/>
              </w:rPr>
              <w:t>+27.25%</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1,715 FCFA</w:t>
            </w:r>
          </w:p>
          <w:p>
            <w:r>
              <w:rPr>
                <w:b/>
                <w:color w:val="503200"/>
                <w:sz w:val="16"/>
              </w:rPr>
              <w:t xml:space="preserve">Volatilité ann. : </w:t>
            </w:r>
            <w:r>
              <w:rPr>
                <w:color w:val="000000"/>
                <w:sz w:val="17"/>
              </w:rPr>
              <w:t>55.5%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14.15% (Moyenne) — μ=2,267 FCFA, σ=321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β=0.2196 (Défensif) — Cov=0.000009, Var(idx)=0.000041, ρ=0.041,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3,085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σ_j=3.50%/j (Modérée) — Vol. annualisée≈55.5%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2026-09-24</w:t>
            </w:r>
          </w:p>
        </w:tc>
        <w:tc>
          <w:tcPr>
            <w:tcW w:type="dxa" w:w="1440"/>
            <w:shd w:fill="FAFAFA" w:val="clear"/>
          </w:tcPr>
          <w:p>
            <w:r>
              <w:rPr>
                <w:sz w:val="17"/>
              </w:rPr>
              <w:t>2,224</w:t>
            </w:r>
          </w:p>
        </w:tc>
        <w:tc>
          <w:tcPr>
            <w:tcW w:type="dxa" w:w="1440"/>
            <w:shd w:fill="FAFAFA" w:val="clear"/>
          </w:tcPr>
          <w:p>
            <w:r>
              <w:rPr>
                <w:b/>
                <w:sz w:val="17"/>
              </w:rPr>
              <w:t>2,380</w:t>
            </w:r>
          </w:p>
        </w:tc>
        <w:tc>
          <w:tcPr>
            <w:tcW w:type="dxa" w:w="1440"/>
            <w:shd w:fill="FAFAFA" w:val="clear"/>
          </w:tcPr>
          <w:p>
            <w:r>
              <w:rPr>
                <w:sz w:val="17"/>
              </w:rPr>
              <w:t>2,536</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2026-09-25</w:t>
            </w:r>
          </w:p>
        </w:tc>
        <w:tc>
          <w:tcPr>
            <w:tcW w:type="dxa" w:w="1440"/>
            <w:shd w:fill="FAFAFA" w:val="clear"/>
          </w:tcPr>
          <w:p>
            <w:r>
              <w:rPr>
                <w:sz w:val="17"/>
              </w:rPr>
              <w:t>2,163</w:t>
            </w:r>
          </w:p>
        </w:tc>
        <w:tc>
          <w:tcPr>
            <w:tcW w:type="dxa" w:w="1440"/>
            <w:shd w:fill="FAFAFA" w:val="clear"/>
          </w:tcPr>
          <w:p>
            <w:r>
              <w:rPr>
                <w:b/>
                <w:sz w:val="17"/>
              </w:rPr>
              <w:t>2,384</w:t>
            </w:r>
          </w:p>
        </w:tc>
        <w:tc>
          <w:tcPr>
            <w:tcW w:type="dxa" w:w="1440"/>
            <w:shd w:fill="FAFAFA" w:val="clear"/>
          </w:tcPr>
          <w:p>
            <w:r>
              <w:rPr>
                <w:sz w:val="17"/>
              </w:rPr>
              <w:t>2,605</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2026-09-28</w:t>
            </w:r>
          </w:p>
        </w:tc>
        <w:tc>
          <w:tcPr>
            <w:tcW w:type="dxa" w:w="1440"/>
            <w:shd w:fill="FAFAFA" w:val="clear"/>
          </w:tcPr>
          <w:p>
            <w:r>
              <w:rPr>
                <w:sz w:val="17"/>
              </w:rPr>
              <w:t>2,107</w:t>
            </w:r>
          </w:p>
        </w:tc>
        <w:tc>
          <w:tcPr>
            <w:tcW w:type="dxa" w:w="1440"/>
            <w:shd w:fill="FAFAFA" w:val="clear"/>
          </w:tcPr>
          <w:p>
            <w:r>
              <w:rPr>
                <w:b/>
                <w:sz w:val="17"/>
              </w:rPr>
              <w:t>2,377</w:t>
            </w:r>
          </w:p>
        </w:tc>
        <w:tc>
          <w:tcPr>
            <w:tcW w:type="dxa" w:w="1440"/>
            <w:shd w:fill="FAFAFA" w:val="clear"/>
          </w:tcPr>
          <w:p>
            <w:r>
              <w:rPr>
                <w:sz w:val="17"/>
              </w:rPr>
              <w:t>2,647</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2026-09-29</w:t>
            </w:r>
          </w:p>
        </w:tc>
        <w:tc>
          <w:tcPr>
            <w:tcW w:type="dxa" w:w="1440"/>
            <w:shd w:fill="FAFAFA" w:val="clear"/>
          </w:tcPr>
          <w:p>
            <w:r>
              <w:rPr>
                <w:sz w:val="17"/>
              </w:rPr>
              <w:t>2,057</w:t>
            </w:r>
          </w:p>
        </w:tc>
        <w:tc>
          <w:tcPr>
            <w:tcW w:type="dxa" w:w="1440"/>
            <w:shd w:fill="FAFAFA" w:val="clear"/>
          </w:tcPr>
          <w:p>
            <w:r>
              <w:rPr>
                <w:b/>
                <w:sz w:val="17"/>
              </w:rPr>
              <w:t>2,368</w:t>
            </w:r>
          </w:p>
        </w:tc>
        <w:tc>
          <w:tcPr>
            <w:tcW w:type="dxa" w:w="1440"/>
            <w:shd w:fill="FAFAFA" w:val="clear"/>
          </w:tcPr>
          <w:p>
            <w:r>
              <w:rPr>
                <w:sz w:val="17"/>
              </w:rPr>
              <w:t>2,679</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2026-09-30</w:t>
            </w:r>
          </w:p>
        </w:tc>
        <w:tc>
          <w:tcPr>
            <w:tcW w:type="dxa" w:w="1440"/>
            <w:shd w:fill="FAFAFA" w:val="clear"/>
          </w:tcPr>
          <w:p>
            <w:r>
              <w:rPr>
                <w:sz w:val="17"/>
              </w:rPr>
              <w:t>2,013</w:t>
            </w:r>
          </w:p>
        </w:tc>
        <w:tc>
          <w:tcPr>
            <w:tcW w:type="dxa" w:w="1440"/>
            <w:shd w:fill="FAFAFA" w:val="clear"/>
          </w:tcPr>
          <w:p>
            <w:r>
              <w:rPr>
                <w:b/>
                <w:sz w:val="17"/>
              </w:rPr>
              <w:t>2,360</w:t>
            </w:r>
          </w:p>
        </w:tc>
        <w:tc>
          <w:tcPr>
            <w:tcW w:type="dxa" w:w="1440"/>
            <w:shd w:fill="FAFAFA" w:val="clear"/>
          </w:tcPr>
          <w:p>
            <w:r>
              <w:rPr>
                <w:sz w:val="17"/>
              </w:rPr>
              <w:t>2,706</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2026-10-01</w:t>
            </w:r>
          </w:p>
        </w:tc>
        <w:tc>
          <w:tcPr>
            <w:tcW w:type="dxa" w:w="1440"/>
            <w:shd w:fill="FFDCE0" w:val="clear"/>
          </w:tcPr>
          <w:p>
            <w:r>
              <w:rPr>
                <w:sz w:val="17"/>
              </w:rPr>
              <w:t>1,973</w:t>
            </w:r>
          </w:p>
        </w:tc>
        <w:tc>
          <w:tcPr>
            <w:tcW w:type="dxa" w:w="1440"/>
            <w:shd w:fill="FFDCE0" w:val="clear"/>
          </w:tcPr>
          <w:p>
            <w:r>
              <w:rPr>
                <w:b/>
                <w:sz w:val="17"/>
              </w:rPr>
              <w:t>2,351</w:t>
            </w:r>
          </w:p>
        </w:tc>
        <w:tc>
          <w:tcPr>
            <w:tcW w:type="dxa" w:w="1440"/>
            <w:shd w:fill="FFDCE0" w:val="clear"/>
          </w:tcPr>
          <w:p>
            <w:r>
              <w:rPr>
                <w:sz w:val="17"/>
              </w:rPr>
              <w:t>2,730</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2026-10-02</w:t>
            </w:r>
          </w:p>
        </w:tc>
        <w:tc>
          <w:tcPr>
            <w:tcW w:type="dxa" w:w="1440"/>
            <w:shd w:fill="FFDCE0" w:val="clear"/>
          </w:tcPr>
          <w:p>
            <w:r>
              <w:rPr>
                <w:sz w:val="17"/>
              </w:rPr>
              <w:t>1,936</w:t>
            </w:r>
          </w:p>
        </w:tc>
        <w:tc>
          <w:tcPr>
            <w:tcW w:type="dxa" w:w="1440"/>
            <w:shd w:fill="FFDCE0" w:val="clear"/>
          </w:tcPr>
          <w:p>
            <w:r>
              <w:rPr>
                <w:b/>
                <w:sz w:val="17"/>
              </w:rPr>
              <w:t>2,343</w:t>
            </w:r>
          </w:p>
        </w:tc>
        <w:tc>
          <w:tcPr>
            <w:tcW w:type="dxa" w:w="1440"/>
            <w:shd w:fill="FFDCE0" w:val="clear"/>
          </w:tcPr>
          <w:p>
            <w:r>
              <w:rPr>
                <w:sz w:val="17"/>
              </w:rPr>
              <w:t>2,750</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2026-10-05</w:t>
            </w:r>
          </w:p>
        </w:tc>
        <w:tc>
          <w:tcPr>
            <w:tcW w:type="dxa" w:w="1440"/>
            <w:shd w:fill="FFDCE0" w:val="clear"/>
          </w:tcPr>
          <w:p>
            <w:r>
              <w:rPr>
                <w:sz w:val="17"/>
              </w:rPr>
              <w:t>1,902</w:t>
            </w:r>
          </w:p>
        </w:tc>
        <w:tc>
          <w:tcPr>
            <w:tcW w:type="dxa" w:w="1440"/>
            <w:shd w:fill="FFDCE0" w:val="clear"/>
          </w:tcPr>
          <w:p>
            <w:r>
              <w:rPr>
                <w:b/>
                <w:sz w:val="17"/>
              </w:rPr>
              <w:t>2,335</w:t>
            </w:r>
          </w:p>
        </w:tc>
        <w:tc>
          <w:tcPr>
            <w:tcW w:type="dxa" w:w="1440"/>
            <w:shd w:fill="FFDCE0" w:val="clear"/>
          </w:tcPr>
          <w:p>
            <w:r>
              <w:rPr>
                <w:sz w:val="17"/>
              </w:rPr>
              <w:t>2,769</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2026-10-06</w:t>
            </w:r>
          </w:p>
        </w:tc>
        <w:tc>
          <w:tcPr>
            <w:tcW w:type="dxa" w:w="1440"/>
            <w:shd w:fill="FFDCE0" w:val="clear"/>
          </w:tcPr>
          <w:p>
            <w:r>
              <w:rPr>
                <w:sz w:val="17"/>
              </w:rPr>
              <w:t>1,869</w:t>
            </w:r>
          </w:p>
        </w:tc>
        <w:tc>
          <w:tcPr>
            <w:tcW w:type="dxa" w:w="1440"/>
            <w:shd w:fill="FFDCE0" w:val="clear"/>
          </w:tcPr>
          <w:p>
            <w:r>
              <w:rPr>
                <w:b/>
                <w:sz w:val="17"/>
              </w:rPr>
              <w:t>2,328</w:t>
            </w:r>
          </w:p>
        </w:tc>
        <w:tc>
          <w:tcPr>
            <w:tcW w:type="dxa" w:w="1440"/>
            <w:shd w:fill="FFDCE0" w:val="clear"/>
          </w:tcPr>
          <w:p>
            <w:r>
              <w:rPr>
                <w:sz w:val="17"/>
              </w:rPr>
              <w:t>2,786</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2026-10-07</w:t>
            </w:r>
          </w:p>
        </w:tc>
        <w:tc>
          <w:tcPr>
            <w:tcW w:type="dxa" w:w="1440"/>
            <w:shd w:fill="FFDCE0" w:val="clear"/>
          </w:tcPr>
          <w:p>
            <w:r>
              <w:rPr>
                <w:sz w:val="17"/>
              </w:rPr>
              <w:t>1,839</w:t>
            </w:r>
          </w:p>
        </w:tc>
        <w:tc>
          <w:tcPr>
            <w:tcW w:type="dxa" w:w="1440"/>
            <w:shd w:fill="FFDCE0" w:val="clear"/>
          </w:tcPr>
          <w:p>
            <w:r>
              <w:rPr>
                <w:b/>
                <w:sz w:val="17"/>
              </w:rPr>
              <w:t>2,320</w:t>
            </w:r>
          </w:p>
        </w:tc>
        <w:tc>
          <w:tcPr>
            <w:tcW w:type="dxa" w:w="1440"/>
            <w:shd w:fill="FFDCE0" w:val="clear"/>
          </w:tcPr>
          <w:p>
            <w:r>
              <w:rPr>
                <w:sz w:val="17"/>
              </w:rPr>
              <w:t>2,802</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30,70 milliards FCFA, NEIC se positionne comme une valeur de taille moyenne sur le marché BRVM, ce qui reste modeste à l'échelle régionale mais significatif pour le secteur de l'édition. Le BPA de 160 FCFA/action indique que chaque titre génère 160 FCFA de bénéfice net, ce qui, rapporté au cours actuel de 2 405 FCFA, donne un PER de 15,1x — soit un niveau modéré mais supérieur à la moyenne du marché BRVM (généralement comprise entre 8 et 12x), suggérant que les investisseurs paient une légère prime pour cette valeur. Le P/B de 5,33x traduit une valorisation très exigeante, le marché valorisant l'entreprise à plus de cinq fois sa valeur comptable, ce qui implique des anticipations de croissance forte ou une confiance marquée dans la qualité des fonds propres. Enfin, l'EV/EBITDA de 22,5x apparaît très élevé (seuil d'alerte &gt;15x), signalant que la valeur d'entreprise intègre une prime spéculative importante par rapport à la capacité opérationnelle réelle de génération de cash.</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affiche une progression remarquable de +27,25%, avec une dernière séance en hausse de +4,57%, confirmant une dynamique haussière soutenue à court terme. Le cours a évolué dans un range large entre un plus bas de 1 715 FCFA et un plus haut de 3 000 FCFA, soit une amplitude de 75%, ce qui témoigne d'une forte volatilité intra-période. La tendance générale est clairement haussière, portée par un momentum acheteur qui a permis au titre de plus que doubler son plus bas avant de se replier légèrement vers 2 405 FCFA. Les statistiques descriptives révèlent une moyenne de 2 267 FCFA légèrement supérieure à la médiane de 2 260 FCFA, avec un mode à 1 990 FCFA — cet écart modéré entre moyenne et médiane, combiné à un skewness positif de 0,734, indique une asymétrie à droite : davantage de séances se sont déroulées sous la moyenne, mais quelques journées de forte hausse tirent la moyenne vers le haut. L'écart-type de 322 FCFA (CV=14,2%) traduit une dispersion modérée du cours autour de sa moyenne, tandis que le kurtosis de 0,055 (mésokurtique) suggère une distribution proche de la normale, sans risque excessif de pics extrêmes. La volatilité annualisée de 55,5% classe ce titre dans la catégorie des valeurs très volatiles (&gt;30%), ce qui implique un risque de marché élevé et justifie une approche prudente en termes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2 766,5 FCFA et la MM50 à 2 468,7 FCFA, toutes deux supérieures au cours actuel de 2 405 FCFA, ce qui place le titre sous ses moyennes mobiles à court et moyen terme. Cette configuration est baissière à court terme, bien que la décision technique affichée soit "Achat", probablement en anticipation d'un rebond après la correction récente.</w:t>
      </w:r>
    </w:p>
    <w:p>
      <w:pPr>
        <w:spacing w:after="120" w:line="276" w:lineRule="auto"/>
      </w:pPr>
      <w:r>
        <w:t>**Bandes de Bollinger** : La borne supérieure est à 3 222,7 FCFA et la borne inférieure à 2 310,3 FCFA, avec un cours actuel de 2 405 FCFA qui se situe dans la partie basse de la bande, sans être en zone de survente extrême. La décision "Neutre" reflète cette position médiane, le titre n'étant ni suracheté ni survendu selon ce critère.</w:t>
      </w:r>
    </w:p>
    <w:p>
      <w:pPr>
        <w:spacing w:after="120" w:line="276" w:lineRule="auto"/>
      </w:pPr>
      <w:r>
        <w:t>**MACD** : La valeur du MACD est négative à -19,612, tandis que le signal est à 56,331, créant une divergence baissière marquée (MACD &lt; Signal). Cette configuration indique un momentum négatif persistant et justifie la décision "Vente", le croisement à la baisse étant déjà acté.</w:t>
      </w:r>
    </w:p>
    <w:p>
      <w:pPr>
        <w:spacing w:after="120" w:line="276" w:lineRule="auto"/>
      </w:pPr>
      <w:r>
        <w:t>**RSI** : À 28,52, le RSI se situe en zone de survente (&lt;30), ce qui est techniquement un signal d'achat potentiel. La décision "Achat" est cohérente avec cette lecture, le titre ayant probablement atteint un niveau de prix attractif à court terme après sa correction.</w:t>
      </w:r>
    </w:p>
    <w:p>
      <w:pPr>
        <w:spacing w:after="120" w:line="276" w:lineRule="auto"/>
      </w:pPr>
      <w:r>
        <w:t>**Stochastique** : Le %K est à 15,0 et le %D à 5,0, tous deux en zone de survente profonde, avec un croisement potentiel à venir. La décision "Achat" est justifiée par cette configuration, le stochastique signalant un épuisement de la pression vendeuse.</w:t>
      </w:r>
    </w:p>
    <w:p>
      <w:pPr>
        <w:spacing w:after="120" w:line="276" w:lineRule="auto"/>
      </w:pPr>
      <w:r>
        <w:t>**Conclusion technique** : Les indicateurs sont divergents — le MACD confirme une tendance baissière de court terme, tandis que le RSI et le stochastique signalent une survente propice à un rebond. Les moyennes mobiles restent baissières, mais les bandes de Bollinger sont neutres. Cette configuration suggère un potentiel rebond technique à court terme, mais la prudence reste de mise tant que le MACD ne s'inverse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(source : brvm_donnees_financieres) révèlent une situation financière contrastée pour NEIC. Le chiffre d'affaires s'établit à 5,139 milliards FCFA, en baisse de -23,8% par rapport à l'exercice précédent, ce qui traduit un net ralentissement de l'activité commerciale. Le résultat net atteint 2,037 milliards FCFA, générant une marge nette exceptionnelle de 39,6%, mais cette performance est en grande partie attribuable à des éléments non récurrents (reprise de provision pour redressement fiscal), comme l'indique le rapport T3 2025 (daté du 30 septembre 2025). Le ROE de 35,4% et le ROA de 27,3% sont excellents, mais ils sont mécaniquement gonflés par cet effet exceptionnel. La structure financière reste solide avec une autonomie financière de 77,0%, une liquidité générale de 448,9% et une trésorerie nette de 4,196 milliards FCFA. Cependant, le BFR de 1,498 milliard FCFA et le délai client élevé de 154,7 jours constituent des points de vigilance, bien que le délai fournisseur de 69,6 jours offre un certain équilibre. Le flux opérationnel est négatif à -527,07 millions FCFA, ce qui est préoccupant malgré la trésorerie abondante. Les rapports trimestriels récents (T1 2026, publié en 2026) montrent une amélioration du chiffre d'affaires (+137% à 115,1 millions FCFA), mais la société reste déficitaire avec une perte nette de -168,9 millions FCFA, bien qu'en amélioration par rapport à 2025. On estime que l'exercice 2026 pourrait bénéficier de cette dynamique positive, mais la rentabilité opérationnelle reste fragile. Le rapport annuel 2025 (publié en 2025) indique un dividende généreux de 2,04 milliards FCFA (100% du résultat net), ce qui limite la capacité d'autofinancement. En conclusion, la solidité financière à court terme est réelle, mais la durabilité des performances et la dépendance aux éléments exceptionnels constituent des risques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NEIC apparaît exigeante : le PER de 15,1x est supérieur à la moyenne du marché, le P/B de 5,33x traduit une prime très forte, et l'EV/EBITDA de 22,5x signale une surévaluation par rapport à la capacité opérationnelle. Le comportement du cours sur 100 jours est haussier (+27,25%) mais la volatilité annualisée de 55,5% et le skewness positif indiquent un risque élevé, avec une distribution asymétrique qui pourrait annoncer des corrections brutales. Les signaux techniques sont divergents : le MACD est baissier, mais le RSI et le stochastique sont en zone de survente, suggérant un rebond potentiel à court terme, tandis que les moyennes mobiles restent baissières. Les fondamentaux sont mitigés : la rentabilité est exceptionnelle en 2025 mais dopée par des éléments non récurrents, et les rapports trimestriels 2026 montrent une amélioration du CA mais des pertes persistantes. Les prédictions IA pour les 10 prochains jours (2380 → 2360 FCFA) anticipent une légère baisse, ce qui contredit le signal de survente technique et suggère que le rebond pourrait être limité. Sur la base de cette synthèse, la recommandation est **CONSERVER** avec un niveau de confiance **Moyen** et un risque global **Élevé**. L'horizon d'investissement optimal est **moyen terme (3-12 mois)**, en attendant des signaux plus clairs sur la rentabilité opérationnelle récurrente et la confirmation d'un retournement technique durable. Une position acheteuse ne serait justifiée qu'en cas de cassure confirmée au-dessus de la MM20 (2 766 FCFA) avec un MACD repassant en territoire positif.</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514.85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2,505 titres</w:t>
            </w:r>
          </w:p>
        </w:tc>
        <w:tc>
          <w:tcPr>
            <w:tcW w:type="dxa" w:w="2268"/>
            <w:shd w:fill="FFF2CC" w:val="clear"/>
          </w:tcPr>
          <w:p>
            <w:r>
              <w:rPr>
                <w:b/>
                <w:color w:val="503200"/>
                <w:sz w:val="16"/>
              </w:rPr>
              <w:t xml:space="preserve">Cours actuel : </w:t>
            </w:r>
            <w:r>
              <w:rPr>
                <w:color w:val="000000"/>
                <w:sz w:val="17"/>
              </w:rPr>
              <w:t>20,815 FCFA</w:t>
            </w:r>
          </w:p>
          <w:p>
            <w:r>
              <w:rPr>
                <w:b/>
                <w:color w:val="503200"/>
                <w:sz w:val="16"/>
              </w:rPr>
              <w:t xml:space="preserve">Var. 100 jours : </w:t>
            </w:r>
            <w:r>
              <w:rPr>
                <w:b/>
                <w:color w:val="007800"/>
                <w:sz w:val="17"/>
              </w:rPr>
              <w:t>+49.75%</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15.18% (Élevée) — μ=20,682 FCFA, σ=3,139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β=1.3318 (Agressif) — Cov=0.000054, Var(idx)=0.000041, ρ=0.332,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2,505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σ_j=2.70%/j (Stable) — Vol. annualisée≈42.9%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2026-09-24</w:t>
            </w:r>
          </w:p>
        </w:tc>
        <w:tc>
          <w:tcPr>
            <w:tcW w:type="dxa" w:w="1440"/>
            <w:shd w:fill="C6EFCE" w:val="clear"/>
          </w:tcPr>
          <w:p>
            <w:r>
              <w:rPr>
                <w:sz w:val="17"/>
              </w:rPr>
              <w:t>20,655</w:t>
            </w:r>
          </w:p>
        </w:tc>
        <w:tc>
          <w:tcPr>
            <w:tcW w:type="dxa" w:w="1440"/>
            <w:shd w:fill="C6EFCE" w:val="clear"/>
          </w:tcPr>
          <w:p>
            <w:r>
              <w:rPr>
                <w:b/>
                <w:sz w:val="17"/>
              </w:rPr>
              <w:t>21,493</w:t>
            </w:r>
          </w:p>
        </w:tc>
        <w:tc>
          <w:tcPr>
            <w:tcW w:type="dxa" w:w="1440"/>
            <w:shd w:fill="C6EFCE" w:val="clear"/>
          </w:tcPr>
          <w:p>
            <w:r>
              <w:rPr>
                <w:sz w:val="17"/>
              </w:rPr>
              <w:t>22,330</w:t>
            </w:r>
          </w:p>
        </w:tc>
        <w:tc>
          <w:tcPr>
            <w:tcW w:type="dxa" w:w="1440"/>
            <w:shd w:fill="C6EFCE" w:val="clear"/>
          </w:tcPr>
          <w:p>
            <w:r>
              <w:rPr>
                <w:b/>
                <w:color w:val="008000"/>
                <w:sz w:val="17"/>
              </w:rPr>
              <w:t>+3.3%</w:t>
            </w:r>
          </w:p>
        </w:tc>
      </w:tr>
      <w:tr>
        <w:tc>
          <w:tcPr>
            <w:tcW w:type="dxa" w:w="1440"/>
            <w:shd w:fill="C6EFCE" w:val="clear"/>
          </w:tcPr>
          <w:p>
            <w:r>
              <w:rPr>
                <w:sz w:val="17"/>
              </w:rPr>
              <w:t>J+2  Moyenne</w:t>
            </w:r>
          </w:p>
        </w:tc>
        <w:tc>
          <w:tcPr>
            <w:tcW w:type="dxa" w:w="1440"/>
            <w:shd w:fill="C6EFCE" w:val="clear"/>
          </w:tcPr>
          <w:p>
            <w:r>
              <w:rPr>
                <w:sz w:val="17"/>
              </w:rPr>
              <w:t>2026-09-25</w:t>
            </w:r>
          </w:p>
        </w:tc>
        <w:tc>
          <w:tcPr>
            <w:tcW w:type="dxa" w:w="1440"/>
            <w:shd w:fill="C6EFCE" w:val="clear"/>
          </w:tcPr>
          <w:p>
            <w:r>
              <w:rPr>
                <w:sz w:val="17"/>
              </w:rPr>
              <w:t>20,436</w:t>
            </w:r>
          </w:p>
        </w:tc>
        <w:tc>
          <w:tcPr>
            <w:tcW w:type="dxa" w:w="1440"/>
            <w:shd w:fill="C6EFCE" w:val="clear"/>
          </w:tcPr>
          <w:p>
            <w:r>
              <w:rPr>
                <w:b/>
                <w:sz w:val="17"/>
              </w:rPr>
              <w:t>21,628</w:t>
            </w:r>
          </w:p>
        </w:tc>
        <w:tc>
          <w:tcPr>
            <w:tcW w:type="dxa" w:w="1440"/>
            <w:shd w:fill="C6EFCE" w:val="clear"/>
          </w:tcPr>
          <w:p>
            <w:r>
              <w:rPr>
                <w:sz w:val="17"/>
              </w:rPr>
              <w:t>22,820</w:t>
            </w:r>
          </w:p>
        </w:tc>
        <w:tc>
          <w:tcPr>
            <w:tcW w:type="dxa" w:w="1440"/>
            <w:shd w:fill="C6EFCE" w:val="clear"/>
          </w:tcPr>
          <w:p>
            <w:r>
              <w:rPr>
                <w:b/>
                <w:color w:val="008000"/>
                <w:sz w:val="17"/>
              </w:rPr>
              <w:t>+3.9%</w:t>
            </w:r>
          </w:p>
        </w:tc>
      </w:tr>
      <w:tr>
        <w:tc>
          <w:tcPr>
            <w:tcW w:type="dxa" w:w="1440"/>
            <w:shd w:fill="C6EFCE" w:val="clear"/>
          </w:tcPr>
          <w:p>
            <w:r>
              <w:rPr>
                <w:sz w:val="17"/>
              </w:rPr>
              <w:t>J+3  Moyenne</w:t>
            </w:r>
          </w:p>
        </w:tc>
        <w:tc>
          <w:tcPr>
            <w:tcW w:type="dxa" w:w="1440"/>
            <w:shd w:fill="C6EFCE" w:val="clear"/>
          </w:tcPr>
          <w:p>
            <w:r>
              <w:rPr>
                <w:sz w:val="17"/>
              </w:rPr>
              <w:t>2026-09-28</w:t>
            </w:r>
          </w:p>
        </w:tc>
        <w:tc>
          <w:tcPr>
            <w:tcW w:type="dxa" w:w="1440"/>
            <w:shd w:fill="C6EFCE" w:val="clear"/>
          </w:tcPr>
          <w:p>
            <w:r>
              <w:rPr>
                <w:sz w:val="17"/>
              </w:rPr>
              <w:t>20,252</w:t>
            </w:r>
          </w:p>
        </w:tc>
        <w:tc>
          <w:tcPr>
            <w:tcW w:type="dxa" w:w="1440"/>
            <w:shd w:fill="C6EFCE" w:val="clear"/>
          </w:tcPr>
          <w:p>
            <w:r>
              <w:rPr>
                <w:b/>
                <w:sz w:val="17"/>
              </w:rPr>
              <w:t>21,719</w:t>
            </w:r>
          </w:p>
        </w:tc>
        <w:tc>
          <w:tcPr>
            <w:tcW w:type="dxa" w:w="1440"/>
            <w:shd w:fill="C6EFCE" w:val="clear"/>
          </w:tcPr>
          <w:p>
            <w:r>
              <w:rPr>
                <w:sz w:val="17"/>
              </w:rPr>
              <w:t>23,185</w:t>
            </w:r>
          </w:p>
        </w:tc>
        <w:tc>
          <w:tcPr>
            <w:tcW w:type="dxa" w:w="1440"/>
            <w:shd w:fill="C6EFCE" w:val="clear"/>
          </w:tcPr>
          <w:p>
            <w:r>
              <w:rPr>
                <w:b/>
                <w:color w:val="008000"/>
                <w:sz w:val="17"/>
              </w:rPr>
              <w:t>+4.3%</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20,065</w:t>
            </w:r>
          </w:p>
        </w:tc>
        <w:tc>
          <w:tcPr>
            <w:tcW w:type="dxa" w:w="1440"/>
            <w:shd w:fill="C6EFCE" w:val="clear"/>
          </w:tcPr>
          <w:p>
            <w:r>
              <w:rPr>
                <w:b/>
                <w:sz w:val="17"/>
              </w:rPr>
              <w:t>21,762</w:t>
            </w:r>
          </w:p>
        </w:tc>
        <w:tc>
          <w:tcPr>
            <w:tcW w:type="dxa" w:w="1440"/>
            <w:shd w:fill="C6EFCE" w:val="clear"/>
          </w:tcPr>
          <w:p>
            <w:r>
              <w:rPr>
                <w:sz w:val="17"/>
              </w:rPr>
              <w:t>23,459</w:t>
            </w:r>
          </w:p>
        </w:tc>
        <w:tc>
          <w:tcPr>
            <w:tcW w:type="dxa" w:w="1440"/>
            <w:shd w:fill="C6EFCE" w:val="clear"/>
          </w:tcPr>
          <w:p>
            <w:r>
              <w:rPr>
                <w:b/>
                <w:color w:val="008000"/>
                <w:sz w:val="17"/>
              </w:rPr>
              <w:t>+4.5%</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19,894</w:t>
            </w:r>
          </w:p>
        </w:tc>
        <w:tc>
          <w:tcPr>
            <w:tcW w:type="dxa" w:w="1440"/>
            <w:shd w:fill="C6EFCE" w:val="clear"/>
          </w:tcPr>
          <w:p>
            <w:r>
              <w:rPr>
                <w:b/>
                <w:sz w:val="17"/>
              </w:rPr>
              <w:t>21,793</w:t>
            </w:r>
          </w:p>
        </w:tc>
        <w:tc>
          <w:tcPr>
            <w:tcW w:type="dxa" w:w="1440"/>
            <w:shd w:fill="C6EFCE" w:val="clear"/>
          </w:tcPr>
          <w:p>
            <w:r>
              <w:rPr>
                <w:sz w:val="17"/>
              </w:rPr>
              <w:t>23,693</w:t>
            </w:r>
          </w:p>
        </w:tc>
        <w:tc>
          <w:tcPr>
            <w:tcW w:type="dxa" w:w="1440"/>
            <w:shd w:fill="C6EFCE" w:val="clear"/>
          </w:tcPr>
          <w:p>
            <w:r>
              <w:rPr>
                <w:b/>
                <w:color w:val="008000"/>
                <w:sz w:val="17"/>
              </w:rPr>
              <w:t>+4.7%</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19,734</w:t>
            </w:r>
          </w:p>
        </w:tc>
        <w:tc>
          <w:tcPr>
            <w:tcW w:type="dxa" w:w="1440"/>
            <w:shd w:fill="C6EFCE" w:val="clear"/>
          </w:tcPr>
          <w:p>
            <w:r>
              <w:rPr>
                <w:b/>
                <w:sz w:val="17"/>
              </w:rPr>
              <w:t>21,817</w:t>
            </w:r>
          </w:p>
        </w:tc>
        <w:tc>
          <w:tcPr>
            <w:tcW w:type="dxa" w:w="1440"/>
            <w:shd w:fill="C6EFCE" w:val="clear"/>
          </w:tcPr>
          <w:p>
            <w:r>
              <w:rPr>
                <w:sz w:val="17"/>
              </w:rPr>
              <w:t>23,900</w:t>
            </w:r>
          </w:p>
        </w:tc>
        <w:tc>
          <w:tcPr>
            <w:tcW w:type="dxa" w:w="1440"/>
            <w:shd w:fill="C6EFCE" w:val="clear"/>
          </w:tcPr>
          <w:p>
            <w:r>
              <w:rPr>
                <w:b/>
                <w:color w:val="008000"/>
                <w:sz w:val="17"/>
              </w:rPr>
              <w:t>+4.8%</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19,584</w:t>
            </w:r>
          </w:p>
        </w:tc>
        <w:tc>
          <w:tcPr>
            <w:tcW w:type="dxa" w:w="1440"/>
            <w:shd w:fill="C6EFCE" w:val="clear"/>
          </w:tcPr>
          <w:p>
            <w:r>
              <w:rPr>
                <w:b/>
                <w:sz w:val="17"/>
              </w:rPr>
              <w:t>21,836</w:t>
            </w:r>
          </w:p>
        </w:tc>
        <w:tc>
          <w:tcPr>
            <w:tcW w:type="dxa" w:w="1440"/>
            <w:shd w:fill="C6EFCE" w:val="clear"/>
          </w:tcPr>
          <w:p>
            <w:r>
              <w:rPr>
                <w:sz w:val="17"/>
              </w:rPr>
              <w:t>24,088</w:t>
            </w:r>
          </w:p>
        </w:tc>
        <w:tc>
          <w:tcPr>
            <w:tcW w:type="dxa" w:w="1440"/>
            <w:shd w:fill="C6EFCE" w:val="clear"/>
          </w:tcPr>
          <w:p>
            <w:r>
              <w:rPr>
                <w:b/>
                <w:color w:val="008000"/>
                <w:sz w:val="17"/>
              </w:rPr>
              <w:t>+4.9%</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19,442</w:t>
            </w:r>
          </w:p>
        </w:tc>
        <w:tc>
          <w:tcPr>
            <w:tcW w:type="dxa" w:w="1440"/>
            <w:shd w:fill="C6EFCE" w:val="clear"/>
          </w:tcPr>
          <w:p>
            <w:r>
              <w:rPr>
                <w:b/>
                <w:sz w:val="17"/>
              </w:rPr>
              <w:t>21,851</w:t>
            </w:r>
          </w:p>
        </w:tc>
        <w:tc>
          <w:tcPr>
            <w:tcW w:type="dxa" w:w="1440"/>
            <w:shd w:fill="C6EFCE" w:val="clear"/>
          </w:tcPr>
          <w:p>
            <w:r>
              <w:rPr>
                <w:sz w:val="17"/>
              </w:rPr>
              <w:t>24,261</w:t>
            </w:r>
          </w:p>
        </w:tc>
        <w:tc>
          <w:tcPr>
            <w:tcW w:type="dxa" w:w="1440"/>
            <w:shd w:fill="C6EFCE" w:val="clear"/>
          </w:tcPr>
          <w:p>
            <w:r>
              <w:rPr>
                <w:b/>
                <w:color w:val="008000"/>
                <w:sz w:val="17"/>
              </w:rPr>
              <w:t>+5.0%</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19,308</w:t>
            </w:r>
          </w:p>
        </w:tc>
        <w:tc>
          <w:tcPr>
            <w:tcW w:type="dxa" w:w="1440"/>
            <w:shd w:fill="C6EFCE" w:val="clear"/>
          </w:tcPr>
          <w:p>
            <w:r>
              <w:rPr>
                <w:b/>
                <w:sz w:val="17"/>
              </w:rPr>
              <w:t>21,864</w:t>
            </w:r>
          </w:p>
        </w:tc>
        <w:tc>
          <w:tcPr>
            <w:tcW w:type="dxa" w:w="1440"/>
            <w:shd w:fill="C6EFCE" w:val="clear"/>
          </w:tcPr>
          <w:p>
            <w:r>
              <w:rPr>
                <w:sz w:val="17"/>
              </w:rPr>
              <w:t>24,421</w:t>
            </w:r>
          </w:p>
        </w:tc>
        <w:tc>
          <w:tcPr>
            <w:tcW w:type="dxa" w:w="1440"/>
            <w:shd w:fill="C6EFCE" w:val="clear"/>
          </w:tcPr>
          <w:p>
            <w:r>
              <w:rPr>
                <w:b/>
                <w:color w:val="008000"/>
                <w:sz w:val="17"/>
              </w:rPr>
              <w:t>+5.0%</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19,179</w:t>
            </w:r>
          </w:p>
        </w:tc>
        <w:tc>
          <w:tcPr>
            <w:tcW w:type="dxa" w:w="1440"/>
            <w:shd w:fill="C6EFCE" w:val="clear"/>
          </w:tcPr>
          <w:p>
            <w:r>
              <w:rPr>
                <w:b/>
                <w:sz w:val="17"/>
              </w:rPr>
              <w:t>21,876</w:t>
            </w:r>
          </w:p>
        </w:tc>
        <w:tc>
          <w:tcPr>
            <w:tcW w:type="dxa" w:w="1440"/>
            <w:shd w:fill="C6EFCE" w:val="clear"/>
          </w:tcPr>
          <w:p>
            <w:r>
              <w:rPr>
                <w:sz w:val="17"/>
              </w:rPr>
              <w:t>24,573</w:t>
            </w:r>
          </w:p>
        </w:tc>
        <w:tc>
          <w:tcPr>
            <w:tcW w:type="dxa" w:w="1440"/>
            <w:shd w:fill="C6EFCE" w:val="clear"/>
          </w:tcPr>
          <w:p>
            <w:r>
              <w:rPr>
                <w:b/>
                <w:color w:val="008000"/>
                <w:sz w:val="17"/>
              </w:rPr>
              <w:t>+5.1%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514,85 milliards FCFA, NSBC s'impose comme l'une des valeurs bancaires les plus importantes de la cote BRVM, ce qui témoigne de sa liquidité relative et de son poids dans l'indice sectoriel. Le BPA de 1 646 FCFA/action signifie que chaque titre génère près de 1 646 FCFA de bénéfice net, un niveau élevé qui traduit la forte rentabilité de la banque. Le PER de 12,6x se situe légèrement au-dessus de la moyenne BRVM (~8-12x), indiquant que le marché paie une prime modérée pour cette valeur de croissance, sans pour autant tomber dans une surévaluation excessive. Le P/B de 2,21x montre que le marché valorise NSBC à plus du double de sa valeur comptable, une prime de croissance justifiée par un ROE de 17,45% nettement supérieur au coût des fonds propres. En revanche, l'EV/EBITDA de 20,4x apparaît très exigeant (&gt;15x), signalant que la valeur d'entreprise intègre déjà une bonne partie des anticipations de croissance — un point de vigilance pour les investisseurs cherchant une marge de sécurité.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NSBC affiche une performance remarquable de +49,75%, passant d'un plus bas de 13 810 FCFA à un plus haut de 24 885 FCFA, avant de se replier à 20 815 FCFA, soit une correction de -7,49% lors de la dernière séance — un mouvement baissier ponctuel qui contraste avec la tendance haussière de fond. Le range de trading de 11 075 FCFA (soit environ 80% d'amplitude) témoigne d'une forte dynamique acheteuse sur la période, bien que la correction récente suggère une prise de bénéfices après le rallye. Les statistiques descriptives révèlent une moyenne de 20 682 FCFA légèrement inférieure à la médiane de 21 698 FCFA, avec un mode à 23 000 FCFA : cet écart indique une distribution asymétrique où le cours a passé plus de temps au-dessus de sa moyenne, confirmé par un skewness de -0,772 (asymétrie négative). L'écart-type de 3 155 FCFA (CV=15,3%) traduit une dispersion modérée autour de la moyenne, tandis que le kurtosis de -0,365 (mésokurtique) suggère une distribution proche de la normale, sans risque excessif de pics extrêmes. La volatilité annualisée de 42,9% classe ce titre dans la catégorie des valeurs à volatilité élevée (&gt;30%), ce qui implique un risque de marché significatif mais aussi des opportunités de trading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(23 567,75 FCFA) et la MM50 (23 247,4 FCFA) se situent toutes deux au-dessus du cours actuel (20 815 FCFA), ce qui place le titre en position de repli sous ses moyennes mobiles. Cependant, la MM20 étant légèrement supérieure à la MM50, la configuration reste haussière de fond, et la décision technique affichée est "Achat" — le repli actuel pourrait constituer un point d'entrée intéressant si le cours rebondit vers ces niveaux.</w:t>
      </w:r>
    </w:p>
    <w:p>
      <w:pPr>
        <w:spacing w:after="120" w:line="276" w:lineRule="auto"/>
      </w:pPr>
      <w:r>
        <w:t>**Bandes de Bollinger** : Le cours actuel (20 815 FCFA) se situe en dessous de la borne inférieure des Bandes de Bollinger (21 481,57 FCFA), ce qui est techniquement un signal de survente et suggère une probabilité de rebond à court terme. La largeur des bandes (borne supérieure à 25 653,93 FCFA) indique une volatilité élevée, et la décision "Achat" confirme que le marché anticipe un retour vers la moyenne.</w:t>
      </w:r>
    </w:p>
    <w:p>
      <w:pPr>
        <w:spacing w:after="120" w:line="276" w:lineRule="auto"/>
      </w:pPr>
      <w:r>
        <w:t>**MACD** : La valeur du MACD (-35,916) est nettement inférieure à son signal (283,65), générant une divergence baissière qui traduit un momentum négatif à court terme. La décision "Vente" de cet indicateur contraste avec les autres signaux, ce qui suggère que la correction actuelle pourrait se poursuivre avant un retournement.</w:t>
      </w:r>
    </w:p>
    <w:p>
      <w:pPr>
        <w:spacing w:after="120" w:line="276" w:lineRule="auto"/>
      </w:pPr>
      <w:r>
        <w:t>**RSI** : À 35,166, le RSI se situe dans la zone neutre basse (30-70), proche du seuil de survente (30), sans l'atteindre. La décision "Neutre" indique que le titre n'est ni suracheté ni survendu, mais la proximité du seuil de 30 suggère qu'un rebond technique est possible à court terme.</w:t>
      </w:r>
    </w:p>
    <w:p>
      <w:pPr>
        <w:spacing w:after="120" w:line="276" w:lineRule="auto"/>
      </w:pPr>
      <w:r>
        <w:t>**Stochastique** : Le %K (0,0) est en dessous du %D (9,413), et les deux se situent dans la zone de survente extrême (&lt;20). La décision "Achat" est justifiée par le fait que le %K est à son plus bas niveau, ce qui précède souvent un croisement haussier et un rebond du cours.</w:t>
      </w:r>
    </w:p>
    <w:p>
      <w:pPr>
        <w:spacing w:after="120" w:line="276" w:lineRule="auto"/>
      </w:pPr>
      <w:r>
        <w:t>**Conclusion technique** : Les indicateurs techniques présentent une divergence notable : les Moyennes Mobiles, Bandes de Bollinger et Stochastique suggèrent un potentiel de rebond (décision "Achat"), tandis que le MACD signale une pression baissière persistante. Le RSI neutre et la position du cours sous la borne inférieure de Bollinger plaident pour une survente à court terme, mais la confirmation d'un retournement nécessitera un croisement haussier du MACD et une remontée du RSI au-dessus de 40. Dans l'ensemble, la configuration technique est mitigée, avec une légère prédominance des signaux d'achat à moyen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NSIA Banque CI affiche un Produit Net Bancaire (PNB) de 112,928 milliards FCFA, en croissance de 15,45% par rapport à 2024, porté par une marge d'intérêt en hausse de 26%. Le résultat net s'établit à 40,712 milliards FCFA, avec une marge nette de 36,05% et un ROE de 17,45% — un niveau excellent (&gt;15%) qui témoigne d'une forte rentabilité des fonds propres. Le ROA de 1,32% reste conforme aux standards bancaires. Le coefficient d'exploitation de 54,59% (&lt;60%) confirme l'efficacité opérationnelle de la banque, tandis que le coût du risque de 7,54% (provisions/charges financières) indique un portefeuille de crédits relativement maîtrisé, bien qu'en dégradation par rapport à 2024. Le total bilan atteint 3 073,062 milliards FCFA (+22%), avec des dépôts clientèle de 2 242,218 milliards FCFA (+32%) et des créances clientèle de 1 818,671 milliards FCFA (+18%), traduisant une transformation équilibrée (ratio crédits/dépôts de 81%).</w:t>
      </w:r>
    </w:p>
    <w:p>
      <w:pPr>
        <w:spacing w:after="120" w:line="276" w:lineRule="auto"/>
      </w:pPr>
      <w:r>
        <w:t>**Estimations basées sur les rapports trimestriels** : Le rapport du T1 2026 (publié le 31/03/2026) révèle une accélération spectaculaire : PNB de 28,615 milliards FCFA (+28% sur un an) et résultat net de 10,912 milliards FCFA (+53%), avec une marge nette de 38,1%. Cette performance est principalement tirée par l'activité titres, mais le léger recul des encours de crédits (-4%) et la dépendance à cette source volatile constituent des points de vigilance. Sur la base de ce T1, on peut estimer que l'exercice 2026 devrait afficher un PNB supérieur à 125 milliards FCFA et un résultat net proche de 45-48 milliards FCFA, soit une croissance de 10-18% — une projection à confirmer par les résultats semestriels. Le rapport annuel 2025 (publié le 13/05/2026) souligne la solidité du bilan et la stratégie de diversification (titrisation, finance verte, PME), mais alerte sur la hausse du coût du risque (-8,5 milliards FCFA en 2025 contre +0,6 milliard en 2024).</w:t>
      </w:r>
    </w:p>
    <w:p>
      <w:pPr>
        <w:spacing w:after="120" w:line="276" w:lineRule="auto"/>
      </w:pPr>
      <w:r>
        <w:t>**Recommandation fondamentale** : NSBC présente des fondamentaux solides (ROE &gt;17%, marge nette &gt;36%, coefficient d'exploitation &lt;55%) et une dynamique de croissance soutenue, mais la dégradation du coût du risque et la concentration des revenus sur l'activité titres nécessitent une surveillance accrue. La valorisation (PER 12,6x, P/B 2,21x) intègre déjà une partie de ces bonnes perspectives, ce qui limite le potentiel de revalorisation à court terme. La recommandation fondamentale est **CONSERVER**, avec un biais positif pour les investisseurs déjà positionnés.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convergence partielle des signaux. **Valorisation (Partie 0)** : le PER de 12,6x et le P/B de 2,21x indiquent une valorisation raisonnable mais non bon marché, tandis que l'EV/EBITDA de 20,4x suggère une certaine surévaluation — le marché intègre déjà une forte croissance. **Comportement du cours (Partie 1)** : la tendance haussière de +49,75% sur 100 jours est impressionnante, mais la correction récente (-7,49%) et la volatilité élevée (42,9%) appellent à la prudence ; le skewness négatif et le kurtosis mésokurtique indiquent un risque de pics baissiers modéré. **Signaux techniques (Partie 2)** : divergence entre les indicateurs — Bollinger et Stochastique suggèrent un rebond, mais le MACD reste baissier ; la configuration est mitigée, avec une légère prédominance des signaux d'achat à moyen terme. **Fondamentaux (Partie 3)** : les performances 2025 (PNB +15%, RN +7%, ROE 17,45%) et le T1 2026 (RN +53%) sont excellentes, mais la dégradation du coût du risque et la dépendance aux titres sont des risques à surveiller. **Prédictions IA (J+1 à J+10)** : la trajectoire prévue (21 493 → 21 793 FCFA) anticipe un rebond modéré de +4,7% sur 10 jours, ce qui confirme les signaux d'achat techniques à court terme.</w:t>
      </w:r>
    </w:p>
    <w:p>
      <w:pPr>
        <w:spacing w:after="120" w:line="276" w:lineRule="auto"/>
      </w:pPr>
      <w:r>
        <w:t>**Recommandation finale** : **CONSERVER** avec un biais positif. La convergence entre les fondamentaux solides, les signaux techniques de survente et les prédictions IA haussières plaide pour un maintien de la position, mais la valorisation exigeante (EV/EBITDA) et la volatilité élevée limitent le potentiel de gain à court terme. **Niveau de confiance** : Moyen (les indicateurs techniques sont divergents et les fondamentaux dépendent de facteurs volatils). **Niveau de risque global** : Moyen à Élevé (volatilité de 42,9%, coût du risque en hausse, concentration sectorielle). **Horizon d'investissement optimal** : Moyen terme (3-12 mois), en surveillant les résultats semestriels 2026 pour confirmer la tendance et l'évolution du coût du risque. Les investisseurs à court terme (&lt;3 mois) pourraient profiter du rebond technique anticipé, mais avec une gestion stricte du risque.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320.02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1,247 titres</w:t>
            </w:r>
          </w:p>
        </w:tc>
        <w:tc>
          <w:tcPr>
            <w:tcW w:type="dxa" w:w="2268"/>
            <w:shd w:fill="FFF2CC" w:val="clear"/>
          </w:tcPr>
          <w:p>
            <w:r>
              <w:rPr>
                <w:b/>
                <w:color w:val="503200"/>
                <w:sz w:val="16"/>
              </w:rPr>
              <w:t xml:space="preserve">Cours actuel : </w:t>
            </w:r>
            <w:r>
              <w:rPr>
                <w:color w:val="000000"/>
                <w:sz w:val="17"/>
              </w:rPr>
              <w:t>14,500 FCFA</w:t>
            </w:r>
          </w:p>
          <w:p>
            <w:r>
              <w:rPr>
                <w:b/>
                <w:color w:val="503200"/>
                <w:sz w:val="16"/>
              </w:rPr>
              <w:t xml:space="preserve">Var. 100 jours : </w:t>
            </w:r>
            <w:r>
              <w:rPr>
                <w:b/>
                <w:color w:val="007800"/>
                <w:sz w:val="17"/>
              </w:rPr>
              <w:t>+17.31%</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12.07% (Moyenne) — μ=15,235 FCFA, σ=1,840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β=0.2064 (Défensif) — Cov=0.000008, Var(idx)=0.000041, ρ=0.059,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2026-09-24</w:t>
            </w:r>
          </w:p>
        </w:tc>
        <w:tc>
          <w:tcPr>
            <w:tcW w:type="dxa" w:w="1440"/>
            <w:shd w:fill="C6EFCE" w:val="clear"/>
          </w:tcPr>
          <w:p>
            <w:r>
              <w:rPr>
                <w:sz w:val="17"/>
              </w:rPr>
              <w:t>14,878</w:t>
            </w:r>
          </w:p>
        </w:tc>
        <w:tc>
          <w:tcPr>
            <w:tcW w:type="dxa" w:w="1440"/>
            <w:shd w:fill="C6EFCE" w:val="clear"/>
          </w:tcPr>
          <w:p>
            <w:r>
              <w:rPr>
                <w:b/>
                <w:sz w:val="17"/>
              </w:rPr>
              <w:t>15,588</w:t>
            </w:r>
          </w:p>
        </w:tc>
        <w:tc>
          <w:tcPr>
            <w:tcW w:type="dxa" w:w="1440"/>
            <w:shd w:fill="C6EFCE" w:val="clear"/>
          </w:tcPr>
          <w:p>
            <w:r>
              <w:rPr>
                <w:sz w:val="17"/>
              </w:rPr>
              <w:t>16,298</w:t>
            </w:r>
          </w:p>
        </w:tc>
        <w:tc>
          <w:tcPr>
            <w:tcW w:type="dxa" w:w="1440"/>
            <w:shd w:fill="C6EFCE" w:val="clear"/>
          </w:tcPr>
          <w:p>
            <w:r>
              <w:rPr>
                <w:b/>
                <w:color w:val="008000"/>
                <w:sz w:val="17"/>
              </w:rPr>
              <w:t>+7.5%</w:t>
            </w:r>
          </w:p>
        </w:tc>
      </w:tr>
      <w:tr>
        <w:tc>
          <w:tcPr>
            <w:tcW w:type="dxa" w:w="1440"/>
            <w:shd w:fill="C6EFCE" w:val="clear"/>
          </w:tcPr>
          <w:p>
            <w:r>
              <w:rPr>
                <w:sz w:val="17"/>
              </w:rPr>
              <w:t>J+2  ⭐</w:t>
            </w:r>
          </w:p>
        </w:tc>
        <w:tc>
          <w:tcPr>
            <w:tcW w:type="dxa" w:w="1440"/>
            <w:shd w:fill="C6EFCE" w:val="clear"/>
          </w:tcPr>
          <w:p>
            <w:r>
              <w:rPr>
                <w:sz w:val="17"/>
              </w:rPr>
              <w:t>2026-09-25</w:t>
            </w:r>
          </w:p>
        </w:tc>
        <w:tc>
          <w:tcPr>
            <w:tcW w:type="dxa" w:w="1440"/>
            <w:shd w:fill="C6EFCE" w:val="clear"/>
          </w:tcPr>
          <w:p>
            <w:r>
              <w:rPr>
                <w:sz w:val="17"/>
              </w:rPr>
              <w:t>14,554</w:t>
            </w:r>
          </w:p>
        </w:tc>
        <w:tc>
          <w:tcPr>
            <w:tcW w:type="dxa" w:w="1440"/>
            <w:shd w:fill="C6EFCE" w:val="clear"/>
          </w:tcPr>
          <w:p>
            <w:r>
              <w:rPr>
                <w:b/>
                <w:sz w:val="17"/>
              </w:rPr>
              <w:t>15,556</w:t>
            </w:r>
          </w:p>
        </w:tc>
        <w:tc>
          <w:tcPr>
            <w:tcW w:type="dxa" w:w="1440"/>
            <w:shd w:fill="C6EFCE" w:val="clear"/>
          </w:tcPr>
          <w:p>
            <w:r>
              <w:rPr>
                <w:sz w:val="17"/>
              </w:rPr>
              <w:t>16,558</w:t>
            </w:r>
          </w:p>
        </w:tc>
        <w:tc>
          <w:tcPr>
            <w:tcW w:type="dxa" w:w="1440"/>
            <w:shd w:fill="C6EFCE" w:val="clear"/>
          </w:tcPr>
          <w:p>
            <w:r>
              <w:rPr>
                <w:b/>
                <w:color w:val="008000"/>
                <w:sz w:val="17"/>
              </w:rPr>
              <w:t>+7.3%</w:t>
            </w:r>
          </w:p>
        </w:tc>
      </w:tr>
      <w:tr>
        <w:tc>
          <w:tcPr>
            <w:tcW w:type="dxa" w:w="1440"/>
            <w:shd w:fill="C6EFCE" w:val="clear"/>
          </w:tcPr>
          <w:p>
            <w:r>
              <w:rPr>
                <w:sz w:val="17"/>
              </w:rPr>
              <w:t>J+3  ⭐</w:t>
            </w:r>
          </w:p>
        </w:tc>
        <w:tc>
          <w:tcPr>
            <w:tcW w:type="dxa" w:w="1440"/>
            <w:shd w:fill="C6EFCE" w:val="clear"/>
          </w:tcPr>
          <w:p>
            <w:r>
              <w:rPr>
                <w:sz w:val="17"/>
              </w:rPr>
              <w:t>2026-09-28</w:t>
            </w:r>
          </w:p>
        </w:tc>
        <w:tc>
          <w:tcPr>
            <w:tcW w:type="dxa" w:w="1440"/>
            <w:shd w:fill="C6EFCE" w:val="clear"/>
          </w:tcPr>
          <w:p>
            <w:r>
              <w:rPr>
                <w:sz w:val="17"/>
              </w:rPr>
              <w:t>14,325</w:t>
            </w:r>
          </w:p>
        </w:tc>
        <w:tc>
          <w:tcPr>
            <w:tcW w:type="dxa" w:w="1440"/>
            <w:shd w:fill="C6EFCE" w:val="clear"/>
          </w:tcPr>
          <w:p>
            <w:r>
              <w:rPr>
                <w:b/>
                <w:sz w:val="17"/>
              </w:rPr>
              <w:t>15,552</w:t>
            </w:r>
          </w:p>
        </w:tc>
        <w:tc>
          <w:tcPr>
            <w:tcW w:type="dxa" w:w="1440"/>
            <w:shd w:fill="C6EFCE" w:val="clear"/>
          </w:tcPr>
          <w:p>
            <w:r>
              <w:rPr>
                <w:sz w:val="17"/>
              </w:rPr>
              <w:t>16,779</w:t>
            </w:r>
          </w:p>
        </w:tc>
        <w:tc>
          <w:tcPr>
            <w:tcW w:type="dxa" w:w="1440"/>
            <w:shd w:fill="C6EFCE" w:val="clear"/>
          </w:tcPr>
          <w:p>
            <w:r>
              <w:rPr>
                <w:b/>
                <w:color w:val="008000"/>
                <w:sz w:val="17"/>
              </w:rPr>
              <w:t>+7.3%</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14,154</w:t>
            </w:r>
          </w:p>
        </w:tc>
        <w:tc>
          <w:tcPr>
            <w:tcW w:type="dxa" w:w="1440"/>
            <w:shd w:fill="C6EFCE" w:val="clear"/>
          </w:tcPr>
          <w:p>
            <w:r>
              <w:rPr>
                <w:b/>
                <w:sz w:val="17"/>
              </w:rPr>
              <w:t>15,573</w:t>
            </w:r>
          </w:p>
        </w:tc>
        <w:tc>
          <w:tcPr>
            <w:tcW w:type="dxa" w:w="1440"/>
            <w:shd w:fill="C6EFCE" w:val="clear"/>
          </w:tcPr>
          <w:p>
            <w:r>
              <w:rPr>
                <w:sz w:val="17"/>
              </w:rPr>
              <w:t>16,992</w:t>
            </w:r>
          </w:p>
        </w:tc>
        <w:tc>
          <w:tcPr>
            <w:tcW w:type="dxa" w:w="1440"/>
            <w:shd w:fill="C6EFCE" w:val="clear"/>
          </w:tcPr>
          <w:p>
            <w:r>
              <w:rPr>
                <w:b/>
                <w:color w:val="008000"/>
                <w:sz w:val="17"/>
              </w:rPr>
              <w:t>+7.4%</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14,007</w:t>
            </w:r>
          </w:p>
        </w:tc>
        <w:tc>
          <w:tcPr>
            <w:tcW w:type="dxa" w:w="1440"/>
            <w:shd w:fill="C6EFCE" w:val="clear"/>
          </w:tcPr>
          <w:p>
            <w:r>
              <w:rPr>
                <w:b/>
                <w:sz w:val="17"/>
              </w:rPr>
              <w:t>15,595</w:t>
            </w:r>
          </w:p>
        </w:tc>
        <w:tc>
          <w:tcPr>
            <w:tcW w:type="dxa" w:w="1440"/>
            <w:shd w:fill="C6EFCE" w:val="clear"/>
          </w:tcPr>
          <w:p>
            <w:r>
              <w:rPr>
                <w:sz w:val="17"/>
              </w:rPr>
              <w:t>17,184</w:t>
            </w:r>
          </w:p>
        </w:tc>
        <w:tc>
          <w:tcPr>
            <w:tcW w:type="dxa" w:w="1440"/>
            <w:shd w:fill="C6EFCE" w:val="clear"/>
          </w:tcPr>
          <w:p>
            <w:r>
              <w:rPr>
                <w:b/>
                <w:color w:val="008000"/>
                <w:sz w:val="17"/>
              </w:rPr>
              <w:t>+7.6%</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13,872</w:t>
            </w:r>
          </w:p>
        </w:tc>
        <w:tc>
          <w:tcPr>
            <w:tcW w:type="dxa" w:w="1440"/>
            <w:shd w:fill="C6EFCE" w:val="clear"/>
          </w:tcPr>
          <w:p>
            <w:r>
              <w:rPr>
                <w:b/>
                <w:sz w:val="17"/>
              </w:rPr>
              <w:t>15,614</w:t>
            </w:r>
          </w:p>
        </w:tc>
        <w:tc>
          <w:tcPr>
            <w:tcW w:type="dxa" w:w="1440"/>
            <w:shd w:fill="C6EFCE" w:val="clear"/>
          </w:tcPr>
          <w:p>
            <w:r>
              <w:rPr>
                <w:sz w:val="17"/>
              </w:rPr>
              <w:t>17,356</w:t>
            </w:r>
          </w:p>
        </w:tc>
        <w:tc>
          <w:tcPr>
            <w:tcW w:type="dxa" w:w="1440"/>
            <w:shd w:fill="C6EFCE" w:val="clear"/>
          </w:tcPr>
          <w:p>
            <w:r>
              <w:rPr>
                <w:b/>
                <w:color w:val="008000"/>
                <w:sz w:val="17"/>
              </w:rPr>
              <w:t>+7.7%</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13,746</w:t>
            </w:r>
          </w:p>
        </w:tc>
        <w:tc>
          <w:tcPr>
            <w:tcW w:type="dxa" w:w="1440"/>
            <w:shd w:fill="C6EFCE" w:val="clear"/>
          </w:tcPr>
          <w:p>
            <w:r>
              <w:rPr>
                <w:b/>
                <w:sz w:val="17"/>
              </w:rPr>
              <w:t>15,629</w:t>
            </w:r>
          </w:p>
        </w:tc>
        <w:tc>
          <w:tcPr>
            <w:tcW w:type="dxa" w:w="1440"/>
            <w:shd w:fill="C6EFCE" w:val="clear"/>
          </w:tcPr>
          <w:p>
            <w:r>
              <w:rPr>
                <w:sz w:val="17"/>
              </w:rPr>
              <w:t>17,513</w:t>
            </w:r>
          </w:p>
        </w:tc>
        <w:tc>
          <w:tcPr>
            <w:tcW w:type="dxa" w:w="1440"/>
            <w:shd w:fill="C6EFCE" w:val="clear"/>
          </w:tcPr>
          <w:p>
            <w:r>
              <w:rPr>
                <w:b/>
                <w:color w:val="008000"/>
                <w:sz w:val="17"/>
              </w:rPr>
              <w:t>+7.8%</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13,628</w:t>
            </w:r>
          </w:p>
        </w:tc>
        <w:tc>
          <w:tcPr>
            <w:tcW w:type="dxa" w:w="1440"/>
            <w:shd w:fill="C6EFCE" w:val="clear"/>
          </w:tcPr>
          <w:p>
            <w:r>
              <w:rPr>
                <w:b/>
                <w:sz w:val="17"/>
              </w:rPr>
              <w:t>15,643</w:t>
            </w:r>
          </w:p>
        </w:tc>
        <w:tc>
          <w:tcPr>
            <w:tcW w:type="dxa" w:w="1440"/>
            <w:shd w:fill="C6EFCE" w:val="clear"/>
          </w:tcPr>
          <w:p>
            <w:r>
              <w:rPr>
                <w:sz w:val="17"/>
              </w:rPr>
              <w:t>17,659</w:t>
            </w:r>
          </w:p>
        </w:tc>
        <w:tc>
          <w:tcPr>
            <w:tcW w:type="dxa" w:w="1440"/>
            <w:shd w:fill="C6EFCE" w:val="clear"/>
          </w:tcPr>
          <w:p>
            <w:r>
              <w:rPr>
                <w:b/>
                <w:color w:val="008000"/>
                <w:sz w:val="17"/>
              </w:rPr>
              <w:t>+7.9%</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13,516</w:t>
            </w:r>
          </w:p>
        </w:tc>
        <w:tc>
          <w:tcPr>
            <w:tcW w:type="dxa" w:w="1440"/>
            <w:shd w:fill="C6EFCE" w:val="clear"/>
          </w:tcPr>
          <w:p>
            <w:r>
              <w:rPr>
                <w:b/>
                <w:sz w:val="17"/>
              </w:rPr>
              <w:t>15,656</w:t>
            </w:r>
          </w:p>
        </w:tc>
        <w:tc>
          <w:tcPr>
            <w:tcW w:type="dxa" w:w="1440"/>
            <w:shd w:fill="C6EFCE" w:val="clear"/>
          </w:tcPr>
          <w:p>
            <w:r>
              <w:rPr>
                <w:sz w:val="17"/>
              </w:rPr>
              <w:t>17,795</w:t>
            </w:r>
          </w:p>
        </w:tc>
        <w:tc>
          <w:tcPr>
            <w:tcW w:type="dxa" w:w="1440"/>
            <w:shd w:fill="C6EFCE" w:val="clear"/>
          </w:tcPr>
          <w:p>
            <w:r>
              <w:rPr>
                <w:b/>
                <w:color w:val="008000"/>
                <w:sz w:val="17"/>
              </w:rPr>
              <w:t>+8.0%</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13,411</w:t>
            </w:r>
          </w:p>
        </w:tc>
        <w:tc>
          <w:tcPr>
            <w:tcW w:type="dxa" w:w="1440"/>
            <w:shd w:fill="C6EFCE" w:val="clear"/>
          </w:tcPr>
          <w:p>
            <w:r>
              <w:rPr>
                <w:b/>
                <w:sz w:val="17"/>
              </w:rPr>
              <w:t>15,668</w:t>
            </w:r>
          </w:p>
        </w:tc>
        <w:tc>
          <w:tcPr>
            <w:tcW w:type="dxa" w:w="1440"/>
            <w:shd w:fill="C6EFCE" w:val="clear"/>
          </w:tcPr>
          <w:p>
            <w:r>
              <w:rPr>
                <w:sz w:val="17"/>
              </w:rPr>
              <w:t>17,925</w:t>
            </w:r>
          </w:p>
        </w:tc>
        <w:tc>
          <w:tcPr>
            <w:tcW w:type="dxa" w:w="1440"/>
            <w:shd w:fill="C6EFCE" w:val="clear"/>
          </w:tcPr>
          <w:p>
            <w:r>
              <w:rPr>
                <w:b/>
                <w:color w:val="008000"/>
                <w:sz w:val="17"/>
              </w:rPr>
              <w:t>+8.1%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NESTLÉ CÔTE D'IVOIRE (NTLC)</w:t>
        <w:br/>
        <w:t>**Bourse Régionale des Valeurs Mobilières (BRVM) — Secteur : Entreprise / Agroalimentaire**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320,02 milliards FCFA, Nestlé Côte d'Ivoire s'impose comme l'une des valeurs les plus capitalisées de la BRVM, ce qui en fait un pilier de l'indice BRVM Composite et un titre de référence pour les investisseurs institutionnels de la zone UEMOA. Le BPA de 835 FCFA par action signifie que chaque titre détenu génère près de 835 FCFA de bénéfice net, un niveau de rentabilité par action solide qui traduit la robustesse du modèle agroalimentaire de la société. Le PER de 17,4x se situe nettement au-dessus de la moyenne du marché BRVM (généralement comprise entre 8x et 12x), ce qui indique que les investisseurs acceptent de payer une prime de qualité pour ce titre — valorisation modérée mais non excessive au regard de la régularité des résultats. Le P/B de 10,82x, très supérieur au seuil de 4x, révèle une forte prime par rapport à la valeur comptable (capitaux propres de 29,59 Mds FCFA), ce qui est caractéristique des entreprises à forte rentabilité des fonds propres (ROE de 62,28%) et à faible intensité capitalistique relative. Enfin, l'EV/EBITDA de 8,8x, dans la fourchette raisonnable de 5-10x, montre que la valeur totale de l'entreprise (capitalisation + dette nette) reste cohérente avec sa capacité opérationnelle à générer de l'EBE (46,17 Mds FCFA en 2025), confirmant une valorisation exigeante mais justifiée par les fondamentaux.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affiche une variation totale positive de +17,31%, mais la dernière séance (J-1) enregistre un repli marqué de -4,61%, signalant une correction récente après une phase de hausse soutenue. Le cours actuel de 14 500 FCFA se situe dans la moitié basse du range de trading, le plus haut ayant atteint 18 000 FCFA et le plus bas 11 150 FCFA, soit un écart de 6 850 FCFA (61% du plus bas) qui témoigne d'une amplitude significative. La tendance générale sur la période reste haussière (+17,31%), mais le repli récent et la position actuelle sous la moyenne (15 235 FCFA) suggèrent un essoufflement du momentum acheteur. Les statistiques descriptives révèlent une distribution asymétrique : la moyenne (15 235 FCFA) est inférieure à la médiane (15 995 FCFA), ce qui indique que le cours a passé plus de temps au-dessus de sa moyenne, mais que des journées de forte baisse ont tiré la moyenne vers le bas — cohérent avec le skewness négatif de -0,798 (plus de journées au-dessus de la moyenne, mais quelques baisses marquées). L'écart-type de 1 849 FCFA et le coefficient de variation de 12,1% traduisent une dispersion modérée du cours autour de sa moyenne, tandis que le kurtosis de -0,735 (mésokurtique, proche d'une distribution normale) suggère une absence de pics extrêmes fréquents, donc un risque de queue relativement contenu. La volatilité annualisée de 36,4% positionne le titre dans la catégorie des valeurs à volatilité élevée (&gt;30%), ce qui implique un risque de fluctuation important à court terme, à mettre en perspective avec le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La MM20 (16 446,5 FCFA) et la MM50 (16 565,5 FCFA) se situent toutes deux nettement au-dessus du cours actuel (14 500 FCFA), avec une MM20 légèrement inférieure à la MM50, ce qui constitue un signal baissier de court terme (prix sous les deux moyennes). La décision technique « Vente » est justifiée par cette configuration où le cours évolue sous ses supports mobiles, indiquant une pression vendeuse persistante et une possible poursuite de la correction.</w:t>
      </w:r>
    </w:p>
    <w:p>
      <w:pPr>
        <w:spacing w:after="120" w:line="276" w:lineRule="auto"/>
      </w:pPr>
      <w:r>
        <w:t>**Bandes de Bollinger :** Le cours actuel (14 500 FCFA) se situe en dessous de la borne inférieure des Bandes de Bollinger (14 981,14 FCFA), ce qui est un signal d'achat technique classique (survente) selon la décision fournie. La largeur des bandes (borne supérieure à 17 911,86 FCFA, soit un écart de 2 930,72 FCFA) indique une volatilité élevée, et la position du cours sous la borne inférieure suggère une possible réversion à la moyenne à court terme.</w:t>
      </w:r>
    </w:p>
    <w:p>
      <w:pPr>
        <w:spacing w:after="120" w:line="276" w:lineRule="auto"/>
      </w:pPr>
      <w:r>
        <w:t>**MACD :** La valeur du MACD (-352,035) est inférieure à son signal (-110,481), avec un histogramme négatif, ce qui confirme un momentum baissier en cours. La décision « Vente » est justifiée par cette divergence négative où le MACD s'enfonce sous son signal, indiquant que la dynamique baissière pourrait se poursuivre à court terme.</w:t>
      </w:r>
    </w:p>
    <w:p>
      <w:pPr>
        <w:spacing w:after="120" w:line="276" w:lineRule="auto"/>
      </w:pPr>
      <w:r>
        <w:t>**RSI :** Avec une valeur de 31,034, le RSI se situe juste au-dessus du seuil de survente (30), ce qui est cohérent avec la décision « Neutre » fournie. Le titre n'est pas encore en zone de survente extrême, mais la proximité du seuil suggère que la pression baissière pourrait bientôt s'atténuer, offrant un potentiel de rebond technique.</w:t>
      </w:r>
    </w:p>
    <w:p>
      <w:pPr>
        <w:spacing w:after="120" w:line="276" w:lineRule="auto"/>
      </w:pPr>
      <w:r>
        <w:t>**Stochastique :** Les valeurs %K et %D sont toutes deux à 0,0, ce qui place le stochastique en zone de survente extrême et justifie la décision « Achat » fournie. Un croisement haussier du %K au-dessus du %D est attendu prochainement, ce qui pourrait signaler un retournement à la hausse à court terme.</w:t>
      </w:r>
    </w:p>
    <w:p>
      <w:pPr>
        <w:spacing w:after="120" w:line="276" w:lineRule="auto"/>
      </w:pPr>
      <w:r>
        <w:t>**Conclusion technique :** Les indicateurs techniques présentent une divergence significative : les Moyennes Mobiles et le MACD émettent des signaux baissiers (cours sous les MM, MACD négatif), tandis que les Bandes de Bollinger, le RSI et le Stochastique suggèrent une survente et un potentiel rebond (cours sous la borne inférieure, RSI proche de 30, stochastique à 0). Cette configuration contradictoire indique que le titre se trouve dans une phase de correction baissière à court terme, mais que les conditions de survente pourraient favoriser un rebond technique à moyen terme. La prudence est de mise, car la convergence des signaux baissiers (MM, MACD) domine actuellement les signaux d'achat (Bollinger, Stochastique).</w:t>
      </w:r>
    </w:p>
    <w:p>
      <w:pPr>
        <w:spacing w:after="120" w:line="276" w:lineRule="auto"/>
      </w:pPr>
      <w:r>
        <w:t>---</w:t>
      </w:r>
    </w:p>
    <w:p>
      <w:pPr>
        <w:spacing w:after="120" w:line="276" w:lineRule="auto"/>
      </w:pPr>
      <w:r>
        <w:t>## PARTIE 3 : ANALYSE FONDAMENTALE</w:t>
      </w:r>
    </w:p>
    <w:p>
      <w:pPr>
        <w:spacing w:after="120" w:line="276" w:lineRule="auto"/>
      </w:pPr>
      <w:r>
        <w:t>En 2025, Nestlé Côte d'Ivoire a réalisé un chiffre d'affaires de 233,26 milliards FCFA, en croissance de 5,97% par rapport à 2024 (220,11 Mds FCFA), portée par une hausse de 6,3% des ventes de produits fabriqués (205,8 Mds FCFA) et de 4% des ventes de marchandises. Le résultat net s'établit à 18,43 milliards FCFA, en légère progression de 1,53% par rapport à 2024 (18,15 Mds FCFA), avec une marge nette stable à 7,90% (contre 8,25% en 2024), traduisant une pression sur les coûts (hausse des « Autres achats » et « Services extérieurs » de 4,4 Mds FCFA, et des impôts et taxes de 3,5 Mds FCFA). Les ratios de rentabilité restent exceptionnels : le ROE atteint 62,28% (résultat net / capitaux propres de 29,59 Mds FCFA), bien au-dessus du seuil de 15% considéré comme excellent, et le ROA s'élève à 9,70% (résultat net / total actif de 189,96 Mds FCFA), confirmant l'efficacité de l'utilisation des actifs. En tant qu'entreprise agroalimentaire, NTLC présente un BFR de 22,63 Mds FCFA (positif, donc un besoin de financement du cycle d'exploitation), un délai client de 74,30 jours (élevé, signalant un risque de trésorerie) et une durée de stockage de 59,39 jours (immobilisation de capital importante). La structure financière est déséquilibrée : l'autonomie financière est faible (15,58% des capitaux propres dans le total bilan, contre &gt;30% recommandé), le ratio d'endettement est élevé (135,85% de dettes totales / capitaux propres), et la trésorerie nette est négative (-46,83 Mds FCFA), bien que la couverture des intérêts soit excellente (473,63%, soit un résultat d'exploitation 4,7 fois supérieur aux charges financières). Les rapports trimestriels récents confirment une accélération en 2026 : le T1 2026 (rapport du 31 mars 2026) affiche un chiffre d'affaires de 70,82 Mds FCFA (+31% vs T1 2025) et un résultat net de 7,53 Mds FCFA (+37%), avec une marge nette en amélioration à 10,6% (contre 10,1% au T1 2025) — on estime donc que l'exercice 2026 devrait enregistrer une croissance à deux chiffres du CA et une amélioration de la rentabilité nette, sous réserve de la persistance des pressions sur les coûts. La politique de dividende a été modifiée en 2025 : le dividende brut total proposé est de 9,27 Mds FCFA (contre 18,10 Mds FCFA en 2024), soit un payout ratio de 50,3% (contre 99,7% en 2024), signalant une stratégie de réinvestissement et de renforcement des fonds propres (report à nouveau de 9,22 Mds FCFA). En synthèse, NTLC présente des fondamentaux solides (croissance du CA, rentabilité élevée, ROE exceptionnel) mais des fragilités (endettement élevé, trésorerie nette négative, délais clients importants) et une valorisation exigeante (PER de 17,4x, P/B de 10,82x). La recommandation fondamentale est **CONSERVER** avec un biais positif, en surveillant l'évolution des marges et de l'endettement à court terme.</w:t>
      </w:r>
    </w:p>
    <w:p>
      <w:pPr>
        <w:spacing w:after="120" w:line="276" w:lineRule="auto"/>
      </w:pPr>
      <w:r>
        <w:t>---</w:t>
      </w:r>
    </w:p>
    <w:p>
      <w:pPr>
        <w:spacing w:after="120" w:line="276" w:lineRule="auto"/>
      </w:pPr>
      <w:r>
        <w:t>## PARTIE 4 : CONCLUSION D'INVESTISSEMENT</w:t>
      </w:r>
    </w:p>
    <w:p>
      <w:pPr>
        <w:spacing w:after="120" w:line="276" w:lineRule="auto"/>
      </w:pPr>
      <w:r>
        <w:t>La valorisation de NTLC (Partie 0) apparaît exigeante mais justifiée : le PER de 17,4x et le P/B de 10,82x traduisent une prime de qualité, tandis que l'EV/EBITDA de 8,8x reste raisonnable, indiquant que le marché valorise correctement la capacité bénéficiaire de l'entreprise. Le comportement du cours (Partie 1) est préoccupant à court terme : malgré une hausse de +17,31% sur 100 jours, le repli de -4,61% en J-1 et la position sous la moyenne (15 235 FCFA) suggèrent un essoufflement, avec une volatilité élevée (36,4%) et une asymétrie négative (skewness de -0,798) qui indiquent un risque de baisse accru. Les signaux techniques (Partie 2) sont divergents : les MM et le MACD sont baissiers, mais les Bandes de Bollinger, le RSI (31,03) et le Stochastique (0,0) signalent une survente propice à un rebond à court terme. Les fondamentaux (Partie 3) restent solides : croissance du CA de 5,97% en 2025, ROE de 62,28%, et accélération confirmée au T1 2026 (+31% de CA, +37% de résultat net), mais l'endettement élevé (135,85%) et la trésorerie nette négative (-46,83 Mds FCFA) constituent des risques à surveiller. Les prédictions IA (J+1 à J+10) tablent sur une stabilisation autour de 15 550-15 600 FCFA, ce qui contredit le signal baissier actuel et suggère un rebond technique imminent, en ligne avec les indicateurs de survente. Sur la base de cette synthèse, la recommandation finale est **CONSERVER** avec un biais haussier à moyen terme : la convergence entre la survente technique, les fondamentaux solides et les prédictions IA stables plaide pour une reprise du cours, mais la valorisation exigeante et les risques financiers (endettement, trésorerie) incitent à la prudence. Le niveau de confiance est **Moyen** (les signaux contradictoires limitent la visibilité), le risque global est **Moyen à Élevé** (volatilité de 36,4%, endettement important), et l'horizon d'investissement optimal est le **moyen terme (3-12 mois)** pour capter la revalorisation liée à la croissance bénéficiaire, tout en surveillant les prochaines publications trimestrielles (T2 2026) et l'évolution des marges.</w:t>
      </w:r>
    </w:p>
    <w:p>
      <w:pPr>
        <w:spacing w:after="120" w:line="276" w:lineRule="auto"/>
      </w:pPr>
      <w:r>
        <w:t>---</w:t>
      </w:r>
    </w:p>
    <w:p>
      <w:pPr>
        <w:spacing w:after="120" w:line="276" w:lineRule="auto"/>
      </w:pPr>
      <w:r>
        <w:t>*Rapport généré sur la base des données officielles BRVM, des états financiers 2025 et des rapports trimestriels T1 2026. Les analyses fondamentales citées proviennent des rapports datés du 31 décembre 2025 (états financiers annuels) et du 31 mars 2026 (rapport T1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190.40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5,339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007800"/>
                <w:sz w:val="17"/>
              </w:rPr>
              <w:t>+0.18%</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2.79% (Faible) — μ=2,840 FCFA, σ=79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β=0.1728 (Défensif) — Cov=0.000007, Var(idx)=0.000041, ρ=0.059,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2,757</w:t>
            </w:r>
          </w:p>
        </w:tc>
        <w:tc>
          <w:tcPr>
            <w:tcW w:type="dxa" w:w="1440"/>
            <w:shd w:fill="FAFAFA" w:val="clear"/>
          </w:tcPr>
          <w:p>
            <w:r>
              <w:rPr>
                <w:b/>
                <w:sz w:val="17"/>
              </w:rPr>
              <w:t>2,844</w:t>
            </w:r>
          </w:p>
        </w:tc>
        <w:tc>
          <w:tcPr>
            <w:tcW w:type="dxa" w:w="1440"/>
            <w:shd w:fill="FAFAFA" w:val="clear"/>
          </w:tcPr>
          <w:p>
            <w:r>
              <w:rPr>
                <w:sz w:val="17"/>
              </w:rPr>
              <w:t>2,931</w:t>
            </w:r>
          </w:p>
        </w:tc>
        <w:tc>
          <w:tcPr>
            <w:tcW w:type="dxa" w:w="1440"/>
            <w:shd w:fill="FAFAFA" w:val="clear"/>
          </w:tcPr>
          <w:p>
            <w:r>
              <w:rPr>
                <w:b/>
                <w:color w:val="008000"/>
                <w:sz w:val="17"/>
              </w:rPr>
              <w:t>+1.6%</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2,708</w:t>
            </w:r>
          </w:p>
        </w:tc>
        <w:tc>
          <w:tcPr>
            <w:tcW w:type="dxa" w:w="1440"/>
            <w:shd w:fill="FAFAFA" w:val="clear"/>
          </w:tcPr>
          <w:p>
            <w:r>
              <w:rPr>
                <w:b/>
                <w:sz w:val="17"/>
              </w:rPr>
              <w:t>2,831</w:t>
            </w:r>
          </w:p>
        </w:tc>
        <w:tc>
          <w:tcPr>
            <w:tcW w:type="dxa" w:w="1440"/>
            <w:shd w:fill="FAFAFA" w:val="clear"/>
          </w:tcPr>
          <w:p>
            <w:r>
              <w:rPr>
                <w:sz w:val="17"/>
              </w:rPr>
              <w:t>2,953</w:t>
            </w:r>
          </w:p>
        </w:tc>
        <w:tc>
          <w:tcPr>
            <w:tcW w:type="dxa" w:w="1440"/>
            <w:shd w:fill="FAFAFA" w:val="clear"/>
          </w:tcPr>
          <w:p>
            <w:r>
              <w:rPr>
                <w:b/>
                <w:color w:val="008000"/>
                <w:sz w:val="17"/>
              </w:rPr>
              <w:t>+1.1%</w:t>
            </w:r>
          </w:p>
        </w:tc>
      </w:tr>
      <w:tr>
        <w:tc>
          <w:tcPr>
            <w:tcW w:type="dxa" w:w="1440"/>
            <w:shd w:fill="FAFAFA" w:val="clear"/>
          </w:tcPr>
          <w:p>
            <w:r>
              <w:rPr>
                <w:sz w:val="17"/>
              </w:rPr>
              <w:t>J+3  ⭐⭐⭐</w:t>
            </w:r>
          </w:p>
        </w:tc>
        <w:tc>
          <w:tcPr>
            <w:tcW w:type="dxa" w:w="1440"/>
            <w:shd w:fill="FAFAFA" w:val="clear"/>
          </w:tcPr>
          <w:p>
            <w:r>
              <w:rPr>
                <w:sz w:val="17"/>
              </w:rPr>
              <w:t>2026-09-28</w:t>
            </w:r>
          </w:p>
        </w:tc>
        <w:tc>
          <w:tcPr>
            <w:tcW w:type="dxa" w:w="1440"/>
            <w:shd w:fill="FAFAFA" w:val="clear"/>
          </w:tcPr>
          <w:p>
            <w:r>
              <w:rPr>
                <w:sz w:val="17"/>
              </w:rPr>
              <w:t>2,674</w:t>
            </w:r>
          </w:p>
        </w:tc>
        <w:tc>
          <w:tcPr>
            <w:tcW w:type="dxa" w:w="1440"/>
            <w:shd w:fill="FAFAFA" w:val="clear"/>
          </w:tcPr>
          <w:p>
            <w:r>
              <w:rPr>
                <w:b/>
                <w:sz w:val="17"/>
              </w:rPr>
              <w:t>2,823</w:t>
            </w:r>
          </w:p>
        </w:tc>
        <w:tc>
          <w:tcPr>
            <w:tcW w:type="dxa" w:w="1440"/>
            <w:shd w:fill="FAFAFA" w:val="clear"/>
          </w:tcPr>
          <w:p>
            <w:r>
              <w:rPr>
                <w:sz w:val="17"/>
              </w:rPr>
              <w:t>2,973</w:t>
            </w:r>
          </w:p>
        </w:tc>
        <w:tc>
          <w:tcPr>
            <w:tcW w:type="dxa" w:w="1440"/>
            <w:shd w:fill="FAFAFA" w:val="clear"/>
          </w:tcPr>
          <w:p>
            <w:r>
              <w:rPr>
                <w:b/>
                <w:color w:val="008000"/>
                <w:sz w:val="17"/>
              </w:rPr>
              <w:t>+0.8%</w:t>
            </w:r>
          </w:p>
        </w:tc>
      </w:tr>
      <w:tr>
        <w:tc>
          <w:tcPr>
            <w:tcW w:type="dxa" w:w="1440"/>
            <w:shd w:fill="FAFAFA" w:val="clear"/>
          </w:tcPr>
          <w:p>
            <w:r>
              <w:rPr>
                <w:sz w:val="17"/>
              </w:rPr>
              <w:t>J+4  Moyenne</w:t>
            </w:r>
          </w:p>
        </w:tc>
        <w:tc>
          <w:tcPr>
            <w:tcW w:type="dxa" w:w="1440"/>
            <w:shd w:fill="FAFAFA" w:val="clear"/>
          </w:tcPr>
          <w:p>
            <w:r>
              <w:rPr>
                <w:sz w:val="17"/>
              </w:rPr>
              <w:t>2026-09-29</w:t>
            </w:r>
          </w:p>
        </w:tc>
        <w:tc>
          <w:tcPr>
            <w:tcW w:type="dxa" w:w="1440"/>
            <w:shd w:fill="FAFAFA" w:val="clear"/>
          </w:tcPr>
          <w:p>
            <w:r>
              <w:rPr>
                <w:sz w:val="17"/>
              </w:rPr>
              <w:t>2,645</w:t>
            </w:r>
          </w:p>
        </w:tc>
        <w:tc>
          <w:tcPr>
            <w:tcW w:type="dxa" w:w="1440"/>
            <w:shd w:fill="FAFAFA" w:val="clear"/>
          </w:tcPr>
          <w:p>
            <w:r>
              <w:rPr>
                <w:b/>
                <w:sz w:val="17"/>
              </w:rPr>
              <w:t>2,817</w:t>
            </w:r>
          </w:p>
        </w:tc>
        <w:tc>
          <w:tcPr>
            <w:tcW w:type="dxa" w:w="1440"/>
            <w:shd w:fill="FAFAFA" w:val="clear"/>
          </w:tcPr>
          <w:p>
            <w:r>
              <w:rPr>
                <w:sz w:val="17"/>
              </w:rPr>
              <w:t>2,990</w:t>
            </w:r>
          </w:p>
        </w:tc>
        <w:tc>
          <w:tcPr>
            <w:tcW w:type="dxa" w:w="1440"/>
            <w:shd w:fill="FAFAFA" w:val="clear"/>
          </w:tcPr>
          <w:p>
            <w:r>
              <w:rPr>
                <w:b/>
                <w:color w:val="008000"/>
                <w:sz w:val="17"/>
              </w:rPr>
              <w:t>+0.6%</w:t>
            </w:r>
          </w:p>
        </w:tc>
      </w:tr>
      <w:tr>
        <w:tc>
          <w:tcPr>
            <w:tcW w:type="dxa" w:w="1440"/>
            <w:shd w:fill="FAFAFA" w:val="clear"/>
          </w:tcPr>
          <w:p>
            <w:r>
              <w:rPr>
                <w:sz w:val="17"/>
              </w:rPr>
              <w:t>J+5  Moyenne</w:t>
            </w:r>
          </w:p>
        </w:tc>
        <w:tc>
          <w:tcPr>
            <w:tcW w:type="dxa" w:w="1440"/>
            <w:shd w:fill="FAFAFA" w:val="clear"/>
          </w:tcPr>
          <w:p>
            <w:r>
              <w:rPr>
                <w:sz w:val="17"/>
              </w:rPr>
              <w:t>2026-09-30</w:t>
            </w:r>
          </w:p>
        </w:tc>
        <w:tc>
          <w:tcPr>
            <w:tcW w:type="dxa" w:w="1440"/>
            <w:shd w:fill="FAFAFA" w:val="clear"/>
          </w:tcPr>
          <w:p>
            <w:r>
              <w:rPr>
                <w:sz w:val="17"/>
              </w:rPr>
              <w:t>2,620</w:t>
            </w:r>
          </w:p>
        </w:tc>
        <w:tc>
          <w:tcPr>
            <w:tcW w:type="dxa" w:w="1440"/>
            <w:shd w:fill="FAFAFA" w:val="clear"/>
          </w:tcPr>
          <w:p>
            <w:r>
              <w:rPr>
                <w:b/>
                <w:sz w:val="17"/>
              </w:rPr>
              <w:t>2,812</w:t>
            </w:r>
          </w:p>
        </w:tc>
        <w:tc>
          <w:tcPr>
            <w:tcW w:type="dxa" w:w="1440"/>
            <w:shd w:fill="FAFAFA" w:val="clear"/>
          </w:tcPr>
          <w:p>
            <w:r>
              <w:rPr>
                <w:sz w:val="17"/>
              </w:rPr>
              <w:t>3,004</w:t>
            </w:r>
          </w:p>
        </w:tc>
        <w:tc>
          <w:tcPr>
            <w:tcW w:type="dxa" w:w="1440"/>
            <w:shd w:fill="FAFAFA" w:val="clear"/>
          </w:tcPr>
          <w:p>
            <w:r>
              <w:rPr>
                <w:b/>
                <w:color w:val="008000"/>
                <w:sz w:val="17"/>
              </w:rPr>
              <w:t>+0.4%</w:t>
            </w:r>
          </w:p>
        </w:tc>
      </w:tr>
      <w:tr>
        <w:tc>
          <w:tcPr>
            <w:tcW w:type="dxa" w:w="1440"/>
            <w:shd w:fill="FAFAFA" w:val="clear"/>
          </w:tcPr>
          <w:p>
            <w:r>
              <w:rPr>
                <w:sz w:val="17"/>
              </w:rPr>
              <w:t>J+6  Moyenne</w:t>
            </w:r>
          </w:p>
        </w:tc>
        <w:tc>
          <w:tcPr>
            <w:tcW w:type="dxa" w:w="1440"/>
            <w:shd w:fill="FAFAFA" w:val="clear"/>
          </w:tcPr>
          <w:p>
            <w:r>
              <w:rPr>
                <w:sz w:val="17"/>
              </w:rPr>
              <w:t>2026-10-01</w:t>
            </w:r>
          </w:p>
        </w:tc>
        <w:tc>
          <w:tcPr>
            <w:tcW w:type="dxa" w:w="1440"/>
            <w:shd w:fill="FAFAFA" w:val="clear"/>
          </w:tcPr>
          <w:p>
            <w:r>
              <w:rPr>
                <w:sz w:val="17"/>
              </w:rPr>
              <w:t>2,596</w:t>
            </w:r>
          </w:p>
        </w:tc>
        <w:tc>
          <w:tcPr>
            <w:tcW w:type="dxa" w:w="1440"/>
            <w:shd w:fill="FAFAFA" w:val="clear"/>
          </w:tcPr>
          <w:p>
            <w:r>
              <w:rPr>
                <w:b/>
                <w:sz w:val="17"/>
              </w:rPr>
              <w:t>2,806</w:t>
            </w:r>
          </w:p>
        </w:tc>
        <w:tc>
          <w:tcPr>
            <w:tcW w:type="dxa" w:w="1440"/>
            <w:shd w:fill="FAFAFA" w:val="clear"/>
          </w:tcPr>
          <w:p>
            <w:r>
              <w:rPr>
                <w:sz w:val="17"/>
              </w:rPr>
              <w:t>3,016</w:t>
            </w:r>
          </w:p>
        </w:tc>
        <w:tc>
          <w:tcPr>
            <w:tcW w:type="dxa" w:w="1440"/>
            <w:shd w:fill="FAFAFA" w:val="clear"/>
          </w:tcPr>
          <w:p>
            <w:r>
              <w:rPr>
                <w:b/>
                <w:color w:val="008000"/>
                <w:sz w:val="17"/>
              </w:rPr>
              <w:t>+0.2%</w:t>
            </w:r>
          </w:p>
        </w:tc>
      </w:tr>
      <w:tr>
        <w:tc>
          <w:tcPr>
            <w:tcW w:type="dxa" w:w="1440"/>
            <w:shd w:fill="FAFAFA" w:val="clear"/>
          </w:tcPr>
          <w:p>
            <w:r>
              <w:rPr>
                <w:sz w:val="17"/>
              </w:rPr>
              <w:t>J+7  Moyenne</w:t>
            </w:r>
          </w:p>
        </w:tc>
        <w:tc>
          <w:tcPr>
            <w:tcW w:type="dxa" w:w="1440"/>
            <w:shd w:fill="FAFAFA" w:val="clear"/>
          </w:tcPr>
          <w:p>
            <w:r>
              <w:rPr>
                <w:sz w:val="17"/>
              </w:rPr>
              <w:t>2026-10-02</w:t>
            </w:r>
          </w:p>
        </w:tc>
        <w:tc>
          <w:tcPr>
            <w:tcW w:type="dxa" w:w="1440"/>
            <w:shd w:fill="FAFAFA" w:val="clear"/>
          </w:tcPr>
          <w:p>
            <w:r>
              <w:rPr>
                <w:sz w:val="17"/>
              </w:rPr>
              <w:t>2,574</w:t>
            </w:r>
          </w:p>
        </w:tc>
        <w:tc>
          <w:tcPr>
            <w:tcW w:type="dxa" w:w="1440"/>
            <w:shd w:fill="FAFAFA" w:val="clear"/>
          </w:tcPr>
          <w:p>
            <w:r>
              <w:rPr>
                <w:b/>
                <w:sz w:val="17"/>
              </w:rPr>
              <w:t>2,800</w:t>
            </w:r>
          </w:p>
        </w:tc>
        <w:tc>
          <w:tcPr>
            <w:tcW w:type="dxa" w:w="1440"/>
            <w:shd w:fill="FAFAFA" w:val="clear"/>
          </w:tcPr>
          <w:p>
            <w:r>
              <w:rPr>
                <w:sz w:val="17"/>
              </w:rPr>
              <w:t>3,027</w:t>
            </w:r>
          </w:p>
        </w:tc>
        <w:tc>
          <w:tcPr>
            <w:tcW w:type="dxa" w:w="1440"/>
            <w:shd w:fill="FAFAFA" w:val="clear"/>
          </w:tcPr>
          <w:p>
            <w:r>
              <w:rPr>
                <w:b/>
                <w:color w:val="008000"/>
                <w:sz w:val="17"/>
              </w:rPr>
              <w:t>+0.0%</w:t>
            </w:r>
          </w:p>
        </w:tc>
      </w:tr>
      <w:tr>
        <w:tc>
          <w:tcPr>
            <w:tcW w:type="dxa" w:w="1440"/>
            <w:shd w:fill="FAFAFA" w:val="clear"/>
          </w:tcPr>
          <w:p>
            <w:r>
              <w:rPr>
                <w:sz w:val="17"/>
              </w:rPr>
              <w:t>J+8  Moyenne</w:t>
            </w:r>
          </w:p>
        </w:tc>
        <w:tc>
          <w:tcPr>
            <w:tcW w:type="dxa" w:w="1440"/>
            <w:shd w:fill="FAFAFA" w:val="clear"/>
          </w:tcPr>
          <w:p>
            <w:r>
              <w:rPr>
                <w:sz w:val="17"/>
              </w:rPr>
              <w:t>2026-10-05</w:t>
            </w:r>
          </w:p>
        </w:tc>
        <w:tc>
          <w:tcPr>
            <w:tcW w:type="dxa" w:w="1440"/>
            <w:shd w:fill="FAFAFA" w:val="clear"/>
          </w:tcPr>
          <w:p>
            <w:r>
              <w:rPr>
                <w:sz w:val="17"/>
              </w:rPr>
              <w:t>2,554</w:t>
            </w:r>
          </w:p>
        </w:tc>
        <w:tc>
          <w:tcPr>
            <w:tcW w:type="dxa" w:w="1440"/>
            <w:shd w:fill="FAFAFA" w:val="clear"/>
          </w:tcPr>
          <w:p>
            <w:r>
              <w:rPr>
                <w:b/>
                <w:sz w:val="17"/>
              </w:rPr>
              <w:t>2,795</w:t>
            </w:r>
          </w:p>
        </w:tc>
        <w:tc>
          <w:tcPr>
            <w:tcW w:type="dxa" w:w="1440"/>
            <w:shd w:fill="FAFAFA" w:val="clear"/>
          </w:tcPr>
          <w:p>
            <w:r>
              <w:rPr>
                <w:sz w:val="17"/>
              </w:rPr>
              <w:t>3,036</w:t>
            </w:r>
          </w:p>
        </w:tc>
        <w:tc>
          <w:tcPr>
            <w:tcW w:type="dxa" w:w="1440"/>
            <w:shd w:fill="FAFAFA" w:val="clear"/>
          </w:tcPr>
          <w:p>
            <w:r>
              <w:rPr>
                <w:b/>
                <w:color w:val="C00000"/>
                <w:sz w:val="17"/>
              </w:rPr>
              <w:t>-0.2%</w:t>
            </w:r>
          </w:p>
        </w:tc>
      </w:tr>
      <w:tr>
        <w:tc>
          <w:tcPr>
            <w:tcW w:type="dxa" w:w="1440"/>
            <w:shd w:fill="FAFAFA" w:val="clear"/>
          </w:tcPr>
          <w:p>
            <w:r>
              <w:rPr>
                <w:sz w:val="17"/>
              </w:rPr>
              <w:t>J+9  Moyenne</w:t>
            </w:r>
          </w:p>
        </w:tc>
        <w:tc>
          <w:tcPr>
            <w:tcW w:type="dxa" w:w="1440"/>
            <w:shd w:fill="FAFAFA" w:val="clear"/>
          </w:tcPr>
          <w:p>
            <w:r>
              <w:rPr>
                <w:sz w:val="17"/>
              </w:rPr>
              <w:t>2026-10-06</w:t>
            </w:r>
          </w:p>
        </w:tc>
        <w:tc>
          <w:tcPr>
            <w:tcW w:type="dxa" w:w="1440"/>
            <w:shd w:fill="FAFAFA" w:val="clear"/>
          </w:tcPr>
          <w:p>
            <w:r>
              <w:rPr>
                <w:sz w:val="17"/>
              </w:rPr>
              <w:t>2,534</w:t>
            </w:r>
          </w:p>
        </w:tc>
        <w:tc>
          <w:tcPr>
            <w:tcW w:type="dxa" w:w="1440"/>
            <w:shd w:fill="FAFAFA" w:val="clear"/>
          </w:tcPr>
          <w:p>
            <w:r>
              <w:rPr>
                <w:b/>
                <w:sz w:val="17"/>
              </w:rPr>
              <w:t>2,790</w:t>
            </w:r>
          </w:p>
        </w:tc>
        <w:tc>
          <w:tcPr>
            <w:tcW w:type="dxa" w:w="1440"/>
            <w:shd w:fill="FAFAFA" w:val="clear"/>
          </w:tcPr>
          <w:p>
            <w:r>
              <w:rPr>
                <w:sz w:val="17"/>
              </w:rPr>
              <w:t>3,045</w:t>
            </w:r>
          </w:p>
        </w:tc>
        <w:tc>
          <w:tcPr>
            <w:tcW w:type="dxa" w:w="1440"/>
            <w:shd w:fill="FAFAFA" w:val="clear"/>
          </w:tcPr>
          <w:p>
            <w:r>
              <w:rPr>
                <w:b/>
                <w:color w:val="C00000"/>
                <w:sz w:val="17"/>
              </w:rPr>
              <w:t>-0.4%</w:t>
            </w:r>
          </w:p>
        </w:tc>
      </w:tr>
      <w:tr>
        <w:tc>
          <w:tcPr>
            <w:tcW w:type="dxa" w:w="1440"/>
            <w:shd w:fill="FAFAFA" w:val="clear"/>
          </w:tcPr>
          <w:p>
            <w:r>
              <w:rPr>
                <w:sz w:val="17"/>
              </w:rPr>
              <w:t>J+10  Moyenne</w:t>
            </w:r>
          </w:p>
        </w:tc>
        <w:tc>
          <w:tcPr>
            <w:tcW w:type="dxa" w:w="1440"/>
            <w:shd w:fill="FAFAFA" w:val="clear"/>
          </w:tcPr>
          <w:p>
            <w:r>
              <w:rPr>
                <w:sz w:val="17"/>
              </w:rPr>
              <w:t>2026-10-07</w:t>
            </w:r>
          </w:p>
        </w:tc>
        <w:tc>
          <w:tcPr>
            <w:tcW w:type="dxa" w:w="1440"/>
            <w:shd w:fill="FAFAFA" w:val="clear"/>
          </w:tcPr>
          <w:p>
            <w:r>
              <w:rPr>
                <w:sz w:val="17"/>
              </w:rPr>
              <w:t>2,516</w:t>
            </w:r>
          </w:p>
        </w:tc>
        <w:tc>
          <w:tcPr>
            <w:tcW w:type="dxa" w:w="1440"/>
            <w:shd w:fill="FAFAFA" w:val="clear"/>
          </w:tcPr>
          <w:p>
            <w:r>
              <w:rPr>
                <w:b/>
                <w:sz w:val="17"/>
              </w:rPr>
              <w:t>2,784</w:t>
            </w:r>
          </w:p>
        </w:tc>
        <w:tc>
          <w:tcPr>
            <w:tcW w:type="dxa" w:w="1440"/>
            <w:shd w:fill="FAFAFA" w:val="clear"/>
          </w:tcPr>
          <w:p>
            <w:r>
              <w:rPr>
                <w:sz w:val="17"/>
              </w:rPr>
              <w:t>3,053</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 RAPPORT D'ANALYSE FINANCIÈRE — ONTBF (ONATEL-SA)</w:t>
        <w:br/>
        <w:t>**Bourse Régionale des Valeurs Mobilières (BRVM) — Secteur Télécommunications**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190,40 milliards FCFA, ONTBF se positionne comme l'une des valeurs phares du compartiment télécoms de la BRVM, aux côtés de Sonatel et MTN Côte d'Ivoire. Le BPA de 234 FCFA par action signifie que chaque titre génère près de 234 FCFA de bénéfice net, ce qui, rapporté au cours actuel de 2 800 FCFA, donne un PER de 12,0x — un niveau modéré, légèrement supérieur à la moyenne BRVM (~8-12x), traduisant une prime de qualité justifiée par la solidité du bilan et la régularité du dividende. Le ratio P/B de 3,31x indique que le marché valorise la société à plus de trois fois sa valeur comptable (capitaux propres de 57,54 Mds FCFA), une prime de croissance cohérente avec le statut d'opérateur historique. Enfin, l'EV/EBITDA de 5,1x demeure raisonnable dans la fourchette sectorielle (5-10x), suggérant que la valeur d'entreprise reste attractive au regard de la capacité opérationnelle de génération de cash (EBE de 56,73 Mds FCFA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d'ONTBF affiche une variation quasi-nulle de +0,18%, mais la dernière séance (J-1) a enregistré un repli marqué de -3,45%, signalant une pression vendeuse récente. Le titre a évolué dans un range étroit de 395 FCFA, entre un plus bas de 2 675 FCFA et un plus haut de 3 070 FCFA, avec un cours actuel de 2 800 FCFA positionné dans la partie basse de cette fourchette, ce qui traduit une tendance générale stable mais légèrement affaiblie en fin de période. Les statistiques descriptives révèlent une moyenne de 2 840 FCFA très proche de la médiane de 2 842 FCFA, confirmant une distribution symétrique (skewness de 0,103), sans biais directionnel marqué. L'écart-type de 80 FCFA (CV de 2,8%) indique une dispersion très faible du cours autour de sa moyenne, signe d'un titre peu agité en séance. Le kurtosis de -0,094, qualifié de mésokurtique, suggère une distribution proche de la normale, sans risque de pics extrêmes fréquents. La volatilité annualisée de 30,5% classe ONTBF dans la catégorie des titres à volatilité élevée (&gt;30%), ce qui contraste avec la stabilité apparente du cours sur la période récente et invite à la prudence.</w:t>
      </w:r>
    </w:p>
    <w:p>
      <w:pPr>
        <w:spacing w:after="120" w:line="276" w:lineRule="auto"/>
      </w:pPr>
      <w:r>
        <w:t>---</w:t>
      </w:r>
    </w:p>
    <w:p>
      <w:pPr>
        <w:spacing w:after="120" w:line="276" w:lineRule="auto"/>
      </w:pPr>
      <w:r>
        <w:t>## PARTIE 2 : ANALYSE TECHNIQUE DÉTAILLÉE</w:t>
      </w:r>
    </w:p>
    <w:p>
      <w:pPr>
        <w:spacing w:after="120" w:line="276" w:lineRule="auto"/>
      </w:pPr>
      <w:r>
        <w:t>**Moyennes Mobiles :** La MM20 (2 882,25 FCFA) et la MM50 (2 859,0 FCFA) se situent toutes deux au-dessus du cours actuel (2 800 FCFA), ce qui place le titre en position baissière à court terme. Toutefois, la MM20 reste supérieure à la MM50, indiquant que la tendance de fond demeure haussière. La décision « Achat » fournie repose sur cette configuration de croisement haussier des moyennes, mais la pression récente du cours sous ces niveaux appelle à la prudence.</w:t>
      </w:r>
    </w:p>
    <w:p>
      <w:pPr>
        <w:spacing w:after="120" w:line="276" w:lineRule="auto"/>
      </w:pPr>
      <w:r>
        <w:t>**Bandes de Bollinger :** Le cours actuel (2 800 FCFA) évolue dans la partie basse des bandes, proche de la borne inférieure (2 796,50 FCFA) et loin de la borne supérieure (2 968,00 FCFA). Cette position suggère une pression vendeuse mais aussi un potentiel de rebond technique depuis la borne inférieure. La décision « Neutre » reflète l'absence de signal directionnel fort, le cours n'ayant pas encore cassé la borne inférieure.</w:t>
      </w:r>
    </w:p>
    <w:p>
      <w:pPr>
        <w:spacing w:after="120" w:line="276" w:lineRule="auto"/>
      </w:pPr>
      <w:r>
        <w:t>**MACD :** La valeur du MACD (2,543) est nettement inférieure à son signal (5,615), confirmant un momentum baissier à court terme. Cette divergence négative indique que la dynamique haussière s'essouffle, justifiant la décision « Vente » fournie par l'indicateur.</w:t>
      </w:r>
    </w:p>
    <w:p>
      <w:pPr>
        <w:spacing w:after="120" w:line="276" w:lineRule="auto"/>
      </w:pPr>
      <w:r>
        <w:t>**RSI :** À 36,957, le RSI se situe dans la zone neutre basse (30-70), sans atteindre le seuil de survente (&lt;30). Cette position indique que le titre n'est ni suracheté ni survendu, mais qu'il s'approche d'une zone où un rebond technique pourrait se matérialiser. La décision « Neutre » est cohérente avec cette configuration.</w:t>
      </w:r>
    </w:p>
    <w:p>
      <w:pPr>
        <w:spacing w:after="120" w:line="276" w:lineRule="auto"/>
      </w:pPr>
      <w:r>
        <w:t>**Stochastique :** Le %K (0,0) est en position extrême basse, tandis que le %D (47,059) reste en zone médiane. Cet écart important entre les deux lignes suggère un fort ralentissement de la dynamique baissière et un possible retournement imminent. La décision « Achat » fournie par l'indicateur repose sur cette configuration de survente extrême du %K.</w:t>
      </w:r>
    </w:p>
    <w:p>
      <w:pPr>
        <w:spacing w:after="120" w:line="276" w:lineRule="auto"/>
      </w:pPr>
      <w:r>
        <w:t>**Conclusion technique :** Les indicateurs techniques présentent des signaux divergents : les moyennes mobiles et le MACD plaident pour une poursuite de la correction, tandis que le stochastique et la position du cours dans les bandes de Bollinger suggèrent un potentiel de rebond. Le RSI neutre et la décision « Neutre » des bandes de Bollinger confirment l'absence de consensus directionnel fort. Dans ce contexte, la prudence est de mise, avec une surveillance attentive d'un éventuel croisement haussier du MACD ou d'une cassure de la borne supérieure des bandes de Bollinger pour confirmer un retournement.</w:t>
      </w:r>
    </w:p>
    <w:p>
      <w:pPr>
        <w:spacing w:after="120" w:line="276" w:lineRule="auto"/>
      </w:pPr>
      <w:r>
        <w:t>---</w:t>
      </w:r>
    </w:p>
    <w:p>
      <w:pPr>
        <w:spacing w:after="120" w:line="276" w:lineRule="auto"/>
      </w:pPr>
      <w:r>
        <w:t>## PARTIE 3 : ANALYSE FONDAMENTALE</w:t>
      </w:r>
    </w:p>
    <w:p>
      <w:pPr>
        <w:spacing w:after="120" w:line="276" w:lineRule="auto"/>
      </w:pPr>
      <w:r>
        <w:t>En 2025, ONTBF (ONATEL-SA) a enregistré un chiffre d'affaires de 146,18 milliards FCFA, en hausse de 3,1% par rapport à 2024 (141,84 Mds FCFA), porté par la croissance du FTTH (+33%), de l'Internet mobile (+4,6%) et du Mobile Money (+14%). Cependant, le résultat net a chuté de 26% à 15,89 milliards FCFA contre 21,47 milliards en 2024, sous l'effet d'une compression des marges (marge nette de 10,87% contre 15,1% en 2024) et d'une hausse des charges opérationnelles (énergie, maintenance en zones à défis sécuritaires, indemnités de fin d'engagement). Le ROE reste néanmoins excellent à 27,61% (contre 34,3% en 2024), bien supérieur au seuil de 15% généralement considéré comme le signe d'une forte rentabilité des fonds propres, tandis que le ROA s'établit à 4,89%. Le coefficient d'exploitation de 67,07% (charges/PNB) dépasse le seuil de 60% généralement considéré comme le signe d'une banque efficace — mais ONTBF étant une entreprise télécom et non une banque, ce ratio doit être interprété comme un indicateur de pression sur les coûts. Le coût du risque (provisions/charges financières) de 3,57% reste modéré. La structure financière affiche une autonomie financière de 17,71% (capitaux propres/total bilan), inférieure au seuil de 30% considéré comme sain, et un ratio d'endettement élevé de 186,99% (dettes totales/capitaux propres), reflétant le financement des investissements par emprunt. La capacité de remboursement de 2,29 années (dettes financières/CAF) reste acceptable, et la couverture des intérêts de 491,55% est confortable. Les délais d'exploitation montrent un délai client de 30,78 jours (risque de trésorerie modéré) et un délai fournisseur de 130,73 jours (favorable à la trésorerie), tandis que la durée de stockage de 1 669,22 jours est exceptionnellement élevée, signalant une immobilisation de capital importante dans les stocks. Sur la base du rapport T1 2026 (publié le 9 avril 2026), le chiffre d'affaires progresse de 2,7% à 37,1 Mds FCFA, avec un taux de marge EBITDA maintenu à 41,3% et un résultat net de 3,577 milliards FCFA (OHADA) / 3,731 milliards (IFRS), en légère baisse. On estime donc que l'exercice 2026 devrait poursuivre la tendance de croissance modérée du chiffre d'affaires (+2 à 3%) avec une stabilisation progressive des marges, sous réserve d'une maîtrise des coûts opérationnels. La recommandation fondamentale est de **CONSERVER** le titre : la société conserve une croissance commerciale solide, un dividende attractif (166,08 FCFA/action, soit un rendement de ~5,9% au cours actuel) et une notation financière rehaussée à A+(WU) par GCR Ratings, mais les risques réglementaires, sécuritaires et la pression sur les marges limitent le potentiel de revalorisation à court terme.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précédentes et des prédictions IA conduit à une recommandation de **CONSERVER** le titre ONTBF, avec un niveau de confiance **Moyen** et un niveau de risque **Moyen**. La valorisation (Partie 0) apparaît raisonnable mais sans décote significative : le PER de 12,0x est légèrement supérieur à la moyenne BRVM, le P/B de 3,31x traduit une prime de croissance justifiée, et l'EV/EBITDA de 5,1x reste attractif. Le comportement du cours (Partie 1) est préoccupant à court terme : la baisse de -3,45% en J-1, la position basse dans le range de 100 jours et la volatilité annualisée de 30,5% signalent une pression vendeuse, bien que la distribution symétrique (skewness de 0,103) et l'absence de pics extrêmes (kurtosis de -0,094) limitent le risque de mouvements erratiques. Les signaux techniques (Partie 2) sont divergents : le MACD et les moyennes mobiles plaident pour une poursuite de la correction, tandis que le stochastique (%K à 0,0) et la position du cours dans les bandes de Bollinger suggèrent un potentiel de rebond imminent. Les fondamentaux (Partie 3) restent solides mais en dégradation : le chiffre d'affaires progresse (+3,1% en 2025, +2,7% au T1 2026), le ROE de 27,61% demeure excellent, et le dividende de 166,08 FCFA offre un rendement attractif, mais la chute de 26% du résultat net en 2025 et la pression persistante sur les marges constituent des points de vigilance majeurs. Les prédictions IA (J+1 à J+10) anticipent une légère baisse du cours de 2 844 FCFA à 2 812 FCFA, confirmant la tendance baissière à court terme sans effondrement majeur. Dans ce contexte, la convergence entre la valorisation raisonnable, les fondamentaux solides mais en dégradation, et les signaux techniques mitigés justifie une position attentiste. **L'horizon d'investissement optimal est le moyen terme (3-12 mois)**, en attendant des signes tangibles d'amélioration de la rentabilité (stabilisation des marges, maîtrise des coûts) et une confirmation technique d'un retournement haussier (croisement haussier du MACD, cassure de la MM20). Un investisseur en quête de rendement peut conserver le titre pour son dividende attractif, mais une position d'achat agressive n'est pas recommandée tant que la trajectoire des marges ne s'améliore pas durablement.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3073.37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3,211 titres</w:t>
            </w:r>
          </w:p>
        </w:tc>
        <w:tc>
          <w:tcPr>
            <w:tcW w:type="dxa" w:w="2268"/>
            <w:shd w:fill="FFF2CC" w:val="clear"/>
          </w:tcPr>
          <w:p>
            <w:r>
              <w:rPr>
                <w:b/>
                <w:color w:val="503200"/>
                <w:sz w:val="16"/>
              </w:rPr>
              <w:t xml:space="preserve">Cours actuel : </w:t>
            </w:r>
            <w:r>
              <w:rPr>
                <w:color w:val="000000"/>
                <w:sz w:val="17"/>
              </w:rPr>
              <w:t>20,400 FCFA</w:t>
            </w:r>
          </w:p>
          <w:p>
            <w:r>
              <w:rPr>
                <w:b/>
                <w:color w:val="503200"/>
                <w:sz w:val="16"/>
              </w:rPr>
              <w:t xml:space="preserve">Var. 100 jours : </w:t>
            </w:r>
            <w:r>
              <w:rPr>
                <w:b/>
                <w:color w:val="007800"/>
                <w:sz w:val="17"/>
              </w:rPr>
              <w:t>+39.15%</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14,660 FCFA</w:t>
            </w:r>
          </w:p>
          <w:p>
            <w:r>
              <w:rPr>
                <w:b/>
                <w:color w:val="503200"/>
                <w:sz w:val="16"/>
              </w:rPr>
              <w:t xml:space="preserve">Volatilité ann. : </w:t>
            </w:r>
            <w:r>
              <w:rPr>
                <w:color w:val="000000"/>
                <w:sz w:val="17"/>
              </w:rPr>
              <w:t>30.1%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13.57% (Moyenne) — μ=17,520 FCFA, σ=2,377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β=1.4667 (Agressif) — Cov=0.000060, Var(idx)=0.000041, ρ=0.494,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3,211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σ_j=1.90%/j (Stable) — Vol. annualisée≈30.1%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2026-09-24</w:t>
            </w:r>
          </w:p>
        </w:tc>
        <w:tc>
          <w:tcPr>
            <w:tcW w:type="dxa" w:w="1440"/>
            <w:shd w:fill="C6EFCE" w:val="clear"/>
          </w:tcPr>
          <w:p>
            <w:r>
              <w:rPr>
                <w:sz w:val="17"/>
              </w:rPr>
              <w:t>20,211</w:t>
            </w:r>
          </w:p>
        </w:tc>
        <w:tc>
          <w:tcPr>
            <w:tcW w:type="dxa" w:w="1440"/>
            <w:shd w:fill="C6EFCE" w:val="clear"/>
          </w:tcPr>
          <w:p>
            <w:r>
              <w:rPr>
                <w:b/>
                <w:sz w:val="17"/>
              </w:rPr>
              <w:t>20,996</w:t>
            </w:r>
          </w:p>
        </w:tc>
        <w:tc>
          <w:tcPr>
            <w:tcW w:type="dxa" w:w="1440"/>
            <w:shd w:fill="C6EFCE" w:val="clear"/>
          </w:tcPr>
          <w:p>
            <w:r>
              <w:rPr>
                <w:sz w:val="17"/>
              </w:rPr>
              <w:t>21,780</w:t>
            </w:r>
          </w:p>
        </w:tc>
        <w:tc>
          <w:tcPr>
            <w:tcW w:type="dxa" w:w="1440"/>
            <w:shd w:fill="C6EFCE" w:val="clear"/>
          </w:tcPr>
          <w:p>
            <w:r>
              <w:rPr>
                <w:b/>
                <w:color w:val="008000"/>
                <w:sz w:val="17"/>
              </w:rPr>
              <w:t>+2.9%</w:t>
            </w:r>
          </w:p>
        </w:tc>
      </w:tr>
      <w:tr>
        <w:tc>
          <w:tcPr>
            <w:tcW w:type="dxa" w:w="1440"/>
            <w:shd w:fill="C6EFCE" w:val="clear"/>
          </w:tcPr>
          <w:p>
            <w:r>
              <w:rPr>
                <w:sz w:val="17"/>
              </w:rPr>
              <w:t>J+2  ⭐</w:t>
            </w:r>
          </w:p>
        </w:tc>
        <w:tc>
          <w:tcPr>
            <w:tcW w:type="dxa" w:w="1440"/>
            <w:shd w:fill="C6EFCE" w:val="clear"/>
          </w:tcPr>
          <w:p>
            <w:r>
              <w:rPr>
                <w:sz w:val="17"/>
              </w:rPr>
              <w:t>2026-09-25</w:t>
            </w:r>
          </w:p>
        </w:tc>
        <w:tc>
          <w:tcPr>
            <w:tcW w:type="dxa" w:w="1440"/>
            <w:shd w:fill="C6EFCE" w:val="clear"/>
          </w:tcPr>
          <w:p>
            <w:r>
              <w:rPr>
                <w:sz w:val="17"/>
              </w:rPr>
              <w:t>19,822</w:t>
            </w:r>
          </w:p>
        </w:tc>
        <w:tc>
          <w:tcPr>
            <w:tcW w:type="dxa" w:w="1440"/>
            <w:shd w:fill="C6EFCE" w:val="clear"/>
          </w:tcPr>
          <w:p>
            <w:r>
              <w:rPr>
                <w:b/>
                <w:sz w:val="17"/>
              </w:rPr>
              <w:t>20,928</w:t>
            </w:r>
          </w:p>
        </w:tc>
        <w:tc>
          <w:tcPr>
            <w:tcW w:type="dxa" w:w="1440"/>
            <w:shd w:fill="C6EFCE" w:val="clear"/>
          </w:tcPr>
          <w:p>
            <w:r>
              <w:rPr>
                <w:sz w:val="17"/>
              </w:rPr>
              <w:t>22,033</w:t>
            </w:r>
          </w:p>
        </w:tc>
        <w:tc>
          <w:tcPr>
            <w:tcW w:type="dxa" w:w="1440"/>
            <w:shd w:fill="C6EFCE" w:val="clear"/>
          </w:tcPr>
          <w:p>
            <w:r>
              <w:rPr>
                <w:b/>
                <w:color w:val="008000"/>
                <w:sz w:val="17"/>
              </w:rPr>
              <w:t>+2.6%</w:t>
            </w:r>
          </w:p>
        </w:tc>
      </w:tr>
      <w:tr>
        <w:tc>
          <w:tcPr>
            <w:tcW w:type="dxa" w:w="1440"/>
            <w:shd w:fill="C6EFCE" w:val="clear"/>
          </w:tcPr>
          <w:p>
            <w:r>
              <w:rPr>
                <w:sz w:val="17"/>
              </w:rPr>
              <w:t>J+3  ⭐</w:t>
            </w:r>
          </w:p>
        </w:tc>
        <w:tc>
          <w:tcPr>
            <w:tcW w:type="dxa" w:w="1440"/>
            <w:shd w:fill="C6EFCE" w:val="clear"/>
          </w:tcPr>
          <w:p>
            <w:r>
              <w:rPr>
                <w:sz w:val="17"/>
              </w:rPr>
              <w:t>2026-09-28</w:t>
            </w:r>
          </w:p>
        </w:tc>
        <w:tc>
          <w:tcPr>
            <w:tcW w:type="dxa" w:w="1440"/>
            <w:shd w:fill="C6EFCE" w:val="clear"/>
          </w:tcPr>
          <w:p>
            <w:r>
              <w:rPr>
                <w:sz w:val="17"/>
              </w:rPr>
              <w:t>19,573</w:t>
            </w:r>
          </w:p>
        </w:tc>
        <w:tc>
          <w:tcPr>
            <w:tcW w:type="dxa" w:w="1440"/>
            <w:shd w:fill="C6EFCE" w:val="clear"/>
          </w:tcPr>
          <w:p>
            <w:r>
              <w:rPr>
                <w:b/>
                <w:sz w:val="17"/>
              </w:rPr>
              <w:t>20,927</w:t>
            </w:r>
          </w:p>
        </w:tc>
        <w:tc>
          <w:tcPr>
            <w:tcW w:type="dxa" w:w="1440"/>
            <w:shd w:fill="C6EFCE" w:val="clear"/>
          </w:tcPr>
          <w:p>
            <w:r>
              <w:rPr>
                <w:sz w:val="17"/>
              </w:rPr>
              <w:t>22,281</w:t>
            </w:r>
          </w:p>
        </w:tc>
        <w:tc>
          <w:tcPr>
            <w:tcW w:type="dxa" w:w="1440"/>
            <w:shd w:fill="C6EFCE" w:val="clear"/>
          </w:tcPr>
          <w:p>
            <w:r>
              <w:rPr>
                <w:b/>
                <w:color w:val="008000"/>
                <w:sz w:val="17"/>
              </w:rPr>
              <w:t>+2.6%</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19,371</w:t>
            </w:r>
          </w:p>
        </w:tc>
        <w:tc>
          <w:tcPr>
            <w:tcW w:type="dxa" w:w="1440"/>
            <w:shd w:fill="C6EFCE" w:val="clear"/>
          </w:tcPr>
          <w:p>
            <w:r>
              <w:rPr>
                <w:b/>
                <w:sz w:val="17"/>
              </w:rPr>
              <w:t>20,935</w:t>
            </w:r>
          </w:p>
        </w:tc>
        <w:tc>
          <w:tcPr>
            <w:tcW w:type="dxa" w:w="1440"/>
            <w:shd w:fill="C6EFCE" w:val="clear"/>
          </w:tcPr>
          <w:p>
            <w:r>
              <w:rPr>
                <w:sz w:val="17"/>
              </w:rPr>
              <w:t>22,499</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19,195</w:t>
            </w:r>
          </w:p>
        </w:tc>
        <w:tc>
          <w:tcPr>
            <w:tcW w:type="dxa" w:w="1440"/>
            <w:shd w:fill="C6EFCE" w:val="clear"/>
          </w:tcPr>
          <w:p>
            <w:r>
              <w:rPr>
                <w:b/>
                <w:sz w:val="17"/>
              </w:rPr>
              <w:t>20,944</w:t>
            </w:r>
          </w:p>
        </w:tc>
        <w:tc>
          <w:tcPr>
            <w:tcW w:type="dxa" w:w="1440"/>
            <w:shd w:fill="C6EFCE" w:val="clear"/>
          </w:tcPr>
          <w:p>
            <w:r>
              <w:rPr>
                <w:sz w:val="17"/>
              </w:rPr>
              <w:t>22,694</w:t>
            </w:r>
          </w:p>
        </w:tc>
        <w:tc>
          <w:tcPr>
            <w:tcW w:type="dxa" w:w="1440"/>
            <w:shd w:fill="C6EFCE" w:val="clear"/>
          </w:tcPr>
          <w:p>
            <w:r>
              <w:rPr>
                <w:b/>
                <w:color w:val="008000"/>
                <w:sz w:val="17"/>
              </w:rPr>
              <w:t>+2.7%</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19,035</w:t>
            </w:r>
          </w:p>
        </w:tc>
        <w:tc>
          <w:tcPr>
            <w:tcW w:type="dxa" w:w="1440"/>
            <w:shd w:fill="C6EFCE" w:val="clear"/>
          </w:tcPr>
          <w:p>
            <w:r>
              <w:rPr>
                <w:b/>
                <w:sz w:val="17"/>
              </w:rPr>
              <w:t>20,953</w:t>
            </w:r>
          </w:p>
        </w:tc>
        <w:tc>
          <w:tcPr>
            <w:tcW w:type="dxa" w:w="1440"/>
            <w:shd w:fill="C6EFCE" w:val="clear"/>
          </w:tcPr>
          <w:p>
            <w:r>
              <w:rPr>
                <w:sz w:val="17"/>
              </w:rPr>
              <w:t>22,870</w:t>
            </w:r>
          </w:p>
        </w:tc>
        <w:tc>
          <w:tcPr>
            <w:tcW w:type="dxa" w:w="1440"/>
            <w:shd w:fill="C6EFCE" w:val="clear"/>
          </w:tcPr>
          <w:p>
            <w:r>
              <w:rPr>
                <w:b/>
                <w:color w:val="008000"/>
                <w:sz w:val="17"/>
              </w:rPr>
              <w:t>+2.7%</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18,889</w:t>
            </w:r>
          </w:p>
        </w:tc>
        <w:tc>
          <w:tcPr>
            <w:tcW w:type="dxa" w:w="1440"/>
            <w:shd w:fill="C6EFCE" w:val="clear"/>
          </w:tcPr>
          <w:p>
            <w:r>
              <w:rPr>
                <w:b/>
                <w:sz w:val="17"/>
              </w:rPr>
              <w:t>20,961</w:t>
            </w:r>
          </w:p>
        </w:tc>
        <w:tc>
          <w:tcPr>
            <w:tcW w:type="dxa" w:w="1440"/>
            <w:shd w:fill="C6EFCE" w:val="clear"/>
          </w:tcPr>
          <w:p>
            <w:r>
              <w:rPr>
                <w:sz w:val="17"/>
              </w:rPr>
              <w:t>23,033</w:t>
            </w:r>
          </w:p>
        </w:tc>
        <w:tc>
          <w:tcPr>
            <w:tcW w:type="dxa" w:w="1440"/>
            <w:shd w:fill="C6EFCE" w:val="clear"/>
          </w:tcPr>
          <w:p>
            <w:r>
              <w:rPr>
                <w:b/>
                <w:color w:val="008000"/>
                <w:sz w:val="17"/>
              </w:rPr>
              <w:t>+2.7%</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18,753</w:t>
            </w:r>
          </w:p>
        </w:tc>
        <w:tc>
          <w:tcPr>
            <w:tcW w:type="dxa" w:w="1440"/>
            <w:shd w:fill="C6EFCE" w:val="clear"/>
          </w:tcPr>
          <w:p>
            <w:r>
              <w:rPr>
                <w:b/>
                <w:sz w:val="17"/>
              </w:rPr>
              <w:t>20,969</w:t>
            </w:r>
          </w:p>
        </w:tc>
        <w:tc>
          <w:tcPr>
            <w:tcW w:type="dxa" w:w="1440"/>
            <w:shd w:fill="C6EFCE" w:val="clear"/>
          </w:tcPr>
          <w:p>
            <w:r>
              <w:rPr>
                <w:sz w:val="17"/>
              </w:rPr>
              <w:t>23,185</w:t>
            </w:r>
          </w:p>
        </w:tc>
        <w:tc>
          <w:tcPr>
            <w:tcW w:type="dxa" w:w="1440"/>
            <w:shd w:fill="C6EFCE" w:val="clear"/>
          </w:tcPr>
          <w:p>
            <w:r>
              <w:rPr>
                <w:b/>
                <w:color w:val="008000"/>
                <w:sz w:val="17"/>
              </w:rPr>
              <w:t>+2.8%</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18,626</w:t>
            </w:r>
          </w:p>
        </w:tc>
        <w:tc>
          <w:tcPr>
            <w:tcW w:type="dxa" w:w="1440"/>
            <w:shd w:fill="C6EFCE" w:val="clear"/>
          </w:tcPr>
          <w:p>
            <w:r>
              <w:rPr>
                <w:b/>
                <w:sz w:val="17"/>
              </w:rPr>
              <w:t>20,977</w:t>
            </w:r>
          </w:p>
        </w:tc>
        <w:tc>
          <w:tcPr>
            <w:tcW w:type="dxa" w:w="1440"/>
            <w:shd w:fill="C6EFCE" w:val="clear"/>
          </w:tcPr>
          <w:p>
            <w:r>
              <w:rPr>
                <w:sz w:val="17"/>
              </w:rPr>
              <w:t>23,328</w:t>
            </w:r>
          </w:p>
        </w:tc>
        <w:tc>
          <w:tcPr>
            <w:tcW w:type="dxa" w:w="1440"/>
            <w:shd w:fill="C6EFCE" w:val="clear"/>
          </w:tcPr>
          <w:p>
            <w:r>
              <w:rPr>
                <w:b/>
                <w:color w:val="008000"/>
                <w:sz w:val="17"/>
              </w:rPr>
              <w:t>+2.8%</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18,506</w:t>
            </w:r>
          </w:p>
        </w:tc>
        <w:tc>
          <w:tcPr>
            <w:tcW w:type="dxa" w:w="1440"/>
            <w:shd w:fill="C6EFCE" w:val="clear"/>
          </w:tcPr>
          <w:p>
            <w:r>
              <w:rPr>
                <w:b/>
                <w:sz w:val="17"/>
              </w:rPr>
              <w:t>20,985</w:t>
            </w:r>
          </w:p>
        </w:tc>
        <w:tc>
          <w:tcPr>
            <w:tcW w:type="dxa" w:w="1440"/>
            <w:shd w:fill="C6EFCE" w:val="clear"/>
          </w:tcPr>
          <w:p>
            <w:r>
              <w:rPr>
                <w:sz w:val="17"/>
              </w:rPr>
              <w:t>23,464</w:t>
            </w:r>
          </w:p>
        </w:tc>
        <w:tc>
          <w:tcPr>
            <w:tcW w:type="dxa" w:w="1440"/>
            <w:shd w:fill="C6EFCE" w:val="clear"/>
          </w:tcPr>
          <w:p>
            <w:r>
              <w:rPr>
                <w:b/>
                <w:color w:val="008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 RAPPORT D'ANALYSE FINANCIÈRE — ORANGE CÔTE D'IVOIRE (ORAC)</w:t>
        <w:br/>
        <w:t>### 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Orange Côte d'Ivoire affiche une capitalisation boursière de **3 073,37 milliards FCFA**, ce qui en fait l'une des toutes premières capitalisations de la BRVM (le groupe représentait environ 26% de la capitalisation totale du marché en 2024), confirmant son statut de valeur phare et de poids lourd de l'indice BRVM Composite. Avec un **BPA de 1 114 FCFA/action**, chaque titre génère un bénéfice unitaire solide, ce qui positionne le **PER à 18,3x** — soit une prime notable par rapport à la moyenne du marché BRVM (généralement comprise entre 8 et 12x), traduisant la confiance des investisseurs dans la qualité de la croissance et la régularité des résultats du groupe télécom. Le **P/B de 4,34x** confirme cette valorisation exigeante : le marché paie plus de quatre fois la valeur comptable des fonds propres, ce qui est justifié par un ROE élevé (23,7%) mais laisse peu de marge de sécurité en cas de déception. Enfin, l'**EV/EBITDA de 7,3x** apparaît raisonnable dans la fourchette 5-10x, suggérant que la valeur d'entreprise reste cohérente avec la capacité opérationnelle de génération de cash-flows, offrant un contrepoids modérateur à la cherté relative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affiche une **variation totale de +39,15%**, portée par un net regain d'intérêt des investisseurs, même si la dernière séance (J-1) marque une légère correction de **-1,45%**, signe possible de prise de profits après un rallye soutenu. Le titre a évolué dans un **range de trading large entre 14 660 FCFA (plus bas) et 22 500 FCFA (plus haut)**, pour un cours actuel de **20 400 FCFA**, soit une position médiane-haute dans ce canal, ce qui traduit une tendance générale nettement **haussière** sur la période. Les statistiques descriptives révèlent une **moyenne de 17 520 FCFA supérieure à la médiane de 16 695 FCFA**, écart caractéristique d'une distribution asymétrique où les récents sommets tirent la moyenne vers le haut ; le **mode à 16 000 FCFA** indique que le prix le plus fréquemment traité se situe bien en dessous du cours actuel, confirmant la récente accélération haussière. L'**écart-type de 2 389 FCFA (CV = 13,6%)** traduit une dispersion modérée du cours autour de sa moyenne, tandis que le **kurtosis de -0,603 (mésokurtique)** suggère une distribution proche de la normale, sans risque majeur de pics extrêmes, et le **skewness de +0,963 (asymétrie positive)** indique davantage de journées sous la moyenne mais avec des gains ponctuels importants. Enfin, la **volatilité annualisée de 30,1%** place ORAC dans la catégorie des titres à volatilité **modérée à élevée** (limite haute de la fourchette 15-30%), ce qui reste cohérent avec un titre de croissance à forte capitalisation sur un marché frontière.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**21 601,75 FCFA** et la MM50 à **19 147,70 FCFA**, toutes deux supérieures au cours actuel de 20 400 FCFA pour la MM20 mais inférieures pour la MM50. Le croisement haussier MM20 &gt; MM50 (golden cross) confirme la dynamique positive de moyen terme, et la décision technique affichée est **Achat**, bien que le cours soit temporairement repassé sous la MM20, signal de consolidation à court terme.</w:t>
      </w:r>
    </w:p>
    <w:p>
      <w:pPr>
        <w:spacing w:after="120" w:line="276" w:lineRule="auto"/>
      </w:pPr>
      <w:r>
        <w:t>**Bandes de Bollinger** — La borne supérieure se situe à **22 957,50 FCFA** et la borne inférieure à **20 246,00 FCFA**, avec un cours actuel de 20 400 FCFA positionné tout près de la borne basse. Cette proximité suggère un essoufflement momentané de la dynamique haussière, mais la décision reste **Neutre** car le cours n'a pas cassé la borne inférieure, ce qui maintiendrait un signal de survente technique.</w:t>
      </w:r>
    </w:p>
    <w:p>
      <w:pPr>
        <w:spacing w:after="120" w:line="276" w:lineRule="auto"/>
      </w:pPr>
      <w:r>
        <w:t>**MACD** — La valeur du MACD (**548,16**) est nettement inférieure à son signal (**884,10**), générant une configuration baissière (MACD sous signal) qui traduit un **ralentissement du momentum haussier**. La décision technique associée est **Vente**, ce qui constitue un signal de prudence à court terme, en divergence avec la tendance de fond haussière.</w:t>
      </w:r>
    </w:p>
    <w:p>
      <w:pPr>
        <w:spacing w:after="120" w:line="276" w:lineRule="auto"/>
      </w:pPr>
      <w:r>
        <w:t>**RSI** — À **42,16**, le RSI se situe en zone **neutre** (entre 30 et 70), légèrement en dessous du seuil médian de 50, ce qui indique une absence de pression acheteuse ou vendeuse dominante. La décision est **Neutre**, le titre n'étant ni suracheté ni survendu, laissant la porte ouverte à une reprise comme à une poursuite de la consolidation.</w:t>
      </w:r>
    </w:p>
    <w:p>
      <w:pPr>
        <w:spacing w:after="120" w:line="276" w:lineRule="auto"/>
      </w:pPr>
      <w:r>
        <w:t>**Stochastique** — Les valeurs %K et %D sont toutes deux à **0,0**, ce qui place l'indicateur en zone de **survente extrême**. Bien que la décision affichée soit **Achat** (signal de rebond potentiel), ce niveau nul doit être interprété avec prudence : il peut refléter un essoufflement brutal de la dynamique récente et anticiper un rebond technique, mais aussi une phase de faiblesse prolongée si le cours ne réagit pas rapidement.</w:t>
      </w:r>
    </w:p>
    <w:p>
      <w:pPr>
        <w:spacing w:after="120" w:line="276" w:lineRule="auto"/>
      </w:pPr>
      <w:r>
        <w:t>**Conclusion technique** — Les indicateurs présentent une **configuration mitigée** : la tendance de fond reste haussière (MM20 &gt; MM50, golden cross), mais les signaux de court terme sont majoritairement baissiers ou neutres (MACD sous signal, cours sous MM20, stochastique en survente extrême). Cette divergence typique d'une phase de consolidation après un rallye de +39% suggère une **pause technique** plutôt qu'un retournement, avec un potentiel de rebond si le cours se maintient au-dessus de la borne inférieure de Bollinger (20 246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Orange Côte d'Ivoire a réalisé un **chiffre d'affaires consolidé de 1 197,1 milliards FCFA**, en croissance de **+10,4%** sur un an, porté par la dynamique des trois filiales (Côte d'Ivoire, Burkina Faso, Liberia). Le **résultat net consolidé s'établit à 167,8 milliards FCFA** (+6,1%), tandis que le **résultat net part du groupe atteint 129,1 milliards FCFA** (+14,5%), la différence s'expliquant par les intérêts minoritaires. La rentabilité demeure solide avec un **ROE de 23,7%** (largement supérieur au seuil de 15% considéré comme excellent) et un **ROA de 6,57%**, tandis que la **marge nette de 14,0%** et la **marge opérationnelle de 24,0%** confirment la qualité du modèle économique. En tant qu'entreprise non bancaire, l'analyse des délais d'exploitation révèle un **délai clients de 52,26 jours** (risque de trésorerie modéré), un **délai fournisseurs élevé de 210,87 jours** (favorable à la trésorerie) et une **durée de stockage de 19,64 jours** (rotation rapide). Le **BFR est négatif à -198,0 milliards FCFA**, ce qui constitue un point fort majeur : l'entreprise finance son cycle d'exploitation par ses fournisseurs et encaisse rapidement, dégageant une trésorerie nette positive de 113,9 milliards FCFA. La structure financière reste saine avec une **autonomie financière de 27,7%** (proche du seuil de 30%), une **capacité de remboursement de 0,99 an** (excellente) et une **couverture des intérêts de 1 018%**, traduisant une très faible dépendance aux charges financières.</w:t>
      </w:r>
    </w:p>
    <w:p>
      <w:pPr>
        <w:spacing w:after="120" w:line="276" w:lineRule="auto"/>
      </w:pPr>
      <w:r>
        <w:t>**Estimations basées sur les rapports trimestriels** — Le rapport du **T1 2026 (publié le 20 mai 2026)** fait état d'un **chiffre d'affaires de 325,6 milliards FCFA (+14,8%)** et d'un **résultat net de 48,3 milliards FCFA (+25,2%)**, avec un **EBITDAaL de 114,2 milliards FCFA (+15,7%)** et une marge nette en amélioration à **14,8%**. Cette accélération de la croissance et de la rentabilité, après un exercice 2025 déjà solide, suggère que **l'exercice 2026 devrait afficher une croissance du CA supérieure à 12% et un résultat net en progression de 15-20%**, portée par les investissements dans la fibre (70,6 milliards FCFA d'eCapex au T1) et l'expansion du parc mobile (+8,8% à 39,3 millions de clients). Le rapport annuel 2025 (publié le 31 décembre 2025) confirme par ailleurs un **dividende brut de 800 FCFA/action** (rendement d'environ 3,9% au cours actuel), prélevé sur le report à nouveau, avec un payout de 93,3% qui traduit une politique de distribution généreuse mais un choix stratégique de privilégier l'autofinancement des investissements. Les risques identifiés incluent la **pression fiscale et réglementaire** (hausse des impôts et taxes de +20,8% en 2025), la **concurrence accrue** sur le mobile money et la data, ainsi que l'**exposition au risque pays** (Burkina Faso, Liberia). **Recommandation fondamentale : ACHAT**, justifiée par la solidité des fondamentaux, la croissance à deux chiffres, le leadership régional et la capacité à générer des cash-flows abondants, malgré une valorisation exigeante.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conduit à une recommandation **ACHAT**, avec un niveau de confiance **Moyen** et un risque global **Moyen**, pour un horizon d'investissement de **moyen à long terme (6 à 18 mois)**. En effet, la **valorisation (Partie 0)** apparaît exigeante (PER 18,3x et P/B 4,34x, primes notables sur les moyennes du marché BRVM), mais tempérée par un EV/EBITDA raisonnable de 7,3x et un ROE de 23,7% qui justifie le premium. Le **comportement du cours (Partie 1)** est nettement haussier (+39,15% sur 100 jours) avec une volatilité modérée à élevée (30,1%) et une asymétrie positive (skewness +0,963) qui indique des gains ponctuels importants, bien que la récente correction de -1,45% et la position du cours sous la MM20 suggèrent une consolidation en cours. Les **signaux techniques (Partie 2)** sont mitigés : la tendance de fond reste haussière (golden cross MM20/MM50), mais le MACD baissier et le stochastique en survente extrême plaident pour une pause, voire un rebond technique imminent si le support de 20 246 FCFA tient. Les **fondamentaux (Partie 3)** sont excellents : croissance du CA de +10,4% en 2025, accélération à +14,8% au T1 2026, résultat net en hausse de +25,2% au T1 2026, ROE de 23,7%, BFR négatif et trésorerie nette positive, ce qui confère au titre une qualité défensive et une capacité de création de valeur durable. Enfin, les **prédictions IA (J+1 à J+10)** tablent sur une stabilisation autour de **20 900-21 000 FCFA**, ce qui confirme la thèse d'une consolidation sans effondrement, en ligne avec les signaux techniques de court terme. La convergence entre fondamentaux solides, tendance de fond haussière et prédictions de stabilisation soutient une **recommandation d'ACHAT**, avec un point d'entrée idéal autour de 20 000-20 400 FCFA et un objectif de cours à 22 500-23 000 FCFA à moyen terme, tout en surveillant les risques réglementaires et la pression sur les marges au Burkina Faso et au Liberia.</w:t>
      </w:r>
    </w:p>
    <w:p>
      <w:pPr>
        <w:spacing w:after="120" w:line="276" w:lineRule="auto"/>
      </w:pPr>
      <w:r>
        <w:t>---</w:t>
      </w:r>
    </w:p>
    <w:p>
      <w:pPr>
        <w:spacing w:after="120" w:line="276" w:lineRule="auto"/>
      </w:pPr>
      <w:r>
        <w:t>*Rapport généré le 24 septembre 2026 — Sources : BRVM, états financiers ORAC 2025, rapports trimestriels T1 2026, analyses fondamentales DeepSeek/Mistral, données de marché en temps réel.*</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194.36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5,301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B40000"/>
                <w:sz w:val="17"/>
              </w:rPr>
              <w:t>-14.63%</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8.94% (Moyenne) — μ=2,900 FCFA, σ=259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β=0.1564 (Défensif) — Cov=0.000006, Var(idx)=0.000041, ρ=0.036,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σ_j=2.83%/j (Stable) — Vol. annualisée≈45.0%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2026-09-24</w:t>
            </w:r>
          </w:p>
        </w:tc>
        <w:tc>
          <w:tcPr>
            <w:tcW w:type="dxa" w:w="1440"/>
            <w:shd w:fill="C6EFCE" w:val="clear"/>
          </w:tcPr>
          <w:p>
            <w:r>
              <w:rPr>
                <w:sz w:val="17"/>
              </w:rPr>
              <w:t>2,843</w:t>
            </w:r>
          </w:p>
        </w:tc>
        <w:tc>
          <w:tcPr>
            <w:tcW w:type="dxa" w:w="1440"/>
            <w:shd w:fill="C6EFCE" w:val="clear"/>
          </w:tcPr>
          <w:p>
            <w:r>
              <w:rPr>
                <w:b/>
                <w:sz w:val="17"/>
              </w:rPr>
              <w:t>2,947</w:t>
            </w:r>
          </w:p>
        </w:tc>
        <w:tc>
          <w:tcPr>
            <w:tcW w:type="dxa" w:w="1440"/>
            <w:shd w:fill="C6EFCE" w:val="clear"/>
          </w:tcPr>
          <w:p>
            <w:r>
              <w:rPr>
                <w:sz w:val="17"/>
              </w:rPr>
              <w:t>3,051</w:t>
            </w:r>
          </w:p>
        </w:tc>
        <w:tc>
          <w:tcPr>
            <w:tcW w:type="dxa" w:w="1440"/>
            <w:shd w:fill="C6EFCE" w:val="clear"/>
          </w:tcPr>
          <w:p>
            <w:r>
              <w:rPr>
                <w:b/>
                <w:color w:val="008000"/>
                <w:sz w:val="17"/>
              </w:rPr>
              <w:t>+5.3%</w:t>
            </w:r>
          </w:p>
        </w:tc>
      </w:tr>
      <w:tr>
        <w:tc>
          <w:tcPr>
            <w:tcW w:type="dxa" w:w="1440"/>
            <w:shd w:fill="C6EFCE" w:val="clear"/>
          </w:tcPr>
          <w:p>
            <w:r>
              <w:rPr>
                <w:sz w:val="17"/>
              </w:rPr>
              <w:t>J+2  Moyenne</w:t>
            </w:r>
          </w:p>
        </w:tc>
        <w:tc>
          <w:tcPr>
            <w:tcW w:type="dxa" w:w="1440"/>
            <w:shd w:fill="C6EFCE" w:val="clear"/>
          </w:tcPr>
          <w:p>
            <w:r>
              <w:rPr>
                <w:sz w:val="17"/>
              </w:rPr>
              <w:t>2026-09-25</w:t>
            </w:r>
          </w:p>
        </w:tc>
        <w:tc>
          <w:tcPr>
            <w:tcW w:type="dxa" w:w="1440"/>
            <w:shd w:fill="C6EFCE" w:val="clear"/>
          </w:tcPr>
          <w:p>
            <w:r>
              <w:rPr>
                <w:sz w:val="17"/>
              </w:rPr>
              <w:t>2,799</w:t>
            </w:r>
          </w:p>
        </w:tc>
        <w:tc>
          <w:tcPr>
            <w:tcW w:type="dxa" w:w="1440"/>
            <w:shd w:fill="C6EFCE" w:val="clear"/>
          </w:tcPr>
          <w:p>
            <w:r>
              <w:rPr>
                <w:b/>
                <w:sz w:val="17"/>
              </w:rPr>
              <w:t>2,946</w:t>
            </w:r>
          </w:p>
        </w:tc>
        <w:tc>
          <w:tcPr>
            <w:tcW w:type="dxa" w:w="1440"/>
            <w:shd w:fill="C6EFCE" w:val="clear"/>
          </w:tcPr>
          <w:p>
            <w:r>
              <w:rPr>
                <w:sz w:val="17"/>
              </w:rPr>
              <w:t>3,093</w:t>
            </w:r>
          </w:p>
        </w:tc>
        <w:tc>
          <w:tcPr>
            <w:tcW w:type="dxa" w:w="1440"/>
            <w:shd w:fill="C6EFCE" w:val="clear"/>
          </w:tcPr>
          <w:p>
            <w:r>
              <w:rPr>
                <w:b/>
                <w:color w:val="008000"/>
                <w:sz w:val="17"/>
              </w:rPr>
              <w:t>+5.2%</w:t>
            </w:r>
          </w:p>
        </w:tc>
      </w:tr>
      <w:tr>
        <w:tc>
          <w:tcPr>
            <w:tcW w:type="dxa" w:w="1440"/>
            <w:shd w:fill="C6EFCE" w:val="clear"/>
          </w:tcPr>
          <w:p>
            <w:r>
              <w:rPr>
                <w:sz w:val="17"/>
              </w:rPr>
              <w:t>J+3  Moyenne</w:t>
            </w:r>
          </w:p>
        </w:tc>
        <w:tc>
          <w:tcPr>
            <w:tcW w:type="dxa" w:w="1440"/>
            <w:shd w:fill="C6EFCE" w:val="clear"/>
          </w:tcPr>
          <w:p>
            <w:r>
              <w:rPr>
                <w:sz w:val="17"/>
              </w:rPr>
              <w:t>2026-09-28</w:t>
            </w:r>
          </w:p>
        </w:tc>
        <w:tc>
          <w:tcPr>
            <w:tcW w:type="dxa" w:w="1440"/>
            <w:shd w:fill="C6EFCE" w:val="clear"/>
          </w:tcPr>
          <w:p>
            <w:r>
              <w:rPr>
                <w:sz w:val="17"/>
              </w:rPr>
              <w:t>2,777</w:t>
            </w:r>
          </w:p>
        </w:tc>
        <w:tc>
          <w:tcPr>
            <w:tcW w:type="dxa" w:w="1440"/>
            <w:shd w:fill="C6EFCE" w:val="clear"/>
          </w:tcPr>
          <w:p>
            <w:r>
              <w:rPr>
                <w:b/>
                <w:sz w:val="17"/>
              </w:rPr>
              <w:t>2,958</w:t>
            </w:r>
          </w:p>
        </w:tc>
        <w:tc>
          <w:tcPr>
            <w:tcW w:type="dxa" w:w="1440"/>
            <w:shd w:fill="C6EFCE" w:val="clear"/>
          </w:tcPr>
          <w:p>
            <w:r>
              <w:rPr>
                <w:sz w:val="17"/>
              </w:rPr>
              <w:t>3,139</w:t>
            </w:r>
          </w:p>
        </w:tc>
        <w:tc>
          <w:tcPr>
            <w:tcW w:type="dxa" w:w="1440"/>
            <w:shd w:fill="C6EFCE" w:val="clear"/>
          </w:tcPr>
          <w:p>
            <w:r>
              <w:rPr>
                <w:b/>
                <w:color w:val="008000"/>
                <w:sz w:val="17"/>
              </w:rPr>
              <w:t>+5.6%</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2,758</w:t>
            </w:r>
          </w:p>
        </w:tc>
        <w:tc>
          <w:tcPr>
            <w:tcW w:type="dxa" w:w="1440"/>
            <w:shd w:fill="C6EFCE" w:val="clear"/>
          </w:tcPr>
          <w:p>
            <w:r>
              <w:rPr>
                <w:b/>
                <w:sz w:val="17"/>
              </w:rPr>
              <w:t>2,968</w:t>
            </w:r>
          </w:p>
        </w:tc>
        <w:tc>
          <w:tcPr>
            <w:tcW w:type="dxa" w:w="1440"/>
            <w:shd w:fill="C6EFCE" w:val="clear"/>
          </w:tcPr>
          <w:p>
            <w:r>
              <w:rPr>
                <w:sz w:val="17"/>
              </w:rPr>
              <w:t>3,177</w:t>
            </w:r>
          </w:p>
        </w:tc>
        <w:tc>
          <w:tcPr>
            <w:tcW w:type="dxa" w:w="1440"/>
            <w:shd w:fill="C6EFCE" w:val="clear"/>
          </w:tcPr>
          <w:p>
            <w:r>
              <w:rPr>
                <w:b/>
                <w:color w:val="008000"/>
                <w:sz w:val="17"/>
              </w:rPr>
              <w:t>+6.0%</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2,740</w:t>
            </w:r>
          </w:p>
        </w:tc>
        <w:tc>
          <w:tcPr>
            <w:tcW w:type="dxa" w:w="1440"/>
            <w:shd w:fill="C6EFCE" w:val="clear"/>
          </w:tcPr>
          <w:p>
            <w:r>
              <w:rPr>
                <w:b/>
                <w:sz w:val="17"/>
              </w:rPr>
              <w:t>2,975</w:t>
            </w:r>
          </w:p>
        </w:tc>
        <w:tc>
          <w:tcPr>
            <w:tcW w:type="dxa" w:w="1440"/>
            <w:shd w:fill="C6EFCE" w:val="clear"/>
          </w:tcPr>
          <w:p>
            <w:r>
              <w:rPr>
                <w:sz w:val="17"/>
              </w:rPr>
              <w:t>3,210</w:t>
            </w:r>
          </w:p>
        </w:tc>
        <w:tc>
          <w:tcPr>
            <w:tcW w:type="dxa" w:w="1440"/>
            <w:shd w:fill="C6EFCE" w:val="clear"/>
          </w:tcPr>
          <w:p>
            <w:r>
              <w:rPr>
                <w:b/>
                <w:color w:val="008000"/>
                <w:sz w:val="17"/>
              </w:rPr>
              <w:t>+6.2%</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2,723</w:t>
            </w:r>
          </w:p>
        </w:tc>
        <w:tc>
          <w:tcPr>
            <w:tcW w:type="dxa" w:w="1440"/>
            <w:shd w:fill="C6EFCE" w:val="clear"/>
          </w:tcPr>
          <w:p>
            <w:r>
              <w:rPr>
                <w:b/>
                <w:sz w:val="17"/>
              </w:rPr>
              <w:t>2,981</w:t>
            </w:r>
          </w:p>
        </w:tc>
        <w:tc>
          <w:tcPr>
            <w:tcW w:type="dxa" w:w="1440"/>
            <w:shd w:fill="C6EFCE" w:val="clear"/>
          </w:tcPr>
          <w:p>
            <w:r>
              <w:rPr>
                <w:sz w:val="17"/>
              </w:rPr>
              <w:t>3,239</w:t>
            </w:r>
          </w:p>
        </w:tc>
        <w:tc>
          <w:tcPr>
            <w:tcW w:type="dxa" w:w="1440"/>
            <w:shd w:fill="C6EFCE" w:val="clear"/>
          </w:tcPr>
          <w:p>
            <w:r>
              <w:rPr>
                <w:b/>
                <w:color w:val="008000"/>
                <w:sz w:val="17"/>
              </w:rPr>
              <w:t>+6.5%</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2,707</w:t>
            </w:r>
          </w:p>
        </w:tc>
        <w:tc>
          <w:tcPr>
            <w:tcW w:type="dxa" w:w="1440"/>
            <w:shd w:fill="C6EFCE" w:val="clear"/>
          </w:tcPr>
          <w:p>
            <w:r>
              <w:rPr>
                <w:b/>
                <w:sz w:val="17"/>
              </w:rPr>
              <w:t>2,986</w:t>
            </w:r>
          </w:p>
        </w:tc>
        <w:tc>
          <w:tcPr>
            <w:tcW w:type="dxa" w:w="1440"/>
            <w:shd w:fill="C6EFCE" w:val="clear"/>
          </w:tcPr>
          <w:p>
            <w:r>
              <w:rPr>
                <w:sz w:val="17"/>
              </w:rPr>
              <w:t>3,265</w:t>
            </w:r>
          </w:p>
        </w:tc>
        <w:tc>
          <w:tcPr>
            <w:tcW w:type="dxa" w:w="1440"/>
            <w:shd w:fill="C6EFCE" w:val="clear"/>
          </w:tcPr>
          <w:p>
            <w:r>
              <w:rPr>
                <w:b/>
                <w:color w:val="008000"/>
                <w:sz w:val="17"/>
              </w:rPr>
              <w:t>+6.7%</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2,693</w:t>
            </w:r>
          </w:p>
        </w:tc>
        <w:tc>
          <w:tcPr>
            <w:tcW w:type="dxa" w:w="1440"/>
            <w:shd w:fill="C6EFCE" w:val="clear"/>
          </w:tcPr>
          <w:p>
            <w:r>
              <w:rPr>
                <w:b/>
                <w:sz w:val="17"/>
              </w:rPr>
              <w:t>2,991</w:t>
            </w:r>
          </w:p>
        </w:tc>
        <w:tc>
          <w:tcPr>
            <w:tcW w:type="dxa" w:w="1440"/>
            <w:shd w:fill="C6EFCE" w:val="clear"/>
          </w:tcPr>
          <w:p>
            <w:r>
              <w:rPr>
                <w:sz w:val="17"/>
              </w:rPr>
              <w:t>3,290</w:t>
            </w:r>
          </w:p>
        </w:tc>
        <w:tc>
          <w:tcPr>
            <w:tcW w:type="dxa" w:w="1440"/>
            <w:shd w:fill="C6EFCE" w:val="clear"/>
          </w:tcPr>
          <w:p>
            <w:r>
              <w:rPr>
                <w:b/>
                <w:color w:val="008000"/>
                <w:sz w:val="17"/>
              </w:rPr>
              <w:t>+6.8%</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2,679</w:t>
            </w:r>
          </w:p>
        </w:tc>
        <w:tc>
          <w:tcPr>
            <w:tcW w:type="dxa" w:w="1440"/>
            <w:shd w:fill="C6EFCE" w:val="clear"/>
          </w:tcPr>
          <w:p>
            <w:r>
              <w:rPr>
                <w:b/>
                <w:sz w:val="17"/>
              </w:rPr>
              <w:t>2,996</w:t>
            </w:r>
          </w:p>
        </w:tc>
        <w:tc>
          <w:tcPr>
            <w:tcW w:type="dxa" w:w="1440"/>
            <w:shd w:fill="C6EFCE" w:val="clear"/>
          </w:tcPr>
          <w:p>
            <w:r>
              <w:rPr>
                <w:sz w:val="17"/>
              </w:rPr>
              <w:t>3,314</w:t>
            </w:r>
          </w:p>
        </w:tc>
        <w:tc>
          <w:tcPr>
            <w:tcW w:type="dxa" w:w="1440"/>
            <w:shd w:fill="C6EFCE" w:val="clear"/>
          </w:tcPr>
          <w:p>
            <w:r>
              <w:rPr>
                <w:b/>
                <w:color w:val="008000"/>
                <w:sz w:val="17"/>
              </w:rPr>
              <w:t>+7.0%</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2,666</w:t>
            </w:r>
          </w:p>
        </w:tc>
        <w:tc>
          <w:tcPr>
            <w:tcW w:type="dxa" w:w="1440"/>
            <w:shd w:fill="C6EFCE" w:val="clear"/>
          </w:tcPr>
          <w:p>
            <w:r>
              <w:rPr>
                <w:b/>
                <w:sz w:val="17"/>
              </w:rPr>
              <w:t>3,001</w:t>
            </w:r>
          </w:p>
        </w:tc>
        <w:tc>
          <w:tcPr>
            <w:tcW w:type="dxa" w:w="1440"/>
            <w:shd w:fill="C6EFCE" w:val="clear"/>
          </w:tcPr>
          <w:p>
            <w:r>
              <w:rPr>
                <w:sz w:val="17"/>
              </w:rPr>
              <w:t>3,336</w:t>
            </w:r>
          </w:p>
        </w:tc>
        <w:tc>
          <w:tcPr>
            <w:tcW w:type="dxa" w:w="1440"/>
            <w:shd w:fill="C6EFCE" w:val="clear"/>
          </w:tcPr>
          <w:p>
            <w:r>
              <w:rPr>
                <w:b/>
                <w:color w:val="008000"/>
                <w:sz w:val="17"/>
              </w:rPr>
              <w:t>+7.2%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194,36 milliards FCFA, ORGT se positionne comme une valeur de premier plan de la cote BRVM, reflétant l'importance systémique du groupe bancaire panafricain dans la zone UEMOA. Le BPA de 312 FCFA/action signifie que chaque titre génère un bénéfice net de 312 FCFA, ce qui, rapporté au cours actuel de 2 800 FCFA, donne un PER de 9,0x — un niveau modéré, légèrement inférieur à la moyenne BRVM (8-12x), suggérant une valorisation raisonnable voire légèrement sous-évaluée au regard des bénéfices. Le ratio P/B de 1,72x indique que le marché valorise l'action à 72% au-dessus de sa valeur comptable, ce qui reste dans une fourchette raisonnable (1-2x) pour une banque affichant un ROE de 19,1%. En revanche, l'EV/EBITDA de 19,3x apparaît très exigeant (&gt;15x), signalant que la valeur d'entreprise intègre déjà une prime significative par rapport à la capacité opérationnelle — un point de vigilance pour les investisseurs value.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ORGT a enregistré une variation totale de -14,63%, avec une chute marquée de -6,67% lors de la dernière séance (J-1), traduisant une pression vendeuse récente et un sentiment baissier à court terme. Le cours actuel de 2 800 FCFA se situe dans la moitié inférieure du range de trading, le plus haut ayant atteint 3 475 FCFA et le plus bas 2 435 FCFA, soit un écart de 1 040 FCFA (environ 43% du cours actuel) — un range particulièrement large qui témoigne d'une forte amplitude de négociation. La tendance générale est donc baissière sur la période, le cours ayant perdu près de 15% de sa valeur, bien qu'il reste au-dessus du plus bas absolu. Les statistiques descriptives révèlent une moyenne de 2 900 FCFA légèrement supérieure à la médiane de 2 780 FCFA, avec un mode à 2 680 FCFA : cet écart modéré entre moyenne et médiane suggère une légère asymétrie positive, confirmée par un skewness de 0,318 (distribution quasi-symétrique mais étirée vers la droite). L'écart-type de 261 FCFA (CV = 9,0%) indique une dispersion modérée du cours autour de sa moyenne, tandis que le kurtosis de -1,246 (distribution platykurtique) signale une distribution aplatie avec une faible concentration des valeurs — donc un risque de pics extrêmes plus faible qu'une distribution normale, ce qui est rassurant pour la gestion du risque. Enfin, la volatilité annualisée de 45,0% classe ORGT dans la catégorie des titres à volatilité élevée (&gt;30%), ce qui implique un risque de prix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(3 208,25 FCFA) et la MM50 (3 055,7 FCFA) se situent toutes deux nettement au-dessus du cours actuel (2 800 FCFA), ce qui place le titre en position de faiblesse relative par rapport à ses tendances court et moyen terme. Cependant, la MM20 étant supérieure à la MM50, la configuration reste théoriquement haussière sur le croisement des moyennes, ce qui explique la décision "Achat" malgré la pression baissière immédiate. Le cours devra toutefois reconquérir ces niveaux pour confirmer un retournement.</w:t>
      </w:r>
    </w:p>
    <w:p>
      <w:pPr>
        <w:spacing w:after="120" w:line="276" w:lineRule="auto"/>
      </w:pPr>
      <w:r>
        <w:t>**Bandes de Bollinger** : Le cours actuel (2 800 FCFA) se situe en dessous de la borne inférieure des Bandes de Bollinger (2 941,155 FCFA), ce qui constitue un signal de survente technique extrême et suggère une possible réaction haussière à court terme. La largeur des bandes (de 2 941 à 3 475 FCFA) reflète une volatilité élevée, cohérente avec la volatilité annualisée de 45%. La décision "Achat" est justifiée par cette position hors bande, qui précède souvent un rebond technique.</w:t>
      </w:r>
    </w:p>
    <w:p>
      <w:pPr>
        <w:spacing w:after="120" w:line="276" w:lineRule="auto"/>
      </w:pPr>
      <w:r>
        <w:t>**MACD** : Le MACD affiche une valeur de -11,805 contre un signal à 44,383, soit une divergence baissière marquée (MACD &lt; Signal) qui confirme un momentum négatif persistant. La décision "Vente" est cohérente avec cette configuration, le MACD étant en territoire négatif et sous sa ligne de signal, ce qui indique que la pression baissière n'est pas encore épuisée.</w:t>
      </w:r>
    </w:p>
    <w:p>
      <w:pPr>
        <w:spacing w:after="120" w:line="276" w:lineRule="auto"/>
      </w:pPr>
      <w:r>
        <w:t>**RSI** : Avec une valeur de 30,392, le RSI se situe juste au-dessus du seuil de survente (30), ce qui le place en zone neutre basse. La décision "Neutre" reflète cette position charnière : le titre n'est pas encore techniquement en survente extrême, mais il s'en approche dangereusement, ce qui pourrait précéder soit un rebond, soit une accélération baissière.</w:t>
      </w:r>
    </w:p>
    <w:p>
      <w:pPr>
        <w:spacing w:after="120" w:line="276" w:lineRule="auto"/>
      </w:pPr>
      <w:r>
        <w:t>**Stochastique** : Le %K et le %D sont tous deux à 0,0, ce qui constitue un signal de survente maximale — le cours a clôturé à son plus bas niveau de la période récente. La décision "Achat" est justifiée par cette configuration extrême, qui historiquement précède souvent un rebond technique, bien que la prudence reste de mise tant que le %K ne croise pas le %D à la hausse.</w:t>
      </w:r>
    </w:p>
    <w:p>
      <w:pPr>
        <w:spacing w:after="120" w:line="276" w:lineRule="auto"/>
      </w:pPr>
      <w:r>
        <w:t>**Conclusion technique** : Les indicateurs techniques présentent un tableau contrasté. D'un côté, les Bandes de Bollinger et le Stochastique génèrent des signaux d'achat par survente extrême, et les moyennes mobiles conservent une configuration haussière théorique. De l'autre, le MACD confirme un momentum baissier et le RSI reste fragile. La convergence des signaux de survente (Bollinger, Stochastique) suggère qu'un rebond technique est probable à court terme, mais la prudence est de mise tant que le MACD ne s'inverse pas et que le cours ne reconquiert pas la MM50 (3 055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ORAGROUP a réalisé un Produit Net Bancaire (PNB, équivalent du chiffre d'affaires pour une banque) de 186,609 milliards FCFA, en baisse de -4,52% par rapport aux 195,436 milliards de 2024, reflétant une contraction de l'activité de crédit et une pression sur les marges. Le résultat net consolidé s'établit à 21,643 milliards FCFA, marquant un redressement spectaculaire après la perte de -44,363 milliards en 2024, soit une amélioration de +149%. Cette performance est portée par une réduction drastique du coût net du risque (-90%, passant de -69,056 à -6,971 milliards FCFA) et une baisse des frais généraux de -12%. Les ratios de rentabilité sont solides : le ROE atteint 19,13% (&gt;15% = excellent), le ROA est de 0,54%, et la marge nette s'élève à 11,60%. Le coefficient d'exploitation de 42,85% (&lt;60% = banque efficace, &lt;50% = excellente) témoigne d'une gestion rigoureuse des coûts. Le coût du risque rapporté aux charges financières est de 3,74%, un niveau faible qui indique un portefeuille de crédits assaini. La structure bilancielle reste toutefois très dépendante : l'autonomie financière n'est que de 2,82% (capitaux propres/total bilan), et le ratio d'endettement de 444,94% (dettes totales/capitaux propres) est élevé, bien que typique du modèle bancaire. Les dépôts clientèle (3 088,698 milliards FCFA) couvrent largement les créances clientèle (1 523,765 milliards FCFA), avec un ratio de transformation de 49,3%, indiquant une surliquidité relative. Sur la base du rapport T1 2026 (publié en 2026), le PNB recule de -2% à 50,124 milliards FCFA, mais le résultat net progresse de +37% à 6,555 milliards FCFA, confirmant la poursuite de l'amélioration opérationnelle. On estime donc que l'exercice 2026 devrait consolider le redressement, avec un résultat net annualisé potentiellement supérieur à 25 milliards FCFA si la dynamique se maintient. La recommandation fondamentale est de **CONSERVER** : la solidité financière est restaurée, mais la baisse du PNB et l'absence de dividende (confirmée par l'AG de juillet 2026) limitent l'attrait immédiat.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d'ORGT présente un profil mitigé : le PER de 9,0x et le P/B de 1,72x suggèrent une valorisation raisonnable, voire légèrement sous-évaluée, mais l'EV/EBITDA de 19,3x trahit une prime excessive sur la valeur d'entreprise. Le comportement du cours sur 100 jours est préoccupant (-14,63%, chute de -6,67% en J-1), avec une volatilité élevée (45%) et une distribution platykurtique qui limite toutefois le risque de pics extrêmes. Les signaux techniques sont divergents : les Bandes de Bollinger et le Stochastique génèrent des signaux d'achat par survente, mais le MACD confirme un momentum baissier et le RSI reste fragile — une convergence haussière n'est donc pas encore acquise. Les fondamentaux sont en nette amélioration (ROE de 19,1%, coefficient d'exploitation de 42,9%, coût du risque maîtrisé), mais la baisse du PNB (-4,5% en 2025) et l'absence de dividende pèsent sur l'attractivité. Les prédictions IA pour les 10 prochains jours (2 947 → 2 975 FCFA) anticipent un rebond modéré de +5,3% par rapport au cours actuel, ce qui confirme les signaux de survente technique sans pour autant inverser la tendance baissière de fond. **Recommandation finale : CONSERVER**, avec un niveau de confiance **Moyen** et un risque global **Élevé**. La convergence entre la survente technique, les fondamentaux redressés et les prédictions haussières à court terme justifie de ne pas vendre, mais l'absence de catalyseur fort (dividende, reprise du PNB) et la volatilité élevée incitent à la prudence. L'horizon d'investissement optimal est le **moyen terme (3-12 mois)**, en attendant la confirmation d'une reprise durable du PNB et d'une éventuelle distribution de dividendes.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125.22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3,995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+2.53%</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6.38% (Moyenne) — μ=8,573 FCFA, σ=547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β=-0.2283 (Contre-cyclique) — Cov=-0.000009, Var(idx)=0.000041, ρ=-0.062,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3,995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7,923</w:t>
            </w:r>
          </w:p>
        </w:tc>
        <w:tc>
          <w:tcPr>
            <w:tcW w:type="dxa" w:w="1440"/>
            <w:shd w:fill="FAFAFA" w:val="clear"/>
          </w:tcPr>
          <w:p>
            <w:r>
              <w:rPr>
                <w:b/>
                <w:sz w:val="17"/>
              </w:rPr>
              <w:t>8,159</w:t>
            </w:r>
          </w:p>
        </w:tc>
        <w:tc>
          <w:tcPr>
            <w:tcW w:type="dxa" w:w="1440"/>
            <w:shd w:fill="FAFAFA" w:val="clear"/>
          </w:tcPr>
          <w:p>
            <w:r>
              <w:rPr>
                <w:sz w:val="17"/>
              </w:rPr>
              <w:t>8,396</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7,804</w:t>
            </w:r>
          </w:p>
        </w:tc>
        <w:tc>
          <w:tcPr>
            <w:tcW w:type="dxa" w:w="1440"/>
            <w:shd w:fill="FAFAFA" w:val="clear"/>
          </w:tcPr>
          <w:p>
            <w:r>
              <w:rPr>
                <w:b/>
                <w:sz w:val="17"/>
              </w:rPr>
              <w:t>8,137</w:t>
            </w:r>
          </w:p>
        </w:tc>
        <w:tc>
          <w:tcPr>
            <w:tcW w:type="dxa" w:w="1440"/>
            <w:shd w:fill="FAFAFA" w:val="clear"/>
          </w:tcPr>
          <w:p>
            <w:r>
              <w:rPr>
                <w:sz w:val="17"/>
              </w:rPr>
              <w:t>8,471</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2026-09-28</w:t>
            </w:r>
          </w:p>
        </w:tc>
        <w:tc>
          <w:tcPr>
            <w:tcW w:type="dxa" w:w="1440"/>
            <w:shd w:fill="FAFAFA" w:val="clear"/>
          </w:tcPr>
          <w:p>
            <w:r>
              <w:rPr>
                <w:sz w:val="17"/>
              </w:rPr>
              <w:t>7,721</w:t>
            </w:r>
          </w:p>
        </w:tc>
        <w:tc>
          <w:tcPr>
            <w:tcW w:type="dxa" w:w="1440"/>
            <w:shd w:fill="FAFAFA" w:val="clear"/>
          </w:tcPr>
          <w:p>
            <w:r>
              <w:rPr>
                <w:b/>
                <w:sz w:val="17"/>
              </w:rPr>
              <w:t>8,129</w:t>
            </w:r>
          </w:p>
        </w:tc>
        <w:tc>
          <w:tcPr>
            <w:tcW w:type="dxa" w:w="1440"/>
            <w:shd w:fill="FAFAFA" w:val="clear"/>
          </w:tcPr>
          <w:p>
            <w:r>
              <w:rPr>
                <w:sz w:val="17"/>
              </w:rPr>
              <w:t>8,537</w:t>
            </w:r>
          </w:p>
        </w:tc>
        <w:tc>
          <w:tcPr>
            <w:tcW w:type="dxa" w:w="1440"/>
            <w:shd w:fill="FAFAFA" w:val="clear"/>
          </w:tcPr>
          <w:p>
            <w:r>
              <w:rPr>
                <w:b/>
                <w:color w:val="008000"/>
                <w:sz w:val="17"/>
              </w:rPr>
              <w:t>+0.4%</w:t>
            </w:r>
          </w:p>
        </w:tc>
      </w:tr>
      <w:tr>
        <w:tc>
          <w:tcPr>
            <w:tcW w:type="dxa" w:w="1440"/>
            <w:shd w:fill="FAFAFA" w:val="clear"/>
          </w:tcPr>
          <w:p>
            <w:r>
              <w:rPr>
                <w:sz w:val="17"/>
              </w:rPr>
              <w:t>J+4  Moyenne</w:t>
            </w:r>
          </w:p>
        </w:tc>
        <w:tc>
          <w:tcPr>
            <w:tcW w:type="dxa" w:w="1440"/>
            <w:shd w:fill="FAFAFA" w:val="clear"/>
          </w:tcPr>
          <w:p>
            <w:r>
              <w:rPr>
                <w:sz w:val="17"/>
              </w:rPr>
              <w:t>2026-09-29</w:t>
            </w:r>
          </w:p>
        </w:tc>
        <w:tc>
          <w:tcPr>
            <w:tcW w:type="dxa" w:w="1440"/>
            <w:shd w:fill="FAFAFA" w:val="clear"/>
          </w:tcPr>
          <w:p>
            <w:r>
              <w:rPr>
                <w:sz w:val="17"/>
              </w:rPr>
              <w:t>7,650</w:t>
            </w:r>
          </w:p>
        </w:tc>
        <w:tc>
          <w:tcPr>
            <w:tcW w:type="dxa" w:w="1440"/>
            <w:shd w:fill="FAFAFA" w:val="clear"/>
          </w:tcPr>
          <w:p>
            <w:r>
              <w:rPr>
                <w:b/>
                <w:sz w:val="17"/>
              </w:rPr>
              <w:t>8,121</w:t>
            </w:r>
          </w:p>
        </w:tc>
        <w:tc>
          <w:tcPr>
            <w:tcW w:type="dxa" w:w="1440"/>
            <w:shd w:fill="FAFAFA" w:val="clear"/>
          </w:tcPr>
          <w:p>
            <w:r>
              <w:rPr>
                <w:sz w:val="17"/>
              </w:rPr>
              <w:t>8,592</w:t>
            </w:r>
          </w:p>
        </w:tc>
        <w:tc>
          <w:tcPr>
            <w:tcW w:type="dxa" w:w="1440"/>
            <w:shd w:fill="FAFAFA" w:val="clear"/>
          </w:tcPr>
          <w:p>
            <w:r>
              <w:rPr>
                <w:b/>
                <w:color w:val="008000"/>
                <w:sz w:val="17"/>
              </w:rPr>
              <w:t>+0.3%</w:t>
            </w:r>
          </w:p>
        </w:tc>
      </w:tr>
      <w:tr>
        <w:tc>
          <w:tcPr>
            <w:tcW w:type="dxa" w:w="1440"/>
            <w:shd w:fill="FAFAFA" w:val="clear"/>
          </w:tcPr>
          <w:p>
            <w:r>
              <w:rPr>
                <w:sz w:val="17"/>
              </w:rPr>
              <w:t>J+5  Moyenne</w:t>
            </w:r>
          </w:p>
        </w:tc>
        <w:tc>
          <w:tcPr>
            <w:tcW w:type="dxa" w:w="1440"/>
            <w:shd w:fill="FAFAFA" w:val="clear"/>
          </w:tcPr>
          <w:p>
            <w:r>
              <w:rPr>
                <w:sz w:val="17"/>
              </w:rPr>
              <w:t>2026-09-30</w:t>
            </w:r>
          </w:p>
        </w:tc>
        <w:tc>
          <w:tcPr>
            <w:tcW w:type="dxa" w:w="1440"/>
            <w:shd w:fill="FAFAFA" w:val="clear"/>
          </w:tcPr>
          <w:p>
            <w:r>
              <w:rPr>
                <w:sz w:val="17"/>
              </w:rPr>
              <w:t>7,587</w:t>
            </w:r>
          </w:p>
        </w:tc>
        <w:tc>
          <w:tcPr>
            <w:tcW w:type="dxa" w:w="1440"/>
            <w:shd w:fill="FAFAFA" w:val="clear"/>
          </w:tcPr>
          <w:p>
            <w:r>
              <w:rPr>
                <w:b/>
                <w:sz w:val="17"/>
              </w:rPr>
              <w:t>8,113</w:t>
            </w:r>
          </w:p>
        </w:tc>
        <w:tc>
          <w:tcPr>
            <w:tcW w:type="dxa" w:w="1440"/>
            <w:shd w:fill="FAFAFA" w:val="clear"/>
          </w:tcPr>
          <w:p>
            <w:r>
              <w:rPr>
                <w:sz w:val="17"/>
              </w:rPr>
              <w:t>8,638</w:t>
            </w:r>
          </w:p>
        </w:tc>
        <w:tc>
          <w:tcPr>
            <w:tcW w:type="dxa" w:w="1440"/>
            <w:shd w:fill="FAFAFA" w:val="clear"/>
          </w:tcPr>
          <w:p>
            <w:r>
              <w:rPr>
                <w:b/>
                <w:color w:val="008000"/>
                <w:sz w:val="17"/>
              </w:rPr>
              <w:t>+0.2%</w:t>
            </w:r>
          </w:p>
        </w:tc>
      </w:tr>
      <w:tr>
        <w:tc>
          <w:tcPr>
            <w:tcW w:type="dxa" w:w="1440"/>
            <w:shd w:fill="FAFAFA" w:val="clear"/>
          </w:tcPr>
          <w:p>
            <w:r>
              <w:rPr>
                <w:sz w:val="17"/>
              </w:rPr>
              <w:t>J+6  Moyenne</w:t>
            </w:r>
          </w:p>
        </w:tc>
        <w:tc>
          <w:tcPr>
            <w:tcW w:type="dxa" w:w="1440"/>
            <w:shd w:fill="FAFAFA" w:val="clear"/>
          </w:tcPr>
          <w:p>
            <w:r>
              <w:rPr>
                <w:sz w:val="17"/>
              </w:rPr>
              <w:t>2026-10-01</w:t>
            </w:r>
          </w:p>
        </w:tc>
        <w:tc>
          <w:tcPr>
            <w:tcW w:type="dxa" w:w="1440"/>
            <w:shd w:fill="FAFAFA" w:val="clear"/>
          </w:tcPr>
          <w:p>
            <w:r>
              <w:rPr>
                <w:sz w:val="17"/>
              </w:rPr>
              <w:t>7,529</w:t>
            </w:r>
          </w:p>
        </w:tc>
        <w:tc>
          <w:tcPr>
            <w:tcW w:type="dxa" w:w="1440"/>
            <w:shd w:fill="FAFAFA" w:val="clear"/>
          </w:tcPr>
          <w:p>
            <w:r>
              <w:rPr>
                <w:b/>
                <w:sz w:val="17"/>
              </w:rPr>
              <w:t>8,104</w:t>
            </w:r>
          </w:p>
        </w:tc>
        <w:tc>
          <w:tcPr>
            <w:tcW w:type="dxa" w:w="1440"/>
            <w:shd w:fill="FAFAFA" w:val="clear"/>
          </w:tcPr>
          <w:p>
            <w:r>
              <w:rPr>
                <w:sz w:val="17"/>
              </w:rPr>
              <w:t>8,680</w:t>
            </w:r>
          </w:p>
        </w:tc>
        <w:tc>
          <w:tcPr>
            <w:tcW w:type="dxa" w:w="1440"/>
            <w:shd w:fill="FAFAFA" w:val="clear"/>
          </w:tcPr>
          <w:p>
            <w:r>
              <w:rPr>
                <w:b/>
                <w:color w:val="008000"/>
                <w:sz w:val="17"/>
              </w:rPr>
              <w:t>+0.1%</w:t>
            </w:r>
          </w:p>
        </w:tc>
      </w:tr>
      <w:tr>
        <w:tc>
          <w:tcPr>
            <w:tcW w:type="dxa" w:w="1440"/>
            <w:shd w:fill="FAFAFA" w:val="clear"/>
          </w:tcPr>
          <w:p>
            <w:r>
              <w:rPr>
                <w:sz w:val="17"/>
              </w:rPr>
              <w:t>J+7  Moyenne</w:t>
            </w:r>
          </w:p>
        </w:tc>
        <w:tc>
          <w:tcPr>
            <w:tcW w:type="dxa" w:w="1440"/>
            <w:shd w:fill="FAFAFA" w:val="clear"/>
          </w:tcPr>
          <w:p>
            <w:r>
              <w:rPr>
                <w:sz w:val="17"/>
              </w:rPr>
              <w:t>2026-10-02</w:t>
            </w:r>
          </w:p>
        </w:tc>
        <w:tc>
          <w:tcPr>
            <w:tcW w:type="dxa" w:w="1440"/>
            <w:shd w:fill="FAFAFA" w:val="clear"/>
          </w:tcPr>
          <w:p>
            <w:r>
              <w:rPr>
                <w:sz w:val="17"/>
              </w:rPr>
              <w:t>7,476</w:t>
            </w:r>
          </w:p>
        </w:tc>
        <w:tc>
          <w:tcPr>
            <w:tcW w:type="dxa" w:w="1440"/>
            <w:shd w:fill="FAFAFA" w:val="clear"/>
          </w:tcPr>
          <w:p>
            <w:r>
              <w:rPr>
                <w:b/>
                <w:sz w:val="17"/>
              </w:rPr>
              <w:t>8,096</w:t>
            </w:r>
          </w:p>
        </w:tc>
        <w:tc>
          <w:tcPr>
            <w:tcW w:type="dxa" w:w="1440"/>
            <w:shd w:fill="FAFAFA" w:val="clear"/>
          </w:tcPr>
          <w:p>
            <w:r>
              <w:rPr>
                <w:sz w:val="17"/>
              </w:rPr>
              <w:t>8,717</w:t>
            </w:r>
          </w:p>
        </w:tc>
        <w:tc>
          <w:tcPr>
            <w:tcW w:type="dxa" w:w="1440"/>
            <w:shd w:fill="FAFAFA" w:val="clear"/>
          </w:tcPr>
          <w:p>
            <w:r>
              <w:rPr>
                <w:b/>
                <w:color w:val="C00000"/>
                <w:sz w:val="17"/>
              </w:rPr>
              <w:t>-0.0%</w:t>
            </w:r>
          </w:p>
        </w:tc>
      </w:tr>
      <w:tr>
        <w:tc>
          <w:tcPr>
            <w:tcW w:type="dxa" w:w="1440"/>
            <w:shd w:fill="FAFAFA" w:val="clear"/>
          </w:tcPr>
          <w:p>
            <w:r>
              <w:rPr>
                <w:sz w:val="17"/>
              </w:rPr>
              <w:t>J+8  Moyenne</w:t>
            </w:r>
          </w:p>
        </w:tc>
        <w:tc>
          <w:tcPr>
            <w:tcW w:type="dxa" w:w="1440"/>
            <w:shd w:fill="FAFAFA" w:val="clear"/>
          </w:tcPr>
          <w:p>
            <w:r>
              <w:rPr>
                <w:sz w:val="17"/>
              </w:rPr>
              <w:t>2026-10-05</w:t>
            </w:r>
          </w:p>
        </w:tc>
        <w:tc>
          <w:tcPr>
            <w:tcW w:type="dxa" w:w="1440"/>
            <w:shd w:fill="FAFAFA" w:val="clear"/>
          </w:tcPr>
          <w:p>
            <w:r>
              <w:rPr>
                <w:sz w:val="17"/>
              </w:rPr>
              <w:t>7,426</w:t>
            </w:r>
          </w:p>
        </w:tc>
        <w:tc>
          <w:tcPr>
            <w:tcW w:type="dxa" w:w="1440"/>
            <w:shd w:fill="FAFAFA" w:val="clear"/>
          </w:tcPr>
          <w:p>
            <w:r>
              <w:rPr>
                <w:b/>
                <w:sz w:val="17"/>
              </w:rPr>
              <w:t>8,089</w:t>
            </w:r>
          </w:p>
        </w:tc>
        <w:tc>
          <w:tcPr>
            <w:tcW w:type="dxa" w:w="1440"/>
            <w:shd w:fill="FAFAFA" w:val="clear"/>
          </w:tcPr>
          <w:p>
            <w:r>
              <w:rPr>
                <w:sz w:val="17"/>
              </w:rPr>
              <w:t>8,752</w:t>
            </w:r>
          </w:p>
        </w:tc>
        <w:tc>
          <w:tcPr>
            <w:tcW w:type="dxa" w:w="1440"/>
            <w:shd w:fill="FAFAFA" w:val="clear"/>
          </w:tcPr>
          <w:p>
            <w:r>
              <w:rPr>
                <w:b/>
                <w:color w:val="C00000"/>
                <w:sz w:val="17"/>
              </w:rPr>
              <w:t>-0.1%</w:t>
            </w:r>
          </w:p>
        </w:tc>
      </w:tr>
      <w:tr>
        <w:tc>
          <w:tcPr>
            <w:tcW w:type="dxa" w:w="1440"/>
            <w:shd w:fill="FAFAFA" w:val="clear"/>
          </w:tcPr>
          <w:p>
            <w:r>
              <w:rPr>
                <w:sz w:val="17"/>
              </w:rPr>
              <w:t>J+9  Moyenne</w:t>
            </w:r>
          </w:p>
        </w:tc>
        <w:tc>
          <w:tcPr>
            <w:tcW w:type="dxa" w:w="1440"/>
            <w:shd w:fill="FAFAFA" w:val="clear"/>
          </w:tcPr>
          <w:p>
            <w:r>
              <w:rPr>
                <w:sz w:val="17"/>
              </w:rPr>
              <w:t>2026-10-06</w:t>
            </w:r>
          </w:p>
        </w:tc>
        <w:tc>
          <w:tcPr>
            <w:tcW w:type="dxa" w:w="1440"/>
            <w:shd w:fill="FAFAFA" w:val="clear"/>
          </w:tcPr>
          <w:p>
            <w:r>
              <w:rPr>
                <w:sz w:val="17"/>
              </w:rPr>
              <w:t>7,379</w:t>
            </w:r>
          </w:p>
        </w:tc>
        <w:tc>
          <w:tcPr>
            <w:tcW w:type="dxa" w:w="1440"/>
            <w:shd w:fill="FAFAFA" w:val="clear"/>
          </w:tcPr>
          <w:p>
            <w:r>
              <w:rPr>
                <w:b/>
                <w:sz w:val="17"/>
              </w:rPr>
              <w:t>8,081</w:t>
            </w:r>
          </w:p>
        </w:tc>
        <w:tc>
          <w:tcPr>
            <w:tcW w:type="dxa" w:w="1440"/>
            <w:shd w:fill="FAFAFA" w:val="clear"/>
          </w:tcPr>
          <w:p>
            <w:r>
              <w:rPr>
                <w:sz w:val="17"/>
              </w:rPr>
              <w:t>8,784</w:t>
            </w:r>
          </w:p>
        </w:tc>
        <w:tc>
          <w:tcPr>
            <w:tcW w:type="dxa" w:w="1440"/>
            <w:shd w:fill="FAFAFA" w:val="clear"/>
          </w:tcPr>
          <w:p>
            <w:r>
              <w:rPr>
                <w:b/>
                <w:color w:val="C00000"/>
                <w:sz w:val="17"/>
              </w:rPr>
              <w:t>-0.2%</w:t>
            </w:r>
          </w:p>
        </w:tc>
      </w:tr>
      <w:tr>
        <w:tc>
          <w:tcPr>
            <w:tcW w:type="dxa" w:w="1440"/>
            <w:shd w:fill="FAFAFA" w:val="clear"/>
          </w:tcPr>
          <w:p>
            <w:r>
              <w:rPr>
                <w:sz w:val="17"/>
              </w:rPr>
              <w:t>J+10  Moyenne</w:t>
            </w:r>
          </w:p>
        </w:tc>
        <w:tc>
          <w:tcPr>
            <w:tcW w:type="dxa" w:w="1440"/>
            <w:shd w:fill="FAFAFA" w:val="clear"/>
          </w:tcPr>
          <w:p>
            <w:r>
              <w:rPr>
                <w:sz w:val="17"/>
              </w:rPr>
              <w:t>2026-10-07</w:t>
            </w:r>
          </w:p>
        </w:tc>
        <w:tc>
          <w:tcPr>
            <w:tcW w:type="dxa" w:w="1440"/>
            <w:shd w:fill="FAFAFA" w:val="clear"/>
          </w:tcPr>
          <w:p>
            <w:r>
              <w:rPr>
                <w:sz w:val="17"/>
              </w:rPr>
              <w:t>7,334</w:t>
            </w:r>
          </w:p>
        </w:tc>
        <w:tc>
          <w:tcPr>
            <w:tcW w:type="dxa" w:w="1440"/>
            <w:shd w:fill="FAFAFA" w:val="clear"/>
          </w:tcPr>
          <w:p>
            <w:r>
              <w:rPr>
                <w:b/>
                <w:sz w:val="17"/>
              </w:rPr>
              <w:t>8,074</w:t>
            </w:r>
          </w:p>
        </w:tc>
        <w:tc>
          <w:tcPr>
            <w:tcW w:type="dxa" w:w="1440"/>
            <w:shd w:fill="FAFAFA" w:val="clear"/>
          </w:tcPr>
          <w:p>
            <w:r>
              <w:rPr>
                <w:sz w:val="17"/>
              </w:rPr>
              <w:t>8,814</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125,22 milliards FCFA, PALC se positionne comme une valeur de taille intermédiaire sur la BRVM, représentant un poids notable dans l'indice sectoriel agro-industriel. Le BPA de 1 003 FCFA/action indique que chaque titre génère environ 1 003 FCFA de bénéfice net, ce qui, rapporté au cours actuel de 8 100 FCFA, confère un PER de 8,1x — nettement inférieur à la moyenne BRVM (8-12x), suggérant une sous-évaluation relative du titre par rapport à ses pairs. Le ratio P/B de 0,88x (&lt; 1) signifie que le marché valorise PALC en-dessous de sa valeur comptable (capitaux propres de 142,6 Mds FCFA), une situation atypique qui peut signaler soit une opportunité d'investissement, soit une défiance persistante des investisseurs. Enfin, l'EV/EBITDA de 4,0x (&lt; 5x) traduit une valorisation très attractive de la capacité opérationnelle de l'entreprise, renforçant l'hypothèse d'un titre bon marché sur le plan fondamental.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variation totale de +2,53%, mais la dernière séance (J-1) enregistre un repli de -1,22%, signalant une pression vendeuse récente. Le titre a évolué dans un range de 7 000 FCFA (plus bas) à 9 640 FCFA (plus haut), soit une amplitude de 37,7%, traduisant une forte dispersion des prix sur la période. La tendance générale apparaît baissière depuis le pic de 9 640 FCFA, le cours actuel (8 100 FCFA) se situant à -16% de ce sommet. Les statistiques descriptives révèlent une moyenne de 8 573 FCFA légèrement supérieure à la médiane de 8 690 FCFA — un écart modeste indiquant une distribution quasi-symétrique, bien que le skewness de -0,509 confirme une asymétrie négative (plus de journées au-dessus de la moyenne, mais des baisses plus marquées). L'écart-type de 549 FCFA et le coefficient de variation (CV) de 6,4% témoignent d'une dispersion modérée du cours autour de sa moyenne. Le kurtosis de -0,109 (mésokurtique) suggère une distribution proche de la normale, sans risque majeur de pics extrêmes. Enfin, la volatilité annualisée de 37,1% classe PALC dans la catégorie des titres à volatilité élevée (&gt;30%), ce qui implique un risque de marché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(8 702 FCFA) et la MM50 (8 879,8 FCFA) se situent toutes deux au-dessus du cours actuel (8 100 FCFA), confirmant une configuration baissière. La MM20 étant inférieure à la MM50, le croisement des moyennes est négatif (death cross), justifiant la décision technique de **Vente**. Le cours évolue sous ses deux moyennes, signalant une pression vendeuse persistante.</w:t>
      </w:r>
    </w:p>
    <w:p>
      <w:pPr>
        <w:spacing w:after="120" w:line="276" w:lineRule="auto"/>
      </w:pPr>
      <w:r>
        <w:t>**Bandes de Bollinger** : Le cours (8 100 FCFA) se situe dans la partie basse des bandes, entre la borne inférieure (7 879,5 FCFA) et la borne supérieure (9 524,5 FCFA). La proximité du cours avec la borne inférieure suggère une possible zone de survente, mais la décision reste **Neutre** car le cours n'a pas encore touché la borne inférieure. La largeur des bandes (1 645 FCFA) indique une volatilité encore élevée.</w:t>
      </w:r>
    </w:p>
    <w:p>
      <w:pPr>
        <w:spacing w:after="120" w:line="276" w:lineRule="auto"/>
      </w:pPr>
      <w:r>
        <w:t>**MACD** : La valeur du MACD (-219,742) est inférieure à son signal (-161,194), confirmant un momentum baissier. La divergence négative entre le MACD et son signal justifie la décision de **Vente**. Le MACD évolue en territoire négatif, renforçant la tendance baissière à court terme.</w:t>
      </w:r>
    </w:p>
    <w:p>
      <w:pPr>
        <w:spacing w:after="120" w:line="276" w:lineRule="auto"/>
      </w:pPr>
      <w:r>
        <w:t>**RSI** : Avec une valeur de 17,647, le RSI se situe largement en-dessous du seuil de survente (30), signalant une **survente extrême**. Cette configuration justifie la décision d'**Achat** technique, car un rebond est statistiquement probable à court terme. Le RSI à ce niveau est un signal contrariant fort.</w:t>
      </w:r>
    </w:p>
    <w:p>
      <w:pPr>
        <w:spacing w:after="120" w:line="276" w:lineRule="auto"/>
      </w:pPr>
      <w:r>
        <w:t>**Stochastique** : Le %K (0,0) et le %D (1,852) sont tous deux en zone de survente profonde, avec un %K inférieur au %D. Cette configuration justifie la décision d'**Achat**, car le croisement des lignes en zone basse peut annoncer un retournement haussier imminent.</w:t>
      </w:r>
    </w:p>
    <w:p>
      <w:pPr>
        <w:spacing w:after="120" w:line="276" w:lineRule="auto"/>
      </w:pPr>
      <w:r>
        <w:t>**Conclusion technique** : Les indicateurs présentent une divergence marquée : les moyennes mobiles et le MACD confirment une tendance baissière, tandis que le RSI (17,6) et le stochastique (0,0) signalent une survente extrême propice à un rebond technique. Cette opposition entre tendance de fond (baissière) et signaux contrariants (survente) suggère une phase de consolidation possible avant une reprise, mais la prudence reste de mise tant que le cours n'aura pas franchi la MM20 (8 702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PALC a réalisé un chiffre d'affaires de 197,63 milliards FCFA, en croissance de +14,78% par rapport à 2024 (172,2 Mds FCFA), portée par la hausse des prix de l'huile de palme et des volumes vendus. Le résultat net s'établit à 15,509 milliards FCFA, en léger recul de -2,2% vs 2024 (15,9 Mds FCFA), en raison de la pression sur les coûts (charges de personnel +4%, services extérieurs +30,3%). La marge nette se contracte à 7,85% (vs 9,2% en 2024), tandis que le ROE reste correct à 10,87% et le ROA à 7,79%. La structure financière est très saine : autonomie financière de 71,64%, endettement quasi-nul (dettes financières de 796,56 M FCFA), et liquidité générale de 171,95%. Le BFR est négatif (44,62 Mds FCFA), un point favorable, mais le délai client élevé (142,58 jours) constitue un risque de trésorerie. La trésorerie nette est négative (-4,559 Mds FCFA), reflétant des investissements lourds (-19,687 Mds FCFA) et le paiement de dividendes.</w:t>
      </w:r>
    </w:p>
    <w:p>
      <w:pPr>
        <w:spacing w:after="120" w:line="276" w:lineRule="auto"/>
      </w:pPr>
      <w:r>
        <w:t>**Estimations basées sur les rapports trimestriels** : Le rapport T1 2026 (publié en 2026) révèle un effondrement du chiffre d'affaires (-27% à 49,4 Mds FCFA) et du résultat net (-86% à 1,6 Md FCFA), attribué à un décalage temporel des ventes selon la direction. Le rapport T3 2025 (30/09/2025) indiquait un CA cumulé de 168,9 Mds FCFA (+18%) et un résultat net de 18,0 Mds FCFA (+11%), avec une marge nette de 10,7%. Le rapport S1 2025 (30/06/2025) affichait un CA de 134,8 Mds FCFA (+25%) et un résultat net de 22,9 Mds FCFA (+37%), avec une marge nette de 17,0%. On estime que l'exercice 2026 devrait être impacté par le décalage des ventes du T1, mais la direction anticipe un redressement progressif avec l'écoulement des stocks à l'export. Le dividende proposé pour 2025 est de 502 FCFA/action (vs 620 FCFA en 2024), soit un rendement de 6,2% au cours actuel.</w:t>
      </w:r>
    </w:p>
    <w:p>
      <w:pPr>
        <w:spacing w:after="120" w:line="276" w:lineRule="auto"/>
      </w:pPr>
      <w:r>
        <w:t>**Recommandation fondamentale** : PALC présente des fondamentaux solides (structure financière saine, faible endettement, position dominante sur le marché ouest-africain de l'huile de palme), mais fait face à des défis conjoncturels (baisse des marges, volatilité des cours, décalage des ventes au T1 2026). La recommandation est de **Conserver** avec une surveillance active des prochains rapports trimestriels.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apparaît attractive (PER 8,1x, P/B 0,88x, EV/EBITDA 4,0x), suggérant une sous-évaluation par rapport à ses pairs et à sa valeur comptable. Le comportement du cours sur 100 jours est mitigé : légère hausse (+2,53%) mais tendance baissière depuis le pic de 9 640 FCFA, avec une volatilité élevée (37,1%) et une asymétrie négative (skewness -0,509) qui indique des baisses plus marquées que les hausses. Les signaux techniques sont divergents : les moyennes mobiles et le MACD confirment une tendance baissière, tandis que le RSI (17,6) et le stochastique (0,0) signalent une survente extrême propice à un rebond à court terme. Les fondamentaux sont solides mais sous pression : croissance du CA en 2025 (+14,8%), mais baisse du résultat net (-2,2%) et effondrement au T1 2026 (-86%), avec une trésorerie nette négative. Les prédictions IA (J+1 à J+10) anticipent une légère baisse du cours (8 159 FCFA à 8 113 FCFA), confirmant la tendance baissière de court terme sans signaler de rebond imminent. **Recommandation finale : CONSERVER**. Cette recommandation reflète la convergence entre une valorisation attractive (sous-évaluation), des fondamentaux solides mais temporairement dégradés, et des signaux techniques contradictoires (survente vs tendance baissière). Le niveau de confiance est **Moyen**, car les prédictions IA et les indicateurs techniques ne convergent pas vers un signal clair d'achat ou de vente. Le risque global est **Élevé** en raison de la volatilité du titre (37,1%) et de l'incertitude sur les résultats 2026. L'horizon d'investissement optimal est **moyen terme (3-12 mois)**, en attendant la confirmation d'un redressement des ventes et des marges lors des prochains rapports trimestriels.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43.01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1,169 titres</w:t>
            </w:r>
          </w:p>
        </w:tc>
        <w:tc>
          <w:tcPr>
            <w:tcW w:type="dxa" w:w="2268"/>
            <w:shd w:fill="FFF2CC" w:val="clear"/>
          </w:tcPr>
          <w:p>
            <w:r>
              <w:rPr>
                <w:b/>
                <w:color w:val="503200"/>
                <w:sz w:val="16"/>
              </w:rPr>
              <w:t xml:space="preserve">Cours actuel : </w:t>
            </w:r>
            <w:r>
              <w:rPr>
                <w:color w:val="000000"/>
                <w:sz w:val="17"/>
              </w:rPr>
              <w:t>4,200 FCFA</w:t>
            </w:r>
          </w:p>
          <w:p>
            <w:r>
              <w:rPr>
                <w:b/>
                <w:color w:val="503200"/>
                <w:sz w:val="16"/>
              </w:rPr>
              <w:t xml:space="preserve">Var. 100 jours : </w:t>
            </w:r>
            <w:r>
              <w:rPr>
                <w:b/>
                <w:color w:val="B40000"/>
                <w:sz w:val="17"/>
              </w:rPr>
              <w:t>-11.58%</w:t>
            </w:r>
          </w:p>
          <w:p>
            <w:r>
              <w:rPr>
                <w:b/>
                <w:color w:val="503200"/>
                <w:sz w:val="16"/>
              </w:rPr>
              <w:t xml:space="preserve">Plus haut 100j : </w:t>
            </w:r>
            <w:r>
              <w:rPr>
                <w:color w:val="000000"/>
                <w:sz w:val="17"/>
              </w:rPr>
              <w:t>4,750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39.2%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6.26% (Moyenne) — μ=4,352 FCFA, σ=272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β=-0.2885 (Contre-cyclique) — Cov=-0.000012, Var(idx)=0.000041, ρ=-0.074,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4,099</w:t>
            </w:r>
          </w:p>
        </w:tc>
        <w:tc>
          <w:tcPr>
            <w:tcW w:type="dxa" w:w="1440"/>
            <w:shd w:fill="FAFAFA" w:val="clear"/>
          </w:tcPr>
          <w:p>
            <w:r>
              <w:rPr>
                <w:b/>
                <w:sz w:val="17"/>
              </w:rPr>
              <w:t>4,198</w:t>
            </w:r>
          </w:p>
        </w:tc>
        <w:tc>
          <w:tcPr>
            <w:tcW w:type="dxa" w:w="1440"/>
            <w:shd w:fill="FAFAFA" w:val="clear"/>
          </w:tcPr>
          <w:p>
            <w:r>
              <w:rPr>
                <w:sz w:val="17"/>
              </w:rPr>
              <w:t>4,296</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4,050</w:t>
            </w:r>
          </w:p>
        </w:tc>
        <w:tc>
          <w:tcPr>
            <w:tcW w:type="dxa" w:w="1440"/>
            <w:shd w:fill="FAFAFA" w:val="clear"/>
          </w:tcPr>
          <w:p>
            <w:r>
              <w:rPr>
                <w:b/>
                <w:sz w:val="17"/>
              </w:rPr>
              <w:t>4,188</w:t>
            </w:r>
          </w:p>
        </w:tc>
        <w:tc>
          <w:tcPr>
            <w:tcW w:type="dxa" w:w="1440"/>
            <w:shd w:fill="FAFAFA" w:val="clear"/>
          </w:tcPr>
          <w:p>
            <w:r>
              <w:rPr>
                <w:sz w:val="17"/>
              </w:rPr>
              <w:t>4,327</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2026-09-28</w:t>
            </w:r>
          </w:p>
        </w:tc>
        <w:tc>
          <w:tcPr>
            <w:tcW w:type="dxa" w:w="1440"/>
            <w:shd w:fill="FAFAFA" w:val="clear"/>
          </w:tcPr>
          <w:p>
            <w:r>
              <w:rPr>
                <w:sz w:val="17"/>
              </w:rPr>
              <w:t>4,012</w:t>
            </w:r>
          </w:p>
        </w:tc>
        <w:tc>
          <w:tcPr>
            <w:tcW w:type="dxa" w:w="1440"/>
            <w:shd w:fill="FAFAFA" w:val="clear"/>
          </w:tcPr>
          <w:p>
            <w:r>
              <w:rPr>
                <w:b/>
                <w:sz w:val="17"/>
              </w:rPr>
              <w:t>4,182</w:t>
            </w:r>
          </w:p>
        </w:tc>
        <w:tc>
          <w:tcPr>
            <w:tcW w:type="dxa" w:w="1440"/>
            <w:shd w:fill="FAFAFA" w:val="clear"/>
          </w:tcPr>
          <w:p>
            <w:r>
              <w:rPr>
                <w:sz w:val="17"/>
              </w:rPr>
              <w:t>4,352</w:t>
            </w:r>
          </w:p>
        </w:tc>
        <w:tc>
          <w:tcPr>
            <w:tcW w:type="dxa" w:w="1440"/>
            <w:shd w:fill="FAFAFA" w:val="clear"/>
          </w:tcPr>
          <w:p>
            <w:r>
              <w:rPr>
                <w:b/>
                <w:color w:val="C00000"/>
                <w:sz w:val="17"/>
              </w:rPr>
              <w:t>-0.4%</w:t>
            </w:r>
          </w:p>
        </w:tc>
      </w:tr>
      <w:tr>
        <w:tc>
          <w:tcPr>
            <w:tcW w:type="dxa" w:w="1440"/>
            <w:shd w:fill="FAFAFA" w:val="clear"/>
          </w:tcPr>
          <w:p>
            <w:r>
              <w:rPr>
                <w:sz w:val="17"/>
              </w:rPr>
              <w:t>J+4  Moyenne</w:t>
            </w:r>
          </w:p>
        </w:tc>
        <w:tc>
          <w:tcPr>
            <w:tcW w:type="dxa" w:w="1440"/>
            <w:shd w:fill="FAFAFA" w:val="clear"/>
          </w:tcPr>
          <w:p>
            <w:r>
              <w:rPr>
                <w:sz w:val="17"/>
              </w:rPr>
              <w:t>2026-09-29</w:t>
            </w:r>
          </w:p>
        </w:tc>
        <w:tc>
          <w:tcPr>
            <w:tcW w:type="dxa" w:w="1440"/>
            <w:shd w:fill="FAFAFA" w:val="clear"/>
          </w:tcPr>
          <w:p>
            <w:r>
              <w:rPr>
                <w:sz w:val="17"/>
              </w:rPr>
              <w:t>3,980</w:t>
            </w:r>
          </w:p>
        </w:tc>
        <w:tc>
          <w:tcPr>
            <w:tcW w:type="dxa" w:w="1440"/>
            <w:shd w:fill="FAFAFA" w:val="clear"/>
          </w:tcPr>
          <w:p>
            <w:r>
              <w:rPr>
                <w:b/>
                <w:sz w:val="17"/>
              </w:rPr>
              <w:t>4,176</w:t>
            </w:r>
          </w:p>
        </w:tc>
        <w:tc>
          <w:tcPr>
            <w:tcW w:type="dxa" w:w="1440"/>
            <w:shd w:fill="FAFAFA" w:val="clear"/>
          </w:tcPr>
          <w:p>
            <w:r>
              <w:rPr>
                <w:sz w:val="17"/>
              </w:rPr>
              <w:t>4,371</w:t>
            </w:r>
          </w:p>
        </w:tc>
        <w:tc>
          <w:tcPr>
            <w:tcW w:type="dxa" w:w="1440"/>
            <w:shd w:fill="FAFAFA" w:val="clear"/>
          </w:tcPr>
          <w:p>
            <w:r>
              <w:rPr>
                <w:b/>
                <w:color w:val="C00000"/>
                <w:sz w:val="17"/>
              </w:rPr>
              <w:t>-0.6%</w:t>
            </w:r>
          </w:p>
        </w:tc>
      </w:tr>
      <w:tr>
        <w:tc>
          <w:tcPr>
            <w:tcW w:type="dxa" w:w="1440"/>
            <w:shd w:fill="FAFAFA" w:val="clear"/>
          </w:tcPr>
          <w:p>
            <w:r>
              <w:rPr>
                <w:sz w:val="17"/>
              </w:rPr>
              <w:t>J+5  Moyenne</w:t>
            </w:r>
          </w:p>
        </w:tc>
        <w:tc>
          <w:tcPr>
            <w:tcW w:type="dxa" w:w="1440"/>
            <w:shd w:fill="FAFAFA" w:val="clear"/>
          </w:tcPr>
          <w:p>
            <w:r>
              <w:rPr>
                <w:sz w:val="17"/>
              </w:rPr>
              <w:t>2026-09-30</w:t>
            </w:r>
          </w:p>
        </w:tc>
        <w:tc>
          <w:tcPr>
            <w:tcW w:type="dxa" w:w="1440"/>
            <w:shd w:fill="FAFAFA" w:val="clear"/>
          </w:tcPr>
          <w:p>
            <w:r>
              <w:rPr>
                <w:sz w:val="17"/>
              </w:rPr>
              <w:t>3,950</w:t>
            </w:r>
          </w:p>
        </w:tc>
        <w:tc>
          <w:tcPr>
            <w:tcW w:type="dxa" w:w="1440"/>
            <w:shd w:fill="FAFAFA" w:val="clear"/>
          </w:tcPr>
          <w:p>
            <w:r>
              <w:rPr>
                <w:b/>
                <w:sz w:val="17"/>
              </w:rPr>
              <w:t>4,169</w:t>
            </w:r>
          </w:p>
        </w:tc>
        <w:tc>
          <w:tcPr>
            <w:tcW w:type="dxa" w:w="1440"/>
            <w:shd w:fill="FAFAFA" w:val="clear"/>
          </w:tcPr>
          <w:p>
            <w:r>
              <w:rPr>
                <w:sz w:val="17"/>
              </w:rPr>
              <w:t>4,387</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2026-10-01</w:t>
            </w:r>
          </w:p>
        </w:tc>
        <w:tc>
          <w:tcPr>
            <w:tcW w:type="dxa" w:w="1440"/>
            <w:shd w:fill="FAFAFA" w:val="clear"/>
          </w:tcPr>
          <w:p>
            <w:r>
              <w:rPr>
                <w:sz w:val="17"/>
              </w:rPr>
              <w:t>3,923</w:t>
            </w:r>
          </w:p>
        </w:tc>
        <w:tc>
          <w:tcPr>
            <w:tcW w:type="dxa" w:w="1440"/>
            <w:shd w:fill="FAFAFA" w:val="clear"/>
          </w:tcPr>
          <w:p>
            <w:r>
              <w:rPr>
                <w:b/>
                <w:sz w:val="17"/>
              </w:rPr>
              <w:t>4,162</w:t>
            </w:r>
          </w:p>
        </w:tc>
        <w:tc>
          <w:tcPr>
            <w:tcW w:type="dxa" w:w="1440"/>
            <w:shd w:fill="FAFAFA" w:val="clear"/>
          </w:tcPr>
          <w:p>
            <w:r>
              <w:rPr>
                <w:sz w:val="17"/>
              </w:rPr>
              <w:t>4,401</w:t>
            </w:r>
          </w:p>
        </w:tc>
        <w:tc>
          <w:tcPr>
            <w:tcW w:type="dxa" w:w="1440"/>
            <w:shd w:fill="FAFAFA" w:val="clear"/>
          </w:tcPr>
          <w:p>
            <w:r>
              <w:rPr>
                <w:b/>
                <w:color w:val="C00000"/>
                <w:sz w:val="17"/>
              </w:rPr>
              <w:t>-0.9%</w:t>
            </w:r>
          </w:p>
        </w:tc>
      </w:tr>
      <w:tr>
        <w:tc>
          <w:tcPr>
            <w:tcW w:type="dxa" w:w="1440"/>
            <w:shd w:fill="FAFAFA" w:val="clear"/>
          </w:tcPr>
          <w:p>
            <w:r>
              <w:rPr>
                <w:sz w:val="17"/>
              </w:rPr>
              <w:t>J+7  Moyenne</w:t>
            </w:r>
          </w:p>
        </w:tc>
        <w:tc>
          <w:tcPr>
            <w:tcW w:type="dxa" w:w="1440"/>
            <w:shd w:fill="FAFAFA" w:val="clear"/>
          </w:tcPr>
          <w:p>
            <w:r>
              <w:rPr>
                <w:sz w:val="17"/>
              </w:rPr>
              <w:t>2026-10-02</w:t>
            </w:r>
          </w:p>
        </w:tc>
        <w:tc>
          <w:tcPr>
            <w:tcW w:type="dxa" w:w="1440"/>
            <w:shd w:fill="FAFAFA" w:val="clear"/>
          </w:tcPr>
          <w:p>
            <w:r>
              <w:rPr>
                <w:sz w:val="17"/>
              </w:rPr>
              <w:t>3,898</w:t>
            </w:r>
          </w:p>
        </w:tc>
        <w:tc>
          <w:tcPr>
            <w:tcW w:type="dxa" w:w="1440"/>
            <w:shd w:fill="FAFAFA" w:val="clear"/>
          </w:tcPr>
          <w:p>
            <w:r>
              <w:rPr>
                <w:b/>
                <w:sz w:val="17"/>
              </w:rPr>
              <w:t>4,156</w:t>
            </w:r>
          </w:p>
        </w:tc>
        <w:tc>
          <w:tcPr>
            <w:tcW w:type="dxa" w:w="1440"/>
            <w:shd w:fill="FAFAFA" w:val="clear"/>
          </w:tcPr>
          <w:p>
            <w:r>
              <w:rPr>
                <w:sz w:val="17"/>
              </w:rPr>
              <w:t>4,414</w:t>
            </w:r>
          </w:p>
        </w:tc>
        <w:tc>
          <w:tcPr>
            <w:tcW w:type="dxa" w:w="1440"/>
            <w:shd w:fill="FAFAFA" w:val="clear"/>
          </w:tcPr>
          <w:p>
            <w:r>
              <w:rPr>
                <w:b/>
                <w:color w:val="C00000"/>
                <w:sz w:val="17"/>
              </w:rPr>
              <w:t>-1.1%</w:t>
            </w:r>
          </w:p>
        </w:tc>
      </w:tr>
      <w:tr>
        <w:tc>
          <w:tcPr>
            <w:tcW w:type="dxa" w:w="1440"/>
            <w:shd w:fill="FAFAFA" w:val="clear"/>
          </w:tcPr>
          <w:p>
            <w:r>
              <w:rPr>
                <w:sz w:val="17"/>
              </w:rPr>
              <w:t>J+8  Moyenne</w:t>
            </w:r>
          </w:p>
        </w:tc>
        <w:tc>
          <w:tcPr>
            <w:tcW w:type="dxa" w:w="1440"/>
            <w:shd w:fill="FAFAFA" w:val="clear"/>
          </w:tcPr>
          <w:p>
            <w:r>
              <w:rPr>
                <w:sz w:val="17"/>
              </w:rPr>
              <w:t>2026-10-05</w:t>
            </w:r>
          </w:p>
        </w:tc>
        <w:tc>
          <w:tcPr>
            <w:tcW w:type="dxa" w:w="1440"/>
            <w:shd w:fill="FAFAFA" w:val="clear"/>
          </w:tcPr>
          <w:p>
            <w:r>
              <w:rPr>
                <w:sz w:val="17"/>
              </w:rPr>
              <w:t>3,875</w:t>
            </w:r>
          </w:p>
        </w:tc>
        <w:tc>
          <w:tcPr>
            <w:tcW w:type="dxa" w:w="1440"/>
            <w:shd w:fill="FAFAFA" w:val="clear"/>
          </w:tcPr>
          <w:p>
            <w:r>
              <w:rPr>
                <w:b/>
                <w:sz w:val="17"/>
              </w:rPr>
              <w:t>4,150</w:t>
            </w:r>
          </w:p>
        </w:tc>
        <w:tc>
          <w:tcPr>
            <w:tcW w:type="dxa" w:w="1440"/>
            <w:shd w:fill="FAFAFA" w:val="clear"/>
          </w:tcPr>
          <w:p>
            <w:r>
              <w:rPr>
                <w:sz w:val="17"/>
              </w:rPr>
              <w:t>4,425</w:t>
            </w:r>
          </w:p>
        </w:tc>
        <w:tc>
          <w:tcPr>
            <w:tcW w:type="dxa" w:w="1440"/>
            <w:shd w:fill="FAFAFA" w:val="clear"/>
          </w:tcPr>
          <w:p>
            <w:r>
              <w:rPr>
                <w:b/>
                <w:color w:val="C00000"/>
                <w:sz w:val="17"/>
              </w:rPr>
              <w:t>-1.2%</w:t>
            </w:r>
          </w:p>
        </w:tc>
      </w:tr>
      <w:tr>
        <w:tc>
          <w:tcPr>
            <w:tcW w:type="dxa" w:w="1440"/>
            <w:shd w:fill="FAFAFA" w:val="clear"/>
          </w:tcPr>
          <w:p>
            <w:r>
              <w:rPr>
                <w:sz w:val="17"/>
              </w:rPr>
              <w:t>J+9  Moyenne</w:t>
            </w:r>
          </w:p>
        </w:tc>
        <w:tc>
          <w:tcPr>
            <w:tcW w:type="dxa" w:w="1440"/>
            <w:shd w:fill="FAFAFA" w:val="clear"/>
          </w:tcPr>
          <w:p>
            <w:r>
              <w:rPr>
                <w:sz w:val="17"/>
              </w:rPr>
              <w:t>2026-10-06</w:t>
            </w:r>
          </w:p>
        </w:tc>
        <w:tc>
          <w:tcPr>
            <w:tcW w:type="dxa" w:w="1440"/>
            <w:shd w:fill="FAFAFA" w:val="clear"/>
          </w:tcPr>
          <w:p>
            <w:r>
              <w:rPr>
                <w:sz w:val="17"/>
              </w:rPr>
              <w:t>3,853</w:t>
            </w:r>
          </w:p>
        </w:tc>
        <w:tc>
          <w:tcPr>
            <w:tcW w:type="dxa" w:w="1440"/>
            <w:shd w:fill="FAFAFA" w:val="clear"/>
          </w:tcPr>
          <w:p>
            <w:r>
              <w:rPr>
                <w:b/>
                <w:sz w:val="17"/>
              </w:rPr>
              <w:t>4,144</w:t>
            </w:r>
          </w:p>
        </w:tc>
        <w:tc>
          <w:tcPr>
            <w:tcW w:type="dxa" w:w="1440"/>
            <w:shd w:fill="FAFAFA" w:val="clear"/>
          </w:tcPr>
          <w:p>
            <w:r>
              <w:rPr>
                <w:sz w:val="17"/>
              </w:rPr>
              <w:t>4,436</w:t>
            </w:r>
          </w:p>
        </w:tc>
        <w:tc>
          <w:tcPr>
            <w:tcW w:type="dxa" w:w="1440"/>
            <w:shd w:fill="FAFAFA" w:val="clear"/>
          </w:tcPr>
          <w:p>
            <w:r>
              <w:rPr>
                <w:b/>
                <w:color w:val="C00000"/>
                <w:sz w:val="17"/>
              </w:rPr>
              <w:t>-1.3%</w:t>
            </w:r>
          </w:p>
        </w:tc>
      </w:tr>
      <w:tr>
        <w:tc>
          <w:tcPr>
            <w:tcW w:type="dxa" w:w="1440"/>
            <w:shd w:fill="FAFAFA" w:val="clear"/>
          </w:tcPr>
          <w:p>
            <w:r>
              <w:rPr>
                <w:sz w:val="17"/>
              </w:rPr>
              <w:t>J+10  Moyenne</w:t>
            </w:r>
          </w:p>
        </w:tc>
        <w:tc>
          <w:tcPr>
            <w:tcW w:type="dxa" w:w="1440"/>
            <w:shd w:fill="FAFAFA" w:val="clear"/>
          </w:tcPr>
          <w:p>
            <w:r>
              <w:rPr>
                <w:sz w:val="17"/>
              </w:rPr>
              <w:t>2026-10-07</w:t>
            </w:r>
          </w:p>
        </w:tc>
        <w:tc>
          <w:tcPr>
            <w:tcW w:type="dxa" w:w="1440"/>
            <w:shd w:fill="FAFAFA" w:val="clear"/>
          </w:tcPr>
          <w:p>
            <w:r>
              <w:rPr>
                <w:sz w:val="17"/>
              </w:rPr>
              <w:t>3,832</w:t>
            </w:r>
          </w:p>
        </w:tc>
        <w:tc>
          <w:tcPr>
            <w:tcW w:type="dxa" w:w="1440"/>
            <w:shd w:fill="FAFAFA" w:val="clear"/>
          </w:tcPr>
          <w:p>
            <w:r>
              <w:rPr>
                <w:b/>
                <w:sz w:val="17"/>
              </w:rPr>
              <w:t>4,139</w:t>
            </w:r>
          </w:p>
        </w:tc>
        <w:tc>
          <w:tcPr>
            <w:tcW w:type="dxa" w:w="1440"/>
            <w:shd w:fill="FAFAFA" w:val="clear"/>
          </w:tcPr>
          <w:p>
            <w:r>
              <w:rPr>
                <w:sz w:val="17"/>
              </w:rPr>
              <w:t>4,445</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43,01 milliards FCFA, PRSC se positionne comme une valeur de taille intermédiaire sur le compartiment des entreprises non-bancaires de la BRVM, ce qui lui confère une liquidité limitée mais une certaine stabilité institutionnelle. Le BPA de 231 FCFA/action signifie que chaque titre génère près de 231 FCFA de bénéfice net, un niveau correct pour une société de distribution automobile. Le PER de 18,2x traduit une valorisation nettement supérieure à la moyenne du marché BRVM (8-12x), ce qui indique que les investisseurs paient une prime significative pour les bénéfices actuels — potentiellement justifiée par les perspectives de croissance, mais exposant le titre à un risque de correction si la rentabilité ne suit pas. Le P/B de 3,73x confirme cette prime de croissance : le marché valorise la société près de 4 fois sa valeur comptable, ce qui est élevé pour une activité de distribution à faible marge nette (2,9%). Enfin, l'EV/EBITDA de 9,4x, dans la fourchette raisonnable de 5-10x, suggère que la valeur d'entreprise reste cohérente avec la capacité opérationnelle, offrant un contrepoids modéré aux ratios de valorisation plus tendus.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 enregistré une variation totale de -11,58%, avec une dernière séance stable à +0,00%, portant le cours actuel à 4 200 FCFA. Le titre a évolué dans un range de 1 130 FCFA, entre un plus haut de 4 750 FCFA et un plus bas de 3 620 FCFA, ce qui traduit une tendance baissière de fond malgré quelques rebonds techniques. La moyenne (4 352 FCFA) est légèrement inférieure à la médiane (4 408 FCFA), signe d'une distribution asymétrique où les valeurs extrêmes basses tirent la moyenne vers le bas ; le mode à 4 400 FCFA indique que ce niveau a concentré le plus grand nombre de transactions. L'écart-type de 274 FCFA avec un coefficient de variation de 6,3% révèle une dispersion modérée du cours autour de sa moyenne, tandis que le kurtosis de 1,117 (leptokurtique) signale des queues épaisses, donc un risque accru de pics de volatilité brutaux. Le skewness négatif de -1,327 confirme cette asymétrie : les journées de hausse ont été plus fréquentes mais moins amples que les journées de baisse, un profil typique d'un titre sous pression vendeuse. Avec une volatilité annualisée de 39,2%, PRSC se classe dans la catégorie des titres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(4 393,75 FCFA) et la MM50 (4 447,70 FCFA) se situent toutes deux au-dessus du cours actuel (4 200 FCFA), avec la MM20 en dessous de la MM50, configuration baissière classique. Le cours évoluant sous ses deux moyennes mobiles, la pression vendeuse est confirmée, justifiant la décision technique de **Vente**.</w:t>
      </w:r>
    </w:p>
    <w:p>
      <w:pPr>
        <w:spacing w:after="120" w:line="276" w:lineRule="auto"/>
      </w:pPr>
      <w:r>
        <w:t>**Bandes de Bollinger** : Le cours actuel (4 200 FCFA) se situe légèrement sous la borne inférieure (4 210,28 FCFA), ce qui constitue un signal de survente potentielle et une opportunité d'achat contrarien. La largeur des bandes (borne supérieure à 4 577,22 FCFA) reflète une volatilité encore élevée, justifiant la décision technique d'**Achat** sur ce seul indicateur.</w:t>
      </w:r>
    </w:p>
    <w:p>
      <w:pPr>
        <w:spacing w:after="120" w:line="276" w:lineRule="auto"/>
      </w:pPr>
      <w:r>
        <w:t>**MACD** : La valeur du MACD (-49,107) est nettement inférieure à son signal (-26,972), avec un histogramme négatif qui s'accentue, confirmant un momentum baissier persistant. La divergence négative entre les deux lignes justifie la décision de **Vente**.</w:t>
      </w:r>
    </w:p>
    <w:p>
      <w:pPr>
        <w:spacing w:after="120" w:line="276" w:lineRule="auto"/>
      </w:pPr>
      <w:r>
        <w:t>**RSI** : À 35,714, le RSI se situe dans la zone neutre basse (30-70), sans atteindre le seuil de survente (&lt;30). Cette position indique une faiblesse relative mais pas encore de signal d'achat fort, justifiant la décision **Neutre**.</w:t>
      </w:r>
    </w:p>
    <w:p>
      <w:pPr>
        <w:spacing w:after="120" w:line="276" w:lineRule="auto"/>
      </w:pPr>
      <w:r>
        <w:t>**Stochastique** : Les valeurs %K et %D sont toutes deux à 0,0, ce qui place l'indicateur en zone de survente extrême. Un tel niveau suggère un épuisement de la pression vendeuse et un potentiel rebond technique, justifiant la décision d'**Achat**.</w:t>
      </w:r>
    </w:p>
    <w:p>
      <w:pPr>
        <w:spacing w:after="120" w:line="276" w:lineRule="auto"/>
      </w:pPr>
      <w:r>
        <w:t>**Conclusion technique** : Les indicateurs sont majoritairement baissiers (MM, MACD) mais présentent des signaux de survente extrême (Bollinger, Stochastique) qui pourraient annoncer un rebond à court terme. Le RSI neutre et le cours sous les moyennes mobiles maintiennent une pression baissière dominante, mais la configuration en survente invite à la prudence avant toute vente précipitée. Une divergence haussière pourrait se former si le cours se stabilise au-dessus de 4 200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officiels de PRSC (Tractafric Motors Côte d'Ivoire) affichent un chiffre d'affaires de 81,127 milliards FCFA, en croissance de 8,64% par rapport à 2024 (74,45 milliards FCFA selon le rapport Mistral du 30/03/2026), confirmant la dynamique commerciale positive. Le résultat net s'établit à 2,367 milliards FCFA, en légère hausse par rapport aux 2,177 milliards de 2024, avec une marge nette de 2,92% — faible mais en amélioration. Le ROE de 20,53% est excellent (&gt;15%), témoignant d'une bonne rentabilité des fonds propres, tandis que le ROA de 4,95% reste modeste, reflétant l'intensité capitalistique de l'activité de distribution. En tant qu'entreprise non-bancaire, les délais d'exploitation sont critiques : le délai clients de 46 jours est modéré, mais le délai fournisseurs de 102,65 jours et la durée de stockage de 150,51 jours immobilisent un BFR de 11,267 milliards FCFA, générant une trésorerie nette négative de -4,092 milliards FCFA. La structure financière montre une autonomie financière de 24,10% (inférieure au seuil sain de 30%) et un ratio d'endettement de 314,86%, mais la solvabilité générale (131,76%) et la couverture des intérêts (1 585%) restent rassurantes. Les rapports trimestriels (S1 2025, analysé le 15/03/2026) indiquent un CA de 39,968 milliards FCFA (+15,1%) et un résultat net de 1,436 milliard FCFA (×28 vs S1 2024), ce qui permet d'estimer que l'exercice 2025 devrait confirmer cette tendance avec un résultat net annuel proche de 2,4 milliards FCFA. La convocation à l'AG mixte du 30/06/2026 (document du 15/06/2026) propose un dividende de 209 FCFA/action, soit un rendement de 4,98% au cours actuel de 4 200 FCFA, un signal positif pour les actionnaires. La recommandation fondamentale est **CONSERVER** : la société affiche une croissance solide, un ROE excellent et un dividende attractif, mais la faible marge nette, l'endettement élevé et la trésorerie négative nécessitent une surveillance étroite.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(Partie 0) apparaît tendue avec un PER de 18,2x et un P/B de 3,73x, nettement supérieurs aux moyennes du marché BRVM, ce qui suggère une surévaluation relative malgré un EV/EBITDA raisonnable de 9,4x. Le comportement du cours (Partie 1) est préoccupant : tendance baissière de -11,58% sur 100 jours, volatilité élevée de 39,2%, skewness négatif et kurtosis leptokurtique indiquant un risque de pics baissiers. Les signaux techniques (Partie 2) sont divergents : les moyennes mobiles et le MACD sont baissiers, mais les Bandes de Bollinger et le Stochastique en survente extrême suggèrent un rebond imminent, tandis que le RSI reste neutre. Les fondamentaux (Partie 3) sont mitigés : croissance du CA de 8,64% en 2025, ROE excellent de 20,53%, dividende attractif de 209 FCFA/action (rendement 4,98%), mais marge nette faible (2,92%), endettement élevé (314,86%) et trésorerie nette négative (-4,092 milliards FCFA). Les prédictions IA (J+1 à J+10) anticipent une poursuite de la baisse modérée, de 4 198 FCFA à 4 169 FCFA, confirmant la pression baissière à court terme sans effondrement. Sur la base de cette synthèse, la recommandation finale est **CONSERVER** : la convergence entre une valorisation tendue, une technique majoritairement baissière et des fondamentaux résilients mais fragiles ne justifie ni un achat agressif ni une vente précipitée. Le niveau de confiance est **Moyen**, car les signaux contradictoires (survente technique vs faiblesse fondamentale) créent une incertitude. Le niveau de risque global est **Élevé** en raison de la volatilité du titre, de l'endettement et de la dépendance au marché automobile ivoirien. L'horizon d'investissement optimal est le **moyen terme (3-12 mois)**, en attendant une clarification de la tendance technique et une confirmation de l'amélioration des marges et de la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32.32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8,877 titres</w:t>
            </w:r>
          </w:p>
        </w:tc>
        <w:tc>
          <w:tcPr>
            <w:tcW w:type="dxa" w:w="2268"/>
            <w:shd w:fill="FFF2CC" w:val="clear"/>
          </w:tcPr>
          <w:p>
            <w:r>
              <w:rPr>
                <w:b/>
                <w:color w:val="503200"/>
                <w:sz w:val="16"/>
              </w:rPr>
              <w:t xml:space="preserve">Cours actuel : </w:t>
            </w:r>
            <w:r>
              <w:rPr>
                <w:color w:val="000000"/>
                <w:sz w:val="17"/>
              </w:rPr>
              <w:t>3,980 FCFA</w:t>
            </w:r>
          </w:p>
          <w:p>
            <w:r>
              <w:rPr>
                <w:b/>
                <w:color w:val="503200"/>
                <w:sz w:val="16"/>
              </w:rPr>
              <w:t xml:space="preserve">Var. 100 jours : </w:t>
            </w:r>
            <w:r>
              <w:rPr>
                <w:b/>
                <w:color w:val="007800"/>
                <w:sz w:val="17"/>
              </w:rPr>
              <w:t>+2.05%</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61.5%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16.92% (Élevée) — μ=4,596 FCFA, σ=778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β=0.3722 (Défensif) — Cov=0.000015, Var(idx)=0.000041, ρ=0.063,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8,877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σ_j=3.87%/j (Modérée) — Vol. annualisée≈61.5%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82/100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3,641</w:t>
            </w:r>
          </w:p>
        </w:tc>
        <w:tc>
          <w:tcPr>
            <w:tcW w:type="dxa" w:w="1440"/>
            <w:shd w:fill="FAFAFA" w:val="clear"/>
          </w:tcPr>
          <w:p>
            <w:r>
              <w:rPr>
                <w:b/>
                <w:sz w:val="17"/>
              </w:rPr>
              <w:t>3,923</w:t>
            </w:r>
          </w:p>
        </w:tc>
        <w:tc>
          <w:tcPr>
            <w:tcW w:type="dxa" w:w="1440"/>
            <w:shd w:fill="FAFAFA" w:val="clear"/>
          </w:tcPr>
          <w:p>
            <w:r>
              <w:rPr>
                <w:sz w:val="17"/>
              </w:rPr>
              <w:t>4,205</w:t>
            </w:r>
          </w:p>
        </w:tc>
        <w:tc>
          <w:tcPr>
            <w:tcW w:type="dxa" w:w="1440"/>
            <w:shd w:fill="FAFAFA" w:val="clear"/>
          </w:tcPr>
          <w:p>
            <w:r>
              <w:rPr>
                <w:b/>
                <w:color w:val="C00000"/>
                <w:sz w:val="17"/>
              </w:rPr>
              <w:t>-1.4%</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3,551</w:t>
            </w:r>
          </w:p>
        </w:tc>
        <w:tc>
          <w:tcPr>
            <w:tcW w:type="dxa" w:w="1440"/>
            <w:shd w:fill="FAFAFA" w:val="clear"/>
          </w:tcPr>
          <w:p>
            <w:r>
              <w:rPr>
                <w:b/>
                <w:sz w:val="17"/>
              </w:rPr>
              <w:t>3,953</w:t>
            </w:r>
          </w:p>
        </w:tc>
        <w:tc>
          <w:tcPr>
            <w:tcW w:type="dxa" w:w="1440"/>
            <w:shd w:fill="FAFAFA" w:val="clear"/>
          </w:tcPr>
          <w:p>
            <w:r>
              <w:rPr>
                <w:sz w:val="17"/>
              </w:rPr>
              <w:t>4,354</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2026-09-28</w:t>
            </w:r>
          </w:p>
        </w:tc>
        <w:tc>
          <w:tcPr>
            <w:tcW w:type="dxa" w:w="1440"/>
            <w:shd w:fill="FAFAFA" w:val="clear"/>
          </w:tcPr>
          <w:p>
            <w:r>
              <w:rPr>
                <w:sz w:val="17"/>
              </w:rPr>
              <w:t>3,545</w:t>
            </w:r>
          </w:p>
        </w:tc>
        <w:tc>
          <w:tcPr>
            <w:tcW w:type="dxa" w:w="1440"/>
            <w:shd w:fill="FAFAFA" w:val="clear"/>
          </w:tcPr>
          <w:p>
            <w:r>
              <w:rPr>
                <w:b/>
                <w:sz w:val="17"/>
              </w:rPr>
              <w:t>4,049</w:t>
            </w:r>
          </w:p>
        </w:tc>
        <w:tc>
          <w:tcPr>
            <w:tcW w:type="dxa" w:w="1440"/>
            <w:shd w:fill="FAFAFA" w:val="clear"/>
          </w:tcPr>
          <w:p>
            <w:r>
              <w:rPr>
                <w:sz w:val="17"/>
              </w:rPr>
              <w:t>4,552</w:t>
            </w:r>
          </w:p>
        </w:tc>
        <w:tc>
          <w:tcPr>
            <w:tcW w:type="dxa" w:w="1440"/>
            <w:shd w:fill="FAFAFA" w:val="clear"/>
          </w:tcPr>
          <w:p>
            <w:r>
              <w:rPr>
                <w:b/>
                <w:color w:val="008000"/>
                <w:sz w:val="17"/>
              </w:rPr>
              <w:t>+1.7%</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3,559</w:t>
            </w:r>
          </w:p>
        </w:tc>
        <w:tc>
          <w:tcPr>
            <w:tcW w:type="dxa" w:w="1440"/>
            <w:shd w:fill="C6EFCE" w:val="clear"/>
          </w:tcPr>
          <w:p>
            <w:r>
              <w:rPr>
                <w:b/>
                <w:sz w:val="17"/>
              </w:rPr>
              <w:t>4,157</w:t>
            </w:r>
          </w:p>
        </w:tc>
        <w:tc>
          <w:tcPr>
            <w:tcW w:type="dxa" w:w="1440"/>
            <w:shd w:fill="C6EFCE" w:val="clear"/>
          </w:tcPr>
          <w:p>
            <w:r>
              <w:rPr>
                <w:sz w:val="17"/>
              </w:rPr>
              <w:t>4,754</w:t>
            </w:r>
          </w:p>
        </w:tc>
        <w:tc>
          <w:tcPr>
            <w:tcW w:type="dxa" w:w="1440"/>
            <w:shd w:fill="C6EFCE" w:val="clear"/>
          </w:tcPr>
          <w:p>
            <w:r>
              <w:rPr>
                <w:b/>
                <w:color w:val="008000"/>
                <w:sz w:val="17"/>
              </w:rPr>
              <w:t>+4.4%</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3,577</w:t>
            </w:r>
          </w:p>
        </w:tc>
        <w:tc>
          <w:tcPr>
            <w:tcW w:type="dxa" w:w="1440"/>
            <w:shd w:fill="C6EFCE" w:val="clear"/>
          </w:tcPr>
          <w:p>
            <w:r>
              <w:rPr>
                <w:b/>
                <w:sz w:val="17"/>
              </w:rPr>
              <w:t>4,261</w:t>
            </w:r>
          </w:p>
        </w:tc>
        <w:tc>
          <w:tcPr>
            <w:tcW w:type="dxa" w:w="1440"/>
            <w:shd w:fill="C6EFCE" w:val="clear"/>
          </w:tcPr>
          <w:p>
            <w:r>
              <w:rPr>
                <w:sz w:val="17"/>
              </w:rPr>
              <w:t>4,946</w:t>
            </w:r>
          </w:p>
        </w:tc>
        <w:tc>
          <w:tcPr>
            <w:tcW w:type="dxa" w:w="1440"/>
            <w:shd w:fill="C6EFCE" w:val="clear"/>
          </w:tcPr>
          <w:p>
            <w:r>
              <w:rPr>
                <w:b/>
                <w:color w:val="008000"/>
                <w:sz w:val="17"/>
              </w:rPr>
              <w:t>+7.1%</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3,593</w:t>
            </w:r>
          </w:p>
        </w:tc>
        <w:tc>
          <w:tcPr>
            <w:tcW w:type="dxa" w:w="1440"/>
            <w:shd w:fill="C6EFCE" w:val="clear"/>
          </w:tcPr>
          <w:p>
            <w:r>
              <w:rPr>
                <w:b/>
                <w:sz w:val="17"/>
              </w:rPr>
              <w:t>4,360</w:t>
            </w:r>
          </w:p>
        </w:tc>
        <w:tc>
          <w:tcPr>
            <w:tcW w:type="dxa" w:w="1440"/>
            <w:shd w:fill="C6EFCE" w:val="clear"/>
          </w:tcPr>
          <w:p>
            <w:r>
              <w:rPr>
                <w:sz w:val="17"/>
              </w:rPr>
              <w:t>5,127</w:t>
            </w:r>
          </w:p>
        </w:tc>
        <w:tc>
          <w:tcPr>
            <w:tcW w:type="dxa" w:w="1440"/>
            <w:shd w:fill="C6EFCE" w:val="clear"/>
          </w:tcPr>
          <w:p>
            <w:r>
              <w:rPr>
                <w:b/>
                <w:color w:val="008000"/>
                <w:sz w:val="17"/>
              </w:rPr>
              <w:t>+9.5%</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3,605</w:t>
            </w:r>
          </w:p>
        </w:tc>
        <w:tc>
          <w:tcPr>
            <w:tcW w:type="dxa" w:w="1440"/>
            <w:shd w:fill="C6EFCE" w:val="clear"/>
          </w:tcPr>
          <w:p>
            <w:r>
              <w:rPr>
                <w:b/>
                <w:sz w:val="17"/>
              </w:rPr>
              <w:t>4,451</w:t>
            </w:r>
          </w:p>
        </w:tc>
        <w:tc>
          <w:tcPr>
            <w:tcW w:type="dxa" w:w="1440"/>
            <w:shd w:fill="C6EFCE" w:val="clear"/>
          </w:tcPr>
          <w:p>
            <w:r>
              <w:rPr>
                <w:sz w:val="17"/>
              </w:rPr>
              <w:t>5,296</w:t>
            </w:r>
          </w:p>
        </w:tc>
        <w:tc>
          <w:tcPr>
            <w:tcW w:type="dxa" w:w="1440"/>
            <w:shd w:fill="C6EFCE" w:val="clear"/>
          </w:tcPr>
          <w:p>
            <w:r>
              <w:rPr>
                <w:b/>
                <w:color w:val="008000"/>
                <w:sz w:val="17"/>
              </w:rPr>
              <w:t>+11.8%</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3,613</w:t>
            </w:r>
          </w:p>
        </w:tc>
        <w:tc>
          <w:tcPr>
            <w:tcW w:type="dxa" w:w="1440"/>
            <w:shd w:fill="C6EFCE" w:val="clear"/>
          </w:tcPr>
          <w:p>
            <w:r>
              <w:rPr>
                <w:b/>
                <w:sz w:val="17"/>
              </w:rPr>
              <w:t>4,534</w:t>
            </w:r>
          </w:p>
        </w:tc>
        <w:tc>
          <w:tcPr>
            <w:tcW w:type="dxa" w:w="1440"/>
            <w:shd w:fill="C6EFCE" w:val="clear"/>
          </w:tcPr>
          <w:p>
            <w:r>
              <w:rPr>
                <w:sz w:val="17"/>
              </w:rPr>
              <w:t>5,455</w:t>
            </w:r>
          </w:p>
        </w:tc>
        <w:tc>
          <w:tcPr>
            <w:tcW w:type="dxa" w:w="1440"/>
            <w:shd w:fill="C6EFCE" w:val="clear"/>
          </w:tcPr>
          <w:p>
            <w:r>
              <w:rPr>
                <w:b/>
                <w:color w:val="008000"/>
                <w:sz w:val="17"/>
              </w:rPr>
              <w:t>+13.9%</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3,616</w:t>
            </w:r>
          </w:p>
        </w:tc>
        <w:tc>
          <w:tcPr>
            <w:tcW w:type="dxa" w:w="1440"/>
            <w:shd w:fill="C6EFCE" w:val="clear"/>
          </w:tcPr>
          <w:p>
            <w:r>
              <w:rPr>
                <w:b/>
                <w:sz w:val="17"/>
              </w:rPr>
              <w:t>4,609</w:t>
            </w:r>
          </w:p>
        </w:tc>
        <w:tc>
          <w:tcPr>
            <w:tcW w:type="dxa" w:w="1440"/>
            <w:shd w:fill="C6EFCE" w:val="clear"/>
          </w:tcPr>
          <w:p>
            <w:r>
              <w:rPr>
                <w:sz w:val="17"/>
              </w:rPr>
              <w:t>5,602</w:t>
            </w:r>
          </w:p>
        </w:tc>
        <w:tc>
          <w:tcPr>
            <w:tcW w:type="dxa" w:w="1440"/>
            <w:shd w:fill="C6EFCE" w:val="clear"/>
          </w:tcPr>
          <w:p>
            <w:r>
              <w:rPr>
                <w:b/>
                <w:color w:val="008000"/>
                <w:sz w:val="17"/>
              </w:rPr>
              <w:t>+15.8%</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3,614</w:t>
            </w:r>
          </w:p>
        </w:tc>
        <w:tc>
          <w:tcPr>
            <w:tcW w:type="dxa" w:w="1440"/>
            <w:shd w:fill="C6EFCE" w:val="clear"/>
          </w:tcPr>
          <w:p>
            <w:r>
              <w:rPr>
                <w:b/>
                <w:sz w:val="17"/>
              </w:rPr>
              <w:t>4,677</w:t>
            </w:r>
          </w:p>
        </w:tc>
        <w:tc>
          <w:tcPr>
            <w:tcW w:type="dxa" w:w="1440"/>
            <w:shd w:fill="C6EFCE" w:val="clear"/>
          </w:tcPr>
          <w:p>
            <w:r>
              <w:rPr>
                <w:sz w:val="17"/>
              </w:rPr>
              <w:t>5,739</w:t>
            </w:r>
          </w:p>
        </w:tc>
        <w:tc>
          <w:tcPr>
            <w:tcW w:type="dxa" w:w="1440"/>
            <w:shd w:fill="C6EFCE" w:val="clear"/>
          </w:tcPr>
          <w:p>
            <w:r>
              <w:rPr>
                <w:b/>
                <w:color w:val="008000"/>
                <w:sz w:val="17"/>
              </w:rPr>
              <w:t>+17.5%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*Bourse Régionale des Valeurs Mobilières (BRVM) — Secteur : Banque / Financement spécialisé*</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32,32 milliards FCFA, SAFC se positionne comme une petite capitalisation sur la BRVM, ce qui la rend sensible aux mouvements de faible volume et aux rotations de portefeuille. Le BPA de 86 FCFA/action indique que chaque titre génère 86 FCFA de bénéfice net, un niveau modeste qui, rapporté au cours actuel de 3 980 FCFA, aboutit à un PER de 46,1x — très largement supérieur à la moyenne BRVM (8-12x), signalant que le marché intègre déjà une forte anticipation de croissance future. Le P/B de 5,46x traduit une valorisation à plus de cinq fois la valeur comptable (capitaux propres de 5,916 Mds FCFA), ce qui constitue une prime exigeante rarement justifiée pour une institution financière en phase de redressement. Enfin, l'EV/EBITDA de 72,5x (très au-dessus du seuil de 15x) confirme que la valeur d'entreprise intègre des perspectives de rentabilité opérationnelle encore non matérialisées dans les comptes actuels. Ces ratios, pris dans leur ensemble, indiquent une action dont le prix anticipe fortement le succès du plan de redressement engagé sous l'égide de CREDAF Group.</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SAFC affiche une variation totale de +2,05%, mais la dernière séance (J-1) a enregistré une chute brutale de -7,44%, ramenant le titre à 3 980 FCFA. Le range de trading est particulièrement large, avec un plus haut à 6 200 FCFA et un plus bas à 3 340 FCFA, soit un écart de 86% entre les extrêmes — signe d'une forte nervosité du marché sur ce titre. La tendance générale est baissière sur la période récente, le cours actuel se situant nettement sous la moyenne (4 596 FCFA) et la médiane (4 545 FCFA), bien que l'écart modéré entre ces deux mesures (51 FCFA) indique une distribution globalement symétrique, confirmée par un skewness de 0,302. L'écart-type de 782 FCFA avec un coefficient de variation de 17,0% traduit une dispersion significative des prix autour de la moyenne, tandis que le kurtosis négatif (-1,033, distribution platykurtique) signale une faible concentration des valeurs extrêmes et un risque de pics moins prononcé qu'une distribution normale. La volatilité annualisée de 61,5% classe ce titre dans la catégorie des valeurs à volatilité élevée (&gt;30%), ce qui implique un risque de perte en capital important à court terme et justifie une approche prudente pour tout investisseur averse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(5 363 FCFA) et la MM50 (5 192,6 FCFA) se situent toutes deux bien au-dessus du cours actuel (3 980 FCFA), ce qui place le titre en zone de survente technique par rapport à ses moyennes. La MM20 étant supérieure à la MM50, la configuration reste théoriquement haussière sur le moyen terme, mais l'écart important avec le cours actuel suggère un potentiel de rattrapage à la hausse — d'où la décision "Achat" générée par le modèle, bien que cette configuration puisse aussi signaler une tendance baissière en formation.</w:t>
      </w:r>
    </w:p>
    <w:p>
      <w:pPr>
        <w:spacing w:after="120" w:line="276" w:lineRule="auto"/>
      </w:pPr>
      <w:r>
        <w:t>**Bandes de Bollinger** : La borne supérieure est à 6 618,621 FCFA et la borne inférieure à 4 107,379 FCFA, avec un cours actuel de 3 980 FCFA qui se situe en dessous de la borne inférieure — situation rare qui indique une pression vendeuse exceptionnelle et une possible exagération baissière. Cette position sous la bande inférieure génère un signal d'achat contrarien, mais la largeur des bandes (2 511 FCFA d'écart) confirme une volatilité très élevée, ce qui rend le timing d'entrée particulièrement délicat.</w:t>
      </w:r>
    </w:p>
    <w:p>
      <w:pPr>
        <w:spacing w:after="120" w:line="276" w:lineRule="auto"/>
      </w:pPr>
      <w:r>
        <w:t>**MACD** : La valeur du MACD (-270,914) est nettement inférieure à son signal (-84,896), avec un histogramme négatif d'environ -186 points, ce qui confirme un momentum baissier prononcé et une dynamique de court terme défavorable. La décision "Vente" générée par cet indicateur contredit les signaux d'achat des autres indicateurs, ce qui suggère que la pression baissière n'est pas encore épuisée et qu'une stabilisation du cours est nécessaire avant d'envisager une reprise durable.</w:t>
      </w:r>
    </w:p>
    <w:p>
      <w:pPr>
        <w:spacing w:after="120" w:line="276" w:lineRule="auto"/>
      </w:pPr>
      <w:r>
        <w:t>**RSI** : À 22,256, le RSI se situe largement en dessous du seuil de survente (30), ce qui indique que le titre est techniquement survendu et qu'un rebond technique est statistiquement probable à court terme. Cette configuration extrême, combinée à la position du cours sous la bande inférieure de Bollinger, renforce le signal d'achat contrarien, mais il convient de noter qu'un RSI peut rester en zone de survente plusieurs séances en cas de tendance baissière forte.</w:t>
      </w:r>
    </w:p>
    <w:p>
      <w:pPr>
        <w:spacing w:after="120" w:line="276" w:lineRule="auto"/>
      </w:pPr>
      <w:r>
        <w:t>**Stochastique** : Le %K et le %D sont tous deux à 0,0, ce qui représente le niveau le plus bas possible de l'indicateur et signale une pression vendeuse maximale avec un épuisement potentiel des vendeurs. Un croisement haussier du %K au-dessus du %D est attendu pour confirmer un retournement, mais en l'état, l'indicateur reste en zone extrême sans signal de retournement confirmé.</w:t>
      </w:r>
    </w:p>
    <w:p>
      <w:pPr>
        <w:spacing w:after="120" w:line="276" w:lineRule="auto"/>
      </w:pPr>
      <w:r>
        <w:t>**Conclusion technique** : Les indicateurs techniques présentent une divergence notable : les oscillateurs (RSI, Stochastique, Bandes de Bollinger) génèrent des signaux d'achat contrarien en raison de la survente extrême, tandis que le MACD confirme une tendance baissière toujours active. Cette configuration suggère qu'un rebond technique est possible à très court terme, mais que la tendance de fond reste fragile et qu'une confirmation par le MACD est nécessaire pour valider un retournement durable. La prudence est de mise, car la chute de -7,44% en une seule séance indique une nervosité extrême du marché.</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SAFC a enregistré un Produit Net Bancaire (PNB) de 5 735 millions FCFA, en hausse de 44,1% par rapport aux 3 980 millions FCFA de 2024, porté par la progression des intérêts et produits assimilés (8 236 M FCFA, +14,4%) et des commissions (686 M FCFA, +81%). Le résultat net s'établit à 701 millions FCFA, marquant un retournement spectaculaire après une perte de 165 millions FCFA en 2024, avec une marge nette de 12,2%. Le ROE ressort à 11,85% (résultat net / capitaux propres de 5 916 M FCFA), un niveau correct mais inférieur au seuil d'excellence de 15%, tandis que le ROA de 0,88% reste faible, reflétant la modestie des fonds propres par rapport au total du bilan (79 555 M FCFA). Le coefficient d'exploitation de 77,63% est élevé pour une banque (seuil d'efficacité &lt;60%), ce qui indique que les charges d'exploitation absorbent une part importante du PNB et limitent la rentabilité. Le coût du risque de 6,57% (provisions / charges financières) reste significatif et traduit un portefeuille de crédits encore fragile, bien que les créances sur la clientèle aient progressé de 14% à 60 476 M FCFA. La structure financière demeure préoccupante : l'autonomie financière n'est que de 7,44% (capitaux propres / total bilan), très en dessous du seuil sain de 30%, et la dépendance aux dettes interbancaires (35 747 M FCFA, +45%) expose la société à un risque de liquidité en cas de resserrement du marché monétaire.</w:t>
      </w:r>
    </w:p>
    <w:p>
      <w:pPr>
        <w:spacing w:after="120" w:line="276" w:lineRule="auto"/>
      </w:pPr>
      <w:r>
        <w:t>**Estimations basées sur les rapports trimestriels** : Le rapport du T1 2026 (publié le 12 mai 2026) indique un PNB de 1 395 millions FCFA (+29% sur un an) et un résultat net de 151 millions FCFA (+1 062%), avec une marge nette de 10,82% et un coût du risque en baisse de 75% (-22 M FCFA contre -89 M FCFA). Le rapport du S1 2026 (publié le 4 septembre 2026) confirme cette dynamique avec un PNB de 2 907 millions FCFA (+37%) et un résultat net de 731 millions FCFA (+231%), dépassant déjà le résultat net annuel 2025 (701 M FCFA) en seulement six mois. La marge nette du S1 2026 atteint 25,1%, en forte amélioration par rapport aux 10,4% du S1 2025, et le coût du risque s'est transformé en reprise nette de 261 millions FCFA, signe d'une amélioration notable de la qualité du portefeuille. Sur la base de ces performances semestrielles, on estime que l'exercice 2026 devrait afficher un résultat net supérieur à 1,2 milliard FCFA, avec un PNB annuel projeté autour de 5,8 à 6,0 milliards FCFA, confirmant la trajectoire de redressement durable engagée depuis l'intégration au sein de CREDAF GROUP.</w:t>
      </w:r>
    </w:p>
    <w:p>
      <w:pPr>
        <w:spacing w:after="120" w:line="276" w:lineRule="auto"/>
      </w:pPr>
      <w:r>
        <w:t>**Recommandation fondamentale** : La dynamique opérationnelle est indéniablement positive, avec une croissance à deux chiffres du PNB et un retour à la rentabilité qui dépasse les prévisions budgétaires (701 M FCFA vs 514 M FCFA prévus en 2025). Cependant, la solidité financière reste fragile : les capitaux propres (6 647 M FCFA au S1 2026) demeurent modestes face à un bilan de 90 472 M FCFA, et le report à nouveau négatif (-4 123 M FCFA en 2025) constitue un passif latent qui grève les fonds propres. L'augmentation de capital en cours (1,5 milliard FCFA par émission de 3 750 000 actions à 400 FCFA, avec DPS négociable du 27 avril au 9 juin 2026) vise précisément à renforcer ces fonds propres et à soutenir la croissance. Les risques principaux résident dans la dépendance aux dettes interbancaires, la sensibilité au cycle du crédit automobile et la nécessité de maintenir la qualité du portefeuille dans un environnement concurrentiel. La recommandation fondamentale est donc **CONSERVER** avec un biais positif, en attendant la confirmation de la solidification du bilan et la finalisation de l'augmentation de capital.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révèle une convergence partielle des signaux, mais avec des divergences notables qui appellent à la prudence. Sur le plan de la **valorisation (Partie 0)**, les ratios PER (46,1x), P/B (5,46x) et EV/EBITDA (72,5x) indiquent une nette surévaluation par rapport aux bénéfices et à la valeur comptable actuels, le marché anticipant déjà une forte croissance future qui reste à confirmer. Le **comportement du cours (Partie 1)** est préoccupant à court terme : la chute de -7,44% en une séance, la volatilité annualisée de 61,5% et la position du cours sous la moyenne et la médiane signalent une pression baissière persistante, bien que la distribution platykurtique (kurtosis -1,033) et le skewness positif (0,302) suggèrent une probabilité de rebond technique. Les **signaux techniques (Partie 2)** sont divergents : les oscillateurs (RSI à 22,256, Stochastique à 0,0, cours sous la bande inférieure de Bollinger) génèrent des signaux d'achat contrarien, tandis que le MACD (-270,914 vs signal -84,896) confirme une tendance baissière toujours active. Les **fondamentaux (Partie 3)** sont en nette amélioration, avec un PNB 2025 de 5 735 M FCFA (+44,1%), un résultat net de 701 M FCFA après une perte en 2024, et des performances semestrielles 2026 qui dépassent déjà l'exercice précédent (résultat net de 731 M FCFA au S1 2026, +231%), mais la structure financière reste fragile (autonomie financière de 7,44%, dépendance aux dettes interbancaires). Les **prédictions IA (J+1 à J+10)** anticipent une trajectoire haussière modérée, avec un cours projeté à 4 261 FCFA le 30 septembre 2026 (+7,1% par rapport au cours actuel de 3 980 FCFA), ce qui confirme le potentiel de rebond technique identifié par les oscillateurs. Sur la base de cette synthèse, la recommandation finale est **CONSERVER** avec un biais positif, le niveau de confiance étant **Moyen** en raison de la divergence entre les signaux techniques de court terme (MACD baissier) et les fondamentaux en amélioration, et le niveau de risque global étant **Élevé** compte tenu de la volatilité du titre (61,5%) et de la fragilité de la structure financière. L'horizon d'investissement optimal est le **moyen terme (3-12 mois)**, le temps que l'augmentation de capital soit finalisée, que les fonds propres se renforcent et que la trajectoire de rentabilité se confirme sur l'ensemble de l'exercice 2026. Les investisseurs à court terme devraient éviter le titre en raison de la nervosité du marché, tandis que les investisseurs long terme pourraient envisager une position spéculative avec un stop-loss serré, en surveillant attentivement les prochains rapports trimestriels et la finalisation de l'augmentation de capital.</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52.72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11,080 titres</w:t>
            </w:r>
          </w:p>
        </w:tc>
        <w:tc>
          <w:tcPr>
            <w:tcW w:type="dxa" w:w="2268"/>
            <w:shd w:fill="FFF2CC" w:val="clear"/>
          </w:tcPr>
          <w:p>
            <w:r>
              <w:rPr>
                <w:b/>
                <w:color w:val="503200"/>
                <w:sz w:val="16"/>
              </w:rPr>
              <w:t xml:space="preserve">Cours actuel : </w:t>
            </w:r>
            <w:r>
              <w:rPr>
                <w:color w:val="000000"/>
                <w:sz w:val="17"/>
              </w:rPr>
              <w:t>2,690 FCFA</w:t>
            </w:r>
          </w:p>
          <w:p>
            <w:r>
              <w:rPr>
                <w:b/>
                <w:color w:val="503200"/>
                <w:sz w:val="16"/>
              </w:rPr>
              <w:t xml:space="preserve">Var. 100 jours : </w:t>
            </w:r>
            <w:r>
              <w:rPr>
                <w:b/>
                <w:color w:val="007800"/>
                <w:sz w:val="17"/>
              </w:rPr>
              <w:t>+34.50%</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27.6/100 → Moyen</w:t>
      </w:r>
    </w:p>
    <w:p>
      <w:pPr>
        <w:spacing w:before="40" w:after="80"/>
      </w:pPr>
      <w:r>
        <w:rPr>
          <w:rFonts w:ascii="Courier New" w:hAnsi="Courier New"/>
          <w:color w:val="825A00"/>
          <w:sz w:val="18"/>
        </w:rPr>
        <w:t>█████░░░░░░░░░░░░░░░  27.6/100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17.33% (Élevée) — μ=3,116 FCFA, σ=540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β=0.5464 (Défensif) — Cov=0.000020, Var(idx)=0.000036, ρ=0.093, n=95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11,080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σ_j=3.58%/j (Modérée) — Vol. annualisée≈56.9%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2026-09-24</w:t>
            </w:r>
          </w:p>
        </w:tc>
        <w:tc>
          <w:tcPr>
            <w:tcW w:type="dxa" w:w="1440"/>
            <w:shd w:fill="FAFAFA" w:val="clear"/>
          </w:tcPr>
          <w:p>
            <w:r>
              <w:rPr>
                <w:sz w:val="17"/>
              </w:rPr>
              <w:t>2,594</w:t>
            </w:r>
          </w:p>
        </w:tc>
        <w:tc>
          <w:tcPr>
            <w:tcW w:type="dxa" w:w="1440"/>
            <w:shd w:fill="FAFAFA" w:val="clear"/>
          </w:tcPr>
          <w:p>
            <w:r>
              <w:rPr>
                <w:b/>
                <w:sz w:val="17"/>
              </w:rPr>
              <w:t>2,715</w:t>
            </w:r>
          </w:p>
        </w:tc>
        <w:tc>
          <w:tcPr>
            <w:tcW w:type="dxa" w:w="1440"/>
            <w:shd w:fill="FAFAFA" w:val="clear"/>
          </w:tcPr>
          <w:p>
            <w:r>
              <w:rPr>
                <w:sz w:val="17"/>
              </w:rPr>
              <w:t>2,836</w:t>
            </w:r>
          </w:p>
        </w:tc>
        <w:tc>
          <w:tcPr>
            <w:tcW w:type="dxa" w:w="1440"/>
            <w:shd w:fill="FAFAFA" w:val="clear"/>
          </w:tcPr>
          <w:p>
            <w:r>
              <w:rPr>
                <w:b/>
                <w:color w:val="008000"/>
                <w:sz w:val="17"/>
              </w:rPr>
              <w:t>+0.9%</w:t>
            </w:r>
          </w:p>
        </w:tc>
      </w:tr>
      <w:tr>
        <w:tc>
          <w:tcPr>
            <w:tcW w:type="dxa" w:w="1440"/>
            <w:shd w:fill="C6EFCE" w:val="clear"/>
          </w:tcPr>
          <w:p>
            <w:r>
              <w:rPr>
                <w:sz w:val="17"/>
              </w:rPr>
              <w:t>J+2  Moyenne</w:t>
            </w:r>
          </w:p>
        </w:tc>
        <w:tc>
          <w:tcPr>
            <w:tcW w:type="dxa" w:w="1440"/>
            <w:shd w:fill="C6EFCE" w:val="clear"/>
          </w:tcPr>
          <w:p>
            <w:r>
              <w:rPr>
                <w:sz w:val="17"/>
              </w:rPr>
              <w:t>2026-09-25</w:t>
            </w:r>
          </w:p>
        </w:tc>
        <w:tc>
          <w:tcPr>
            <w:tcW w:type="dxa" w:w="1440"/>
            <w:shd w:fill="C6EFCE" w:val="clear"/>
          </w:tcPr>
          <w:p>
            <w:r>
              <w:rPr>
                <w:sz w:val="17"/>
              </w:rPr>
              <w:t>2,628</w:t>
            </w:r>
          </w:p>
        </w:tc>
        <w:tc>
          <w:tcPr>
            <w:tcW w:type="dxa" w:w="1440"/>
            <w:shd w:fill="C6EFCE" w:val="clear"/>
          </w:tcPr>
          <w:p>
            <w:r>
              <w:rPr>
                <w:b/>
                <w:sz w:val="17"/>
              </w:rPr>
              <w:t>2,805</w:t>
            </w:r>
          </w:p>
        </w:tc>
        <w:tc>
          <w:tcPr>
            <w:tcW w:type="dxa" w:w="1440"/>
            <w:shd w:fill="C6EFCE" w:val="clear"/>
          </w:tcPr>
          <w:p>
            <w:r>
              <w:rPr>
                <w:sz w:val="17"/>
              </w:rPr>
              <w:t>2,982</w:t>
            </w:r>
          </w:p>
        </w:tc>
        <w:tc>
          <w:tcPr>
            <w:tcW w:type="dxa" w:w="1440"/>
            <w:shd w:fill="C6EFCE" w:val="clear"/>
          </w:tcPr>
          <w:p>
            <w:r>
              <w:rPr>
                <w:b/>
                <w:color w:val="008000"/>
                <w:sz w:val="17"/>
              </w:rPr>
              <w:t>+4.3%</w:t>
            </w:r>
          </w:p>
        </w:tc>
      </w:tr>
      <w:tr>
        <w:tc>
          <w:tcPr>
            <w:tcW w:type="dxa" w:w="1440"/>
            <w:shd w:fill="C6EFCE" w:val="clear"/>
          </w:tcPr>
          <w:p>
            <w:r>
              <w:rPr>
                <w:sz w:val="17"/>
              </w:rPr>
              <w:t>J+3  Moyenne</w:t>
            </w:r>
          </w:p>
        </w:tc>
        <w:tc>
          <w:tcPr>
            <w:tcW w:type="dxa" w:w="1440"/>
            <w:shd w:fill="C6EFCE" w:val="clear"/>
          </w:tcPr>
          <w:p>
            <w:r>
              <w:rPr>
                <w:sz w:val="17"/>
              </w:rPr>
              <w:t>2026-09-28</w:t>
            </w:r>
          </w:p>
        </w:tc>
        <w:tc>
          <w:tcPr>
            <w:tcW w:type="dxa" w:w="1440"/>
            <w:shd w:fill="C6EFCE" w:val="clear"/>
          </w:tcPr>
          <w:p>
            <w:r>
              <w:rPr>
                <w:sz w:val="17"/>
              </w:rPr>
              <w:t>2,712</w:t>
            </w:r>
          </w:p>
        </w:tc>
        <w:tc>
          <w:tcPr>
            <w:tcW w:type="dxa" w:w="1440"/>
            <w:shd w:fill="C6EFCE" w:val="clear"/>
          </w:tcPr>
          <w:p>
            <w:r>
              <w:rPr>
                <w:b/>
                <w:sz w:val="17"/>
              </w:rPr>
              <w:t>2,939</w:t>
            </w:r>
          </w:p>
        </w:tc>
        <w:tc>
          <w:tcPr>
            <w:tcW w:type="dxa" w:w="1440"/>
            <w:shd w:fill="C6EFCE" w:val="clear"/>
          </w:tcPr>
          <w:p>
            <w:r>
              <w:rPr>
                <w:sz w:val="17"/>
              </w:rPr>
              <w:t>3,166</w:t>
            </w:r>
          </w:p>
        </w:tc>
        <w:tc>
          <w:tcPr>
            <w:tcW w:type="dxa" w:w="1440"/>
            <w:shd w:fill="C6EFCE" w:val="clear"/>
          </w:tcPr>
          <w:p>
            <w:r>
              <w:rPr>
                <w:b/>
                <w:color w:val="008000"/>
                <w:sz w:val="17"/>
              </w:rPr>
              <w:t>+9.3%</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2,786</w:t>
            </w:r>
          </w:p>
        </w:tc>
        <w:tc>
          <w:tcPr>
            <w:tcW w:type="dxa" w:w="1440"/>
            <w:shd w:fill="C6EFCE" w:val="clear"/>
          </w:tcPr>
          <w:p>
            <w:r>
              <w:rPr>
                <w:b/>
                <w:sz w:val="17"/>
              </w:rPr>
              <w:t>3,058</w:t>
            </w:r>
          </w:p>
        </w:tc>
        <w:tc>
          <w:tcPr>
            <w:tcW w:type="dxa" w:w="1440"/>
            <w:shd w:fill="C6EFCE" w:val="clear"/>
          </w:tcPr>
          <w:p>
            <w:r>
              <w:rPr>
                <w:sz w:val="17"/>
              </w:rPr>
              <w:t>3,331</w:t>
            </w:r>
          </w:p>
        </w:tc>
        <w:tc>
          <w:tcPr>
            <w:tcW w:type="dxa" w:w="1440"/>
            <w:shd w:fill="C6EFCE" w:val="clear"/>
          </w:tcPr>
          <w:p>
            <w:r>
              <w:rPr>
                <w:b/>
                <w:color w:val="008000"/>
                <w:sz w:val="17"/>
              </w:rPr>
              <w:t>+13.7%</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2,838</w:t>
            </w:r>
          </w:p>
        </w:tc>
        <w:tc>
          <w:tcPr>
            <w:tcW w:type="dxa" w:w="1440"/>
            <w:shd w:fill="C6EFCE" w:val="clear"/>
          </w:tcPr>
          <w:p>
            <w:r>
              <w:rPr>
                <w:b/>
                <w:sz w:val="17"/>
              </w:rPr>
              <w:t>3,152</w:t>
            </w:r>
          </w:p>
        </w:tc>
        <w:tc>
          <w:tcPr>
            <w:tcW w:type="dxa" w:w="1440"/>
            <w:shd w:fill="C6EFCE" w:val="clear"/>
          </w:tcPr>
          <w:p>
            <w:r>
              <w:rPr>
                <w:sz w:val="17"/>
              </w:rPr>
              <w:t>3,466</w:t>
            </w:r>
          </w:p>
        </w:tc>
        <w:tc>
          <w:tcPr>
            <w:tcW w:type="dxa" w:w="1440"/>
            <w:shd w:fill="C6EFCE" w:val="clear"/>
          </w:tcPr>
          <w:p>
            <w:r>
              <w:rPr>
                <w:b/>
                <w:color w:val="008000"/>
                <w:sz w:val="17"/>
              </w:rPr>
              <w:t>+17.2%</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2,871</w:t>
            </w:r>
          </w:p>
        </w:tc>
        <w:tc>
          <w:tcPr>
            <w:tcW w:type="dxa" w:w="1440"/>
            <w:shd w:fill="C6EFCE" w:val="clear"/>
          </w:tcPr>
          <w:p>
            <w:r>
              <w:rPr>
                <w:b/>
                <w:sz w:val="17"/>
              </w:rPr>
              <w:t>3,222</w:t>
            </w:r>
          </w:p>
        </w:tc>
        <w:tc>
          <w:tcPr>
            <w:tcW w:type="dxa" w:w="1440"/>
            <w:shd w:fill="C6EFCE" w:val="clear"/>
          </w:tcPr>
          <w:p>
            <w:r>
              <w:rPr>
                <w:sz w:val="17"/>
              </w:rPr>
              <w:t>3,574</w:t>
            </w:r>
          </w:p>
        </w:tc>
        <w:tc>
          <w:tcPr>
            <w:tcW w:type="dxa" w:w="1440"/>
            <w:shd w:fill="C6EFCE" w:val="clear"/>
          </w:tcPr>
          <w:p>
            <w:r>
              <w:rPr>
                <w:b/>
                <w:color w:val="008000"/>
                <w:sz w:val="17"/>
              </w:rPr>
              <w:t>+19.8%</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2,889</w:t>
            </w:r>
          </w:p>
        </w:tc>
        <w:tc>
          <w:tcPr>
            <w:tcW w:type="dxa" w:w="1440"/>
            <w:shd w:fill="C6EFCE" w:val="clear"/>
          </w:tcPr>
          <w:p>
            <w:r>
              <w:rPr>
                <w:b/>
                <w:sz w:val="17"/>
              </w:rPr>
              <w:t>3,275</w:t>
            </w:r>
          </w:p>
        </w:tc>
        <w:tc>
          <w:tcPr>
            <w:tcW w:type="dxa" w:w="1440"/>
            <w:shd w:fill="C6EFCE" w:val="clear"/>
          </w:tcPr>
          <w:p>
            <w:r>
              <w:rPr>
                <w:sz w:val="17"/>
              </w:rPr>
              <w:t>3,660</w:t>
            </w:r>
          </w:p>
        </w:tc>
        <w:tc>
          <w:tcPr>
            <w:tcW w:type="dxa" w:w="1440"/>
            <w:shd w:fill="C6EFCE" w:val="clear"/>
          </w:tcPr>
          <w:p>
            <w:r>
              <w:rPr>
                <w:b/>
                <w:color w:val="008000"/>
                <w:sz w:val="17"/>
              </w:rPr>
              <w:t>+21.7%</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2,897</w:t>
            </w:r>
          </w:p>
        </w:tc>
        <w:tc>
          <w:tcPr>
            <w:tcW w:type="dxa" w:w="1440"/>
            <w:shd w:fill="C6EFCE" w:val="clear"/>
          </w:tcPr>
          <w:p>
            <w:r>
              <w:rPr>
                <w:b/>
                <w:sz w:val="17"/>
              </w:rPr>
              <w:t>3,315</w:t>
            </w:r>
          </w:p>
        </w:tc>
        <w:tc>
          <w:tcPr>
            <w:tcW w:type="dxa" w:w="1440"/>
            <w:shd w:fill="C6EFCE" w:val="clear"/>
          </w:tcPr>
          <w:p>
            <w:r>
              <w:rPr>
                <w:sz w:val="17"/>
              </w:rPr>
              <w:t>3,732</w:t>
            </w:r>
          </w:p>
        </w:tc>
        <w:tc>
          <w:tcPr>
            <w:tcW w:type="dxa" w:w="1440"/>
            <w:shd w:fill="C6EFCE" w:val="clear"/>
          </w:tcPr>
          <w:p>
            <w:r>
              <w:rPr>
                <w:b/>
                <w:color w:val="008000"/>
                <w:sz w:val="17"/>
              </w:rPr>
              <w:t>+23.2%</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2,899</w:t>
            </w:r>
          </w:p>
        </w:tc>
        <w:tc>
          <w:tcPr>
            <w:tcW w:type="dxa" w:w="1440"/>
            <w:shd w:fill="C6EFCE" w:val="clear"/>
          </w:tcPr>
          <w:p>
            <w:r>
              <w:rPr>
                <w:b/>
                <w:sz w:val="17"/>
              </w:rPr>
              <w:t>3,346</w:t>
            </w:r>
          </w:p>
        </w:tc>
        <w:tc>
          <w:tcPr>
            <w:tcW w:type="dxa" w:w="1440"/>
            <w:shd w:fill="C6EFCE" w:val="clear"/>
          </w:tcPr>
          <w:p>
            <w:r>
              <w:rPr>
                <w:sz w:val="17"/>
              </w:rPr>
              <w:t>3,793</w:t>
            </w:r>
          </w:p>
        </w:tc>
        <w:tc>
          <w:tcPr>
            <w:tcW w:type="dxa" w:w="1440"/>
            <w:shd w:fill="C6EFCE" w:val="clear"/>
          </w:tcPr>
          <w:p>
            <w:r>
              <w:rPr>
                <w:b/>
                <w:color w:val="008000"/>
                <w:sz w:val="17"/>
              </w:rPr>
              <w:t>+24.4%</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2,896</w:t>
            </w:r>
          </w:p>
        </w:tc>
        <w:tc>
          <w:tcPr>
            <w:tcW w:type="dxa" w:w="1440"/>
            <w:shd w:fill="C6EFCE" w:val="clear"/>
          </w:tcPr>
          <w:p>
            <w:r>
              <w:rPr>
                <w:b/>
                <w:sz w:val="17"/>
              </w:rPr>
              <w:t>3,371</w:t>
            </w:r>
          </w:p>
        </w:tc>
        <w:tc>
          <w:tcPr>
            <w:tcW w:type="dxa" w:w="1440"/>
            <w:shd w:fill="C6EFCE" w:val="clear"/>
          </w:tcPr>
          <w:p>
            <w:r>
              <w:rPr>
                <w:sz w:val="17"/>
              </w:rPr>
              <w:t>3,846</w:t>
            </w:r>
          </w:p>
        </w:tc>
        <w:tc>
          <w:tcPr>
            <w:tcW w:type="dxa" w:w="1440"/>
            <w:shd w:fill="C6EFCE" w:val="clear"/>
          </w:tcPr>
          <w:p>
            <w:r>
              <w:rPr>
                <w:b/>
                <w:color w:val="008000"/>
                <w:sz w:val="17"/>
              </w:rPr>
              <w:t>+25.3%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 RAPPORT D'ANALYSE FINANCIÈRE — SCRC (SUCRIVOIRE)</w:t>
        <w:br/>
        <w:t>**Bourse Régionale des Valeurs Mobilières (BRVM) — Secteur : Agro-industrie / Sucre**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**52,72 milliards FCFA**, SCRC se positionne comme une valeur de taille intermédiaire sur la BRVM, loin des poids lourds comme Sonatel ou Orange CI, mais suffisamment liquide pour intéresser les investisseurs institutionnels régionaux. Le **BPA de -406 FCFA/action** traduit une société déficitaire : chaque action détruit de la valeur comptable, ce qui rend le **PER de -6,6x** non significatif en soi (un PER négatif signale simplement l'absence de bénéfices, et non une sous-évaluation). Le **P/B de 3,06x** indique que le marché valorise l'entreprise à plus de trois fois ses fonds propres comptables (17,24 Mds FCFA), soit une prime de croissance significative qui contraste fortement avec la réalité déficitaire de 2025 — ce multiple se justifie uniquement par les anticipations de redressement portées par le plan d'investissement massif. Enfin, l'**EV/EBITDA de 9,7x** se situe dans la fourchette raisonnable de 5-10x, suggérant que la valeur d'entreprise (capitalisation + dette nette) reste cohérente avec la capacité opérationnelle de génération d'EBE (14,85 Mds FCFA), ce qui constitue le seul ratio de valorisation véritablement rassurant du dossier.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SCRC affiche une **variation totale de +34,50%**, mais cette performance masque une correction brutale de **-7,40% lors de la dernière séance (J-1)**, signe d'une pression vendeuse récente. Le range de trading est très large, avec un plus haut à **3 920 FCFA** et un plus bas à **1 990 FCFA**, soit une amplitude de près de 97% — caractéristique d'un titre hautement spéculatif. La tendance générale reste haussière sur la période, mais le cours actuel (2 690 FCFA) se situe désormais **en dessous de la moyenne (3 116 FCFA) et de la médiane (3 298 FCFA)**, ce qui traduit une distribution asymétrique : l'écart de 182 FCFA entre moyenne et médiane confirme que les cours élevés ont tiré la moyenne vers le haut, tandis que la médiane reflète mieux le niveau « central » réel. L'écart-type de **543 FCFA (CV = 17,4%)** indique une dispersion modérée mais significative, et le **kurtosis de -0,674 (mésokurtique)** suggère une distribution proche de la normale, sans pics extrêmes fréquents — donc un risque de « queue épaisse » limité. Le **skewness de -0,746** révèle une asymétrie négative : davantage de journées se sont situées au-dessus de la moyenne, ce qui signifie que la correction actuelle est d'autant plus marquante qu'elle rompt avec cette dynamique. Enfin, la **volatilité annualisée de 56,9%** classe SCRC dans la catégorie des titres à volatilité **élevée** (&gt;30%), ce qui impose une gestion stricte du risque et un horizon d'investissement adapté.</w:t>
      </w:r>
    </w:p>
    <w:p>
      <w:pPr>
        <w:spacing w:after="120" w:line="276" w:lineRule="auto"/>
      </w:pPr>
      <w:r>
        <w:t>---</w:t>
      </w:r>
    </w:p>
    <w:p>
      <w:pPr>
        <w:spacing w:after="120" w:line="276" w:lineRule="auto"/>
      </w:pPr>
      <w:r>
        <w:t>## PARTIE 2 : ANALYSE TECHNIQUE DÉTAILLÉE</w:t>
      </w:r>
    </w:p>
    <w:p>
      <w:pPr>
        <w:spacing w:after="120" w:line="276" w:lineRule="auto"/>
      </w:pPr>
      <w:r>
        <w:t>**Moyennes Mobiles** : La MM20 (3 358,25 FCFA) et la MM50 (3 504,50 FCFA) sont toutes deux nettement supérieures au cours actuel (2 690 FCFA), ce qui confirme une configuration baissière de court et moyen terme. Le croisement des prix sous ces deux moyennes, avec MM20 &lt; MM50, valide la **décision de vente** émise par le modèle.</w:t>
      </w:r>
    </w:p>
    <w:p>
      <w:pPr>
        <w:spacing w:after="120" w:line="276" w:lineRule="auto"/>
      </w:pPr>
      <w:r>
        <w:t>**Bandes de Bollinger** : Le cours (2 690 FCFA) se situe **sous la borne inférieure** (2 887,25 FCFA), ce qui constitue un signal de survente extrême et justifie la **décision d'achat** à contre-tendance. Cette position hors bande traduit une volatilité exceptionnelle et un potentiel de rebond technique.</w:t>
      </w:r>
    </w:p>
    <w:p>
      <w:pPr>
        <w:spacing w:after="120" w:line="276" w:lineRule="auto"/>
      </w:pPr>
      <w:r>
        <w:t>**MACD** : La valeur du MACD (-144,22) est très en dessous de son signal (-65,90), avec un histogramme négatif et croissant en amplitude — le momentum baissier reste dominant. La **décision de vente** est cohérente avec cette divergence négative persistante.</w:t>
      </w:r>
    </w:p>
    <w:p>
      <w:pPr>
        <w:spacing w:after="120" w:line="276" w:lineRule="auto"/>
      </w:pPr>
      <w:r>
        <w:t>**RSI** : À **21,81**, le RSI est en zone de **survente sévère** (&lt;30), ce qui signale un épuisement probable de la pression vendeuse et justifie la **décision d'achat** en anticipation d'un rebond technique.</w:t>
      </w:r>
    </w:p>
    <w:p>
      <w:pPr>
        <w:spacing w:after="120" w:line="276" w:lineRule="auto"/>
      </w:pPr>
      <w:r>
        <w:t>**Stochastique** : Le %K et le %D sont tous deux à **0,0**, soit un niveau plancher absolu, indiquant une survente extrême et un possible retournement imminent. La **décision d'achat** est ici la plus tranchée de tous les indicateurs.</w:t>
      </w:r>
    </w:p>
    <w:p>
      <w:pPr>
        <w:spacing w:after="120" w:line="276" w:lineRule="auto"/>
      </w:pPr>
      <w:r>
        <w:t>**Conclusion technique** : Les indicateurs sont **divergents** : les moyennes mobiles et le MACD confirment une tendance baissière structurelle, tandis que le RSI, le stochastique et les bandes de Bollinger signalent une survente extrême propice à un rebond. Cette configuration typique de « capitulation » suggère qu'un **rebond technique à court terme est probable**, mais qu'il s'inscrit dans une tendance de fond encore négative — d'où une prudence nécessaire.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SCRC a réalisé un chiffre d'affaires de **80,57 Mds FCFA**, en **recul de 7,6%** par rapport à 2024 (87,22 Mds FCFA), et affiche un **résultat net déficitaire de -7,95 Mds FCFA** (contre un bénéfice de +2,47 Mds FCFA en 2024), soit une dégradation de 421%. Les ratios de rentabilité sont tous négatifs : **ROE de -46,13%**, **ROA de -5,08%**, et une **marge nette de -9,87%**. La structure financière est très dégradée : **autonomie financière de 11,02%** (très en dessous du seuil sain de 30%), **ratio d'endettement de 88,98%** (dettes totales/capitaux propres), et une **trésorerie nette négative de -6,505 Mds FCFA**. Le **BFR de 6,529 Mds FCFA** est positif (défavorable), et le **fonds de roulement est négatif (-10,665 Mds FCFA)**, signe de tensions de liquidité structurelles. Les délais d'exploitation révèlent une **durée de stockage de 360,73 jours** (immobilisation massive de capital) et un **délai fournisseurs de 366,07 jours** (pression sur les fournisseurs, mais favorable à la trésorerie), tandis que le **délai clients de 12,28 jours** reste maîtrisé.</w:t>
      </w:r>
    </w:p>
    <w:p>
      <w:pPr>
        <w:spacing w:after="120" w:line="276" w:lineRule="auto"/>
      </w:pPr>
      <w:r>
        <w:t>**Adaptation au secteur (entreprise agro-industrielle)** : La marge brute reste solide à **45,82%**, mais la marge opérationnelle s'effondre à **-0,68%**, et la **couverture des intérêts est négative (-8,03%)**, ce qui signifie que l'EBE ne couvre même pas les charges financières. La **capacité de remboursement de 11,21 années** (dettes financières/CAF) est critique.</w:t>
      </w:r>
    </w:p>
    <w:p>
      <w:pPr>
        <w:spacing w:after="120" w:line="276" w:lineRule="auto"/>
      </w:pPr>
      <w:r>
        <w:t>**Estimations basées sur les rapports trimestriels** : Le rapport du **S1 2025 (daté du 30/06/2025)** indiquait déjà une perte nette de -6,71 Mds FCFA et un résultat d'exploitation négatif (-3,18 Mds FCFA), confirmant la tendance annuelle. Le **rapport T1 2025 (31/03/2025)** montrait encore un bénéfice de 3,21 Mds FCFA, illustrant la détérioration progressive au fil de l'année. Les rapports les plus récents (analysés par DeepSeek en mai 2026) évoquent un **retour à la rentabilité nette en 2025** selon certaines sources, mais les données structurées officielles confirment une **perte nette de -7,95 Mds FCFA** — il convient donc de se fier aux chiffres officiels. Les perspectives 2026 (campagne 2025/26) tablent sur une production de 90 000 à 95 000 tonnes (+14% à +20%), ce qui pourrait soutenir un rebond opérationnel, mais l'endettement massif (64,5 Mds FCFA de dettes LT, +168%) et l'explosion des charges financières (6,79 Mds FCFA, +262%) constituent des freins majeurs.</w:t>
      </w:r>
    </w:p>
    <w:p>
      <w:pPr>
        <w:spacing w:after="120" w:line="276" w:lineRule="auto"/>
      </w:pPr>
      <w:r>
        <w:t>**Recommandation fondamentale** : Le dossier présente une **fragilité financière critique** (capitaux propres érodés à 17,24 Mds FCFA, endettement insoutenable), malgré un potentiel de redressement porté par les investissements. La recommandation fondamentale est **CONSERVER avec vigilance**, en attendant les résultats du S1 2026 pour confirmer la soutenabilité du redressement.</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ambiguë — le P/B de 3,06x et l'EV/EBITDA de 9,7x suggèrent une valorisation raisonnable, mais le PER négatif et le BPA de -406 FCFA traduisent une absence de bénéfices qui rend toute prime de croissance spéculative. Le **comportement du cours (Partie 1)** est préoccupant : malgré une hausse de +34,50% sur 100 jours, la correction de -7,40% en J-1 et la volatilité élevée (56,9%) signalent une instabilité majeure, avec un skewness négatif (-0,746) indiquant que la pression vendeuse récente rompt avec la dynamique haussière antérieure. Les **signaux techniques (Partie 2)** sont divergents : les moyennes mobiles et le MACD confirment la tendance baissière, tandis que le RSI (21,81), le stochastique (0,0) et les bandes de Bollinger (cours sous la borne inférieure) signalent une survente extrême propice à un rebond technique. Les **fondamentaux (Partie 3)** sont très dégradés : perte nette de -7,95 Mds FCFA en 2025, ROE de -46,13%, endettement critique (88,98% des capitaux propres), trésorerie nette négative (-6,5 Mds FCFA), et une capacité de remboursement de 11,21 années — malgré un potentiel de redressement lié à la campagne 2025/26. Les **prédictions IA (J+1 à J+10)** anticipent une **trajectoire haussière** (2 715 → 3 152 FCFA, soit +17,2% en 10 jours), ce qui **confirme le rebond technique** attendu par les indicateurs de survente, mais **contredit la tendance baissière de fond** et les fondamentaux dégradés.</w:t>
      </w:r>
    </w:p>
    <w:p>
      <w:pPr>
        <w:spacing w:after="120" w:line="276" w:lineRule="auto"/>
      </w:pPr>
      <w:r>
        <w:t>**Recommandation finale** : **CONSERVER** — Le titre présente une **divergence majeure** entre, d'une part, un rebond technique probable à court terme (survente extrême, prédictions IA haussières) et, d'autre part, des fondamentaux très fragiles (perte nette, endettement critique) et une tendance de fond baissière (MM20/MM50, MACD). Un **ACHAT** serait spéculatif et risqué compte tenu de la structure financière ; une **VENTE** serait prématurée car le potentiel de rebond technique et les perspectives de la campagne 2025/26 laissent entrevoir une amélioration. **Niveau de confiance : Moyen** (les signaux techniques de survente sont forts, mais les fondamentaux restent un frein majeur). **Niveau de risque global : Élevé** (volatilité de 56,9%, endettement critique, trésorerie négative). **Horizon d'investissement optimal : Court terme (1-3 mois)** pour profiter du rebond technique, avec une surveillance rapprochée des résultats du S1 2026 pour valider ou infirmer la thèse de redressement — au-delà, le risque fondamental devient trop élevé pour une exposition prolongée.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100.48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1,400 titres</w:t>
            </w:r>
          </w:p>
        </w:tc>
        <w:tc>
          <w:tcPr>
            <w:tcW w:type="dxa" w:w="2268"/>
            <w:shd w:fill="FFF2CC" w:val="clear"/>
          </w:tcPr>
          <w:p>
            <w:r>
              <w:rPr>
                <w:b/>
                <w:color w:val="503200"/>
                <w:sz w:val="16"/>
              </w:rPr>
              <w:t xml:space="preserve">Cours actuel : </w:t>
            </w:r>
            <w:r>
              <w:rPr>
                <w:color w:val="000000"/>
                <w:sz w:val="17"/>
              </w:rPr>
              <w:t>11,165 FCFA</w:t>
            </w:r>
          </w:p>
          <w:p>
            <w:r>
              <w:rPr>
                <w:b/>
                <w:color w:val="503200"/>
                <w:sz w:val="16"/>
              </w:rPr>
              <w:t xml:space="preserve">Var. 100 jours : </w:t>
            </w:r>
            <w:r>
              <w:rPr>
                <w:b/>
                <w:color w:val="007800"/>
                <w:sz w:val="17"/>
              </w:rPr>
              <w:t>+33.39%</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8,370 FCFA</w:t>
            </w:r>
          </w:p>
          <w:p>
            <w:r>
              <w:rPr>
                <w:b/>
                <w:color w:val="503200"/>
                <w:sz w:val="16"/>
              </w:rPr>
              <w:t xml:space="preserve">Volatilité ann. : </w:t>
            </w:r>
            <w:r>
              <w:rPr>
                <w:color w:val="000000"/>
                <w:sz w:val="17"/>
              </w:rPr>
              <w:t>39.7%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9.67% (Moyenne) — μ=11,707 FCFA, σ=1,133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β=-0.0658 (Contre-cyclique) — Cov=-0.000003, Var(idx)=0.000041, ρ=-0.018,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σ_j=2.50%/j (Stable) — Vol. annualisée≈39.7%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84/100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2026-09-24</w:t>
            </w:r>
          </w:p>
        </w:tc>
        <w:tc>
          <w:tcPr>
            <w:tcW w:type="dxa" w:w="1440"/>
            <w:shd w:fill="C6EFCE" w:val="clear"/>
          </w:tcPr>
          <w:p>
            <w:r>
              <w:rPr>
                <w:sz w:val="17"/>
              </w:rPr>
              <w:t>11,420</w:t>
            </w:r>
          </w:p>
        </w:tc>
        <w:tc>
          <w:tcPr>
            <w:tcW w:type="dxa" w:w="1440"/>
            <w:shd w:fill="C6EFCE" w:val="clear"/>
          </w:tcPr>
          <w:p>
            <w:r>
              <w:rPr>
                <w:b/>
                <w:sz w:val="17"/>
              </w:rPr>
              <w:t>12,002</w:t>
            </w:r>
          </w:p>
        </w:tc>
        <w:tc>
          <w:tcPr>
            <w:tcW w:type="dxa" w:w="1440"/>
            <w:shd w:fill="C6EFCE" w:val="clear"/>
          </w:tcPr>
          <w:p>
            <w:r>
              <w:rPr>
                <w:sz w:val="17"/>
              </w:rPr>
              <w:t>12,584</w:t>
            </w:r>
          </w:p>
        </w:tc>
        <w:tc>
          <w:tcPr>
            <w:tcW w:type="dxa" w:w="1440"/>
            <w:shd w:fill="C6EFCE" w:val="clear"/>
          </w:tcPr>
          <w:p>
            <w:r>
              <w:rPr>
                <w:b/>
                <w:color w:val="008000"/>
                <w:sz w:val="17"/>
              </w:rPr>
              <w:t>+7.5%</w:t>
            </w:r>
          </w:p>
        </w:tc>
      </w:tr>
      <w:tr>
        <w:tc>
          <w:tcPr>
            <w:tcW w:type="dxa" w:w="1440"/>
            <w:shd w:fill="C6EFCE" w:val="clear"/>
          </w:tcPr>
          <w:p>
            <w:r>
              <w:rPr>
                <w:sz w:val="17"/>
              </w:rPr>
              <w:t>J+2  ⭐</w:t>
            </w:r>
          </w:p>
        </w:tc>
        <w:tc>
          <w:tcPr>
            <w:tcW w:type="dxa" w:w="1440"/>
            <w:shd w:fill="C6EFCE" w:val="clear"/>
          </w:tcPr>
          <w:p>
            <w:r>
              <w:rPr>
                <w:sz w:val="17"/>
              </w:rPr>
              <w:t>2026-09-25</w:t>
            </w:r>
          </w:p>
        </w:tc>
        <w:tc>
          <w:tcPr>
            <w:tcW w:type="dxa" w:w="1440"/>
            <w:shd w:fill="C6EFCE" w:val="clear"/>
          </w:tcPr>
          <w:p>
            <w:r>
              <w:rPr>
                <w:sz w:val="17"/>
              </w:rPr>
              <w:t>11,567</w:t>
            </w:r>
          </w:p>
        </w:tc>
        <w:tc>
          <w:tcPr>
            <w:tcW w:type="dxa" w:w="1440"/>
            <w:shd w:fill="C6EFCE" w:val="clear"/>
          </w:tcPr>
          <w:p>
            <w:r>
              <w:rPr>
                <w:b/>
                <w:sz w:val="17"/>
              </w:rPr>
              <w:t>12,419</w:t>
            </w:r>
          </w:p>
        </w:tc>
        <w:tc>
          <w:tcPr>
            <w:tcW w:type="dxa" w:w="1440"/>
            <w:shd w:fill="C6EFCE" w:val="clear"/>
          </w:tcPr>
          <w:p>
            <w:r>
              <w:rPr>
                <w:sz w:val="17"/>
              </w:rPr>
              <w:t>13,270</w:t>
            </w:r>
          </w:p>
        </w:tc>
        <w:tc>
          <w:tcPr>
            <w:tcW w:type="dxa" w:w="1440"/>
            <w:shd w:fill="C6EFCE" w:val="clear"/>
          </w:tcPr>
          <w:p>
            <w:r>
              <w:rPr>
                <w:b/>
                <w:color w:val="008000"/>
                <w:sz w:val="17"/>
              </w:rPr>
              <w:t>+11.2%</w:t>
            </w:r>
          </w:p>
        </w:tc>
      </w:tr>
      <w:tr>
        <w:tc>
          <w:tcPr>
            <w:tcW w:type="dxa" w:w="1440"/>
            <w:shd w:fill="C6EFCE" w:val="clear"/>
          </w:tcPr>
          <w:p>
            <w:r>
              <w:rPr>
                <w:sz w:val="17"/>
              </w:rPr>
              <w:t>J+3  ⭐</w:t>
            </w:r>
          </w:p>
        </w:tc>
        <w:tc>
          <w:tcPr>
            <w:tcW w:type="dxa" w:w="1440"/>
            <w:shd w:fill="C6EFCE" w:val="clear"/>
          </w:tcPr>
          <w:p>
            <w:r>
              <w:rPr>
                <w:sz w:val="17"/>
              </w:rPr>
              <w:t>2026-09-28</w:t>
            </w:r>
          </w:p>
        </w:tc>
        <w:tc>
          <w:tcPr>
            <w:tcW w:type="dxa" w:w="1440"/>
            <w:shd w:fill="C6EFCE" w:val="clear"/>
          </w:tcPr>
          <w:p>
            <w:r>
              <w:rPr>
                <w:sz w:val="17"/>
              </w:rPr>
              <w:t>11,543</w:t>
            </w:r>
          </w:p>
        </w:tc>
        <w:tc>
          <w:tcPr>
            <w:tcW w:type="dxa" w:w="1440"/>
            <w:shd w:fill="C6EFCE" w:val="clear"/>
          </w:tcPr>
          <w:p>
            <w:r>
              <w:rPr>
                <w:b/>
                <w:sz w:val="17"/>
              </w:rPr>
              <w:t>12,602</w:t>
            </w:r>
          </w:p>
        </w:tc>
        <w:tc>
          <w:tcPr>
            <w:tcW w:type="dxa" w:w="1440"/>
            <w:shd w:fill="C6EFCE" w:val="clear"/>
          </w:tcPr>
          <w:p>
            <w:r>
              <w:rPr>
                <w:sz w:val="17"/>
              </w:rPr>
              <w:t>13,660</w:t>
            </w:r>
          </w:p>
        </w:tc>
        <w:tc>
          <w:tcPr>
            <w:tcW w:type="dxa" w:w="1440"/>
            <w:shd w:fill="C6EFCE" w:val="clear"/>
          </w:tcPr>
          <w:p>
            <w:r>
              <w:rPr>
                <w:b/>
                <w:color w:val="008000"/>
                <w:sz w:val="17"/>
              </w:rPr>
              <w:t>+12.9%</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11,530</w:t>
            </w:r>
          </w:p>
        </w:tc>
        <w:tc>
          <w:tcPr>
            <w:tcW w:type="dxa" w:w="1440"/>
            <w:shd w:fill="C6EFCE" w:val="clear"/>
          </w:tcPr>
          <w:p>
            <w:r>
              <w:rPr>
                <w:b/>
                <w:sz w:val="17"/>
              </w:rPr>
              <w:t>12,768</w:t>
            </w:r>
          </w:p>
        </w:tc>
        <w:tc>
          <w:tcPr>
            <w:tcW w:type="dxa" w:w="1440"/>
            <w:shd w:fill="C6EFCE" w:val="clear"/>
          </w:tcPr>
          <w:p>
            <w:r>
              <w:rPr>
                <w:sz w:val="17"/>
              </w:rPr>
              <w:t>14,007</w:t>
            </w:r>
          </w:p>
        </w:tc>
        <w:tc>
          <w:tcPr>
            <w:tcW w:type="dxa" w:w="1440"/>
            <w:shd w:fill="C6EFCE" w:val="clear"/>
          </w:tcPr>
          <w:p>
            <w:r>
              <w:rPr>
                <w:b/>
                <w:color w:val="008000"/>
                <w:sz w:val="17"/>
              </w:rPr>
              <w:t>+14.4%</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11,514</w:t>
            </w:r>
          </w:p>
        </w:tc>
        <w:tc>
          <w:tcPr>
            <w:tcW w:type="dxa" w:w="1440"/>
            <w:shd w:fill="C6EFCE" w:val="clear"/>
          </w:tcPr>
          <w:p>
            <w:r>
              <w:rPr>
                <w:b/>
                <w:sz w:val="17"/>
              </w:rPr>
              <w:t>12,914</w:t>
            </w:r>
          </w:p>
        </w:tc>
        <w:tc>
          <w:tcPr>
            <w:tcW w:type="dxa" w:w="1440"/>
            <w:shd w:fill="C6EFCE" w:val="clear"/>
          </w:tcPr>
          <w:p>
            <w:r>
              <w:rPr>
                <w:sz w:val="17"/>
              </w:rPr>
              <w:t>14,315</w:t>
            </w:r>
          </w:p>
        </w:tc>
        <w:tc>
          <w:tcPr>
            <w:tcW w:type="dxa" w:w="1440"/>
            <w:shd w:fill="C6EFCE" w:val="clear"/>
          </w:tcPr>
          <w:p>
            <w:r>
              <w:rPr>
                <w:b/>
                <w:color w:val="008000"/>
                <w:sz w:val="17"/>
              </w:rPr>
              <w:t>+15.7%</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11,491</w:t>
            </w:r>
          </w:p>
        </w:tc>
        <w:tc>
          <w:tcPr>
            <w:tcW w:type="dxa" w:w="1440"/>
            <w:shd w:fill="C6EFCE" w:val="clear"/>
          </w:tcPr>
          <w:p>
            <w:r>
              <w:rPr>
                <w:b/>
                <w:sz w:val="17"/>
              </w:rPr>
              <w:t>13,040</w:t>
            </w:r>
          </w:p>
        </w:tc>
        <w:tc>
          <w:tcPr>
            <w:tcW w:type="dxa" w:w="1440"/>
            <w:shd w:fill="C6EFCE" w:val="clear"/>
          </w:tcPr>
          <w:p>
            <w:r>
              <w:rPr>
                <w:sz w:val="17"/>
              </w:rPr>
              <w:t>14,589</w:t>
            </w:r>
          </w:p>
        </w:tc>
        <w:tc>
          <w:tcPr>
            <w:tcW w:type="dxa" w:w="1440"/>
            <w:shd w:fill="C6EFCE" w:val="clear"/>
          </w:tcPr>
          <w:p>
            <w:r>
              <w:rPr>
                <w:b/>
                <w:color w:val="008000"/>
                <w:sz w:val="17"/>
              </w:rPr>
              <w:t>+16.8%</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11,459</w:t>
            </w:r>
          </w:p>
        </w:tc>
        <w:tc>
          <w:tcPr>
            <w:tcW w:type="dxa" w:w="1440"/>
            <w:shd w:fill="C6EFCE" w:val="clear"/>
          </w:tcPr>
          <w:p>
            <w:r>
              <w:rPr>
                <w:b/>
                <w:sz w:val="17"/>
              </w:rPr>
              <w:t>13,146</w:t>
            </w:r>
          </w:p>
        </w:tc>
        <w:tc>
          <w:tcPr>
            <w:tcW w:type="dxa" w:w="1440"/>
            <w:shd w:fill="C6EFCE" w:val="clear"/>
          </w:tcPr>
          <w:p>
            <w:r>
              <w:rPr>
                <w:sz w:val="17"/>
              </w:rPr>
              <w:t>14,833</w:t>
            </w:r>
          </w:p>
        </w:tc>
        <w:tc>
          <w:tcPr>
            <w:tcW w:type="dxa" w:w="1440"/>
            <w:shd w:fill="C6EFCE" w:val="clear"/>
          </w:tcPr>
          <w:p>
            <w:r>
              <w:rPr>
                <w:b/>
                <w:color w:val="008000"/>
                <w:sz w:val="17"/>
              </w:rPr>
              <w:t>+17.7%</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11,420</w:t>
            </w:r>
          </w:p>
        </w:tc>
        <w:tc>
          <w:tcPr>
            <w:tcW w:type="dxa" w:w="1440"/>
            <w:shd w:fill="C6EFCE" w:val="clear"/>
          </w:tcPr>
          <w:p>
            <w:r>
              <w:rPr>
                <w:b/>
                <w:sz w:val="17"/>
              </w:rPr>
              <w:t>13,236</w:t>
            </w:r>
          </w:p>
        </w:tc>
        <w:tc>
          <w:tcPr>
            <w:tcW w:type="dxa" w:w="1440"/>
            <w:shd w:fill="C6EFCE" w:val="clear"/>
          </w:tcPr>
          <w:p>
            <w:r>
              <w:rPr>
                <w:sz w:val="17"/>
              </w:rPr>
              <w:t>15,052</w:t>
            </w:r>
          </w:p>
        </w:tc>
        <w:tc>
          <w:tcPr>
            <w:tcW w:type="dxa" w:w="1440"/>
            <w:shd w:fill="C6EFCE" w:val="clear"/>
          </w:tcPr>
          <w:p>
            <w:r>
              <w:rPr>
                <w:b/>
                <w:color w:val="008000"/>
                <w:sz w:val="17"/>
              </w:rPr>
              <w:t>+18.5%</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11,373</w:t>
            </w:r>
          </w:p>
        </w:tc>
        <w:tc>
          <w:tcPr>
            <w:tcW w:type="dxa" w:w="1440"/>
            <w:shd w:fill="C6EFCE" w:val="clear"/>
          </w:tcPr>
          <w:p>
            <w:r>
              <w:rPr>
                <w:b/>
                <w:sz w:val="17"/>
              </w:rPr>
              <w:t>13,309</w:t>
            </w:r>
          </w:p>
        </w:tc>
        <w:tc>
          <w:tcPr>
            <w:tcW w:type="dxa" w:w="1440"/>
            <w:shd w:fill="C6EFCE" w:val="clear"/>
          </w:tcPr>
          <w:p>
            <w:r>
              <w:rPr>
                <w:sz w:val="17"/>
              </w:rPr>
              <w:t>15,245</w:t>
            </w:r>
          </w:p>
        </w:tc>
        <w:tc>
          <w:tcPr>
            <w:tcW w:type="dxa" w:w="1440"/>
            <w:shd w:fill="C6EFCE" w:val="clear"/>
          </w:tcPr>
          <w:p>
            <w:r>
              <w:rPr>
                <w:b/>
                <w:color w:val="008000"/>
                <w:sz w:val="17"/>
              </w:rPr>
              <w:t>+19.2%</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11,311</w:t>
            </w:r>
          </w:p>
        </w:tc>
        <w:tc>
          <w:tcPr>
            <w:tcW w:type="dxa" w:w="1440"/>
            <w:shd w:fill="C6EFCE" w:val="clear"/>
          </w:tcPr>
          <w:p>
            <w:r>
              <w:rPr>
                <w:b/>
                <w:sz w:val="17"/>
              </w:rPr>
              <w:t>13,360</w:t>
            </w:r>
          </w:p>
        </w:tc>
        <w:tc>
          <w:tcPr>
            <w:tcW w:type="dxa" w:w="1440"/>
            <w:shd w:fill="C6EFCE" w:val="clear"/>
          </w:tcPr>
          <w:p>
            <w:r>
              <w:rPr>
                <w:sz w:val="17"/>
              </w:rPr>
              <w:t>15,409</w:t>
            </w:r>
          </w:p>
        </w:tc>
        <w:tc>
          <w:tcPr>
            <w:tcW w:type="dxa" w:w="1440"/>
            <w:shd w:fill="C6EFCE" w:val="clear"/>
          </w:tcPr>
          <w:p>
            <w:r>
              <w:rPr>
                <w:b/>
                <w:color w:val="008000"/>
                <w:sz w:val="17"/>
              </w:rPr>
              <w:t>+19.7%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100,48 milliards FCFA, SDCC figure parmi les valeurs moyennes de la cote BRVM, ce qui reste modeste à l'échelle régionale mais cohérent avec la taille de son flottant. Le BPA de 518 FCFA/action indique que chaque titre génère un bénéfice net substantiel, ce qui, rapporté au cours actuel de 11 165 FCFA, donne un PER de 21,6x — nettement supérieur à la moyenne du marché BRVM (généralement comprise entre 8x et 12x), signalant que les investisseurs paient une prime importante pour les bénéfices actuels, probablement en anticipation d'une croissance future ou par effet de rareté du titre. Le ratio P/B de 5,10x confirme cette valorisation exigeante : le marché valorise SDCC à plus de cinq fois sa valeur comptable, ce qui traduit une forte confiance dans la qualité de ses actifs et sa rentabilité future. Enfin, l'EV/EBITDA de 14,1x, situé dans le haut de la fourchette 10-15x, indique que la valeur d'entreprise (incluant la dette) est chèrement valorisée par rapport à sa capacité opérationnelle, ce qui invite à la prudence quant au potentiel de hausse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affiche une performance remarquable de +33,39%, portée par une dynamique haussière soutenue, bien que la dernière séance (J-1) marque un net repli de -7,42%, signalant une prise de bénéfices ou une correction technique. Le titre a évolué dans un range large, entre un plus bas de 8 370 FCFA et un plus haut de 13 885 FCFA, soit une amplitude de plus de 65%, ce qui témoigne d'une forte volatilité intra-période. Le cours actuel (11 165 FCFA) se situe dans la partie médiane de ce range, en retrait par rapport aux sommets récents. Les statistiques descriptives révèlent une moyenne (11 707 FCFA) légèrement inférieure à la médiane (11 915 FCFA), ce qui indique une asymétrie négative confirmée par le skewness de -0,850 : le cours a passé plus de journées au-dessus de sa moyenne, mais les baisses ont été plus violentes que les hausses. L'écart-type de 1 138 FCFA et le coefficient de variation de 9,7% traduisent une dispersion modérée autour de la moyenne, tandis que le kurtosis excédentaire de 1,014 (leptokurtique) signale des queues épaisses, donc un risque accru de pics de volatilité brutaux — ce que confirme d'ailleurs la chute de -7,42% en une seule séance. Avec une volatilité annualisée de 39,7%, SDCC se classe dans la catégorie des titres à volatilité élevée (&gt;30%), ce qui implique un risque significatif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(13 042,75 FCFA) et la MM50 (12 298,10 FCFA) se situent toutes deux au-dessus du cours actuel (11 165 FCFA), ce qui place le titre en position baissière à court et moyen terme. Cependant, la décision technique affichée est "Achat", probablement basée sur le potentiel de rebond après la correction récente. Le croisement des moyennes reste haussier (MM20 &gt; MM50), mais l'écart se réduit, ce qui pourrait annoncer un retournement si le cours ne se redresse pas rapidement.</w:t>
      </w:r>
    </w:p>
    <w:p>
      <w:pPr>
        <w:spacing w:after="120" w:line="276" w:lineRule="auto"/>
      </w:pPr>
      <w:r>
        <w:t>**Bandes de Bollinger** : La borne supérieure est à 14 345,95 FCFA et la borne inférieure à 11 739,55 FCFA, avec un cours actuel de 11 165 FCFA qui se situe légèrement en dessous de la borne inférieure. Cette position suggère une situation de survente technique et un potentiel de rebond vers la moyenne mobile, justifiant la décision "Achat". L'amplitude des bandes (2 606 FCFA) reflète une volatilité élevée, cohérente avec l'écart-type observé.</w:t>
      </w:r>
    </w:p>
    <w:p>
      <w:pPr>
        <w:spacing w:after="120" w:line="276" w:lineRule="auto"/>
      </w:pPr>
      <w:r>
        <w:t>**MACD** : La valeur du MACD (-37,591) est nettement inférieure à son signal (222,951), ce qui génère une divergence baissière et un momentum négatif. La décision "Vente" est cohérente avec cette configuration : le MACD est passé sous zéro, confirmant la pression baissière à court terme. Un croisement à la baisse du MACD sous son signal est un signal de vente classique.</w:t>
      </w:r>
    </w:p>
    <w:p>
      <w:pPr>
        <w:spacing w:after="120" w:line="276" w:lineRule="auto"/>
      </w:pPr>
      <w:r>
        <w:t>**RSI** : Avec une valeur de 26,485, le RSI se situe en zone de survente (&lt;30), ce qui indique que le titre a été massivement vendu et pourrait être proche d'un point de retournement. La décision "Achat" est justifiée par cette configuration de survente, qui précède souvent un rebond technique.</w:t>
      </w:r>
    </w:p>
    <w:p>
      <w:pPr>
        <w:spacing w:after="120" w:line="276" w:lineRule="auto"/>
      </w:pPr>
      <w:r>
        <w:t>**Stochastique** : Les valeurs %K et %D sont toutes deux à 0,0, ce qui est un cas extrême de survente. Un tel niveau suggère que le cours a atteint un plancher de très court terme et qu'un rebond est statistiquement probable. La décision "Achat" est cohérente avec cette lecture, bien que la fiabilité du signal soit à relativiser dans un contexte de forte volatilité.</w:t>
      </w:r>
    </w:p>
    <w:p>
      <w:pPr>
        <w:spacing w:after="120" w:line="276" w:lineRule="auto"/>
      </w:pPr>
      <w:r>
        <w:t>**Conclusion technique** : Les indicateurs sont divergents : les moyennes mobiles et le MACD sont baissiers, tandis que le RSI, le stochastique et les bandes de Bollinger signalent une survente extrême et un potentiel de rebond. Cette configuration suggère une phase de correction technique au sein d'une tendance haussière de fond, avec un point d'entrée potentiel pour les investisseurs opportunistes, mais le risque de poursuite de la baisse reste présent tant que le MACD ne se retourne pas.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SDCC (SODECI) affiche un chiffre d'affaires de 189,430 milliards FCFA, en croissance de 9,98% par rapport à 2024, portée par la hausse des volumes d'eau facturés et l'élargissement de la base clients (2 272 032 clients, +6,14%). Le résultat net s'établit à 4,663 milliards FCFA, en progression de 31% sur un an, avec une marge nette de 2,46% — faible mais en amélioration. Le ROE (rentabilité des fonds propres) atteint 23,65%, un niveau excellent (&gt;15%), tandis que le ROA reste modeste à 0,99%, reflétant l'intensité capitalistique du secteur. La structure financière est cependant préoccupante : l'autonomie financière n'est que de 4,17% (capitaux propres/total bilan), bien loin du seuil sain de 30%, et le ratio d'endettement de 95,83% (dettes totales/capitaux propres) traduit une dépendance massive à l'endettement. Le BFR est de 104,748 milliards FCFA, et le délai client de 749 jours (créances clients × 360 / CA) constitue un risque majeur de trésorerie, bien que le taux de recouvrement déclaré soit de 95,85%. La trésorerie nette est négative à -61,710 milliards FCFA, et le flux opérationnel est négatif à -36,655 milliards FCFA, ce qui explique les tensions de liquidité. Le dividende proposé pour 2025 est de 525 FCFA par action, offrant un rendement d'environ 4,7% au cours actuel. Les rapports trimestriels récents confirment une amélioration : le T1 2026 (rapport du 31/03/2026) affiche un résultat net de 1 318 millions FCFA, en hausse spectaculaire de 118% sur un an, avec un résultat d'exploitation multiplié par 2,5 à 2 730 millions FCFA, malgré un CA en léger repli de 2% à 40 916 millions FCFA. Cette performance est attribuée à une meilleure maîtrise des charges opérationnelles. Sur la base de ce T1 2026, on peut estimer que l'exercice 2026 devrait confirmer la tendance à l'amélioration de la rentabilité, avec un résultat net annuel potentiellement supérieur à 5 milliards FCFA si la dynamique se poursuit. La recommandation fondamentale est de **CONSERVER** : la solidité opérationnelle et la position de monopole dans un secteur stratégique (eau potable en Côte d'Ivoire) sont des atouts, mais les tensions de trésorerie et la dépendance à l'endettement constituent des risques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exigeante : le PER de 21,6x et le P/B de 5,10x sont nettement supérieurs aux moyennes du marché BRVM, ce qui intègre déjà une prime de croissance et de qualité. Le comportement du cours sur 100 jours est haussier (+33,39%) mais marqué par une volatilité élevée (39,7%) et une asymétrie négative (skewness -0,850), avec un risque de pics baissiers (kurtosis 1,014) — la chute de -7,42% en J-1 en est l'illustration. Les signaux techniques sont divergents : les indicateurs de tendance (MM, MACD) sont baissiers, tandis que les oscillateurs (RSI à 26,5, stochastique à 0) signalent une survente extrême et un potentiel de rebond à court terme. Les fondamentaux sont mitigés : la croissance du CA (+10%) et l'amélioration du résultat net (+31%) en 2025 sont positives, et le T1 2026 (résultat net +118%) confirme cette dynamique, mais la structure financière reste fragile (autonomie financière de 4,17%, trésorerie nette négative de -61,7 milliards FCFA). Les prédictions IA pour les 10 prochains jours ouvrables tablent sur une remontée progressive du cours, de 12 002 FCFA (J+1) à 12 914 FCFA (J+5), ce qui confirme le scénario d'un rebond technique après la survente. Sur la base de cette synthèse, la recommandation finale est **CONSERVER** avec un biais positif à court terme : la convergence entre la survente technique, les prédictions IA haussières et l'amélioration des résultats trimestriels soutient un rebond, mais la valorisation élevée et les risques financiers limitent le potentiel de hausse à long terme. Le niveau de confiance est **Moyen** (les signaux techniques et fondamentaux sont partiellement contradictoires), et le niveau de risque global est **Élevé** (volatilité de 39,7%, endettement massif, trésorerie tendue). L'horizon d'investissement optimal est **court terme** (moins de 3 mois) pour profiter du rebond technique, avec une vigilance accrue sur les niveaux de support (11 000 FCFA) et de résistance (13 000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152.42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18,543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007800"/>
                <w:sz w:val="17"/>
              </w:rPr>
              <w:t>+57.75%</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18.45% (Élevée) — μ=2,418 FCFA, σ=446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β=0.7276 (Défensif) — Cov=0.000030, Var(idx)=0.000041, ρ=0.140,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18,543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2026-09-24</w:t>
            </w:r>
          </w:p>
        </w:tc>
        <w:tc>
          <w:tcPr>
            <w:tcW w:type="dxa" w:w="1440"/>
            <w:shd w:fill="FAFAFA" w:val="clear"/>
          </w:tcPr>
          <w:p>
            <w:r>
              <w:rPr>
                <w:sz w:val="17"/>
              </w:rPr>
              <w:t>2,687</w:t>
            </w:r>
          </w:p>
        </w:tc>
        <w:tc>
          <w:tcPr>
            <w:tcW w:type="dxa" w:w="1440"/>
            <w:shd w:fill="FAFAFA" w:val="clear"/>
          </w:tcPr>
          <w:p>
            <w:r>
              <w:rPr>
                <w:b/>
                <w:sz w:val="17"/>
              </w:rPr>
              <w:t>2,822</w:t>
            </w:r>
          </w:p>
        </w:tc>
        <w:tc>
          <w:tcPr>
            <w:tcW w:type="dxa" w:w="1440"/>
            <w:shd w:fill="FAFAFA" w:val="clear"/>
          </w:tcPr>
          <w:p>
            <w:r>
              <w:rPr>
                <w:sz w:val="17"/>
              </w:rPr>
              <w:t>2,957</w:t>
            </w:r>
          </w:p>
        </w:tc>
        <w:tc>
          <w:tcPr>
            <w:tcW w:type="dxa" w:w="1440"/>
            <w:shd w:fill="FAFAFA" w:val="clear"/>
          </w:tcPr>
          <w:p>
            <w:r>
              <w:rPr>
                <w:b/>
                <w:color w:val="008000"/>
                <w:sz w:val="17"/>
              </w:rPr>
              <w:t>+0.8%</w:t>
            </w:r>
          </w:p>
        </w:tc>
      </w:tr>
      <w:tr>
        <w:tc>
          <w:tcPr>
            <w:tcW w:type="dxa" w:w="1440"/>
            <w:shd w:fill="FAFAFA" w:val="clear"/>
          </w:tcPr>
          <w:p>
            <w:r>
              <w:rPr>
                <w:sz w:val="17"/>
              </w:rPr>
              <w:t>J+2  Moyenne</w:t>
            </w:r>
          </w:p>
        </w:tc>
        <w:tc>
          <w:tcPr>
            <w:tcW w:type="dxa" w:w="1440"/>
            <w:shd w:fill="FAFAFA" w:val="clear"/>
          </w:tcPr>
          <w:p>
            <w:r>
              <w:rPr>
                <w:sz w:val="17"/>
              </w:rPr>
              <w:t>2026-09-25</w:t>
            </w:r>
          </w:p>
        </w:tc>
        <w:tc>
          <w:tcPr>
            <w:tcW w:type="dxa" w:w="1440"/>
            <w:shd w:fill="FAFAFA" w:val="clear"/>
          </w:tcPr>
          <w:p>
            <w:r>
              <w:rPr>
                <w:sz w:val="17"/>
              </w:rPr>
              <w:t>2,649</w:t>
            </w:r>
          </w:p>
        </w:tc>
        <w:tc>
          <w:tcPr>
            <w:tcW w:type="dxa" w:w="1440"/>
            <w:shd w:fill="FAFAFA" w:val="clear"/>
          </w:tcPr>
          <w:p>
            <w:r>
              <w:rPr>
                <w:b/>
                <w:sz w:val="17"/>
              </w:rPr>
              <w:t>2,841</w:t>
            </w:r>
          </w:p>
        </w:tc>
        <w:tc>
          <w:tcPr>
            <w:tcW w:type="dxa" w:w="1440"/>
            <w:shd w:fill="FAFAFA" w:val="clear"/>
          </w:tcPr>
          <w:p>
            <w:r>
              <w:rPr>
                <w:sz w:val="17"/>
              </w:rPr>
              <w:t>3,033</w:t>
            </w:r>
          </w:p>
        </w:tc>
        <w:tc>
          <w:tcPr>
            <w:tcW w:type="dxa" w:w="1440"/>
            <w:shd w:fill="FAFAFA" w:val="clear"/>
          </w:tcPr>
          <w:p>
            <w:r>
              <w:rPr>
                <w:b/>
                <w:color w:val="008000"/>
                <w:sz w:val="17"/>
              </w:rPr>
              <w:t>+1.5%</w:t>
            </w:r>
          </w:p>
        </w:tc>
      </w:tr>
      <w:tr>
        <w:tc>
          <w:tcPr>
            <w:tcW w:type="dxa" w:w="1440"/>
            <w:shd w:fill="FAFAFA" w:val="clear"/>
          </w:tcPr>
          <w:p>
            <w:r>
              <w:rPr>
                <w:sz w:val="17"/>
              </w:rPr>
              <w:t>J+3  Moyenne</w:t>
            </w:r>
          </w:p>
        </w:tc>
        <w:tc>
          <w:tcPr>
            <w:tcW w:type="dxa" w:w="1440"/>
            <w:shd w:fill="FAFAFA" w:val="clear"/>
          </w:tcPr>
          <w:p>
            <w:r>
              <w:rPr>
                <w:sz w:val="17"/>
              </w:rPr>
              <w:t>2026-09-28</w:t>
            </w:r>
          </w:p>
        </w:tc>
        <w:tc>
          <w:tcPr>
            <w:tcW w:type="dxa" w:w="1440"/>
            <w:shd w:fill="FAFAFA" w:val="clear"/>
          </w:tcPr>
          <w:p>
            <w:r>
              <w:rPr>
                <w:sz w:val="17"/>
              </w:rPr>
              <w:t>2,617</w:t>
            </w:r>
          </w:p>
        </w:tc>
        <w:tc>
          <w:tcPr>
            <w:tcW w:type="dxa" w:w="1440"/>
            <w:shd w:fill="FAFAFA" w:val="clear"/>
          </w:tcPr>
          <w:p>
            <w:r>
              <w:rPr>
                <w:b/>
                <w:sz w:val="17"/>
              </w:rPr>
              <w:t>2,854</w:t>
            </w:r>
          </w:p>
        </w:tc>
        <w:tc>
          <w:tcPr>
            <w:tcW w:type="dxa" w:w="1440"/>
            <w:shd w:fill="FAFAFA" w:val="clear"/>
          </w:tcPr>
          <w:p>
            <w:r>
              <w:rPr>
                <w:sz w:val="17"/>
              </w:rPr>
              <w:t>3,090</w:t>
            </w:r>
          </w:p>
        </w:tc>
        <w:tc>
          <w:tcPr>
            <w:tcW w:type="dxa" w:w="1440"/>
            <w:shd w:fill="FAFAFA" w:val="clear"/>
          </w:tcPr>
          <w:p>
            <w:r>
              <w:rPr>
                <w:b/>
                <w:color w:val="008000"/>
                <w:sz w:val="17"/>
              </w:rPr>
              <w:t>+1.9%</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2,588</w:t>
            </w:r>
          </w:p>
        </w:tc>
        <w:tc>
          <w:tcPr>
            <w:tcW w:type="dxa" w:w="1440"/>
            <w:shd w:fill="C6EFCE" w:val="clear"/>
          </w:tcPr>
          <w:p>
            <w:r>
              <w:rPr>
                <w:b/>
                <w:sz w:val="17"/>
              </w:rPr>
              <w:t>2,862</w:t>
            </w:r>
          </w:p>
        </w:tc>
        <w:tc>
          <w:tcPr>
            <w:tcW w:type="dxa" w:w="1440"/>
            <w:shd w:fill="C6EFCE" w:val="clear"/>
          </w:tcPr>
          <w:p>
            <w:r>
              <w:rPr>
                <w:sz w:val="17"/>
              </w:rPr>
              <w:t>3,136</w:t>
            </w:r>
          </w:p>
        </w:tc>
        <w:tc>
          <w:tcPr>
            <w:tcW w:type="dxa" w:w="1440"/>
            <w:shd w:fill="C6EFCE" w:val="clear"/>
          </w:tcPr>
          <w:p>
            <w:r>
              <w:rPr>
                <w:b/>
                <w:color w:val="008000"/>
                <w:sz w:val="17"/>
              </w:rPr>
              <w:t>+2.2%</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2,561</w:t>
            </w:r>
          </w:p>
        </w:tc>
        <w:tc>
          <w:tcPr>
            <w:tcW w:type="dxa" w:w="1440"/>
            <w:shd w:fill="C6EFCE" w:val="clear"/>
          </w:tcPr>
          <w:p>
            <w:r>
              <w:rPr>
                <w:b/>
                <w:sz w:val="17"/>
              </w:rPr>
              <w:t>2,867</w:t>
            </w:r>
          </w:p>
        </w:tc>
        <w:tc>
          <w:tcPr>
            <w:tcW w:type="dxa" w:w="1440"/>
            <w:shd w:fill="C6EFCE" w:val="clear"/>
          </w:tcPr>
          <w:p>
            <w:r>
              <w:rPr>
                <w:sz w:val="17"/>
              </w:rPr>
              <w:t>3,174</w:t>
            </w:r>
          </w:p>
        </w:tc>
        <w:tc>
          <w:tcPr>
            <w:tcW w:type="dxa" w:w="1440"/>
            <w:shd w:fill="C6EFCE" w:val="clear"/>
          </w:tcPr>
          <w:p>
            <w:r>
              <w:rPr>
                <w:b/>
                <w:color w:val="008000"/>
                <w:sz w:val="17"/>
              </w:rPr>
              <w:t>+2.4%</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2,535</w:t>
            </w:r>
          </w:p>
        </w:tc>
        <w:tc>
          <w:tcPr>
            <w:tcW w:type="dxa" w:w="1440"/>
            <w:shd w:fill="C6EFCE" w:val="clear"/>
          </w:tcPr>
          <w:p>
            <w:r>
              <w:rPr>
                <w:b/>
                <w:sz w:val="17"/>
              </w:rPr>
              <w:t>2,872</w:t>
            </w:r>
          </w:p>
        </w:tc>
        <w:tc>
          <w:tcPr>
            <w:tcW w:type="dxa" w:w="1440"/>
            <w:shd w:fill="C6EFCE" w:val="clear"/>
          </w:tcPr>
          <w:p>
            <w:r>
              <w:rPr>
                <w:sz w:val="17"/>
              </w:rPr>
              <w:t>3,209</w:t>
            </w:r>
          </w:p>
        </w:tc>
        <w:tc>
          <w:tcPr>
            <w:tcW w:type="dxa" w:w="1440"/>
            <w:shd w:fill="C6EFCE" w:val="clear"/>
          </w:tcPr>
          <w:p>
            <w:r>
              <w:rPr>
                <w:b/>
                <w:color w:val="008000"/>
                <w:sz w:val="17"/>
              </w:rPr>
              <w:t>+2.6%</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2,512</w:t>
            </w:r>
          </w:p>
        </w:tc>
        <w:tc>
          <w:tcPr>
            <w:tcW w:type="dxa" w:w="1440"/>
            <w:shd w:fill="C6EFCE" w:val="clear"/>
          </w:tcPr>
          <w:p>
            <w:r>
              <w:rPr>
                <w:b/>
                <w:sz w:val="17"/>
              </w:rPr>
              <w:t>2,876</w:t>
            </w:r>
          </w:p>
        </w:tc>
        <w:tc>
          <w:tcPr>
            <w:tcW w:type="dxa" w:w="1440"/>
            <w:shd w:fill="C6EFCE" w:val="clear"/>
          </w:tcPr>
          <w:p>
            <w:r>
              <w:rPr>
                <w:sz w:val="17"/>
              </w:rPr>
              <w:t>3,240</w:t>
            </w:r>
          </w:p>
        </w:tc>
        <w:tc>
          <w:tcPr>
            <w:tcW w:type="dxa" w:w="1440"/>
            <w:shd w:fill="C6EFCE" w:val="clear"/>
          </w:tcPr>
          <w:p>
            <w:r>
              <w:rPr>
                <w:b/>
                <w:color w:val="008000"/>
                <w:sz w:val="17"/>
              </w:rPr>
              <w:t>+2.7%</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2,489</w:t>
            </w:r>
          </w:p>
        </w:tc>
        <w:tc>
          <w:tcPr>
            <w:tcW w:type="dxa" w:w="1440"/>
            <w:shd w:fill="C6EFCE" w:val="clear"/>
          </w:tcPr>
          <w:p>
            <w:r>
              <w:rPr>
                <w:b/>
                <w:sz w:val="17"/>
              </w:rPr>
              <w:t>2,879</w:t>
            </w:r>
          </w:p>
        </w:tc>
        <w:tc>
          <w:tcPr>
            <w:tcW w:type="dxa" w:w="1440"/>
            <w:shd w:fill="C6EFCE" w:val="clear"/>
          </w:tcPr>
          <w:p>
            <w:r>
              <w:rPr>
                <w:sz w:val="17"/>
              </w:rPr>
              <w:t>3,269</w:t>
            </w:r>
          </w:p>
        </w:tc>
        <w:tc>
          <w:tcPr>
            <w:tcW w:type="dxa" w:w="1440"/>
            <w:shd w:fill="C6EFCE" w:val="clear"/>
          </w:tcPr>
          <w:p>
            <w:r>
              <w:rPr>
                <w:b/>
                <w:color w:val="008000"/>
                <w:sz w:val="17"/>
              </w:rPr>
              <w:t>+2.8%</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2,469</w:t>
            </w:r>
          </w:p>
        </w:tc>
        <w:tc>
          <w:tcPr>
            <w:tcW w:type="dxa" w:w="1440"/>
            <w:shd w:fill="C6EFCE" w:val="clear"/>
          </w:tcPr>
          <w:p>
            <w:r>
              <w:rPr>
                <w:b/>
                <w:sz w:val="17"/>
              </w:rPr>
              <w:t>2,883</w:t>
            </w:r>
          </w:p>
        </w:tc>
        <w:tc>
          <w:tcPr>
            <w:tcW w:type="dxa" w:w="1440"/>
            <w:shd w:fill="C6EFCE" w:val="clear"/>
          </w:tcPr>
          <w:p>
            <w:r>
              <w:rPr>
                <w:sz w:val="17"/>
              </w:rPr>
              <w:t>3,297</w:t>
            </w:r>
          </w:p>
        </w:tc>
        <w:tc>
          <w:tcPr>
            <w:tcW w:type="dxa" w:w="1440"/>
            <w:shd w:fill="C6EFCE" w:val="clear"/>
          </w:tcPr>
          <w:p>
            <w:r>
              <w:rPr>
                <w:b/>
                <w:color w:val="008000"/>
                <w:sz w:val="17"/>
              </w:rPr>
              <w:t>+3.0%</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2,449</w:t>
            </w:r>
          </w:p>
        </w:tc>
        <w:tc>
          <w:tcPr>
            <w:tcW w:type="dxa" w:w="1440"/>
            <w:shd w:fill="C6EFCE" w:val="clear"/>
          </w:tcPr>
          <w:p>
            <w:r>
              <w:rPr>
                <w:b/>
                <w:sz w:val="17"/>
              </w:rPr>
              <w:t>2,886</w:t>
            </w:r>
          </w:p>
        </w:tc>
        <w:tc>
          <w:tcPr>
            <w:tcW w:type="dxa" w:w="1440"/>
            <w:shd w:fill="C6EFCE" w:val="clear"/>
          </w:tcPr>
          <w:p>
            <w:r>
              <w:rPr>
                <w:sz w:val="17"/>
              </w:rPr>
              <w:t>3,323</w:t>
            </w:r>
          </w:p>
        </w:tc>
        <w:tc>
          <w:tcPr>
            <w:tcW w:type="dxa" w:w="1440"/>
            <w:shd w:fill="C6EFCE" w:val="clear"/>
          </w:tcPr>
          <w:p>
            <w:r>
              <w:rPr>
                <w:b/>
                <w:color w:val="008000"/>
                <w:sz w:val="17"/>
              </w:rPr>
              <w:t>+3.1%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152,42 milliards FCFA, SDSC s'impose comme une valeur de premier plan de la cote BRVM, représentant un poids significatif dans l'indice sectoriel du transport et de la logistique. Le BPA de 387 FCFA/action (exercice 2024) signifie que chaque titre génère près de 387 FCFA de bénéfice net, ce qui, rapporté au cours actuel de 2 800 FCFA, donne un PER de 7,2x — nettement inférieur à la moyenne BRVM (8-12x), suggérant une sous-évaluation apparente sur la base des bénéfices historiques. Le P/B de 1,96x indique que le marché valorise la société à près du double de sa valeur comptable, ce qui reste raisonnable pour une entreprise à forte intensité capitalistique et à rentabilité des fonds propres élevée (ROE 27,1% en 2024). En revanche, l'EV/EBITDA de 32,9x apparaît très exigeant (&gt;15x), traduisant une valorisation d'entreprise tendue par rapport à la capacité opérationnelle de génération de cash — ce qui s'explique par la structure atypique du résultat 2024, gonflé par des dividendes de filiales plutôt que par l'exploitation courante.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+57,75%, passant d'un plus bas de 1 650 FCFA à un plus haut de 3 205 FCFA, avant de clôturer à 2 800 FCFA, en repli de -1,41% sur la dernière séance. Ce range de trading de 1 555 FCFA (soit près du double du plus bas) témoigne d'une tendance nettement haussière, portée par un volume moyen quotidien de 18 543 titres, signe d'un intérêt soutenu des investisseurs. Les statistiques descriptives révèlent une moyenne de 2 418 FCFA légèrement inférieure à la médiane de 2 508 FCFA, avec un mode à 2 700 FCFA : cet écart modéré indique une distribution quasi symétrique, confirmée par un skewness de -0,290 (léger étalement vers la gauche, sans asymétrie marquée). L'écart-type de 448 FCFA (CV=18,5%) traduit une dispersion modérée du cours autour de sa moyenne, tandis que le kurtosis de -1,108 (distribution platykurtique) signale une faible concentration des rendements et un risque de pics extrêmes limité — profil rassurant pour un investisseur. La volatilité annualisée de 52,1% classe toutefois le titre dans la catégorie des valeurs à volatilité élevée (&gt;30%), ce qui implique un risque de marché significatif et justifie une approche prudente en termes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(2 962,25 FCFA) et la MM50 (2 786,30 FCFA) encadrent le cours actuel de 2 800 FCFA, qui se situe juste au-dessus de la MM50 mais sous la MM20. Cette configuration indique une tendance haussière de moyen terme (MM50 ascendante) mais un essoufflement récent (cours sous MM20), ce qui justifie la décision « Achat » sur la base du croisement MM20 &gt; MM50, bien que le momentum court terme soit fragilisé.</w:t>
      </w:r>
    </w:p>
    <w:p>
      <w:pPr>
        <w:spacing w:after="120" w:line="276" w:lineRule="auto"/>
      </w:pPr>
      <w:r>
        <w:t>**Bandes de Bollinger** : Le cours (2 800 FCFA) évolue dans la partie médiane de la bande, entre la borne inférieure (2 661,02 FCFA) et la borne supérieure (3 263,48 FCFA), à distance équivalente des deux bornes. Cette position centrale, combinée à un écart-type élevé, traduit une volatilité importante sans signal directionnel clair, d'où la décision « Neutre » — le marché est en phase de consolidation après le rallye.</w:t>
      </w:r>
    </w:p>
    <w:p>
      <w:pPr>
        <w:spacing w:after="120" w:line="276" w:lineRule="auto"/>
      </w:pPr>
      <w:r>
        <w:t>**MACD** : La valeur du MACD (33,902) est nettement inférieure à son signal (76,244), générant un croisement baissier et un momentum négatif. Cette divergence indique que la dynamique haussière s'essouffle et que la pression vendeuse prend le dessus à court terme, justifiant la décision « Vente » — signal de prudence après la forte hausse.</w:t>
      </w:r>
    </w:p>
    <w:p>
      <w:pPr>
        <w:spacing w:after="120" w:line="276" w:lineRule="auto"/>
      </w:pPr>
      <w:r>
        <w:t>**RSI** : À 34,043, le RSI se situe dans la zone neutre basse (30-70), proche du seuil de survente (30) sans l'atteindre. Cette valeur signale que le titre n'est ni suracheté ni survendu, mais que la pression baissière récente a ramené le momentum à un niveau proche d'un point de retournement potentiel, d'où la décision « Neutre ».</w:t>
      </w:r>
    </w:p>
    <w:p>
      <w:pPr>
        <w:spacing w:after="120" w:line="276" w:lineRule="auto"/>
      </w:pPr>
      <w:r>
        <w:t>**Stochastique** : Le %K (0,0) est au plus bas absolu, tandis que le %D (3,292) reste également très bas, avec un croisement %K sous %D qui confirme la faiblesse court terme. Cependant, la position extrême du %K en zone de survente profonde suggère un rebond technique imminent, ce qui explique la décision « Achat » — signal contrarien de retournement.</w:t>
      </w:r>
    </w:p>
    <w:p>
      <w:pPr>
        <w:spacing w:after="120" w:line="276" w:lineRule="auto"/>
      </w:pPr>
      <w:r>
        <w:t>**Conclusion technique** : Les indicateurs présentent un tableau mitigé : les moyennes mobiles restent haussières (MM20 &gt; MM50), mais le MACD est baissier et le RSI neutre, tandis que le stochastique en survente extrême plaide pour un rebond à court terme. Cette divergence entre tendance de fond (haussière) et momentum immédiat (baissier) suggère une phase de consolidation avant une reprise éventuelle, avec un risque de correction supplémentaire vers la borne inférieure des Bollinger (2 661 FCFA) si le support de la MM50 ne tient pas.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2024, SDSC (AGL Côte d'Ivoire) affichait un chiffre d'affaires de 85,643 milliards FCFA, un résultat net de 21,069 milliards FCFA, un ROE de 27,08% et un ROA de 11,20% — des niveaux de rentabilité excellents qui expliquent la confiance du marché. Toutefois, les états financiers 2025 (rapport du 31/12/2025, analysé le 05/08/2026) révèlent une dégradation brutale : le CA progresse de +7,43% à 92,004 milliards FCFA, mais le résultat net s'effondre à 784,97 millions FCFA (-96%), avec un résultat d'exploitation négatif de -2,271 milliards FCFA et une marge nette tombée à 0,85%. Cette contre-performance s'explique par la hausse des dotations aux amortissements (+41%), la progression des charges de personnel, et surtout la chute des dividendes reçus des filiales (7,08 milliards FCFA en 2025 contre 20,87 milliards en 2024), qui avaient artificiellement gonflé le résultat 2024. Le rapport du T3 2025 (30/09/2025) confirme cette tendance : le résultat net trimestriel chute de -77% à 4,341 milliards FCFA, toujours en raison de la non-répétition des dividendes exceptionnels des filiales, tandis que l'activité opérationnelle reste contrastée (cacao +5%, cajou +29%, mais ralentissement du transit import et des projets miniers). Le rapport du S1 2025 (30/06/2025) faisait déjà état d'un résultat net négatif de -427 millions FCFA, avec un résultat d'exploitation déficitaire de -662 millions FCFA, confirmant que la rentabilité récurrente est structurellement faible. Sur le plan bilanciel, la trésorerie nette progresse à 74,78 milliards FCFA en 2025, mais le BFR explose (+75,7 milliards FCFA), absorbant une partie de cette liquidité, et l'endettement d'exploitation s'accroît fortement. Le dividende proposé chute de -89% à 544,35 millions FCFA (soit un taux de distribution de 69,3% du résultat net), signalant une réduction drastique de la rémunération des actionnaires. En synthèse, la solidité financière (capitaux propres de 73,55 milliards FCFA, autonomie financière de 41,36%) et la croissance du CA (+7,4%) constituent des points d'appui, mais l'effondrement de la rentabilité opérationnelle et la dépendance aux revenus financiers exceptionnels représentent des risques majeurs. La recommandation fondamentale est de **CONSERVER** le titre, en surveillant la capacité de la direction à restaurer les marges opérationnelles au premier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SDSC présente un profil contrasté : le PER de 7,2x suggère une sous-évaluation sur la base des bénéfices 2024, mais l'EV/EBITDA de 32,9x et la chute de -96% du résultat net 2025 relativisent fortement cet attrait — le marché paie cher une capacité bénéficiaire qui s'est effondrée. Le comportement du cours sur 100 jours est nettement haussier (+57,75%), avec une volatilité élevée (52,1%) et une distribution platykurtique (kurtosis -1,108) qui limite le risque de pics extrêmes, mais le repli de -1,41% en J-1 et la position sous la MM20 signalent un essoufflement. Les signaux techniques sont divergents : les moyennes mobiles restent haussières (MM20 &gt; MM50), mais le MACD est baissier et le RSI neutre, tandis que le stochastique en survente extrême (%K=0,0) plaide pour un rebond à court terme — cette configuration suggère une consolidation avant une reprise éventuelle. Les fondamentaux 2025 sont préoccupants (marge nette de 0,85%, résultat d'exploitation négatif, dividende en chute de -89%), mais la croissance du CA (+7,4%) et la trésorerie abondante (74,78 milliards FCFA) offrent des perspectives de redressement si les charges sont maîtrisées. Les prédictions IA (J+1 à J+10) tablent sur une trajectoire haussière modérée, de 2 822 FCFA à 2 867 FCFA, ce qui confirme le scénario d'un rebond technique sans emballement. Sur la base de cette synthèse, la recommandation finale est **CONSERVER**, avec un niveau de confiance **Moyen** et un risque global **Élevé** — la convergence entre technique (rebond attendu), fondamental (solidité bilancielle mais rentabilité dégradée) et prédiction (hausse modérée) ne justifie ni un achat agressif ni une vente panique. L'horizon d'investissement optimal est le **moyen terme (3-12 mois)**, en surveillant les prochains rapports trimestriels (T1 2026) pour confirmer la reprise opérationnelle et la stabilisation des marges.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β=1.1231 (Neutre (suit le marché)) — Cov=0.000040, Var(idx)=0.000036, ρ=0.232, n=95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2026-09-24</w:t>
            </w:r>
          </w:p>
        </w:tc>
        <w:tc>
          <w:tcPr>
            <w:tcW w:type="dxa" w:w="1440"/>
            <w:shd w:fill="FFDCE0" w:val="clear"/>
          </w:tcPr>
          <w:p>
            <w:r>
              <w:rPr>
                <w:sz w:val="17"/>
              </w:rPr>
              <w:t>1,290</w:t>
            </w:r>
          </w:p>
        </w:tc>
        <w:tc>
          <w:tcPr>
            <w:tcW w:type="dxa" w:w="1440"/>
            <w:shd w:fill="FFDCE0" w:val="clear"/>
          </w:tcPr>
          <w:p>
            <w:r>
              <w:rPr>
                <w:b/>
                <w:sz w:val="17"/>
              </w:rPr>
              <w:t>1,461</w:t>
            </w:r>
          </w:p>
        </w:tc>
        <w:tc>
          <w:tcPr>
            <w:tcW w:type="dxa" w:w="1440"/>
            <w:shd w:fill="FFDCE0" w:val="clear"/>
          </w:tcPr>
          <w:p>
            <w:r>
              <w:rPr>
                <w:sz w:val="17"/>
              </w:rPr>
              <w:t>1,632</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2026-09-25</w:t>
            </w:r>
          </w:p>
        </w:tc>
        <w:tc>
          <w:tcPr>
            <w:tcW w:type="dxa" w:w="1440"/>
            <w:shd w:fill="FFDCE0" w:val="clear"/>
          </w:tcPr>
          <w:p>
            <w:r>
              <w:rPr>
                <w:sz w:val="17"/>
              </w:rPr>
              <w:t>1,272</w:t>
            </w:r>
          </w:p>
        </w:tc>
        <w:tc>
          <w:tcPr>
            <w:tcW w:type="dxa" w:w="1440"/>
            <w:shd w:fill="FFDCE0" w:val="clear"/>
          </w:tcPr>
          <w:p>
            <w:r>
              <w:rPr>
                <w:b/>
                <w:sz w:val="17"/>
              </w:rPr>
              <w:t>1,454</w:t>
            </w:r>
          </w:p>
        </w:tc>
        <w:tc>
          <w:tcPr>
            <w:tcW w:type="dxa" w:w="1440"/>
            <w:shd w:fill="FFDCE0" w:val="clear"/>
          </w:tcPr>
          <w:p>
            <w:r>
              <w:rPr>
                <w:sz w:val="17"/>
              </w:rPr>
              <w:t>1,636</w:t>
            </w:r>
          </w:p>
        </w:tc>
        <w:tc>
          <w:tcPr>
            <w:tcW w:type="dxa" w:w="1440"/>
            <w:shd w:fill="FFDCE0" w:val="clear"/>
          </w:tcPr>
          <w:p>
            <w:r>
              <w:rPr>
                <w:b/>
                <w:color w:val="C00000"/>
                <w:sz w:val="17"/>
              </w:rPr>
              <w:t>-2.8%</w:t>
            </w:r>
          </w:p>
        </w:tc>
      </w:tr>
      <w:tr>
        <w:tc>
          <w:tcPr>
            <w:tcW w:type="dxa" w:w="1440"/>
            <w:shd w:fill="FFDCE0" w:val="clear"/>
          </w:tcPr>
          <w:p>
            <w:r>
              <w:rPr>
                <w:sz w:val="17"/>
              </w:rPr>
              <w:t>J+3  ⭐</w:t>
            </w:r>
          </w:p>
        </w:tc>
        <w:tc>
          <w:tcPr>
            <w:tcW w:type="dxa" w:w="1440"/>
            <w:shd w:fill="FFDCE0" w:val="clear"/>
          </w:tcPr>
          <w:p>
            <w:r>
              <w:rPr>
                <w:sz w:val="17"/>
              </w:rPr>
              <w:t>2026-09-28</w:t>
            </w:r>
          </w:p>
        </w:tc>
        <w:tc>
          <w:tcPr>
            <w:tcW w:type="dxa" w:w="1440"/>
            <w:shd w:fill="FFDCE0" w:val="clear"/>
          </w:tcPr>
          <w:p>
            <w:r>
              <w:rPr>
                <w:sz w:val="17"/>
              </w:rPr>
              <w:t>1,255</w:t>
            </w:r>
          </w:p>
        </w:tc>
        <w:tc>
          <w:tcPr>
            <w:tcW w:type="dxa" w:w="1440"/>
            <w:shd w:fill="FFDCE0" w:val="clear"/>
          </w:tcPr>
          <w:p>
            <w:r>
              <w:rPr>
                <w:b/>
                <w:sz w:val="17"/>
              </w:rPr>
              <w:t>1,447</w:t>
            </w:r>
          </w:p>
        </w:tc>
        <w:tc>
          <w:tcPr>
            <w:tcW w:type="dxa" w:w="1440"/>
            <w:shd w:fill="FFDCE0" w:val="clear"/>
          </w:tcPr>
          <w:p>
            <w:r>
              <w:rPr>
                <w:sz w:val="17"/>
              </w:rPr>
              <w:t>1,639</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2026-09-29</w:t>
            </w:r>
          </w:p>
        </w:tc>
        <w:tc>
          <w:tcPr>
            <w:tcW w:type="dxa" w:w="1440"/>
            <w:shd w:fill="FFDCE0" w:val="clear"/>
          </w:tcPr>
          <w:p>
            <w:r>
              <w:rPr>
                <w:sz w:val="17"/>
              </w:rPr>
              <w:t>1,238</w:t>
            </w:r>
          </w:p>
        </w:tc>
        <w:tc>
          <w:tcPr>
            <w:tcW w:type="dxa" w:w="1440"/>
            <w:shd w:fill="FFDCE0" w:val="clear"/>
          </w:tcPr>
          <w:p>
            <w:r>
              <w:rPr>
                <w:b/>
                <w:sz w:val="17"/>
              </w:rPr>
              <w:t>1,440</w:t>
            </w:r>
          </w:p>
        </w:tc>
        <w:tc>
          <w:tcPr>
            <w:tcW w:type="dxa" w:w="1440"/>
            <w:shd w:fill="FFDCE0" w:val="clear"/>
          </w:tcPr>
          <w:p>
            <w:r>
              <w:rPr>
                <w:sz w:val="17"/>
              </w:rPr>
              <w:t>1,642</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SEMC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classe parmi les valeurs moyennes du compartiment industriel. Les ratios de valorisation classiques (BPA, PER, P/B, EV/EBITDA) ne sont pas calculables en l'état, faute de données financières structurées exploitables dans la base — situation fréquente sur la BRVM pour les sociétés dont la publication financière n'est pas intégrée aux flux automatisés. Toutefois, les rapports narratifs fournis permettent d'extraire des éléments de valorisation implicites : avec un résultat net 2023 de 1,01 milliard FCFA (rapport du 31/12/2023) et une capitalisation de 37,66 milliards FCFA, le PER implicite ressort à environ 37x, soit un niveau très supérieur à la moyenne BRVM (8-12x), signalant une valorisation tendue au regard des bénéfices actuels. À l'inverse, le rapport 2022 faisait état d'un résultat net de 3,86 milliards FCFA, ce qui ramènerait le PER implicite à environ 10x — dans la moyenne du marché — illustrant la dégradation brutale de la rentabilité entre les deux exercices. L'investisseur doit donc retenir que la valorisation actuelle n'est soutenable que si la reprise annoncée pour 2024 (objectif CA +18%) se matérialise.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avec une dernière séance en repli de -1,64%, confirmant une tendance baissière persistante. Le cours actuel de 1 495 FCFA se situe dans la partie basse du range de trading établi entre 1 350 FCFA (plus bas) et 1 800 FCFA (plus haut), soit un amplitude de 450 FCFA (33% du plus bas) qui témoigne d'une réelle nervosité du titre. La moyenne (1 527 FCFA) est légèrement supérieure à la médiane (1 520 FCFA), avec un mode à 1 500 FCFA : cet écart faible mais positif indique une distribution quasi symétrique, légèrement tirée vers le haut par quelques séances de rebond, cohérent avec le skewness positif de 0,558 qui signale davantage de journées sous la moyenne que de journées exceptionnellement haussières. L'écart-type de 69 FCFA et le coefficient de variation de 4,5% traduisent une dispersion modérée en valeur relative, mais le kurtosis de 1,652 (leptokurtique) révèle des queues épaisses : le risque de pics de volatilité brutaux est significatif, ce qui est préoccupant pour un titre déjà en tendance baissière. Enfin, la volatilité annualisée de 47,2% classe SEMC dans la catégorie des titres à volatilité élevée (&gt;30%), bien au-dessus de la moyenne du marché BRVM, ce qui implique un risque de perte en capital important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(1 499,20 FCFA), et le cours actuel (1 495 FCFA) se situe sous les deux moyennes. Cette configuration — cours sous MM20 et MM50, mais MM20 &gt; MM50 — est ambiguë : elle traduit un croisement haussier récent des moyennes (d'où la décision "Achat" fournie), mais le fait que le cours soit repassé sous ces deux niveaux affaiblit considérablement ce signal, qui pourrait n'être qu'un faux signal dans une tendance baissière plus large.</w:t>
      </w:r>
    </w:p>
    <w:p>
      <w:pPr>
        <w:spacing w:after="120" w:line="276" w:lineRule="auto"/>
      </w:pPr>
      <w:r>
        <w:t>**Bandes de Bollinger** : Le cours (1 495 FCFA) se situe dans la moitié inférieure de la bande, entre la borne inférieure (1 459,69 FCFA) et la borne supérieure (1 621,81 FCFA), mais plus proche de la borne basse. La décision "Neutre" est cohérente : le cours n'est ni en survente extrême (qui justifierait un achat), ni en surachat, et la largeur des bandes (162 FCFA) indique une volatilité encore présente mais sans expansion significative.</w:t>
      </w:r>
    </w:p>
    <w:p>
      <w:pPr>
        <w:spacing w:after="120" w:line="276" w:lineRule="auto"/>
      </w:pPr>
      <w:r>
        <w:t>**MACD** : La valeur du MACD (6,191) est inférieure à son signal (10,049), ce qui confirme une divergence baissière et un momentum négatif. La décision "Vente" est justifiée : la ligne MACD est en train de passer sous sa ligne de signal, signal classique de retournement baissier ou de poursuite de la baisse, ce qui contredit le signal "Achat" des moyennes mobiles.</w:t>
      </w:r>
    </w:p>
    <w:p>
      <w:pPr>
        <w:spacing w:after="120" w:line="276" w:lineRule="auto"/>
      </w:pPr>
      <w:r>
        <w:t>**RSI** : À 49,533, le RSI se situe exactement dans la zone neutre (30-70), sans signal de surachat ni de survente. La décision "Neutre" est appropriée : le titre n'est ni dans une zone d'achat opportuniste (RSI &lt; 30), ni dans une zone de prudence excessive (RSI &gt; 70), ce qui reflète l'absence de direction claire à court terme.</w:t>
      </w:r>
    </w:p>
    <w:p>
      <w:pPr>
        <w:spacing w:after="120" w:line="276" w:lineRule="auto"/>
      </w:pPr>
      <w:r>
        <w:t>**Stochastique** : Le %K (34,615) est inférieur au %D (57,692), et les deux se situent dans la zone basse (proche de 20-30 pour le %K). La décision "Neutre" masque un signal baissier : le croisement %K sous %D en zone basse indique une pression vendeuse persistante, sans encore atteindre la zone de survente (&lt;20) qui déclencherait un signal d'achat contrarien.</w:t>
      </w:r>
    </w:p>
    <w:p>
      <w:pPr>
        <w:spacing w:after="120" w:line="276" w:lineRule="auto"/>
      </w:pPr>
      <w:r>
        <w:t>**Conclusion technique** : Les indicateurs sont majoritairement baissiers ou neutres (MACD en vente, stochastique baissier, cours sous les moyennes mobiles), avec un seul signal haussier isolé (croisement MM20 &gt; MM50) qui apparaît fragile car contredit par le positionnement du cours. La convergence des signaux négatifs (MACD, stochastique, position du cours) suggère que la pression baissière n'est pas terminée, et le signal "Achat" des moyennes mobiles doit être interprété avec prudence, probablement comme un artefact technique plutôt qu'un véritable retournement.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ne sont pas disponibles dans la base, mais les rapports narratifs officiels fournissent des éléments fondamentaux essentiels, qu'il convient d'analyser avec la prudence qui s'impose puisque les rapports les plus récents datent du 31/12/2023 (exercice 2023) et sont donc antérieurs à 2025. Le rapport du 31/12/2023 (analysé par MISTRAL) révèle une situation contrastée : le chiffre d'affaires 2023 s'établit à 27,88 milliards FCFA, en baisse de 6% par rapport aux 29,60 milliards FCFA de 2022, et le résultat net chute de 74% à 1,01 milliard FCFA (contre 3,86 milliards en 2022), avec une marge nette qui s'effondre de 13,0% à 3,6%. Cette dégradation s'explique par la perte de clients clés (AIRONE, secteur tomate), la concurrence des emballages PET et la baisse des volumes (-12%). Un second rapport du 31/12/2023 (analysé par MISTRAL) présente des chiffres différents (CA de 125,4 milliards FCFA et résultat net de 12,8 milliards FCFA pour 2023), ce qui suggère une confusion entre les entités du groupe ou une erreur de périmètre — l'analyste doit retenir les chiffres les plus prudents et les plus cohérents avec la capitalisation boursière (37,66 Mds FCFA), soit ceux du premier rapport (CA 27,88 Mds, RN 1,01 Md). Le rapport du 31/12/2022 (analysé par MISTRAL) indiquait déjà un CA de 125,4 milliards FCFA et un résultat net de 12,8 milliards FCFA, avec un ROE de 18,4% et un ROA de 9,2% — des niveaux de rentabilité qui semblent aujourd'hui inaccessibles au vu de l'effondrement de 2023. Le rapport du 1er trimestre 2023 (analysé par MISTRAL) montrait pourtant une dynamique positive (CA +16,5%, RN +37,9%, marge nette de 11,2%), ce qui suggère que la dégradation s'est produite en cours d'année 2023, probablement au second semestre. Les perspectives pour 2024 tablaient sur un objectif de CA de 32 milliards FCFA (+18%), porté par les bouchons couronnes (+61% en volume) et les exportations, mais cet objectif apparaît ambitieux dans un contexte de suspension de la cote BRVM (flottant insuffisant : 10,42% vs 15% requis) et de rachat par Sonoco Products Company (finalisé en décembre 2024), qui pourrait entraîner une réorganisation stratégique. En synthèse, la situation fondamentale de SEMC est fragile : la rentabilité s'est effondrée en 2023, la politique de dividende est suspendue (0 FCFA en 2023 comme en 2022), et les perspectives de reprise reposent sur des leviers incertains (nouveaux produits, synergies avec Sonoco, levée de la suspension BRVM). Le principal point d'appui reste la trésorerie solide (3,35 milliards FCFA) et l'absence de dividende qui préserve les capacités d'investissement, mais le risque opérationnel (dépendance clients, concurrence PET) et le risque de gouvernance (changement d'actionnaire) sont élevés.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de **VENTE** avec un niveau de confiance **Moyen** et un risque global **Élevé**. En effet, la valorisation implicite (Partie 0) apparaît tendue : avec un PER implicite d'environ 37x sur la base du résultat net 2023 (1,01 Md FCFA), le marché valorise SEMC bien au-dessus de la moyenne BRVM (8-12x), ce qui intègre déjà une reprise hypothétique et laisse peu de marge de sécurité. Le comportement du cours (Partie 1) est clairement baissier (-16,94% sur 100 jours, -1,64% en J-1), avec une volatilité élevée (47,2%) et un kurtosis leptokurtique (1,652) qui signale un risque de pics baissiers brutaux — des statistiques défavorables pour un investisseur cherchant la préservation du capital. Les signaux techniques (Partie 2) sont majoritairement négatifs (MACD en vente, stochastique baissier, cours sous les moyennes mobiles), le seul signal haussier (MM20 &gt; MM50) étant contredit par le positionnement du cours et la divergence MACD. Les fondamentaux (Partie 3) sont préoccupants : effondrement du résultat net 2023 (-74%), marge nette à 3,6%, dividende nul, suspension de la cote BRVM, et incertitudes liées au rachat par Sonoco — même si la trésorerie reste solide et que des leviers de reprise existent (bouchons couronnes, exportations). Enfin, les prédictions IA (J+1 à J+10) confirment la tendance baissière avec une trajectoire descendante de 1 461 FCFA à 1 440 FCFA, soit une baisse supplémentaire de -3,7% attendue à court terme, ce qui contredit le signal "Achat" des moyennes mobiles et valide les signaux baissiers du MACD et du stochastique. La convergence des quatre dimensions (valorisation tendue, technique baissière, fondamentaux dégradés, prédictions négatives) justifie une recommandation de vente, avec un horizon d'investissement court terme (&lt;3 mois) pour les investisseurs déjà positionnés, et une attitude d'évitement pour les nouveaux entrants. Un retournement de la recommandation vers "Conserver" ou "Achat" nécessiterait : (1) la confirmation d'une reprise du CA et des marges en 2024, (2) la levée de la suspension BRVM, (3) un retournement technique confirmé (cours &gt; MM20 et MM50, MACD &gt; signal), et (4) une valorisation ramenée à des niveaux plus raisonnables (PER &lt; 15x). En l'absence de ces catalyseurs, le titre reste exposé à une poursuite de la baisse.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1181.76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5,235 titres</w:t>
            </w:r>
          </w:p>
        </w:tc>
        <w:tc>
          <w:tcPr>
            <w:tcW w:type="dxa" w:w="2268"/>
            <w:shd w:fill="FFF2CC" w:val="clear"/>
          </w:tcPr>
          <w:p>
            <w:r>
              <w:rPr>
                <w:b/>
                <w:color w:val="503200"/>
                <w:sz w:val="16"/>
              </w:rPr>
              <w:t xml:space="preserve">Cours actuel : </w:t>
            </w:r>
            <w:r>
              <w:rPr>
                <w:color w:val="000000"/>
                <w:sz w:val="17"/>
              </w:rPr>
              <w:t>37,985 FCFA</w:t>
            </w:r>
          </w:p>
          <w:p>
            <w:r>
              <w:rPr>
                <w:b/>
                <w:color w:val="503200"/>
                <w:sz w:val="16"/>
              </w:rPr>
              <w:t xml:space="preserve">Var. 100 jours : </w:t>
            </w:r>
            <w:r>
              <w:rPr>
                <w:b/>
                <w:color w:val="007800"/>
                <w:sz w:val="17"/>
              </w:rPr>
              <w:t>+15.11%</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33,000 FCFA</w:t>
            </w:r>
          </w:p>
          <w:p>
            <w:r>
              <w:rPr>
                <w:b/>
                <w:color w:val="503200"/>
                <w:sz w:val="16"/>
              </w:rPr>
              <w:t xml:space="preserve">Volatilité ann. : </w:t>
            </w:r>
            <w:r>
              <w:rPr>
                <w:color w:val="000000"/>
                <w:sz w:val="17"/>
              </w:rPr>
              <w:t>22.7%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4.09% (Faible) — μ=37,823 FCFA, σ=1,547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β=0.6159 (Défensif) — Cov=0.000025, Var(idx)=0.000041, ρ=0.275,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σ_j=1.43%/j (Stable) — Vol. annualisée≈22.7%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36,817</w:t>
            </w:r>
          </w:p>
        </w:tc>
        <w:tc>
          <w:tcPr>
            <w:tcW w:type="dxa" w:w="1440"/>
            <w:shd w:fill="FAFAFA" w:val="clear"/>
          </w:tcPr>
          <w:p>
            <w:r>
              <w:rPr>
                <w:b/>
                <w:sz w:val="17"/>
              </w:rPr>
              <w:t>37,901</w:t>
            </w:r>
          </w:p>
        </w:tc>
        <w:tc>
          <w:tcPr>
            <w:tcW w:type="dxa" w:w="1440"/>
            <w:shd w:fill="FAFAFA" w:val="clear"/>
          </w:tcPr>
          <w:p>
            <w:r>
              <w:rPr>
                <w:sz w:val="17"/>
              </w:rPr>
              <w:t>38,985</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36,256</w:t>
            </w:r>
          </w:p>
        </w:tc>
        <w:tc>
          <w:tcPr>
            <w:tcW w:type="dxa" w:w="1440"/>
            <w:shd w:fill="FAFAFA" w:val="clear"/>
          </w:tcPr>
          <w:p>
            <w:r>
              <w:rPr>
                <w:b/>
                <w:sz w:val="17"/>
              </w:rPr>
              <w:t>37,785</w:t>
            </w:r>
          </w:p>
        </w:tc>
        <w:tc>
          <w:tcPr>
            <w:tcW w:type="dxa" w:w="1440"/>
            <w:shd w:fill="FAFAFA" w:val="clear"/>
          </w:tcPr>
          <w:p>
            <w:r>
              <w:rPr>
                <w:sz w:val="17"/>
              </w:rPr>
              <w:t>39,314</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2026-09-28</w:t>
            </w:r>
          </w:p>
        </w:tc>
        <w:tc>
          <w:tcPr>
            <w:tcW w:type="dxa" w:w="1440"/>
            <w:shd w:fill="FAFAFA" w:val="clear"/>
          </w:tcPr>
          <w:p>
            <w:r>
              <w:rPr>
                <w:sz w:val="17"/>
              </w:rPr>
              <w:t>35,807</w:t>
            </w:r>
          </w:p>
        </w:tc>
        <w:tc>
          <w:tcPr>
            <w:tcW w:type="dxa" w:w="1440"/>
            <w:shd w:fill="FAFAFA" w:val="clear"/>
          </w:tcPr>
          <w:p>
            <w:r>
              <w:rPr>
                <w:b/>
                <w:sz w:val="17"/>
              </w:rPr>
              <w:t>37,674</w:t>
            </w:r>
          </w:p>
        </w:tc>
        <w:tc>
          <w:tcPr>
            <w:tcW w:type="dxa" w:w="1440"/>
            <w:shd w:fill="FAFAFA" w:val="clear"/>
          </w:tcPr>
          <w:p>
            <w:r>
              <w:rPr>
                <w:sz w:val="17"/>
              </w:rPr>
              <w:t>39,540</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2026-09-29</w:t>
            </w:r>
          </w:p>
        </w:tc>
        <w:tc>
          <w:tcPr>
            <w:tcW w:type="dxa" w:w="1440"/>
            <w:shd w:fill="FAFAFA" w:val="clear"/>
          </w:tcPr>
          <w:p>
            <w:r>
              <w:rPr>
                <w:sz w:val="17"/>
              </w:rPr>
              <w:t>35,417</w:t>
            </w:r>
          </w:p>
        </w:tc>
        <w:tc>
          <w:tcPr>
            <w:tcW w:type="dxa" w:w="1440"/>
            <w:shd w:fill="FAFAFA" w:val="clear"/>
          </w:tcPr>
          <w:p>
            <w:r>
              <w:rPr>
                <w:b/>
                <w:sz w:val="17"/>
              </w:rPr>
              <w:t>37,567</w:t>
            </w:r>
          </w:p>
        </w:tc>
        <w:tc>
          <w:tcPr>
            <w:tcW w:type="dxa" w:w="1440"/>
            <w:shd w:fill="FAFAFA" w:val="clear"/>
          </w:tcPr>
          <w:p>
            <w:r>
              <w:rPr>
                <w:sz w:val="17"/>
              </w:rPr>
              <w:t>39,716</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2026-09-30</w:t>
            </w:r>
          </w:p>
        </w:tc>
        <w:tc>
          <w:tcPr>
            <w:tcW w:type="dxa" w:w="1440"/>
            <w:shd w:fill="FAFAFA" w:val="clear"/>
          </w:tcPr>
          <w:p>
            <w:r>
              <w:rPr>
                <w:sz w:val="17"/>
              </w:rPr>
              <w:t>35,066</w:t>
            </w:r>
          </w:p>
        </w:tc>
        <w:tc>
          <w:tcPr>
            <w:tcW w:type="dxa" w:w="1440"/>
            <w:shd w:fill="FAFAFA" w:val="clear"/>
          </w:tcPr>
          <w:p>
            <w:r>
              <w:rPr>
                <w:b/>
                <w:sz w:val="17"/>
              </w:rPr>
              <w:t>37,462</w:t>
            </w:r>
          </w:p>
        </w:tc>
        <w:tc>
          <w:tcPr>
            <w:tcW w:type="dxa" w:w="1440"/>
            <w:shd w:fill="FAFAFA" w:val="clear"/>
          </w:tcPr>
          <w:p>
            <w:r>
              <w:rPr>
                <w:sz w:val="17"/>
              </w:rPr>
              <w:t>39,859</w:t>
            </w:r>
          </w:p>
        </w:tc>
        <w:tc>
          <w:tcPr>
            <w:tcW w:type="dxa" w:w="1440"/>
            <w:shd w:fill="FAFAFA" w:val="clear"/>
          </w:tcPr>
          <w:p>
            <w:r>
              <w:rPr>
                <w:b/>
                <w:color w:val="C00000"/>
                <w:sz w:val="17"/>
              </w:rPr>
              <w:t>-1.4%</w:t>
            </w:r>
          </w:p>
        </w:tc>
      </w:tr>
      <w:tr>
        <w:tc>
          <w:tcPr>
            <w:tcW w:type="dxa" w:w="1440"/>
            <w:shd w:fill="FAFAFA" w:val="clear"/>
          </w:tcPr>
          <w:p>
            <w:r>
              <w:rPr>
                <w:sz w:val="17"/>
              </w:rPr>
              <w:t>J+6  Moyenne</w:t>
            </w:r>
          </w:p>
        </w:tc>
        <w:tc>
          <w:tcPr>
            <w:tcW w:type="dxa" w:w="1440"/>
            <w:shd w:fill="FAFAFA" w:val="clear"/>
          </w:tcPr>
          <w:p>
            <w:r>
              <w:rPr>
                <w:sz w:val="17"/>
              </w:rPr>
              <w:t>2026-10-01</w:t>
            </w:r>
          </w:p>
        </w:tc>
        <w:tc>
          <w:tcPr>
            <w:tcW w:type="dxa" w:w="1440"/>
            <w:shd w:fill="FAFAFA" w:val="clear"/>
          </w:tcPr>
          <w:p>
            <w:r>
              <w:rPr>
                <w:sz w:val="17"/>
              </w:rPr>
              <w:t>34,742</w:t>
            </w:r>
          </w:p>
        </w:tc>
        <w:tc>
          <w:tcPr>
            <w:tcW w:type="dxa" w:w="1440"/>
            <w:shd w:fill="FAFAFA" w:val="clear"/>
          </w:tcPr>
          <w:p>
            <w:r>
              <w:rPr>
                <w:b/>
                <w:sz w:val="17"/>
              </w:rPr>
              <w:t>37,360</w:t>
            </w:r>
          </w:p>
        </w:tc>
        <w:tc>
          <w:tcPr>
            <w:tcW w:type="dxa" w:w="1440"/>
            <w:shd w:fill="FAFAFA" w:val="clear"/>
          </w:tcPr>
          <w:p>
            <w:r>
              <w:rPr>
                <w:sz w:val="17"/>
              </w:rPr>
              <w:t>39,978</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2026-10-02</w:t>
            </w:r>
          </w:p>
        </w:tc>
        <w:tc>
          <w:tcPr>
            <w:tcW w:type="dxa" w:w="1440"/>
            <w:shd w:fill="FAFAFA" w:val="clear"/>
          </w:tcPr>
          <w:p>
            <w:r>
              <w:rPr>
                <w:sz w:val="17"/>
              </w:rPr>
              <w:t>34,440</w:t>
            </w:r>
          </w:p>
        </w:tc>
        <w:tc>
          <w:tcPr>
            <w:tcW w:type="dxa" w:w="1440"/>
            <w:shd w:fill="FAFAFA" w:val="clear"/>
          </w:tcPr>
          <w:p>
            <w:r>
              <w:rPr>
                <w:b/>
                <w:sz w:val="17"/>
              </w:rPr>
              <w:t>37,260</w:t>
            </w:r>
          </w:p>
        </w:tc>
        <w:tc>
          <w:tcPr>
            <w:tcW w:type="dxa" w:w="1440"/>
            <w:shd w:fill="FAFAFA" w:val="clear"/>
          </w:tcPr>
          <w:p>
            <w:r>
              <w:rPr>
                <w:sz w:val="17"/>
              </w:rPr>
              <w:t>40,080</w:t>
            </w:r>
          </w:p>
        </w:tc>
        <w:tc>
          <w:tcPr>
            <w:tcW w:type="dxa" w:w="1440"/>
            <w:shd w:fill="FAFAFA" w:val="clear"/>
          </w:tcPr>
          <w:p>
            <w:r>
              <w:rPr>
                <w:b/>
                <w:color w:val="C00000"/>
                <w:sz w:val="17"/>
              </w:rPr>
              <w:t>-1.9%</w:t>
            </w:r>
          </w:p>
        </w:tc>
      </w:tr>
      <w:tr>
        <w:tc>
          <w:tcPr>
            <w:tcW w:type="dxa" w:w="1440"/>
            <w:shd w:fill="FFDCE0" w:val="clear"/>
          </w:tcPr>
          <w:p>
            <w:r>
              <w:rPr>
                <w:sz w:val="17"/>
              </w:rPr>
              <w:t>J+8  Moyenne</w:t>
            </w:r>
          </w:p>
        </w:tc>
        <w:tc>
          <w:tcPr>
            <w:tcW w:type="dxa" w:w="1440"/>
            <w:shd w:fill="FFDCE0" w:val="clear"/>
          </w:tcPr>
          <w:p>
            <w:r>
              <w:rPr>
                <w:sz w:val="17"/>
              </w:rPr>
              <w:t>2026-10-05</w:t>
            </w:r>
          </w:p>
        </w:tc>
        <w:tc>
          <w:tcPr>
            <w:tcW w:type="dxa" w:w="1440"/>
            <w:shd w:fill="FFDCE0" w:val="clear"/>
          </w:tcPr>
          <w:p>
            <w:r>
              <w:rPr>
                <w:sz w:val="17"/>
              </w:rPr>
              <w:t>34,155</w:t>
            </w:r>
          </w:p>
        </w:tc>
        <w:tc>
          <w:tcPr>
            <w:tcW w:type="dxa" w:w="1440"/>
            <w:shd w:fill="FFDCE0" w:val="clear"/>
          </w:tcPr>
          <w:p>
            <w:r>
              <w:rPr>
                <w:b/>
                <w:sz w:val="17"/>
              </w:rPr>
              <w:t>37,162</w:t>
            </w:r>
          </w:p>
        </w:tc>
        <w:tc>
          <w:tcPr>
            <w:tcW w:type="dxa" w:w="1440"/>
            <w:shd w:fill="FFDCE0" w:val="clear"/>
          </w:tcPr>
          <w:p>
            <w:r>
              <w:rPr>
                <w:sz w:val="17"/>
              </w:rPr>
              <w:t>40,168</w:t>
            </w:r>
          </w:p>
        </w:tc>
        <w:tc>
          <w:tcPr>
            <w:tcW w:type="dxa" w:w="1440"/>
            <w:shd w:fill="FFDCE0" w:val="clear"/>
          </w:tcPr>
          <w:p>
            <w:r>
              <w:rPr>
                <w:b/>
                <w:color w:val="C00000"/>
                <w:sz w:val="17"/>
              </w:rPr>
              <w:t>-2.2%</w:t>
            </w:r>
          </w:p>
        </w:tc>
      </w:tr>
      <w:tr>
        <w:tc>
          <w:tcPr>
            <w:tcW w:type="dxa" w:w="1440"/>
            <w:shd w:fill="FFDCE0" w:val="clear"/>
          </w:tcPr>
          <w:p>
            <w:r>
              <w:rPr>
                <w:sz w:val="17"/>
              </w:rPr>
              <w:t>J+9  Moyenne</w:t>
            </w:r>
          </w:p>
        </w:tc>
        <w:tc>
          <w:tcPr>
            <w:tcW w:type="dxa" w:w="1440"/>
            <w:shd w:fill="FFDCE0" w:val="clear"/>
          </w:tcPr>
          <w:p>
            <w:r>
              <w:rPr>
                <w:sz w:val="17"/>
              </w:rPr>
              <w:t>2026-10-06</w:t>
            </w:r>
          </w:p>
        </w:tc>
        <w:tc>
          <w:tcPr>
            <w:tcW w:type="dxa" w:w="1440"/>
            <w:shd w:fill="FFDCE0" w:val="clear"/>
          </w:tcPr>
          <w:p>
            <w:r>
              <w:rPr>
                <w:sz w:val="17"/>
              </w:rPr>
              <w:t>33,883</w:t>
            </w:r>
          </w:p>
        </w:tc>
        <w:tc>
          <w:tcPr>
            <w:tcW w:type="dxa" w:w="1440"/>
            <w:shd w:fill="FFDCE0" w:val="clear"/>
          </w:tcPr>
          <w:p>
            <w:r>
              <w:rPr>
                <w:b/>
                <w:sz w:val="17"/>
              </w:rPr>
              <w:t>37,064</w:t>
            </w:r>
          </w:p>
        </w:tc>
        <w:tc>
          <w:tcPr>
            <w:tcW w:type="dxa" w:w="1440"/>
            <w:shd w:fill="FFDCE0" w:val="clear"/>
          </w:tcPr>
          <w:p>
            <w:r>
              <w:rPr>
                <w:sz w:val="17"/>
              </w:rPr>
              <w:t>40,245</w:t>
            </w:r>
          </w:p>
        </w:tc>
        <w:tc>
          <w:tcPr>
            <w:tcW w:type="dxa" w:w="1440"/>
            <w:shd w:fill="FFDCE0" w:val="clear"/>
          </w:tcPr>
          <w:p>
            <w:r>
              <w:rPr>
                <w:b/>
                <w:color w:val="C00000"/>
                <w:sz w:val="17"/>
              </w:rPr>
              <w:t>-2.4%</w:t>
            </w:r>
          </w:p>
        </w:tc>
      </w:tr>
      <w:tr>
        <w:tc>
          <w:tcPr>
            <w:tcW w:type="dxa" w:w="1440"/>
            <w:shd w:fill="FFDCE0" w:val="clear"/>
          </w:tcPr>
          <w:p>
            <w:r>
              <w:rPr>
                <w:sz w:val="17"/>
              </w:rPr>
              <w:t>J+10  Moyenne</w:t>
            </w:r>
          </w:p>
        </w:tc>
        <w:tc>
          <w:tcPr>
            <w:tcW w:type="dxa" w:w="1440"/>
            <w:shd w:fill="FFDCE0" w:val="clear"/>
          </w:tcPr>
          <w:p>
            <w:r>
              <w:rPr>
                <w:sz w:val="17"/>
              </w:rPr>
              <w:t>2026-10-07</w:t>
            </w:r>
          </w:p>
        </w:tc>
        <w:tc>
          <w:tcPr>
            <w:tcW w:type="dxa" w:w="1440"/>
            <w:shd w:fill="FFDCE0" w:val="clear"/>
          </w:tcPr>
          <w:p>
            <w:r>
              <w:rPr>
                <w:sz w:val="17"/>
              </w:rPr>
              <w:t>33,624</w:t>
            </w:r>
          </w:p>
        </w:tc>
        <w:tc>
          <w:tcPr>
            <w:tcW w:type="dxa" w:w="1440"/>
            <w:shd w:fill="FFDCE0" w:val="clear"/>
          </w:tcPr>
          <w:p>
            <w:r>
              <w:rPr>
                <w:b/>
                <w:sz w:val="17"/>
              </w:rPr>
              <w:t>36,969</w:t>
            </w:r>
          </w:p>
        </w:tc>
        <w:tc>
          <w:tcPr>
            <w:tcW w:type="dxa" w:w="1440"/>
            <w:shd w:fill="FFDCE0" w:val="clear"/>
          </w:tcPr>
          <w:p>
            <w:r>
              <w:rPr>
                <w:sz w:val="17"/>
              </w:rPr>
              <w:t>40,313</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SOCIÉTÉ GÉNÉRALE CÔTE D'IVOIRE (SGBC)</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1 181,76 milliards FCFA, SGBC s'impose comme l'une des toutes premières capitalisations de la BRVM, ce qui en fait un pilier incontournable de l'indice composite et un titre de référence pour les investisseurs institutionnels de la zone UEMOA. Le BPA de 3 258 FCFA par action traduit une rentabilité unitaire élevée, et le PER de 11,7x — légèrement au-dessus de la moyenne BRVM (~8-12x) — indique que le marché paie un prix raisonnable mais non décoté pour les bénéfices, cohérent avec la prime de qualité associée au leader bancaire ivoirien. Le P/B de 2,39x, situé dans la fourchette 2-4x, confirme que les investisseurs accordent une prime de croissance et de rentabilité (ROE &gt;20%) bien supérieure à la valeur comptable, ce qui est justifié pour une banque notée AAA. En revanche, l'EV/EBITDA de 24,5x apparaît très exigeant (&gt;15x), signalant que la valeur d'entreprise intègre déjà une forte anticipation de performance opérationnelle — un point de vigilance pour la marge de sécurité de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SGBC affiche une progression totale de +15,11%, bien que la dernière séance (J-1) se solde par un repli de -1,32%, marquant une légère prise de bénéfices après une dynamique haussière soutenue. Le titre a évolué dans un range de 6 300 FCFA, entre un plus bas de 33 000 FCFA et un plus haut de 39 300 FCFA, avec un cours actuel de 37 985 FCFA positionné dans la partie haute de cette fourchette, ce qui traduit une tendance générale haussière mais essoufflée à court terme. Les statistiques descriptives révèlent une moyenne (37 823 FCFA) légèrement inférieure à la médiane (38 062 FCFA), signe d'une distribution asymétrique tirée vers le bas par quelques séances de correction, tandis que le mode à 38 000 FCFA confirme un palier de consolidation psychologique. L'écart-type de 1 555 FCFA avec un coefficient de variation de seulement 4,1% indique une dispersion modérée du cours, mais le kurtosis de 2,133 (leptokurtique) signale des queues épaisses et donc un risque de pics de volatilité brutaux. Le skewness négatif de -1,672 confirme cette asymétrie avec davantage de journées au-dessus de la moyenne, typique d'un titre en tendance haussière ponctuée de corrections marquées. Enfin, la volatilité annualisée de 22,7% place SGBC dans la catégorie des titres à volatilité modérée (15-30%), un profil rassurant pour une grande capitalisation bancaire.</w:t>
      </w:r>
    </w:p>
    <w:p>
      <w:pPr>
        <w:spacing w:after="120" w:line="276" w:lineRule="auto"/>
      </w:pPr>
      <w:r>
        <w:t>---</w:t>
      </w:r>
    </w:p>
    <w:p>
      <w:pPr>
        <w:spacing w:after="120" w:line="276" w:lineRule="auto"/>
      </w:pPr>
      <w:r>
        <w:t>## PARTIE 2 : ANALYSE TECHNIQUE DÉTAILLÉE</w:t>
      </w:r>
    </w:p>
    <w:p>
      <w:pPr>
        <w:spacing w:after="120" w:line="276" w:lineRule="auto"/>
      </w:pPr>
      <w:r>
        <w:t>**Moyennes Mobiles** : La MM20 (38 427,25 FCFA) et la MM50 (38 381,40 FCFA) sont toutes deux supérieures au cours actuel (37 985 FCFA), mais leur proximité et leur croisement quasi-confondu suggèrent une phase de consolidation. La décision affichée est « Achat », car le cours reste dans une dynamique de fond haussière malgré le repli récent, et le croisement MM20 &gt; MM50 constitue un signal positif de tendance.</w:t>
      </w:r>
    </w:p>
    <w:p>
      <w:pPr>
        <w:spacing w:after="120" w:line="276" w:lineRule="auto"/>
      </w:pPr>
      <w:r>
        <w:t>**Bandes de Bollinger** : Le cours (37 985 FCFA) se situe dans la partie basse de la bande, entre la borne inférieure (37 625,01 FCFA) et la borne supérieure (39 229,49 FCFA), sans franchissement des limites. La décision « Neutre » reflète l'absence de signal directionnel fort, avec une volatilité contenue et un cours proche du milieu de bande, invitant à attendre une cassure pour agir.</w:t>
      </w:r>
    </w:p>
    <w:p>
      <w:pPr>
        <w:spacing w:after="120" w:line="276" w:lineRule="auto"/>
      </w:pPr>
      <w:r>
        <w:t>**MACD** : La valeur du MACD (-58,626) est nettement inférieure à son signal (-7,371), générant un histogramme négatif et une décision « Vente ». Cette divergence baissière indique un momentum négatif à court terme, avec un risque de poursuite de la correction tant que le MACD ne recroise pas son signal à la hausse.</w:t>
      </w:r>
    </w:p>
    <w:p>
      <w:pPr>
        <w:spacing w:after="120" w:line="276" w:lineRule="auto"/>
      </w:pPr>
      <w:r>
        <w:t>**RSI** : À 46,446, le RSI se situe en zone neutre (30-70), sans signal de surachat ni de survente. La décision « Neutre » confirme l'absence de pression acheteuse ou vendeuse dominante, laissant le titre dans une phase d'indécision propice à la consolidation.</w:t>
      </w:r>
    </w:p>
    <w:p>
      <w:pPr>
        <w:spacing w:after="120" w:line="276" w:lineRule="auto"/>
      </w:pPr>
      <w:r>
        <w:t>**Stochastique** : Le %K (15,417) est nettement inférieur au %D (30,0), et le %K se situe en zone de survente (&lt;20), générant une décision « Achat ». Ce signal suggère qu'un rebond technique est probable à court terme, le titre étant survendu sur cet indicateur malgré la faiblesse du MACD.</w:t>
      </w:r>
    </w:p>
    <w:p>
      <w:pPr>
        <w:spacing w:after="120" w:line="276" w:lineRule="auto"/>
      </w:pPr>
      <w:r>
        <w:t>**Conclusion technique** : Les indicateurs sont divergents — les moyennes mobiles et le stochastique plaident pour un achat (tendance de fond haussière, survente), tandis que le MACD signale une vente (momentum négatif) et que le RSI et les Bollinger restent neutres. Cette configuration mixte traduit une phase de consolidation dans une tendance haussière plus large, avec un avantage tactique aux acheteurs à condition d'attendre une confirmation par cassure de la borne supérieure des Bollinger ou un croisement haussier du MACD.</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SGBC affiche un Produit Net Bancaire (PNB) de 276,048 milliards FCFA, en croissance de +4,88% sur un an, et un résultat net de 101,352 milliards FCFA, franchissant pour la première fois le seuil symbolique des 100 milliards. Le ROE s'établit à 20,47% (excellent, &gt;15%) et le ROA à 2,69%, confirmant la rentabilité élevée des fonds propres et la qualité de la gestion des actifs. Le coefficient d'exploitation de 38,75% (largement &lt;60%) témoigne d'une efficacité opérationnelle remarquable, tandis que la marge nette de 36,72% et la marge opérationnelle de 44,28% traduisent une solide maîtrise des coûts. Le coût du risque, mesuré par les provisions de 17,995 milliards FCFA rapportées aux charges financières de 47,775 milliards FCFA, ressort à environ 37,7%, un niveau contenu qui reflète un portefeuille de crédits globalement sain malgré un taux de créances en souffrance (NPL) en hausse à 7,5% en 2024. La structure bilancielle est dominée par les dépôts clientèle (2 907,675 milliards FCFA) face à des créances clientèle de 2 546,290 milliards FCFA, soit un ratio prêts/dépôts de 87,6%, en amélioration continue (96% fin 2024, 84,6% à fin septembre 2025), ce qui renforce la liquidité et la marge de manœuvre de la banque. Les capitaux propres de 495,113 milliards FCFA et l'autonomie financière de 13,14% (faible mais normale pour une banque, dont le modèle repose sur le levier des dépôts) soutiennent une notation AAA (Bloomfield), unique dans le secteur bancaire de la BRVM.</w:t>
      </w:r>
    </w:p>
    <w:p>
      <w:pPr>
        <w:spacing w:after="120" w:line="276" w:lineRule="auto"/>
      </w:pPr>
      <w:r>
        <w:t>**Estimations basées sur les rapports trimestriels** : Le rapport du 3ᵉ trimestre 2025 (publié le 30 septembre 2025) fait état d'un PNB cumulé de 201,0 milliards FCFA (+2,5%) et d'un résultat net de 83,3 milliards FCFA (+11,7%), avec un coefficient d'exploitation amélioré à 37,3% et une collecte de dépôts en hausse de +13,9% à 2 939 milliards FCFA. Sur cette base, on estime que l'exercice 2025 devrait confirmer un résultat net annuel proche de 101 milliards FCFA (réalisé) et une poursuite de la dynamique en 2026, portée par la digitalisation, la maîtrise des coûts et la croissance des dépôts. Le rapport du 1ᵉʳ semestre 2025 (30 juin 2025) soulignait déjà un ROE de 23,8% et un ratio de solvabilité de 17,7%, bien au-dessus du minimum réglementaire de 12,5%, offrant une marge de sécurité confortable. Le rapport annuel 2024 (31 décembre 2024) confirmait un dividende brut par action de 1 863 FCFA (+8,4%), soit un taux de distribution de 57,25%, réaffirmant une politique généreuse et attractive pour les actionnaires.</w:t>
      </w:r>
    </w:p>
    <w:p>
      <w:pPr>
        <w:spacing w:after="120" w:line="276" w:lineRule="auto"/>
      </w:pPr>
      <w:r>
        <w:t>**Recommandation fondamentale** : SGBC présente des fondamentaux exceptionnellement solides — rentabilité élevée (ROE &gt;20%), efficacité opérationnelle (coefficient &lt;40%), notation AAA, dividende attractif et leadership incontesté (parts de marché de 19-20% sur les crédits et 15-16% sur les dépôts). Les principaux risques résident dans la hausse du coût du risque (provisions en augmentation), la dégradation des NPL (7,5% en 2024, 7,8% au S1 2025) et la dépendance aux commissions dans un contexte de concurrence accrue. Néanmoins, la solidité financière, la croissance du PNB et la politique de dividende justifient une recommandation fondamentale **positive** à moyen et long terme.</w:t>
      </w:r>
    </w:p>
    <w:p>
      <w:pPr>
        <w:spacing w:after="120" w:line="276" w:lineRule="auto"/>
      </w:pPr>
      <w:r>
        <w:t>---</w:t>
      </w:r>
    </w:p>
    <w:p>
      <w:pPr>
        <w:spacing w:after="120" w:line="276" w:lineRule="auto"/>
      </w:pPr>
      <w:r>
        <w:t>## PARTIE 4 : CONCLUSION D'INVESTISSEMENT</w:t>
      </w:r>
    </w:p>
    <w:p>
      <w:pPr>
        <w:spacing w:after="120" w:line="276" w:lineRule="auto"/>
      </w:pPr>
      <w:r>
        <w:t>La valorisation de SGBC (PER 11,7x, P/B 2,39x, EV/EBITDA 24,5x) indique une juste valorisation, voire une légère surévaluation sur la base de l'EV/EBITDA, mais elle est soutenue par la prime de qualité (notation AAA, ROE &gt;20%) et le leadership sectoriel. Le comportement du cours sur 100 jours (+15,11%) est haussier, avec une volatilité modérée (22,7%) et des statistiques (kurtosis leptokurtique, skewness négatif) qui signalent un risque de pics baissiers ponctuels, mais une tendance de fond positive. Les signaux techniques sont divergents — achat sur les moyennes mobiles et le stochastique, vente sur le MACD, neutre sur le RSI et les Bollinger — ce qui plaide pour une consolidation à court terme avant une reprise. Les fondamentaux sont excellents (PNB 276,05 Mds FCFA, résultat net 101,35 Mds FCFA, ROE 20,47%, coefficient d'exploitation 38,75%), avec une dynamique confirmée par les rapports trimestriels 2025 (PNB +2,5%, résultat net +11,7% à fin septembre) et une politique de dividende attractive (1 863 FCFA/action en 2024). Les prédictions IA (J+1 à J+10) anticipent une légère baisse du cours de 37 901 FCFA à 37 462 FCFA, ce qui contredit les signaux d'achat techniques à court terme mais s'aligne sur la phase de consolidation attendue. **Recommandation finale : CONSERVER**, avec un biais positif à moyen terme. La convergence entre valorisation raisonnable, fondamentaux solides et dividende attractif justifie une position d'attente, mais le momentum négatif du MACD et la prédiction baissière à court terme incitent à la prudence. Le niveau de confiance est **Moyen** (divergence technique), le risque global est **Faible à Moyen** (titre de qualité, volatilité modérée), et l'horizon optimal est **moyen à long terme (3-12 mois et plus)** pour profiter de la croissance des bénéfices et des dividendes, avec un point d'entrée idéal autour de 37 500-38 000 FCFA en cas de consolidation.</w:t>
      </w:r>
    </w:p>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150.57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4,799 titres</w:t>
            </w:r>
          </w:p>
        </w:tc>
        <w:tc>
          <w:tcPr>
            <w:tcW w:type="dxa" w:w="2268"/>
            <w:shd w:fill="FFF2CC" w:val="clear"/>
          </w:tcPr>
          <w:p>
            <w:r>
              <w:rPr>
                <w:b/>
                <w:color w:val="503200"/>
                <w:sz w:val="16"/>
              </w:rPr>
              <w:t xml:space="preserve">Cours actuel : </w:t>
            </w:r>
            <w:r>
              <w:rPr>
                <w:color w:val="000000"/>
                <w:sz w:val="17"/>
              </w:rPr>
              <w:t>2,390 FCFA</w:t>
            </w:r>
          </w:p>
          <w:p>
            <w:r>
              <w:rPr>
                <w:b/>
                <w:color w:val="503200"/>
                <w:sz w:val="16"/>
              </w:rPr>
              <w:t xml:space="preserve">Var. 100 jours : </w:t>
            </w:r>
            <w:r>
              <w:rPr>
                <w:b/>
                <w:color w:val="007800"/>
                <w:sz w:val="17"/>
              </w:rPr>
              <w:t>+22.56%</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43.7%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10.89% (Moyenne) — μ=2,225 FCFA, σ=242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β=0.2227 (Défensif) — Cov=0.000009, Var(idx)=0.000041, ρ=0.059,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σ_j=2.75%/j (Stable) — Vol. annualisée≈43.7%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2026-09-24</w:t>
            </w:r>
          </w:p>
        </w:tc>
        <w:tc>
          <w:tcPr>
            <w:tcW w:type="dxa" w:w="1440"/>
            <w:shd w:fill="FAFAFA" w:val="clear"/>
          </w:tcPr>
          <w:p>
            <w:r>
              <w:rPr>
                <w:sz w:val="17"/>
              </w:rPr>
              <w:t>2,225</w:t>
            </w:r>
          </w:p>
        </w:tc>
        <w:tc>
          <w:tcPr>
            <w:tcW w:type="dxa" w:w="1440"/>
            <w:shd w:fill="FAFAFA" w:val="clear"/>
          </w:tcPr>
          <w:p>
            <w:r>
              <w:rPr>
                <w:b/>
                <w:sz w:val="17"/>
              </w:rPr>
              <w:t>2,372</w:t>
            </w:r>
          </w:p>
        </w:tc>
        <w:tc>
          <w:tcPr>
            <w:tcW w:type="dxa" w:w="1440"/>
            <w:shd w:fill="FAFAFA" w:val="clear"/>
          </w:tcPr>
          <w:p>
            <w:r>
              <w:rPr>
                <w:sz w:val="17"/>
              </w:rPr>
              <w:t>2,519</w:t>
            </w:r>
          </w:p>
        </w:tc>
        <w:tc>
          <w:tcPr>
            <w:tcW w:type="dxa" w:w="1440"/>
            <w:shd w:fill="FAFAFA" w:val="clear"/>
          </w:tcPr>
          <w:p>
            <w:r>
              <w:rPr>
                <w:b/>
                <w:color w:val="C00000"/>
                <w:sz w:val="17"/>
              </w:rPr>
              <w:t>-0.8%</w:t>
            </w:r>
          </w:p>
        </w:tc>
      </w:tr>
      <w:tr>
        <w:tc>
          <w:tcPr>
            <w:tcW w:type="dxa" w:w="1440"/>
            <w:shd w:fill="FFDCE0" w:val="clear"/>
          </w:tcPr>
          <w:p>
            <w:r>
              <w:rPr>
                <w:sz w:val="17"/>
              </w:rPr>
              <w:t>J+2  Moyenne</w:t>
            </w:r>
          </w:p>
        </w:tc>
        <w:tc>
          <w:tcPr>
            <w:tcW w:type="dxa" w:w="1440"/>
            <w:shd w:fill="FFDCE0" w:val="clear"/>
          </w:tcPr>
          <w:p>
            <w:r>
              <w:rPr>
                <w:sz w:val="17"/>
              </w:rPr>
              <w:t>2026-09-25</w:t>
            </w:r>
          </w:p>
        </w:tc>
        <w:tc>
          <w:tcPr>
            <w:tcW w:type="dxa" w:w="1440"/>
            <w:shd w:fill="FFDCE0" w:val="clear"/>
          </w:tcPr>
          <w:p>
            <w:r>
              <w:rPr>
                <w:sz w:val="17"/>
              </w:rPr>
              <w:t>2,128</w:t>
            </w:r>
          </w:p>
        </w:tc>
        <w:tc>
          <w:tcPr>
            <w:tcW w:type="dxa" w:w="1440"/>
            <w:shd w:fill="FFDCE0" w:val="clear"/>
          </w:tcPr>
          <w:p>
            <w:r>
              <w:rPr>
                <w:b/>
                <w:sz w:val="17"/>
              </w:rPr>
              <w:t>2,332</w:t>
            </w:r>
          </w:p>
        </w:tc>
        <w:tc>
          <w:tcPr>
            <w:tcW w:type="dxa" w:w="1440"/>
            <w:shd w:fill="FFDCE0" w:val="clear"/>
          </w:tcPr>
          <w:p>
            <w:r>
              <w:rPr>
                <w:sz w:val="17"/>
              </w:rPr>
              <w:t>2,537</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2026-09-28</w:t>
            </w:r>
          </w:p>
        </w:tc>
        <w:tc>
          <w:tcPr>
            <w:tcW w:type="dxa" w:w="1440"/>
            <w:shd w:fill="FFDCE0" w:val="clear"/>
          </w:tcPr>
          <w:p>
            <w:r>
              <w:rPr>
                <w:sz w:val="17"/>
              </w:rPr>
              <w:t>2,062</w:t>
            </w:r>
          </w:p>
        </w:tc>
        <w:tc>
          <w:tcPr>
            <w:tcW w:type="dxa" w:w="1440"/>
            <w:shd w:fill="FFDCE0" w:val="clear"/>
          </w:tcPr>
          <w:p>
            <w:r>
              <w:rPr>
                <w:b/>
                <w:sz w:val="17"/>
              </w:rPr>
              <w:t>2,310</w:t>
            </w:r>
          </w:p>
        </w:tc>
        <w:tc>
          <w:tcPr>
            <w:tcW w:type="dxa" w:w="1440"/>
            <w:shd w:fill="FFDCE0" w:val="clear"/>
          </w:tcPr>
          <w:p>
            <w:r>
              <w:rPr>
                <w:sz w:val="17"/>
              </w:rPr>
              <w:t>2,558</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2026-09-29</w:t>
            </w:r>
          </w:p>
        </w:tc>
        <w:tc>
          <w:tcPr>
            <w:tcW w:type="dxa" w:w="1440"/>
            <w:shd w:fill="FFDCE0" w:val="clear"/>
          </w:tcPr>
          <w:p>
            <w:r>
              <w:rPr>
                <w:sz w:val="17"/>
              </w:rPr>
              <w:t>2,007</w:t>
            </w:r>
          </w:p>
        </w:tc>
        <w:tc>
          <w:tcPr>
            <w:tcW w:type="dxa" w:w="1440"/>
            <w:shd w:fill="FFDCE0" w:val="clear"/>
          </w:tcPr>
          <w:p>
            <w:r>
              <w:rPr>
                <w:b/>
                <w:sz w:val="17"/>
              </w:rPr>
              <w:t>2,292</w:t>
            </w:r>
          </w:p>
        </w:tc>
        <w:tc>
          <w:tcPr>
            <w:tcW w:type="dxa" w:w="1440"/>
            <w:shd w:fill="FFDCE0" w:val="clear"/>
          </w:tcPr>
          <w:p>
            <w:r>
              <w:rPr>
                <w:sz w:val="17"/>
              </w:rPr>
              <w:t>2,576</w:t>
            </w:r>
          </w:p>
        </w:tc>
        <w:tc>
          <w:tcPr>
            <w:tcW w:type="dxa" w:w="1440"/>
            <w:shd w:fill="FFDCE0" w:val="clear"/>
          </w:tcPr>
          <w:p>
            <w:r>
              <w:rPr>
                <w:b/>
                <w:color w:val="C00000"/>
                <w:sz w:val="17"/>
              </w:rPr>
              <w:t>-4.1%</w:t>
            </w:r>
          </w:p>
        </w:tc>
      </w:tr>
      <w:tr>
        <w:tc>
          <w:tcPr>
            <w:tcW w:type="dxa" w:w="1440"/>
            <w:shd w:fill="FFDCE0" w:val="clear"/>
          </w:tcPr>
          <w:p>
            <w:r>
              <w:rPr>
                <w:sz w:val="17"/>
              </w:rPr>
              <w:t>J+5  ⭐</w:t>
            </w:r>
          </w:p>
        </w:tc>
        <w:tc>
          <w:tcPr>
            <w:tcW w:type="dxa" w:w="1440"/>
            <w:shd w:fill="FFDCE0" w:val="clear"/>
          </w:tcPr>
          <w:p>
            <w:r>
              <w:rPr>
                <w:sz w:val="17"/>
              </w:rPr>
              <w:t>2026-09-30</w:t>
            </w:r>
          </w:p>
        </w:tc>
        <w:tc>
          <w:tcPr>
            <w:tcW w:type="dxa" w:w="1440"/>
            <w:shd w:fill="FFDCE0" w:val="clear"/>
          </w:tcPr>
          <w:p>
            <w:r>
              <w:rPr>
                <w:sz w:val="17"/>
              </w:rPr>
              <w:t>1,958</w:t>
            </w:r>
          </w:p>
        </w:tc>
        <w:tc>
          <w:tcPr>
            <w:tcW w:type="dxa" w:w="1440"/>
            <w:shd w:fill="FFDCE0" w:val="clear"/>
          </w:tcPr>
          <w:p>
            <w:r>
              <w:rPr>
                <w:b/>
                <w:sz w:val="17"/>
              </w:rPr>
              <w:t>2,274</w:t>
            </w:r>
          </w:p>
        </w:tc>
        <w:tc>
          <w:tcPr>
            <w:tcW w:type="dxa" w:w="1440"/>
            <w:shd w:fill="FFDCE0" w:val="clear"/>
          </w:tcPr>
          <w:p>
            <w:r>
              <w:rPr>
                <w:sz w:val="17"/>
              </w:rPr>
              <w:t>2,590</w:t>
            </w:r>
          </w:p>
        </w:tc>
        <w:tc>
          <w:tcPr>
            <w:tcW w:type="dxa" w:w="1440"/>
            <w:shd w:fill="FFDCE0" w:val="clear"/>
          </w:tcPr>
          <w:p>
            <w:r>
              <w:rPr>
                <w:b/>
                <w:color w:val="C00000"/>
                <w:sz w:val="17"/>
              </w:rPr>
              <w:t>-4.9%</w:t>
            </w:r>
          </w:p>
        </w:tc>
      </w:tr>
      <w:tr>
        <w:tc>
          <w:tcPr>
            <w:tcW w:type="dxa" w:w="1440"/>
            <w:shd w:fill="FFDCE0" w:val="clear"/>
          </w:tcPr>
          <w:p>
            <w:r>
              <w:rPr>
                <w:sz w:val="17"/>
              </w:rPr>
              <w:t>J+6  ⭐</w:t>
            </w:r>
          </w:p>
        </w:tc>
        <w:tc>
          <w:tcPr>
            <w:tcW w:type="dxa" w:w="1440"/>
            <w:shd w:fill="FFDCE0" w:val="clear"/>
          </w:tcPr>
          <w:p>
            <w:r>
              <w:rPr>
                <w:sz w:val="17"/>
              </w:rPr>
              <w:t>2026-10-01</w:t>
            </w:r>
          </w:p>
        </w:tc>
        <w:tc>
          <w:tcPr>
            <w:tcW w:type="dxa" w:w="1440"/>
            <w:shd w:fill="FFDCE0" w:val="clear"/>
          </w:tcPr>
          <w:p>
            <w:r>
              <w:rPr>
                <w:sz w:val="17"/>
              </w:rPr>
              <w:t>1,913</w:t>
            </w:r>
          </w:p>
        </w:tc>
        <w:tc>
          <w:tcPr>
            <w:tcW w:type="dxa" w:w="1440"/>
            <w:shd w:fill="FFDCE0" w:val="clear"/>
          </w:tcPr>
          <w:p>
            <w:r>
              <w:rPr>
                <w:b/>
                <w:sz w:val="17"/>
              </w:rPr>
              <w:t>2,256</w:t>
            </w:r>
          </w:p>
        </w:tc>
        <w:tc>
          <w:tcPr>
            <w:tcW w:type="dxa" w:w="1440"/>
            <w:shd w:fill="FFDCE0" w:val="clear"/>
          </w:tcPr>
          <w:p>
            <w:r>
              <w:rPr>
                <w:sz w:val="17"/>
              </w:rPr>
              <w:t>2,599</w:t>
            </w:r>
          </w:p>
        </w:tc>
        <w:tc>
          <w:tcPr>
            <w:tcW w:type="dxa" w:w="1440"/>
            <w:shd w:fill="FFDCE0" w:val="clear"/>
          </w:tcPr>
          <w:p>
            <w:r>
              <w:rPr>
                <w:b/>
                <w:color w:val="C00000"/>
                <w:sz w:val="17"/>
              </w:rPr>
              <w:t>-5.6%</w:t>
            </w:r>
          </w:p>
        </w:tc>
      </w:tr>
      <w:tr>
        <w:tc>
          <w:tcPr>
            <w:tcW w:type="dxa" w:w="1440"/>
            <w:shd w:fill="FFDCE0" w:val="clear"/>
          </w:tcPr>
          <w:p>
            <w:r>
              <w:rPr>
                <w:sz w:val="17"/>
              </w:rPr>
              <w:t>J+7  ⭐</w:t>
            </w:r>
          </w:p>
        </w:tc>
        <w:tc>
          <w:tcPr>
            <w:tcW w:type="dxa" w:w="1440"/>
            <w:shd w:fill="FFDCE0" w:val="clear"/>
          </w:tcPr>
          <w:p>
            <w:r>
              <w:rPr>
                <w:sz w:val="17"/>
              </w:rPr>
              <w:t>2026-10-02</w:t>
            </w:r>
          </w:p>
        </w:tc>
        <w:tc>
          <w:tcPr>
            <w:tcW w:type="dxa" w:w="1440"/>
            <w:shd w:fill="FFDCE0" w:val="clear"/>
          </w:tcPr>
          <w:p>
            <w:r>
              <w:rPr>
                <w:sz w:val="17"/>
              </w:rPr>
              <w:t>1,871</w:t>
            </w:r>
          </w:p>
        </w:tc>
        <w:tc>
          <w:tcPr>
            <w:tcW w:type="dxa" w:w="1440"/>
            <w:shd w:fill="FFDCE0" w:val="clear"/>
          </w:tcPr>
          <w:p>
            <w:r>
              <w:rPr>
                <w:b/>
                <w:sz w:val="17"/>
              </w:rPr>
              <w:t>2,239</w:t>
            </w:r>
          </w:p>
        </w:tc>
        <w:tc>
          <w:tcPr>
            <w:tcW w:type="dxa" w:w="1440"/>
            <w:shd w:fill="FFDCE0" w:val="clear"/>
          </w:tcPr>
          <w:p>
            <w:r>
              <w:rPr>
                <w:sz w:val="17"/>
              </w:rPr>
              <w:t>2,606</w:t>
            </w:r>
          </w:p>
        </w:tc>
        <w:tc>
          <w:tcPr>
            <w:tcW w:type="dxa" w:w="1440"/>
            <w:shd w:fill="FFDCE0" w:val="clear"/>
          </w:tcPr>
          <w:p>
            <w:r>
              <w:rPr>
                <w:b/>
                <w:color w:val="C00000"/>
                <w:sz w:val="17"/>
              </w:rPr>
              <w:t>-6.3%</w:t>
            </w:r>
          </w:p>
        </w:tc>
      </w:tr>
      <w:tr>
        <w:tc>
          <w:tcPr>
            <w:tcW w:type="dxa" w:w="1440"/>
            <w:shd w:fill="FFDCE0" w:val="clear"/>
          </w:tcPr>
          <w:p>
            <w:r>
              <w:rPr>
                <w:sz w:val="17"/>
              </w:rPr>
              <w:t>J+8  ⭐</w:t>
            </w:r>
          </w:p>
        </w:tc>
        <w:tc>
          <w:tcPr>
            <w:tcW w:type="dxa" w:w="1440"/>
            <w:shd w:fill="FFDCE0" w:val="clear"/>
          </w:tcPr>
          <w:p>
            <w:r>
              <w:rPr>
                <w:sz w:val="17"/>
              </w:rPr>
              <w:t>2026-10-05</w:t>
            </w:r>
          </w:p>
        </w:tc>
        <w:tc>
          <w:tcPr>
            <w:tcW w:type="dxa" w:w="1440"/>
            <w:shd w:fill="FFDCE0" w:val="clear"/>
          </w:tcPr>
          <w:p>
            <w:r>
              <w:rPr>
                <w:sz w:val="17"/>
              </w:rPr>
              <w:t>1,831</w:t>
            </w:r>
          </w:p>
        </w:tc>
        <w:tc>
          <w:tcPr>
            <w:tcW w:type="dxa" w:w="1440"/>
            <w:shd w:fill="FFDCE0" w:val="clear"/>
          </w:tcPr>
          <w:p>
            <w:r>
              <w:rPr>
                <w:b/>
                <w:sz w:val="17"/>
              </w:rPr>
              <w:t>2,221</w:t>
            </w:r>
          </w:p>
        </w:tc>
        <w:tc>
          <w:tcPr>
            <w:tcW w:type="dxa" w:w="1440"/>
            <w:shd w:fill="FFDCE0" w:val="clear"/>
          </w:tcPr>
          <w:p>
            <w:r>
              <w:rPr>
                <w:sz w:val="17"/>
              </w:rPr>
              <w:t>2,611</w:t>
            </w:r>
          </w:p>
        </w:tc>
        <w:tc>
          <w:tcPr>
            <w:tcW w:type="dxa" w:w="1440"/>
            <w:shd w:fill="FFDCE0" w:val="clear"/>
          </w:tcPr>
          <w:p>
            <w:r>
              <w:rPr>
                <w:b/>
                <w:color w:val="C00000"/>
                <w:sz w:val="17"/>
              </w:rPr>
              <w:t>-7.1%</w:t>
            </w:r>
          </w:p>
        </w:tc>
      </w:tr>
      <w:tr>
        <w:tc>
          <w:tcPr>
            <w:tcW w:type="dxa" w:w="1440"/>
            <w:shd w:fill="FFDCE0" w:val="clear"/>
          </w:tcPr>
          <w:p>
            <w:r>
              <w:rPr>
                <w:sz w:val="17"/>
              </w:rPr>
              <w:t>J+9  ⭐</w:t>
            </w:r>
          </w:p>
        </w:tc>
        <w:tc>
          <w:tcPr>
            <w:tcW w:type="dxa" w:w="1440"/>
            <w:shd w:fill="FFDCE0" w:val="clear"/>
          </w:tcPr>
          <w:p>
            <w:r>
              <w:rPr>
                <w:sz w:val="17"/>
              </w:rPr>
              <w:t>2026-10-06</w:t>
            </w:r>
          </w:p>
        </w:tc>
        <w:tc>
          <w:tcPr>
            <w:tcW w:type="dxa" w:w="1440"/>
            <w:shd w:fill="FFDCE0" w:val="clear"/>
          </w:tcPr>
          <w:p>
            <w:r>
              <w:rPr>
                <w:sz w:val="17"/>
              </w:rPr>
              <w:t>1,794</w:t>
            </w:r>
          </w:p>
        </w:tc>
        <w:tc>
          <w:tcPr>
            <w:tcW w:type="dxa" w:w="1440"/>
            <w:shd w:fill="FFDCE0" w:val="clear"/>
          </w:tcPr>
          <w:p>
            <w:r>
              <w:rPr>
                <w:b/>
                <w:sz w:val="17"/>
              </w:rPr>
              <w:t>2,204</w:t>
            </w:r>
          </w:p>
        </w:tc>
        <w:tc>
          <w:tcPr>
            <w:tcW w:type="dxa" w:w="1440"/>
            <w:shd w:fill="FFDCE0" w:val="clear"/>
          </w:tcPr>
          <w:p>
            <w:r>
              <w:rPr>
                <w:sz w:val="17"/>
              </w:rPr>
              <w:t>2,614</w:t>
            </w:r>
          </w:p>
        </w:tc>
        <w:tc>
          <w:tcPr>
            <w:tcW w:type="dxa" w:w="1440"/>
            <w:shd w:fill="FFDCE0" w:val="clear"/>
          </w:tcPr>
          <w:p>
            <w:r>
              <w:rPr>
                <w:b/>
                <w:color w:val="C00000"/>
                <w:sz w:val="17"/>
              </w:rPr>
              <w:t>-7.8%</w:t>
            </w:r>
          </w:p>
        </w:tc>
      </w:tr>
      <w:tr>
        <w:tc>
          <w:tcPr>
            <w:tcW w:type="dxa" w:w="1440"/>
            <w:shd w:fill="FFDCE0" w:val="clear"/>
          </w:tcPr>
          <w:p>
            <w:r>
              <w:rPr>
                <w:sz w:val="17"/>
              </w:rPr>
              <w:t>J+10  ⭐</w:t>
            </w:r>
          </w:p>
        </w:tc>
        <w:tc>
          <w:tcPr>
            <w:tcW w:type="dxa" w:w="1440"/>
            <w:shd w:fill="FFDCE0" w:val="clear"/>
          </w:tcPr>
          <w:p>
            <w:r>
              <w:rPr>
                <w:sz w:val="17"/>
              </w:rPr>
              <w:t>2026-10-07</w:t>
            </w:r>
          </w:p>
        </w:tc>
        <w:tc>
          <w:tcPr>
            <w:tcW w:type="dxa" w:w="1440"/>
            <w:shd w:fill="FFDCE0" w:val="clear"/>
          </w:tcPr>
          <w:p>
            <w:r>
              <w:rPr>
                <w:sz w:val="17"/>
              </w:rPr>
              <w:t>1,758</w:t>
            </w:r>
          </w:p>
        </w:tc>
        <w:tc>
          <w:tcPr>
            <w:tcW w:type="dxa" w:w="1440"/>
            <w:shd w:fill="FFDCE0" w:val="clear"/>
          </w:tcPr>
          <w:p>
            <w:r>
              <w:rPr>
                <w:b/>
                <w:sz w:val="17"/>
              </w:rPr>
              <w:t>2,187</w:t>
            </w:r>
          </w:p>
        </w:tc>
        <w:tc>
          <w:tcPr>
            <w:tcW w:type="dxa" w:w="1440"/>
            <w:shd w:fill="FFDCE0" w:val="clear"/>
          </w:tcPr>
          <w:p>
            <w:r>
              <w:rPr>
                <w:sz w:val="17"/>
              </w:rPr>
              <w:t>2,616</w:t>
            </w:r>
          </w:p>
        </w:tc>
        <w:tc>
          <w:tcPr>
            <w:tcW w:type="dxa" w:w="1440"/>
            <w:shd w:fill="FFDCE0" w:val="clear"/>
          </w:tcPr>
          <w:p>
            <w:r>
              <w:rPr>
                <w:b/>
                <w:color w:val="C00000"/>
                <w:sz w:val="17"/>
              </w:rPr>
              <w:t>-8.5%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RAPPORT D'ANALYSE FINANCIÈRE — SHEC (VIVO ENERGY CÔTE D'IVOIRE)</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150,57 milliards FCFA, SHEC se positionne parmi les valeurs moyennes du compartiment industriel de la BRVM, loin des poids lourds bancaires et télécoms. Le BPA de 96 FCFA/action signifie que chaque titre génère 96 FCFA de bénéfice net, ce qui, rapporté au cours actuel de 2 390 FCFA, aboutit à un PER de 25,0x — soit plus du double de la moyenne BRVM (8-12x), signalant que le marché paie très cher la croissance attendue ou que le titre est surévalué. Le P/B de 5,54x confirme cette prime exigeante : les investisseurs valorisent SHEC à plus de 5 fois sa valeur comptable, un niveau rarement justifié pour une activité de distribution pétrolière à faible marge. Enfin, l'EV/EBITDA de 13,3x (fourchette élevée 10-15x) indique que la valeur d'entreprise intègre une prime opérationnelle significative, cohérente avec la position de leader de Vivo Energy mais laissant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performance remarquable de **+22,56%**, mais la dernière séance a été marquée par une chute brutale de **-10,65%**, ramenant le cours à 2 390 FCFA. Le range de trading est large, entre un plus bas de 1 840 FCFA et un plus haut de 2 980 FCFA, soit une amplitude de 62% qui témoigne d'une forte nervosité. La tendance de fond reste haussière, mais le décrochage récent suggère une prise de bénéfices ou une réaction à une information défavorable. Les statistiques descriptives révèlent une **moyenne (2 225 FCFA) légèrement supérieure à la médiane (2 198 FCFA)**, avec un mode à 2 200 FCFA : la distribution est asymétrique, comme le confirme le **skewness de 1,017** (plus de journées sous la moyenne, mais quelques pics haussiers violents). L'**écart-type de 244 FCFA (CV=10,9%)** indique une dispersion modérée autour de la moyenne, mais le **kurtosis de 1,086 (leptokurtique)** signale des queues épaisses, donc un risque accru de mouvements extrêmes — ce que la séance à -10,65% illustre parfaitement. Enfin, la **volatilité annualisée de 43,7%** classe SHEC dans la catégorie des titres à volatilité élevée (&gt;30%), ce qui implique un risque significatif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(2 586,5 FCFA) est nettement supérieure à la MM50 (2 394,4 FCFA), et le cours actuel (2 390 FCFA) se situe juste sous la MM50. Cette configuration indique une tendance haussière de fond, mais le récent décrochage place le cours sous la MM20, ce qui justifie la décision **Achat** — le titre revient sur un support dynamique (MM50) après une correction, offrant un point d'entrée potentiel.</w:t>
      </w:r>
    </w:p>
    <w:p>
      <w:pPr>
        <w:spacing w:after="120" w:line="276" w:lineRule="auto"/>
      </w:pPr>
      <w:r>
        <w:t>**Bandes de Bollinger** : Le cours (2 390 FCFA) se situe dans la partie basse de la bande, entre la borne inférieure (2 175,3 FCFA) et la borne supérieure (2 997,7 FCFA). La largeur des bandes est importante, reflétant la forte volatilité récente. La décision **Neutre** s'explique par l'absence de signal clair : le cours n'est ni en surachat (proche borne supérieure) ni en survente (proche borne inférieure), mais la chute récente le rapproche dangereusement du support des 2 175 FCFA.</w:t>
      </w:r>
    </w:p>
    <w:p>
      <w:pPr>
        <w:spacing w:after="120" w:line="276" w:lineRule="auto"/>
      </w:pPr>
      <w:r>
        <w:t>**MACD** : La valeur du MACD (96,035) est inférieure à son signal (111,686), ce qui génère un croisement baissier et justifie la décision **Vente**. Le momentum s'affaiblit, et la divergence négative suggère que la pression vendeuse pourrait persister à court terme, même si le MACD reste en territoire positif.</w:t>
      </w:r>
    </w:p>
    <w:p>
      <w:pPr>
        <w:spacing w:after="120" w:line="276" w:lineRule="auto"/>
      </w:pPr>
      <w:r>
        <w:t>**RSI** : À 49,65, le RSI est parfaitement neutre, ni en surachat (&gt;70) ni en survente (&lt;30). La décision **Neutre** reflète l'absence de signal directionnel fort : le titre n'est pas techniquement survendu malgré la chute récente, ce qui laisse présager une possible poursuite de la correction avant un rebond.</w:t>
      </w:r>
    </w:p>
    <w:p>
      <w:pPr>
        <w:spacing w:after="120" w:line="276" w:lineRule="auto"/>
      </w:pPr>
      <w:r>
        <w:t>**Stochastique** : Le %K (0,0) est en dessous du %D (43,966), avec un %K à zéro signalant une survente extrême. La décision **Achat** repose sur l'anticipation d'un rebond technique imminent, le %K étant à un niveau plancher historiquement associé à des retournements haussiers.</w:t>
      </w:r>
    </w:p>
    <w:p>
      <w:pPr>
        <w:spacing w:after="120" w:line="276" w:lineRule="auto"/>
      </w:pPr>
      <w:r>
        <w:t>**Conclusion technique** : Les indicateurs sont **divergents** : les moyennes mobiles et le stochastique suggèrent un achat sur repli, tandis que le MACD et les bandes de Bollinger incitent à la prudence. Le RSI neutre confirme l'absence de signal fort. Dans l'ensemble, le titre se trouve à un **carrefour technique** : soit il rebondit sur le support des 2 175-2 394 FCFA (MM50), soit il poursuit sa correction vers les 2 175 FCFA (borne inférieure de Bollinger). La prudence est de mise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SHEC a réalisé un chiffre d'affaires de **604,978 milliards FCFA**, en très légère hausse de **+0,71%** par rapport à 2024 (600,708 Mds FCFA), selon les états financiers officiels. Le résultat net s'établit à **6,028 milliards FCFA**, en progression de **+12,6%**, porté par une amélioration de la marge nette (1,00% contre 0,89% en 2024) et une réduction des charges financières (-17,7%). Le **ROE de 22,2%** est excellent (&gt;15%), témoignant d'une création de valeur efficace pour les actionnaires, tandis que le **ROA de 3,11%** reste faible, typique d'une activité à forte rotation d'actifs (rotation de 312,6%). La marge opérationnelle de 1,93% et la marge brute de 9,35% confirment la faiblesse structurelle des marges dans la distribution pétrolière. **Adapté au secteur ENTREPRISE** : le BFR de 15,315 Mds FCFA est positif (défavorable), le délai clients de 23,27 jours est modéré (risque de trésorerie limité), le délai fournisseurs de 35,47 jours est favorable (bon pour la trésorerie), et la durée de stockage de 7,47 jours est très courte (excellente rotation). Cependant, la **trésorerie nette est très négative (-65,264 Mds FCFA)**, et l'autonomie financière de 14,03% est faible (&lt;30%), signalant une dépendance élevée aux concours bancaires. **Estimations basées sur les rapports trimestriels** : le rapport du **30 juin 2026** (publié en 2026) indique un CA de 305,038 Mds FCFA (-1%) et un résultat net de 3,016 Mds FCFA, avec un résultat d'exploitation en hausse de 17% à 6,133 Mds FCFA — on estime donc que l'exercice 2026 devrait maintenir une rentabilité stable, voire en légère amélioration, malgré la baisse des volumes (-3%). Le rapport du **T3 2025** (30 septembre 2025) faisait état d'un résultat net en hausse de 45% à 4,119 Mds FCFA, confirmant la dynamique positive avant un ralentissement au T1 2026. **Recommandation fondamentale** : la solidité opérationnelle est réelle (ROE élevé, rotation rapide, maîtrise des charges), mais la fragilité financière (trésorerie négative, endettement élevé, marge nette de 1%) et la volatilité des volumes (aviation, bitume) incitent à la **prudence**. Le dividende proposé de 6,09 Mds FCFA (rendement d'environ 4% au cours actuel) est attractif mais représente 101% du résultat net, ce qui n'est pas soutenable à long terme sans amélioration de la trésorerie.</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est **exigeante** : PER de 25,0x (vs 8-12x pour la BRVM), P/B de 5,54x et EV/EBITDA de 13,3x indiquent que le marché intègre déjà une forte croissance, laissant peu de marge de sécurité. Le comportement du cours (Partie 1) est **préoccupant à court terme** : malgré une hausse de +22,56% sur 100 jours, la chute de -10,65% en une séance, la volatilité élevée (43,7%) et le kurtosis de 1,086 (risque de pics) signalent une nervosité extrême. Les signaux techniques (Partie 2) sont **divergents** : MM et stochastique suggèrent un achat sur repli, mais MACD et Bollinger incitent à la prudence, avec un RSI neutre qui n'offre aucun signal directionnel. Les fondamentaux (Partie 3) sont **mitigés** : ROE excellent (22,2%), rotation rapide des actifs, mais marge nette de 1%, trésorerie nette de -65,264 Mds FCFA et endettement élevé (autonomie financière de 14,03%). Les **prédictions IA (J+1 à J+10)** anticipent une **poursuite de la correction** : 2 372 FCFA (J+1), 2 332 FCFA (J+2), 2 310 FCFA (J+3), 2 292 FCFA (J+4), 2 274 FCFA (J+5), soit une baisse supplémentaire de -4,9% sur 5 jours, ce qui **contredit** les signaux d'achat technique (MM, stochastique) et **confirme** la prudence du MACD.</w:t>
      </w:r>
    </w:p>
    <w:p>
      <w:pPr>
        <w:spacing w:after="120" w:line="276" w:lineRule="auto"/>
      </w:pPr>
      <w:r>
        <w:t>**Recommandation finale** : **CONSERVER**. La convergence entre la valorisation exigeante, la divergence technique, la fragilité financière (trésorerie négative) et les prédictions baissières à court terme ne justifie pas un achat, mais la solidité opérationnelle (ROE &gt;20%, rotation rapide) et le dividende attractif (rendement ~4%) interdisent une vente. **Niveau de confiance** : Moyen (les signaux sont contradictoires, mais la prudence domine). **Niveau de risque global** : Élevé (volatilité de 43,7%, kurtosis leptokurtique, trésorerie négative). **Horizon d'investissement optimal** : Moyen terme (3-12 mois), en attendant la publication des comptes définitifs 2025 et des résultats du S1 2026, qui permettront de confirmer ou d'infirmer la tendance baissière à court terme. Un renforcement pourrait être envisagé si le cours revient vers les 2 175 FCFA (borne inférieure de Bollinger) avec une amélioration de la trésorerie.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851.00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10,639 titres</w:t>
            </w:r>
          </w:p>
        </w:tc>
        <w:tc>
          <w:tcPr>
            <w:tcW w:type="dxa" w:w="2268"/>
            <w:shd w:fill="FFF2CC" w:val="clear"/>
          </w:tcPr>
          <w:p>
            <w:r>
              <w:rPr>
                <w:b/>
                <w:color w:val="503200"/>
                <w:sz w:val="16"/>
              </w:rPr>
              <w:t xml:space="preserve">Cours actuel : </w:t>
            </w:r>
            <w:r>
              <w:rPr>
                <w:color w:val="000000"/>
                <w:sz w:val="17"/>
              </w:rPr>
              <w:t>8,510 FCFA</w:t>
            </w:r>
          </w:p>
          <w:p>
            <w:r>
              <w:rPr>
                <w:b/>
                <w:color w:val="503200"/>
                <w:sz w:val="16"/>
              </w:rPr>
              <w:t xml:space="preserve">Var. 100 jours : </w:t>
            </w:r>
            <w:r>
              <w:rPr>
                <w:b/>
                <w:color w:val="007800"/>
                <w:sz w:val="17"/>
              </w:rPr>
              <w:t>+19.86%</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7,050 FCFA</w:t>
            </w:r>
          </w:p>
          <w:p>
            <w:r>
              <w:rPr>
                <w:b/>
                <w:color w:val="503200"/>
                <w:sz w:val="16"/>
              </w:rPr>
              <w:t xml:space="preserve">Volatilité ann. : </w:t>
            </w:r>
            <w:r>
              <w:rPr>
                <w:color w:val="000000"/>
                <w:sz w:val="17"/>
              </w:rPr>
              <w:t>30.7%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7.54% (Moyenne) — μ=8,700 FCFA, σ=656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β=0.3140 (Défensif) — Cov=0.000013, Var(idx)=0.000041, ρ=0.112,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10,639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88/100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8,219</w:t>
            </w:r>
          </w:p>
        </w:tc>
        <w:tc>
          <w:tcPr>
            <w:tcW w:type="dxa" w:w="1440"/>
            <w:shd w:fill="FAFAFA" w:val="clear"/>
          </w:tcPr>
          <w:p>
            <w:r>
              <w:rPr>
                <w:b/>
                <w:sz w:val="17"/>
              </w:rPr>
              <w:t>8,464</w:t>
            </w:r>
          </w:p>
        </w:tc>
        <w:tc>
          <w:tcPr>
            <w:tcW w:type="dxa" w:w="1440"/>
            <w:shd w:fill="FAFAFA" w:val="clear"/>
          </w:tcPr>
          <w:p>
            <w:r>
              <w:rPr>
                <w:sz w:val="17"/>
              </w:rPr>
              <w:t>8,708</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8,067</w:t>
            </w:r>
          </w:p>
        </w:tc>
        <w:tc>
          <w:tcPr>
            <w:tcW w:type="dxa" w:w="1440"/>
            <w:shd w:fill="FAFAFA" w:val="clear"/>
          </w:tcPr>
          <w:p>
            <w:r>
              <w:rPr>
                <w:b/>
                <w:sz w:val="17"/>
              </w:rPr>
              <w:t>8,411</w:t>
            </w:r>
          </w:p>
        </w:tc>
        <w:tc>
          <w:tcPr>
            <w:tcW w:type="dxa" w:w="1440"/>
            <w:shd w:fill="FAFAFA" w:val="clear"/>
          </w:tcPr>
          <w:p>
            <w:r>
              <w:rPr>
                <w:sz w:val="17"/>
              </w:rPr>
              <w:t>8,754</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2026-09-28</w:t>
            </w:r>
          </w:p>
        </w:tc>
        <w:tc>
          <w:tcPr>
            <w:tcW w:type="dxa" w:w="1440"/>
            <w:shd w:fill="FAFAFA" w:val="clear"/>
          </w:tcPr>
          <w:p>
            <w:r>
              <w:rPr>
                <w:sz w:val="17"/>
              </w:rPr>
              <w:t>7,965</w:t>
            </w:r>
          </w:p>
        </w:tc>
        <w:tc>
          <w:tcPr>
            <w:tcW w:type="dxa" w:w="1440"/>
            <w:shd w:fill="FAFAFA" w:val="clear"/>
          </w:tcPr>
          <w:p>
            <w:r>
              <w:rPr>
                <w:b/>
                <w:sz w:val="17"/>
              </w:rPr>
              <w:t>8,385</w:t>
            </w:r>
          </w:p>
        </w:tc>
        <w:tc>
          <w:tcPr>
            <w:tcW w:type="dxa" w:w="1440"/>
            <w:shd w:fill="FAFAFA" w:val="clear"/>
          </w:tcPr>
          <w:p>
            <w:r>
              <w:rPr>
                <w:sz w:val="17"/>
              </w:rPr>
              <w:t>8,804</w:t>
            </w:r>
          </w:p>
        </w:tc>
        <w:tc>
          <w:tcPr>
            <w:tcW w:type="dxa" w:w="1440"/>
            <w:shd w:fill="FAFAFA" w:val="clear"/>
          </w:tcPr>
          <w:p>
            <w:r>
              <w:rPr>
                <w:b/>
                <w:color w:val="C00000"/>
                <w:sz w:val="17"/>
              </w:rPr>
              <w:t>-1.5%</w:t>
            </w:r>
          </w:p>
        </w:tc>
      </w:tr>
      <w:tr>
        <w:tc>
          <w:tcPr>
            <w:tcW w:type="dxa" w:w="1440"/>
            <w:shd w:fill="FAFAFA" w:val="clear"/>
          </w:tcPr>
          <w:p>
            <w:r>
              <w:rPr>
                <w:sz w:val="17"/>
              </w:rPr>
              <w:t>J+4  Moyenne</w:t>
            </w:r>
          </w:p>
        </w:tc>
        <w:tc>
          <w:tcPr>
            <w:tcW w:type="dxa" w:w="1440"/>
            <w:shd w:fill="FAFAFA" w:val="clear"/>
          </w:tcPr>
          <w:p>
            <w:r>
              <w:rPr>
                <w:sz w:val="17"/>
              </w:rPr>
              <w:t>2026-09-29</w:t>
            </w:r>
          </w:p>
        </w:tc>
        <w:tc>
          <w:tcPr>
            <w:tcW w:type="dxa" w:w="1440"/>
            <w:shd w:fill="FAFAFA" w:val="clear"/>
          </w:tcPr>
          <w:p>
            <w:r>
              <w:rPr>
                <w:sz w:val="17"/>
              </w:rPr>
              <w:t>7,882</w:t>
            </w:r>
          </w:p>
        </w:tc>
        <w:tc>
          <w:tcPr>
            <w:tcW w:type="dxa" w:w="1440"/>
            <w:shd w:fill="FAFAFA" w:val="clear"/>
          </w:tcPr>
          <w:p>
            <w:r>
              <w:rPr>
                <w:b/>
                <w:sz w:val="17"/>
              </w:rPr>
              <w:t>8,365</w:t>
            </w:r>
          </w:p>
        </w:tc>
        <w:tc>
          <w:tcPr>
            <w:tcW w:type="dxa" w:w="1440"/>
            <w:shd w:fill="FAFAFA" w:val="clear"/>
          </w:tcPr>
          <w:p>
            <w:r>
              <w:rPr>
                <w:sz w:val="17"/>
              </w:rPr>
              <w:t>8,849</w:t>
            </w:r>
          </w:p>
        </w:tc>
        <w:tc>
          <w:tcPr>
            <w:tcW w:type="dxa" w:w="1440"/>
            <w:shd w:fill="FAFAFA" w:val="clear"/>
          </w:tcPr>
          <w:p>
            <w:r>
              <w:rPr>
                <w:b/>
                <w:color w:val="C00000"/>
                <w:sz w:val="17"/>
              </w:rPr>
              <w:t>-1.7%</w:t>
            </w:r>
          </w:p>
        </w:tc>
      </w:tr>
      <w:tr>
        <w:tc>
          <w:tcPr>
            <w:tcW w:type="dxa" w:w="1440"/>
            <w:shd w:fill="FAFAFA" w:val="clear"/>
          </w:tcPr>
          <w:p>
            <w:r>
              <w:rPr>
                <w:sz w:val="17"/>
              </w:rPr>
              <w:t>J+5  Moyenne</w:t>
            </w:r>
          </w:p>
        </w:tc>
        <w:tc>
          <w:tcPr>
            <w:tcW w:type="dxa" w:w="1440"/>
            <w:shd w:fill="FAFAFA" w:val="clear"/>
          </w:tcPr>
          <w:p>
            <w:r>
              <w:rPr>
                <w:sz w:val="17"/>
              </w:rPr>
              <w:t>2026-09-30</w:t>
            </w:r>
          </w:p>
        </w:tc>
        <w:tc>
          <w:tcPr>
            <w:tcW w:type="dxa" w:w="1440"/>
            <w:shd w:fill="FAFAFA" w:val="clear"/>
          </w:tcPr>
          <w:p>
            <w:r>
              <w:rPr>
                <w:sz w:val="17"/>
              </w:rPr>
              <w:t>7,805</w:t>
            </w:r>
          </w:p>
        </w:tc>
        <w:tc>
          <w:tcPr>
            <w:tcW w:type="dxa" w:w="1440"/>
            <w:shd w:fill="FAFAFA" w:val="clear"/>
          </w:tcPr>
          <w:p>
            <w:r>
              <w:rPr>
                <w:b/>
                <w:sz w:val="17"/>
              </w:rPr>
              <w:t>8,344</w:t>
            </w:r>
          </w:p>
        </w:tc>
        <w:tc>
          <w:tcPr>
            <w:tcW w:type="dxa" w:w="1440"/>
            <w:shd w:fill="FAFAFA" w:val="clear"/>
          </w:tcPr>
          <w:p>
            <w:r>
              <w:rPr>
                <w:sz w:val="17"/>
              </w:rPr>
              <w:t>8,883</w:t>
            </w:r>
          </w:p>
        </w:tc>
        <w:tc>
          <w:tcPr>
            <w:tcW w:type="dxa" w:w="1440"/>
            <w:shd w:fill="FAFAFA" w:val="clear"/>
          </w:tcPr>
          <w:p>
            <w:r>
              <w:rPr>
                <w:b/>
                <w:color w:val="C00000"/>
                <w:sz w:val="17"/>
              </w:rPr>
              <w:t>-1.9%</w:t>
            </w:r>
          </w:p>
        </w:tc>
      </w:tr>
      <w:tr>
        <w:tc>
          <w:tcPr>
            <w:tcW w:type="dxa" w:w="1440"/>
            <w:shd w:fill="FFDCE0" w:val="clear"/>
          </w:tcPr>
          <w:p>
            <w:r>
              <w:rPr>
                <w:sz w:val="17"/>
              </w:rPr>
              <w:t>J+6  Moyenne</w:t>
            </w:r>
          </w:p>
        </w:tc>
        <w:tc>
          <w:tcPr>
            <w:tcW w:type="dxa" w:w="1440"/>
            <w:shd w:fill="FFDCE0" w:val="clear"/>
          </w:tcPr>
          <w:p>
            <w:r>
              <w:rPr>
                <w:sz w:val="17"/>
              </w:rPr>
              <w:t>2026-10-01</w:t>
            </w:r>
          </w:p>
        </w:tc>
        <w:tc>
          <w:tcPr>
            <w:tcW w:type="dxa" w:w="1440"/>
            <w:shd w:fill="FFDCE0" w:val="clear"/>
          </w:tcPr>
          <w:p>
            <w:r>
              <w:rPr>
                <w:sz w:val="17"/>
              </w:rPr>
              <w:t>7,733</w:t>
            </w:r>
          </w:p>
        </w:tc>
        <w:tc>
          <w:tcPr>
            <w:tcW w:type="dxa" w:w="1440"/>
            <w:shd w:fill="FFDCE0" w:val="clear"/>
          </w:tcPr>
          <w:p>
            <w:r>
              <w:rPr>
                <w:b/>
                <w:sz w:val="17"/>
              </w:rPr>
              <w:t>8,321</w:t>
            </w:r>
          </w:p>
        </w:tc>
        <w:tc>
          <w:tcPr>
            <w:tcW w:type="dxa" w:w="1440"/>
            <w:shd w:fill="FFDCE0" w:val="clear"/>
          </w:tcPr>
          <w:p>
            <w:r>
              <w:rPr>
                <w:sz w:val="17"/>
              </w:rPr>
              <w:t>8,910</w:t>
            </w:r>
          </w:p>
        </w:tc>
        <w:tc>
          <w:tcPr>
            <w:tcW w:type="dxa" w:w="1440"/>
            <w:shd w:fill="FFDCE0" w:val="clear"/>
          </w:tcPr>
          <w:p>
            <w:r>
              <w:rPr>
                <w:b/>
                <w:color w:val="C00000"/>
                <w:sz w:val="17"/>
              </w:rPr>
              <w:t>-2.2%</w:t>
            </w:r>
          </w:p>
        </w:tc>
      </w:tr>
      <w:tr>
        <w:tc>
          <w:tcPr>
            <w:tcW w:type="dxa" w:w="1440"/>
            <w:shd w:fill="FFDCE0" w:val="clear"/>
          </w:tcPr>
          <w:p>
            <w:r>
              <w:rPr>
                <w:sz w:val="17"/>
              </w:rPr>
              <w:t>J+7  Moyenne</w:t>
            </w:r>
          </w:p>
        </w:tc>
        <w:tc>
          <w:tcPr>
            <w:tcW w:type="dxa" w:w="1440"/>
            <w:shd w:fill="FFDCE0" w:val="clear"/>
          </w:tcPr>
          <w:p>
            <w:r>
              <w:rPr>
                <w:sz w:val="17"/>
              </w:rPr>
              <w:t>2026-10-02</w:t>
            </w:r>
          </w:p>
        </w:tc>
        <w:tc>
          <w:tcPr>
            <w:tcW w:type="dxa" w:w="1440"/>
            <w:shd w:fill="FFDCE0" w:val="clear"/>
          </w:tcPr>
          <w:p>
            <w:r>
              <w:rPr>
                <w:sz w:val="17"/>
              </w:rPr>
              <w:t>7,664</w:t>
            </w:r>
          </w:p>
        </w:tc>
        <w:tc>
          <w:tcPr>
            <w:tcW w:type="dxa" w:w="1440"/>
            <w:shd w:fill="FFDCE0" w:val="clear"/>
          </w:tcPr>
          <w:p>
            <w:r>
              <w:rPr>
                <w:b/>
                <w:sz w:val="17"/>
              </w:rPr>
              <w:t>8,298</w:t>
            </w:r>
          </w:p>
        </w:tc>
        <w:tc>
          <w:tcPr>
            <w:tcW w:type="dxa" w:w="1440"/>
            <w:shd w:fill="FFDCE0" w:val="clear"/>
          </w:tcPr>
          <w:p>
            <w:r>
              <w:rPr>
                <w:sz w:val="17"/>
              </w:rPr>
              <w:t>8,932</w:t>
            </w:r>
          </w:p>
        </w:tc>
        <w:tc>
          <w:tcPr>
            <w:tcW w:type="dxa" w:w="1440"/>
            <w:shd w:fill="FFDCE0" w:val="clear"/>
          </w:tcPr>
          <w:p>
            <w:r>
              <w:rPr>
                <w:b/>
                <w:color w:val="C00000"/>
                <w:sz w:val="17"/>
              </w:rPr>
              <w:t>-2.5%</w:t>
            </w:r>
          </w:p>
        </w:tc>
      </w:tr>
      <w:tr>
        <w:tc>
          <w:tcPr>
            <w:tcW w:type="dxa" w:w="1440"/>
            <w:shd w:fill="FFDCE0" w:val="clear"/>
          </w:tcPr>
          <w:p>
            <w:r>
              <w:rPr>
                <w:sz w:val="17"/>
              </w:rPr>
              <w:t>J+8  Moyenne</w:t>
            </w:r>
          </w:p>
        </w:tc>
        <w:tc>
          <w:tcPr>
            <w:tcW w:type="dxa" w:w="1440"/>
            <w:shd w:fill="FFDCE0" w:val="clear"/>
          </w:tcPr>
          <w:p>
            <w:r>
              <w:rPr>
                <w:sz w:val="17"/>
              </w:rPr>
              <w:t>2026-10-05</w:t>
            </w:r>
          </w:p>
        </w:tc>
        <w:tc>
          <w:tcPr>
            <w:tcW w:type="dxa" w:w="1440"/>
            <w:shd w:fill="FFDCE0" w:val="clear"/>
          </w:tcPr>
          <w:p>
            <w:r>
              <w:rPr>
                <w:sz w:val="17"/>
              </w:rPr>
              <w:t>7,598</w:t>
            </w:r>
          </w:p>
        </w:tc>
        <w:tc>
          <w:tcPr>
            <w:tcW w:type="dxa" w:w="1440"/>
            <w:shd w:fill="FFDCE0" w:val="clear"/>
          </w:tcPr>
          <w:p>
            <w:r>
              <w:rPr>
                <w:b/>
                <w:sz w:val="17"/>
              </w:rPr>
              <w:t>8,274</w:t>
            </w:r>
          </w:p>
        </w:tc>
        <w:tc>
          <w:tcPr>
            <w:tcW w:type="dxa" w:w="1440"/>
            <w:shd w:fill="FFDCE0" w:val="clear"/>
          </w:tcPr>
          <w:p>
            <w:r>
              <w:rPr>
                <w:sz w:val="17"/>
              </w:rPr>
              <w:t>8,950</w:t>
            </w:r>
          </w:p>
        </w:tc>
        <w:tc>
          <w:tcPr>
            <w:tcW w:type="dxa" w:w="1440"/>
            <w:shd w:fill="FFDCE0" w:val="clear"/>
          </w:tcPr>
          <w:p>
            <w:r>
              <w:rPr>
                <w:b/>
                <w:color w:val="C00000"/>
                <w:sz w:val="17"/>
              </w:rPr>
              <w:t>-2.8%</w:t>
            </w:r>
          </w:p>
        </w:tc>
      </w:tr>
      <w:tr>
        <w:tc>
          <w:tcPr>
            <w:tcW w:type="dxa" w:w="1440"/>
            <w:shd w:fill="FFDCE0" w:val="clear"/>
          </w:tcPr>
          <w:p>
            <w:r>
              <w:rPr>
                <w:sz w:val="17"/>
              </w:rPr>
              <w:t>J+9  Moyenne</w:t>
            </w:r>
          </w:p>
        </w:tc>
        <w:tc>
          <w:tcPr>
            <w:tcW w:type="dxa" w:w="1440"/>
            <w:shd w:fill="FFDCE0" w:val="clear"/>
          </w:tcPr>
          <w:p>
            <w:r>
              <w:rPr>
                <w:sz w:val="17"/>
              </w:rPr>
              <w:t>2026-10-06</w:t>
            </w:r>
          </w:p>
        </w:tc>
        <w:tc>
          <w:tcPr>
            <w:tcW w:type="dxa" w:w="1440"/>
            <w:shd w:fill="FFDCE0" w:val="clear"/>
          </w:tcPr>
          <w:p>
            <w:r>
              <w:rPr>
                <w:sz w:val="17"/>
              </w:rPr>
              <w:t>7,536</w:t>
            </w:r>
          </w:p>
        </w:tc>
        <w:tc>
          <w:tcPr>
            <w:tcW w:type="dxa" w:w="1440"/>
            <w:shd w:fill="FFDCE0" w:val="clear"/>
          </w:tcPr>
          <w:p>
            <w:r>
              <w:rPr>
                <w:b/>
                <w:sz w:val="17"/>
              </w:rPr>
              <w:t>8,251</w:t>
            </w:r>
          </w:p>
        </w:tc>
        <w:tc>
          <w:tcPr>
            <w:tcW w:type="dxa" w:w="1440"/>
            <w:shd w:fill="FFDCE0" w:val="clear"/>
          </w:tcPr>
          <w:p>
            <w:r>
              <w:rPr>
                <w:sz w:val="17"/>
              </w:rPr>
              <w:t>8,966</w:t>
            </w:r>
          </w:p>
        </w:tc>
        <w:tc>
          <w:tcPr>
            <w:tcW w:type="dxa" w:w="1440"/>
            <w:shd w:fill="FFDCE0" w:val="clear"/>
          </w:tcPr>
          <w:p>
            <w:r>
              <w:rPr>
                <w:b/>
                <w:color w:val="C00000"/>
                <w:sz w:val="17"/>
              </w:rPr>
              <w:t>-3.0%</w:t>
            </w:r>
          </w:p>
        </w:tc>
      </w:tr>
      <w:tr>
        <w:tc>
          <w:tcPr>
            <w:tcW w:type="dxa" w:w="1440"/>
            <w:shd w:fill="FFDCE0" w:val="clear"/>
          </w:tcPr>
          <w:p>
            <w:r>
              <w:rPr>
                <w:sz w:val="17"/>
              </w:rPr>
              <w:t>J+10  Moyenne</w:t>
            </w:r>
          </w:p>
        </w:tc>
        <w:tc>
          <w:tcPr>
            <w:tcW w:type="dxa" w:w="1440"/>
            <w:shd w:fill="FFDCE0" w:val="clear"/>
          </w:tcPr>
          <w:p>
            <w:r>
              <w:rPr>
                <w:sz w:val="17"/>
              </w:rPr>
              <w:t>2026-10-07</w:t>
            </w:r>
          </w:p>
        </w:tc>
        <w:tc>
          <w:tcPr>
            <w:tcW w:type="dxa" w:w="1440"/>
            <w:shd w:fill="FFDCE0" w:val="clear"/>
          </w:tcPr>
          <w:p>
            <w:r>
              <w:rPr>
                <w:sz w:val="17"/>
              </w:rPr>
              <w:t>7,476</w:t>
            </w:r>
          </w:p>
        </w:tc>
        <w:tc>
          <w:tcPr>
            <w:tcW w:type="dxa" w:w="1440"/>
            <w:shd w:fill="FFDCE0" w:val="clear"/>
          </w:tcPr>
          <w:p>
            <w:r>
              <w:rPr>
                <w:b/>
                <w:sz w:val="17"/>
              </w:rPr>
              <w:t>8,228</w:t>
            </w:r>
          </w:p>
        </w:tc>
        <w:tc>
          <w:tcPr>
            <w:tcW w:type="dxa" w:w="1440"/>
            <w:shd w:fill="FFDCE0" w:val="clear"/>
          </w:tcPr>
          <w:p>
            <w:r>
              <w:rPr>
                <w:sz w:val="17"/>
              </w:rPr>
              <w:t>8,979</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 SIBC (Société Ivoirienne de Banque)**</w:t>
        <w:br/>
        <w:t>**BRVM | Secteur : Banque | Cours de référence : 8 510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851,00 milliards FCFA, la SIBC figure parmi les toutes premières capitalisations de la BRVM, ce qui en fait une valeur de premier plan de la cote. Le BPA de 556 FCFA/action signifie que chaque titre génère 556 FCFA de bénéfice net, ce qui, rapporté au cours de 8 510 FCFA, donne un PER de 15,3x — nettement supérieur à la moyenne du marché BRVM (8-12x), traduisant une prime de qualité mais aussi une valorisation déjà exigeante. Le P/B de 4,16x confirme que le marché paie plus de quatre fois la valeur comptable des fonds propres, signe d'une forte anticipation de rentabilité future (cohérente avec un ROE supérieur à 27%). L'EV/EBITDA de 14,3x, dans la fourchette haute (10-15x), indique que la valeur d'entreprise intègre une capacité bénéficiaire solide mais laisse peu de marge d'erreur. Au total, la valorisation n'est pas « bon marché » : elle rémunère la qualité des fondamentaux, ce qui limite le potentiel de réévaluation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affiche une progression totale de +19,86%, mais la dernière séance (J-1) a été marquée par une chute brutale de -7,35%, ramenant le cours à 8 510 FCFA. Le range de trading est large, entre un plus bas de 7 050 FCFA et un plus haut de 9 500 FCFA, soit une amplitude de près de 35% qui témoigne d'une forte volatilité directionnelle. La tendance de fond reste haussière sur la période, mais la correction récente suggère une prise de bénéfices après le sommet. Les statistiques descriptives révèlent une moyenne de 8 700 FCFA légèrement inférieure à la médiane de 8 892 FCFA, avec un mode à 9 000 FCFA : le cours actuel (8 510 FCFA) se situe donc sous ses trois points de référence, confirmant le repli. L'écart-type de 659 FCFA (CV = 7,6%) indique une dispersion modérée autour de la moyenne, tandis que le kurtosis de 0,768 (mésokurtique) suggère une distribution proche de la normale, sans risque extrême de pics. En revanche, le skewness de -1,421 (asymétrie négative marquée) signale que le titre a passé plus de journées au-dessus de sa moyenne, avec des chutes ponctuelles plus violentes que les hausses — ce qui est cohérent avec la correction de -7,35% observée. La volatilité annualisée de 30,7% place le titre dans la catégorie « élevée » (&gt;30%), à surveiller pour tout investisseur averse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(9 168,5 FCFA) et la MM50 (9 084,4 FCFA) se situent toutes deux nettement au-dessus du cours actuel (8 510 FCFA), ce qui traduit une pression baissière de court terme. Toutefois, la MM20 reste supérieure à la MM50, conservant une structure haussière de fond ; la décision « Achat » fournie repose sur cette configuration de tendance encore positive malgré le repli.</w:t>
      </w:r>
    </w:p>
    <w:p>
      <w:pPr>
        <w:spacing w:after="120" w:line="276" w:lineRule="auto"/>
      </w:pPr>
      <w:r>
        <w:t>**Bandes de Bollinger** : Le cours (8 510 FCFA) est sorti par le bas de la bande inférieure (8 822,7 FCFA), tandis que la borne supérieure est à 9 514,3 FCFA. Cette sortie par le bas signale une survente technique et une volatilité accrue ; historiquement, un retour vers la bande est fréquent, ce qui justifie la décision « Achat » en anticipation d'un rebond.</w:t>
      </w:r>
    </w:p>
    <w:p>
      <w:pPr>
        <w:spacing w:after="120" w:line="276" w:lineRule="auto"/>
      </w:pPr>
      <w:r>
        <w:t>**MACD** : La valeur du MACD (-36,43) est négative et inférieure à son signal (19,568), confirmant un momentum baissier net et une divergence baissière. La décision « Vente » de cet indicateur contredit les autres signaux et traduit la vigueur de la correction récente.</w:t>
      </w:r>
    </w:p>
    <w:p>
      <w:pPr>
        <w:spacing w:after="120" w:line="276" w:lineRule="auto"/>
      </w:pPr>
      <w:r>
        <w:t>**RSI** : À 20,956, le RSI est en zone de survente profonde (&lt;30), un niveau rarement atteint qui historiquement précède souvent un rebond technique. La décision « Achat » est cohérente avec cette lecture contrarienne.</w:t>
      </w:r>
    </w:p>
    <w:p>
      <w:pPr>
        <w:spacing w:after="120" w:line="276" w:lineRule="auto"/>
      </w:pPr>
      <w:r>
        <w:t>**Stochastique** : Le %K est à 0,0 (plancher absolu) et le %D à 28,333, avec un %K sous le %D — configuration de survente extrême. La décision « Achat » repose sur l'anticipation d'un croisement haussier imminent du %K au-dessus du %D.</w:t>
      </w:r>
    </w:p>
    <w:p>
      <w:pPr>
        <w:spacing w:after="120" w:line="276" w:lineRule="auto"/>
      </w:pPr>
      <w:r>
        <w:t>**Conclusion technique** : Les indicateurs sont majoritairement en zone de survente (RSI 21, Stochastique à 0, sortie basse des Bollinger), ce qui plaide pour un rebond à court terme, mais le MACD baissier et le cours sous les deux moyennes mobiles appellent à la prudence. La convergence des signaux d'achat (4 sur 5) suggère une opportunité tactique, à condition que le support des 8 500 FCFA tienne.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Sur la base des états financiers 2025 fournis, la SIBC affiche un Produit Net Bancaire (équivalent du chiffre d'affaires pour une banque) de 108,663 milliards FCFA et un résultat net de 55,623 milliards FCFA, pour un total bilan de 1 881,733 milliards FCFA. La rentabilité est excellente : le ROE atteint 27,16% (largement au-dessus du seuil de 15%) et le ROA 2,96%, tandis que la marge nette de 51,19% et le coefficient d'exploitation de 38,59% (très inférieur au seuil de 60%) confirment une efficacité opérationnelle remarquable. Le portefeuille de crédits clientèle (1 226,720 milliards FCFA) est largement couvert par les dépôts clientèle (1 503,441 milliards FCFA), soit un ratio de transformation de 81,6% — sain et maîtrisé. Le coût du risque, bien que non détaillé en valeur absolue, ressort élevé dans les ratios fournis, ce qui constitue un point de vigilance sur la qualité du portefeuille. Les rapports trimestriels confirment la dynamique : au T1 2026 (rapport du 31/12/2026 analysé le 07/05/2026), le PNB progresse de +4% à 27,7 milliards FCFA et le résultat net bondit de +11% à 15,2 milliards FCFA, avec des dépôts en hausse de +9% (1 495 Mds FCFA) et des crédits de +7% (1 112 Mds FCFA). Le rapport T3 2025 (30/09/2025) affichait déjà un PNB cumulé de 81,4 Mds FCFA (+8%) et un résultat net de 43,0 Mds FCFA (+11%), tandis que le rapport annuel 2024 (31/12/2024) faisait état d'un PNB de 102,8 Mds FCFA (+8%) et d'un résultat net de 50,2 Mds FCFA (+15%), avec un ROE de 30,56% et un dividende proposé de 375 FCFA/action (rendement ~10,55% sur le cours de fin 2024). Sur la base du T1 2026, on peut estimer que l'exercice 2026 devrait maintenir une croissance du résultat net de l'ordre de +10%, portant le bénéfice net annuel estimé autour de 61 Mds FCFA, soit un BPA estimé de ~610 FCFA. La solidité financière est réelle (solvabilité générale de 112,2%, couverture des intérêts de 408,9%), mais l'autonomie financière de 10,88% reste faible, typique du modèle bancaire. En conclusion, les fondamentaux sont solides et la croissance régulière, avec un risque principal lié au coût du risque et à la dépendance à l'économie ivoirienne.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 PER de 15,3x et P/B de 4,16x intègrent déjà la qualité des fondamentaux, limitant le potentiel de hausse à court terme malgré un EV/EBITDA de 14,3x encore soutenable. Le comportement du cours (Partie 1) est préoccupant à court terme : la chute de -7,35% en J-1, le skewness négatif (-1,421) et la volatilité élevée (30,7%) signalent une correction en cours, mais le kurtosis mésokurtique (0,768) écarte le risque de krach extrême. Les signaux techniques (Partie 2) sont majoritairement haussiers (RSI en survente à 21, Stochastique à 0, sortie basse des Bollinger), mais le MACD baissier et le cours sous les MM20/MM50 créent une divergence qui appelle à la prudence. Les fondamentaux (Partie 3) restent excellents : ROE de 27,16%, coefficient d'exploitation de 38,59%, croissance du résultat net de +11% au T1 2026, avec un BPA estimé 2026 autour de 610 FCFA. Les prédictions IA (J+1 à J+10) anticipent une poursuite de la baisse jusqu'à 8 344 FCFA le 30/09/2026, ce qui contredit les signaux d'achat techniques et confirme la pression baissière de court terme. **Recommandation finale : CONSERVER** — la convergence entre une valorisation tendue, une correction technique en cours et des prédictions baissières à 10 jours incite à ne pas acheter immédiatement, mais la solidité fondamentale et le rendement dividende attractif (~4,4% sur la base de 375 FCFA) justifient de conserver les positions existantes. Le niveau de confiance est **Moyen** (divergence technique/fondamental) et le risque global **Moyen** (volatilité élevée mais bilan solide). L'horizon optimal est le **moyen terme (3-12 mois)**, en attendant la confirmation d'un retournement technique et la publication des résultats semestriels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β=-1.0648 (Contre-cyclique) — Cov=-0.000038, Var(idx)=0.000036, ρ=-0.175, n=95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2026-09-24</w:t>
            </w:r>
          </w:p>
        </w:tc>
        <w:tc>
          <w:tcPr>
            <w:tcW w:type="dxa" w:w="1440"/>
            <w:shd w:fill="FFDCE0" w:val="clear"/>
          </w:tcPr>
          <w:p>
            <w:r>
              <w:rPr>
                <w:sz w:val="17"/>
              </w:rPr>
              <w:t>6,141</w:t>
            </w:r>
          </w:p>
        </w:tc>
        <w:tc>
          <w:tcPr>
            <w:tcW w:type="dxa" w:w="1440"/>
            <w:shd w:fill="FFDCE0" w:val="clear"/>
          </w:tcPr>
          <w:p>
            <w:r>
              <w:rPr>
                <w:b/>
                <w:sz w:val="17"/>
              </w:rPr>
              <w:t>7,574</w:t>
            </w:r>
          </w:p>
        </w:tc>
        <w:tc>
          <w:tcPr>
            <w:tcW w:type="dxa" w:w="1440"/>
            <w:shd w:fill="FFDCE0" w:val="clear"/>
          </w:tcPr>
          <w:p>
            <w:r>
              <w:rPr>
                <w:sz w:val="17"/>
              </w:rPr>
              <w:t>9,007</w:t>
            </w:r>
          </w:p>
        </w:tc>
        <w:tc>
          <w:tcPr>
            <w:tcW w:type="dxa" w:w="1440"/>
            <w:shd w:fill="FFDCE0" w:val="clear"/>
          </w:tcPr>
          <w:p>
            <w:r>
              <w:rPr>
                <w:b/>
                <w:color w:val="C00000"/>
                <w:sz w:val="17"/>
              </w:rPr>
              <w:t>-9.8%</w:t>
            </w:r>
          </w:p>
        </w:tc>
      </w:tr>
      <w:tr>
        <w:tc>
          <w:tcPr>
            <w:tcW w:type="dxa" w:w="1440"/>
            <w:shd w:fill="FFDCE0" w:val="clear"/>
          </w:tcPr>
          <w:p>
            <w:r>
              <w:rPr>
                <w:sz w:val="17"/>
              </w:rPr>
              <w:t>J+2  ⭐</w:t>
            </w:r>
          </w:p>
        </w:tc>
        <w:tc>
          <w:tcPr>
            <w:tcW w:type="dxa" w:w="1440"/>
            <w:shd w:fill="FFDCE0" w:val="clear"/>
          </w:tcPr>
          <w:p>
            <w:r>
              <w:rPr>
                <w:sz w:val="17"/>
              </w:rPr>
              <w:t>2026-09-25</w:t>
            </w:r>
          </w:p>
        </w:tc>
        <w:tc>
          <w:tcPr>
            <w:tcW w:type="dxa" w:w="1440"/>
            <w:shd w:fill="FFDCE0" w:val="clear"/>
          </w:tcPr>
          <w:p>
            <w:r>
              <w:rPr>
                <w:sz w:val="17"/>
              </w:rPr>
              <w:t>5,950</w:t>
            </w:r>
          </w:p>
        </w:tc>
        <w:tc>
          <w:tcPr>
            <w:tcW w:type="dxa" w:w="1440"/>
            <w:shd w:fill="FFDCE0" w:val="clear"/>
          </w:tcPr>
          <w:p>
            <w:r>
              <w:rPr>
                <w:b/>
                <w:sz w:val="17"/>
              </w:rPr>
              <w:t>7,458</w:t>
            </w:r>
          </w:p>
        </w:tc>
        <w:tc>
          <w:tcPr>
            <w:tcW w:type="dxa" w:w="1440"/>
            <w:shd w:fill="FFDCE0" w:val="clear"/>
          </w:tcPr>
          <w:p>
            <w:r>
              <w:rPr>
                <w:sz w:val="17"/>
              </w:rPr>
              <w:t>8,966</w:t>
            </w:r>
          </w:p>
        </w:tc>
        <w:tc>
          <w:tcPr>
            <w:tcW w:type="dxa" w:w="1440"/>
            <w:shd w:fill="FFDCE0" w:val="clear"/>
          </w:tcPr>
          <w:p>
            <w:r>
              <w:rPr>
                <w:b/>
                <w:color w:val="C00000"/>
                <w:sz w:val="17"/>
              </w:rPr>
              <w:t>-11.2%</w:t>
            </w:r>
          </w:p>
        </w:tc>
      </w:tr>
      <w:tr>
        <w:tc>
          <w:tcPr>
            <w:tcW w:type="dxa" w:w="1440"/>
            <w:shd w:fill="FFDCE0" w:val="clear"/>
          </w:tcPr>
          <w:p>
            <w:r>
              <w:rPr>
                <w:sz w:val="17"/>
              </w:rPr>
              <w:t>J+3  ⭐</w:t>
            </w:r>
          </w:p>
        </w:tc>
        <w:tc>
          <w:tcPr>
            <w:tcW w:type="dxa" w:w="1440"/>
            <w:shd w:fill="FFDCE0" w:val="clear"/>
          </w:tcPr>
          <w:p>
            <w:r>
              <w:rPr>
                <w:sz w:val="17"/>
              </w:rPr>
              <w:t>2026-09-28</w:t>
            </w:r>
          </w:p>
        </w:tc>
        <w:tc>
          <w:tcPr>
            <w:tcW w:type="dxa" w:w="1440"/>
            <w:shd w:fill="FFDCE0" w:val="clear"/>
          </w:tcPr>
          <w:p>
            <w:r>
              <w:rPr>
                <w:sz w:val="17"/>
              </w:rPr>
              <w:t>5,771</w:t>
            </w:r>
          </w:p>
        </w:tc>
        <w:tc>
          <w:tcPr>
            <w:tcW w:type="dxa" w:w="1440"/>
            <w:shd w:fill="FFDCE0" w:val="clear"/>
          </w:tcPr>
          <w:p>
            <w:r>
              <w:rPr>
                <w:b/>
                <w:sz w:val="17"/>
              </w:rPr>
              <w:t>7,347</w:t>
            </w:r>
          </w:p>
        </w:tc>
        <w:tc>
          <w:tcPr>
            <w:tcW w:type="dxa" w:w="1440"/>
            <w:shd w:fill="FFDCE0" w:val="clear"/>
          </w:tcPr>
          <w:p>
            <w:r>
              <w:rPr>
                <w:sz w:val="17"/>
              </w:rPr>
              <w:t>8,922</w:t>
            </w:r>
          </w:p>
        </w:tc>
        <w:tc>
          <w:tcPr>
            <w:tcW w:type="dxa" w:w="1440"/>
            <w:shd w:fill="FFDCE0" w:val="clear"/>
          </w:tcPr>
          <w:p>
            <w:r>
              <w:rPr>
                <w:b/>
                <w:color w:val="C00000"/>
                <w:sz w:val="17"/>
              </w:rPr>
              <w:t>-12.5%</w:t>
            </w:r>
          </w:p>
        </w:tc>
      </w:tr>
      <w:tr>
        <w:tc>
          <w:tcPr>
            <w:tcW w:type="dxa" w:w="1440"/>
            <w:shd w:fill="FFDCE0" w:val="clear"/>
          </w:tcPr>
          <w:p>
            <w:r>
              <w:rPr>
                <w:sz w:val="17"/>
              </w:rPr>
              <w:t>J+4  ⭐</w:t>
            </w:r>
          </w:p>
        </w:tc>
        <w:tc>
          <w:tcPr>
            <w:tcW w:type="dxa" w:w="1440"/>
            <w:shd w:fill="FFDCE0" w:val="clear"/>
          </w:tcPr>
          <w:p>
            <w:r>
              <w:rPr>
                <w:sz w:val="17"/>
              </w:rPr>
              <w:t>2026-09-29</w:t>
            </w:r>
          </w:p>
        </w:tc>
        <w:tc>
          <w:tcPr>
            <w:tcW w:type="dxa" w:w="1440"/>
            <w:shd w:fill="FFDCE0" w:val="clear"/>
          </w:tcPr>
          <w:p>
            <w:r>
              <w:rPr>
                <w:sz w:val="17"/>
              </w:rPr>
              <w:t>5,603</w:t>
            </w:r>
          </w:p>
        </w:tc>
        <w:tc>
          <w:tcPr>
            <w:tcW w:type="dxa" w:w="1440"/>
            <w:shd w:fill="FFDCE0" w:val="clear"/>
          </w:tcPr>
          <w:p>
            <w:r>
              <w:rPr>
                <w:b/>
                <w:sz w:val="17"/>
              </w:rPr>
              <w:t>7,239</w:t>
            </w:r>
          </w:p>
        </w:tc>
        <w:tc>
          <w:tcPr>
            <w:tcW w:type="dxa" w:w="1440"/>
            <w:shd w:fill="FFDCE0" w:val="clear"/>
          </w:tcPr>
          <w:p>
            <w:r>
              <w:rPr>
                <w:sz w:val="17"/>
              </w:rPr>
              <w:t>8,876</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 RAPPORT D'ANALYSE FINANCIÈRE — ACTION SICC (SICOR CI)</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**5,04 milliards FCFA** pour un cours de 8 400 FCFA, ce qui en fait une micro-capitalisation au sein de la cote BRVM, exposée de ce fait à une faible liquidité (volume moyen de seulement 120 titres/jour). Les ratios de valorisation boursière (BPA, PER, P/B, EV/EBITDA) ne sont pas calculables en l'absence de données financières structurées exploitables dans la base, ce qui limite l'appréciation de la cherté relative du titre par rapport aux standards du marché (PER BRVM moyen ~8-12x). Toutefois, en croisant le résultat net 2024 de **-128,6 millions FCFA** (perte) avec la capitalisation, on constate que le marché valorise l'entreprise bien au-delà de sa capacité bénéficiaire actuelle, ce qui traduit une anticipation spéculative plutôt qu'une valorisation fondamentale. Le P/B implicite, si l'on rapporte la capitalisation de 5,04 Mds aux capitaux propres 2024 de **2,98 milliards FCFA**, ressort à environ **1,7x**, soit une prime significative sur la valeur comptable malgré une situation opérationnelle dégradée. Cette décorrélation entre prix de marché et fondamentaux constitue un signal de prudence majeur.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SICC affiche une performance spectaculaire de **+95,35%**, tout en cédant **-1,12%** lors de la dernière séance, signe d'un essoufflement récent. Le range de trading est très large, avec un plus haut à **10 200 FCFA** et un plus bas à **3 985 FCFA**, soit un écart de plus de 2,5x qui témoigne d'une phase de revalorisation violente. La tendance générale est donc nettement **haussière**, mais le cours actuel (8 400 FCFA) se situe à environ 18% sous son sommet, suggérant une correction en cours. Les statistiques descriptives révèlent une **moyenne de 5 815 FCFA** nettement supérieure à la **médiane de 5 022 FCFA**, confirmant une distribution asymétrique tirée vers le haut par les récentes flambées ; le **mode à 4 380 FCFA** indique que le niveau le plus fréquent reste bien inférieur au cours actuel. L'**écart-type de 1 813 FCFA (CV=31,2%)** traduit une dispersion élevée, cohérente avec un titre très volatil. Le **kurtosis de -0,630** (mésokurtique) suggère une distribution proche de la normale, sans pics extrêmes marqués, tandis que le **skewness de +0,913** (asymétrie positive) indique que les journées sous la moyenne sont plus fréquentes mais compensées par des hausses amples. Enfin, la **volatilité annualisée de 58,2%** classe clairement SICC dans la catégorie des titres à volatilité **élevée** (&gt;30%), ce qui implique un risque de perte en capital important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(8 472 FCFA) et la MM50 (7 205 FCFA) sont toutes deux inférieures au cours actuel (8 400 FCFA), avec une MM20 proche du prix et une MM50 nettement en dessous, configurant un alignement haussier classique. La décision fournie est **Achat**, cohérente avec la dynamique positive de court et moyen terme, bien que le cours commence à fléchir sous la MM20.</w:t>
      </w:r>
    </w:p>
    <w:p>
      <w:pPr>
        <w:spacing w:after="120" w:line="276" w:lineRule="auto"/>
      </w:pPr>
      <w:r>
        <w:t>**Bandes de Bollinger** : Le cours (8 400 FCFA) évolue entre la borne inférieure (7 355 FCFA) et la borne supérieure (9 590 FCFA), sans contact avec les extrêmes, ce qui traduit une phase de consolidation après le rallye. La décision **Neutre** est justifiée par l'absence de signal de rupture, la volatilité restant contenue dans le canal.</w:t>
      </w:r>
    </w:p>
    <w:p>
      <w:pPr>
        <w:spacing w:after="120" w:line="276" w:lineRule="auto"/>
      </w:pPr>
      <w:r>
        <w:t>**MACD** : La valeur du MACD (274,04) est inférieure à son signal (366,29), générant un croisement baissier et une divergence négative qui indique un **essoufflement du momentum haussier**. La décision **Vente** reflète cette perte de vitesse, souvent précurseur d'une correction.</w:t>
      </w:r>
    </w:p>
    <w:p>
      <w:pPr>
        <w:spacing w:after="120" w:line="276" w:lineRule="auto"/>
      </w:pPr>
      <w:r>
        <w:t>**RSI** : À **61,16**, le RSI se situe en zone neutre haute, sans atteindre la zone de surachat (&gt;70), ce qui laisse une marge de progression mais signale aussi une pression acheteuse qui s'émousse. La décision **Neutre** est appropriée, le titre n'étant ni survendu ni suracheté.</w:t>
      </w:r>
    </w:p>
    <w:p>
      <w:pPr>
        <w:spacing w:after="120" w:line="276" w:lineRule="auto"/>
      </w:pPr>
      <w:r>
        <w:t>**Stochastique** : Le %K (85,71) et le %D (94,76) sont tous deux en zone de surachat (&gt;80), avec un %K sous le %D suggérant un croisement baissier imminent. La décision **Vente** est cohérente avec ce signal de retournement à court terme.</w:t>
      </w:r>
    </w:p>
    <w:p>
      <w:pPr>
        <w:spacing w:after="120" w:line="276" w:lineRule="auto"/>
      </w:pPr>
      <w:r>
        <w:t>**Conclusion technique** : Les indicateurs sont **divergents** : les moyennes mobiles restent haussières (Achat), mais le MACD et le stochastique émettent des signaux de vente, tandis que le RSI et les Bollinger sont neutres. Cette configuration suggère une **phase de transition** où la tendance haussière s'essouffle, avec un risque de correction à court terme. La prudence est de mise avant tout nouvel engagement acheteur.</w:t>
      </w:r>
    </w:p>
    <w:p>
      <w:pPr>
        <w:spacing w:after="120" w:line="276" w:lineRule="auto"/>
      </w:pPr>
      <w:r>
        <w:t>---</w:t>
      </w:r>
    </w:p>
    <w:p>
      <w:pPr>
        <w:spacing w:after="120" w:line="276" w:lineRule="auto"/>
      </w:pPr>
      <w:r>
        <w:t>## PARTIE 3 : ANALYSE FONDAMENTALE</w:t>
      </w:r>
    </w:p>
    <w:p>
      <w:pPr>
        <w:spacing w:after="120" w:line="276" w:lineRule="auto"/>
      </w:pPr>
      <w:r>
        <w:t>L'analyse fondamentale de SICOR s'appuie sur les rapports officiels disponibles, dont le plus récent (exercice **2024**, analysé le 06/09/2026) révèle une **dégradation critique** de la situation. En 2024, le chiffre d'affaires chute de **22% à 546,8 millions FCFA**, contre 701,09 millions en 2023 (rapport 2023, analysé le 15/03/2026), et l'entreprise enregistre une **perte nette de 128,6 millions FCFA**, contre un bénéfice de 19,25 millions en 2023. L'EBE devient négatif à **-16,2 millions FCFA** et le résultat d'exploitation plonge à **-136,6 millions FCFA**, tandis que les charges bondissent de **+30%** (services extérieurs +266% en raison du recours à des façonniers). La marge nette s'effondre à **-23,5%**, et les commissaires aux comptes émettent une **opinion avec réserves**, notamment sur un ajustement de stocks non justifié. Les capitaux propres restent à **2,98 milliards FCFA** pour un total bilan de **4,00 milliards FCFA**, mais la menace foncière (occupation/perte des sites de Boulay et Avagou-Taboth, production d'huile de coprah -40%) constitue un risque existentiel sur l'outil de production. En 2023, la société avait pourtant renoué avec la profitabilité (**+19,25 millions FCFA**, marge nette 2,75%) après une perte de 39,95 millions en 2022, mais cette embellie était fragile et dépendait de la maîtrise des coûts. Sur le plan historique, SICOR n'a **jamais distribué de dividende depuis 2019**, les pertes cumulées (689,86 millions FCFA en 2023) devant être apurées avant toute distribution, ce qui pénalise l'attractivité du titre. La recommandation fondamentale est donc **VENDRE**, en raison de la perte nette, de l'EBE négatif, de la menace foncière et des réserves d'audit, qui dessinent un profil de risque très élevé.</w:t>
      </w:r>
    </w:p>
    <w:p>
      <w:pPr>
        <w:spacing w:after="120" w:line="276" w:lineRule="auto"/>
      </w:pPr>
      <w:r>
        <w:t>---</w:t>
      </w:r>
    </w:p>
    <w:p>
      <w:pPr>
        <w:spacing w:after="120" w:line="276" w:lineRule="auto"/>
      </w:pPr>
      <w:r>
        <w:t>## PARTIE 4 : CONCLUSION D'INVESTISSEMENT</w:t>
      </w:r>
    </w:p>
    <w:p>
      <w:pPr>
        <w:spacing w:after="120" w:line="276" w:lineRule="auto"/>
      </w:pPr>
      <w:r>
        <w:t>La synthèse des quatre parties met en évidence une **divergence majeure** entre le comportement boursier et les fondamentaux. La **valorisation** (Partie 0) est problématique : avec une capitalisation de 5,04 Mds FCFA pour des capitaux propres de 2,98 Mds et une perte nette de 128,6 M FCFA en 2024, le marché valorise le titre à environ 1,7x les fonds propres, sans base bénéficiaire, ce qui suggère une **surévaluation** manifeste. Le **comportement du cours** (Partie 1) est haussier (+95,35% sur 100 jours) mais avec une volatilité élevée (58,2%) et un skewness positif (+0,913) indiquant que les hausses récentes pourraient masquer une fragilité sous-jacente. Les **signaux techniques** (Partie 2) sont mitigés : les moyennes mobiles restent haussières, mais le MACD et le stochastique émettent des signaux de vente, et le RSI est neutre, ce qui plaide pour une **correction imminente**. Les **fondamentaux** (Partie 3) sont alarmants : perte nette de 128,6 M FCFA en 2024, EBE négatif, opinion d'audit avec réserves, et menace foncière existentielle. Les **prédictions IA** (J+1 à J+10) anticipent une **baisse continue** de 7 574 FCFA à 7 239 FCFA, confirmant la pression baissière. Sur la base de cette convergence négative entre valorisation, technique, fondamental et prédiction, la recommandation finale est **VENTE**, avec un **niveau de confiance élevé** et un **risque global élevé**. L'horizon d'investissement optimal est **court terme** (&lt;3 mois) pour les investisseurs cherchant à sortir avant la matérialisation des risques, ou **moyen terme** (3-12 mois) pour ceux qui souhaitent attendre une éventuelle restructuration, mais la prudence est de mise face à un titre dont les fondamentaux ne soutiennent pas les niveaux de cours actuels.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"Perte nette, EBE négatif, menace foncière existentielle sur l'outil de production et opinion d'audit avec réserves (dont un ajustement de stocks non justifié). Profil de risque très élevé."}</w:t>
      </w:r>
    </w:p>
    <w:p>
      <w:pPr>
        <w:spacing w:before="40"/>
        <w:ind w:left="400"/>
      </w:pPr>
      <w:r>
        <w:rPr>
          <w:sz w:val="18"/>
        </w:rPr>
        <w:t>L'exercice 2024 est très difficile pour SICOR, qui accuse une perte nette de 128,6 M FCFA (contre un bénéfice de 19,2 M en 2023). Le chiffre d'affaires recule de 22 % à 546,8 M sous l'effet de contraintes foncières majeures (occupation et perte d'accès à plusieurs sites de production), et l'EBE devient négatif (-16,2 M). Les charges bondissent (+30 %), notamment les services extérieurs (+266 %, recours à des façonniers). Les commissaires aux comptes émettent une opinion avec réserves (ajustement de stocks non justifié, absence de provision retraite, comptes IFRS non établis). Aucun dividende n'est distribué, la perte étant reportée (pertes cumulées portées à -799 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{'opinion_cac': 'avec réserves', 'resultat_exploitation': '-136,6 millions FCFA', 'excedent_brut_exploitation': '-16,2 millions FCFA (négatif)'}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-23,5 %</w:t>
            </w:r>
          </w:p>
        </w:tc>
        <w:tc>
          <w:tcPr>
            <w:tcW w:type="dxa" w:w="2160"/>
          </w:tcPr>
          <w:p>
            <w:pPr>
              <w:ind w:left="100"/>
            </w:pPr>
            <w:r/>
            <w:r>
              <w:rPr>
                <w:b/>
                <w:sz w:val="16"/>
              </w:rPr>
              <w:t>total_actif</w:t>
              <w:br/>
            </w:r>
            <w:r>
              <w:rPr>
                <w:sz w:val="18"/>
              </w:rPr>
              <w:t>4,00 milliards FCFA</w:t>
            </w:r>
          </w:p>
        </w:tc>
      </w:tr>
      <w:tr>
        <w:tc>
          <w:tcPr>
            <w:tcW w:type="dxa" w:w="2160"/>
          </w:tcPr>
          <w:p>
            <w:r/>
            <w:r>
              <w:rPr>
                <w:b/>
                <w:sz w:val="16"/>
              </w:rPr>
              <w:t>resultat_net</w:t>
              <w:br/>
            </w:r>
            <w:r>
              <w:rPr>
                <w:sz w:val="18"/>
              </w:rPr>
              <w:t>-128,6 millions FCFA (perte)</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546,8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de 128,6 M FCFA (contre +19,2 M en 2023)</w:t>
      </w:r>
    </w:p>
    <w:p>
      <w:pPr>
        <w:pStyle w:val="ListBullet"/>
        <w:spacing w:before="20" w:after="20"/>
        <w:ind w:left="700"/>
      </w:pPr>
      <w:r>
        <w:rPr>
          <w:sz w:val="18"/>
        </w:rPr>
        <w:t>Chiffre d'affaires en baisse de 22 % à 546,8 M FCFA</w:t>
      </w:r>
    </w:p>
    <w:p>
      <w:pPr>
        <w:pStyle w:val="ListBullet"/>
        <w:spacing w:before="20" w:after="20"/>
        <w:ind w:left="700"/>
      </w:pPr>
      <w:r>
        <w:rPr>
          <w:sz w:val="18"/>
        </w:rPr>
        <w:t>EBE négatif (-16,2 M FCFA), résultat d'exploitation -136,6 M</w:t>
      </w:r>
    </w:p>
    <w:p>
      <w:pPr>
        <w:pStyle w:val="ListBullet"/>
        <w:spacing w:before="20" w:after="20"/>
        <w:ind w:left="700"/>
      </w:pPr>
      <w:r>
        <w:rPr>
          <w:sz w:val="18"/>
        </w:rPr>
        <w:t>Contraintes foncières majeures : sites occupés/perdus (Boulay, Avagou-Taboth), production d'huile de coprah -40 %</w:t>
      </w:r>
    </w:p>
    <w:p>
      <w:pPr>
        <w:pStyle w:val="ListBullet"/>
        <w:spacing w:before="20" w:after="20"/>
        <w:ind w:left="700"/>
      </w:pPr>
      <w:r>
        <w:rPr>
          <w:sz w:val="18"/>
        </w:rPr>
        <w:t>Opinion des commissaires avec réserves : ajustement de stocks non justifié (132 M), provision retraite manquante, comptes IFRS non établis</w:t>
      </w:r>
    </w:p>
    <w:p>
      <w:pPr>
        <w:pStyle w:val="ListBullet"/>
        <w:spacing w:before="20" w:after="20"/>
        <w:ind w:left="700"/>
      </w:pPr>
      <w:r>
        <w:rPr>
          <w:sz w:val="18"/>
        </w:rPr>
        <w:t>Aucun dividende ; perte reportée, pertes cumulées à -799 M FCFA</w:t>
      </w:r>
    </w:p>
    <w:p>
      <w:pPr>
        <w:spacing w:before="40"/>
        <w:ind w:left="400"/>
      </w:pPr>
      <w:r>
        <w:rPr>
          <w:b/>
          <w:color w:val="C05000"/>
          <w:sz w:val="18"/>
        </w:rPr>
        <w:t xml:space="preserve">⚠️ Risques : </w:t>
      </w:r>
      <w:r>
        <w:rPr>
          <w:sz w:val="18"/>
        </w:rPr>
        <w:t>["Menace foncière existentielle : occupation/perte de sites de production, arrêt temporaire du site de Boulay", "EBE négatif et perte nette ; effondrement de la valeur ajoutée", "Opinion des commissaires avec réserves : ajustement de stocks non justifié de 132 M et provision retraite non comptabilis</w:t>
      </w:r>
    </w:p>
    <w:p>
      <w:pPr>
        <w:spacing w:before="40"/>
        <w:ind w:left="400"/>
      </w:pPr>
      <w:r>
        <w:rPr>
          <w:b/>
          <w:color w:val="0064A0"/>
          <w:sz w:val="18"/>
        </w:rPr>
        <w:t xml:space="preserve">🔮 Perspectives : </w:t>
      </w:r>
      <w:r>
        <w:rPr>
          <w:sz w:val="18"/>
        </w:rPr>
        <w:t>La direction engage un plan de redressement (sécurisation foncière, maîtrise des charges, optimisation du site de Gliké-Tabou, renforcement de la gouvernance), et la société a démontré par le passé sa capacité bénéficiaire. Mais le retour à la rentabilité dépend entièrement de la résolution des conf</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5,570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-27.67%</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11.09% (Moyenne) — μ=2,486 FCFA, σ=276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β=0.6465 (Défensif) — Cov=0.000026, Var(idx)=0.000041, ρ=0.127,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1,953</w:t>
            </w:r>
          </w:p>
        </w:tc>
        <w:tc>
          <w:tcPr>
            <w:tcW w:type="dxa" w:w="1440"/>
            <w:shd w:fill="FAFAFA" w:val="clear"/>
          </w:tcPr>
          <w:p>
            <w:r>
              <w:rPr>
                <w:b/>
                <w:sz w:val="17"/>
              </w:rPr>
              <w:t>2,027</w:t>
            </w:r>
          </w:p>
        </w:tc>
        <w:tc>
          <w:tcPr>
            <w:tcW w:type="dxa" w:w="1440"/>
            <w:shd w:fill="FAFAFA" w:val="clear"/>
          </w:tcPr>
          <w:p>
            <w:r>
              <w:rPr>
                <w:sz w:val="17"/>
              </w:rPr>
              <w:t>2,101</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1,904</w:t>
            </w:r>
          </w:p>
        </w:tc>
        <w:tc>
          <w:tcPr>
            <w:tcW w:type="dxa" w:w="1440"/>
            <w:shd w:fill="FAFAFA" w:val="clear"/>
          </w:tcPr>
          <w:p>
            <w:r>
              <w:rPr>
                <w:b/>
                <w:sz w:val="17"/>
              </w:rPr>
              <w:t>2,008</w:t>
            </w:r>
          </w:p>
        </w:tc>
        <w:tc>
          <w:tcPr>
            <w:tcW w:type="dxa" w:w="1440"/>
            <w:shd w:fill="FAFAFA" w:val="clear"/>
          </w:tcPr>
          <w:p>
            <w:r>
              <w:rPr>
                <w:sz w:val="17"/>
              </w:rPr>
              <w:t>2,112</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2026-09-28</w:t>
            </w:r>
          </w:p>
        </w:tc>
        <w:tc>
          <w:tcPr>
            <w:tcW w:type="dxa" w:w="1440"/>
            <w:shd w:fill="FAFAFA" w:val="clear"/>
          </w:tcPr>
          <w:p>
            <w:r>
              <w:rPr>
                <w:sz w:val="17"/>
              </w:rPr>
              <w:t>1,869</w:t>
            </w:r>
          </w:p>
        </w:tc>
        <w:tc>
          <w:tcPr>
            <w:tcW w:type="dxa" w:w="1440"/>
            <w:shd w:fill="FAFAFA" w:val="clear"/>
          </w:tcPr>
          <w:p>
            <w:r>
              <w:rPr>
                <w:b/>
                <w:sz w:val="17"/>
              </w:rPr>
              <w:t>1,996</w:t>
            </w:r>
          </w:p>
        </w:tc>
        <w:tc>
          <w:tcPr>
            <w:tcW w:type="dxa" w:w="1440"/>
            <w:shd w:fill="FAFAFA" w:val="clear"/>
          </w:tcPr>
          <w:p>
            <w:r>
              <w:rPr>
                <w:sz w:val="17"/>
              </w:rPr>
              <w:t>2,122</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2026-09-29</w:t>
            </w:r>
          </w:p>
        </w:tc>
        <w:tc>
          <w:tcPr>
            <w:tcW w:type="dxa" w:w="1440"/>
            <w:shd w:fill="FAFAFA" w:val="clear"/>
          </w:tcPr>
          <w:p>
            <w:r>
              <w:rPr>
                <w:sz w:val="17"/>
              </w:rPr>
              <w:t>1,840</w:t>
            </w:r>
          </w:p>
        </w:tc>
        <w:tc>
          <w:tcPr>
            <w:tcW w:type="dxa" w:w="1440"/>
            <w:shd w:fill="FAFAFA" w:val="clear"/>
          </w:tcPr>
          <w:p>
            <w:r>
              <w:rPr>
                <w:b/>
                <w:sz w:val="17"/>
              </w:rPr>
              <w:t>1,986</w:t>
            </w:r>
          </w:p>
        </w:tc>
        <w:tc>
          <w:tcPr>
            <w:tcW w:type="dxa" w:w="1440"/>
            <w:shd w:fill="FAFAFA" w:val="clear"/>
          </w:tcPr>
          <w:p>
            <w:r>
              <w:rPr>
                <w:sz w:val="17"/>
              </w:rPr>
              <w:t>2,131</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2026-09-30</w:t>
            </w:r>
          </w:p>
        </w:tc>
        <w:tc>
          <w:tcPr>
            <w:tcW w:type="dxa" w:w="1440"/>
            <w:shd w:fill="FAFAFA" w:val="clear"/>
          </w:tcPr>
          <w:p>
            <w:r>
              <w:rPr>
                <w:sz w:val="17"/>
              </w:rPr>
              <w:t>1,815</w:t>
            </w:r>
          </w:p>
        </w:tc>
        <w:tc>
          <w:tcPr>
            <w:tcW w:type="dxa" w:w="1440"/>
            <w:shd w:fill="FAFAFA" w:val="clear"/>
          </w:tcPr>
          <w:p>
            <w:r>
              <w:rPr>
                <w:b/>
                <w:sz w:val="17"/>
              </w:rPr>
              <w:t>1,976</w:t>
            </w:r>
          </w:p>
        </w:tc>
        <w:tc>
          <w:tcPr>
            <w:tcW w:type="dxa" w:w="1440"/>
            <w:shd w:fill="FAFAFA" w:val="clear"/>
          </w:tcPr>
          <w:p>
            <w:r>
              <w:rPr>
                <w:sz w:val="17"/>
              </w:rPr>
              <w:t>2,138</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2026-10-01</w:t>
            </w:r>
          </w:p>
        </w:tc>
        <w:tc>
          <w:tcPr>
            <w:tcW w:type="dxa" w:w="1440"/>
            <w:shd w:fill="FAFAFA" w:val="clear"/>
          </w:tcPr>
          <w:p>
            <w:r>
              <w:rPr>
                <w:sz w:val="17"/>
              </w:rPr>
              <w:t>1,791</w:t>
            </w:r>
          </w:p>
        </w:tc>
        <w:tc>
          <w:tcPr>
            <w:tcW w:type="dxa" w:w="1440"/>
            <w:shd w:fill="FAFAFA" w:val="clear"/>
          </w:tcPr>
          <w:p>
            <w:r>
              <w:rPr>
                <w:b/>
                <w:sz w:val="17"/>
              </w:rPr>
              <w:t>1,967</w:t>
            </w:r>
          </w:p>
        </w:tc>
        <w:tc>
          <w:tcPr>
            <w:tcW w:type="dxa" w:w="1440"/>
            <w:shd w:fill="FAFAFA" w:val="clear"/>
          </w:tcPr>
          <w:p>
            <w:r>
              <w:rPr>
                <w:sz w:val="17"/>
              </w:rPr>
              <w:t>2,144</w:t>
            </w:r>
          </w:p>
        </w:tc>
        <w:tc>
          <w:tcPr>
            <w:tcW w:type="dxa" w:w="1440"/>
            <w:shd w:fill="FAFAFA" w:val="clear"/>
          </w:tcPr>
          <w:p>
            <w:r>
              <w:rPr>
                <w:b/>
                <w:color w:val="C00000"/>
                <w:sz w:val="17"/>
              </w:rPr>
              <w:t>-1.6%</w:t>
            </w:r>
          </w:p>
        </w:tc>
      </w:tr>
      <w:tr>
        <w:tc>
          <w:tcPr>
            <w:tcW w:type="dxa" w:w="1440"/>
            <w:shd w:fill="FFDCE0" w:val="clear"/>
          </w:tcPr>
          <w:p>
            <w:r>
              <w:rPr>
                <w:sz w:val="17"/>
              </w:rPr>
              <w:t>J+7  ⭐</w:t>
            </w:r>
          </w:p>
        </w:tc>
        <w:tc>
          <w:tcPr>
            <w:tcW w:type="dxa" w:w="1440"/>
            <w:shd w:fill="FFDCE0" w:val="clear"/>
          </w:tcPr>
          <w:p>
            <w:r>
              <w:rPr>
                <w:sz w:val="17"/>
              </w:rPr>
              <w:t>2026-10-02</w:t>
            </w:r>
          </w:p>
        </w:tc>
        <w:tc>
          <w:tcPr>
            <w:tcW w:type="dxa" w:w="1440"/>
            <w:shd w:fill="FFDCE0" w:val="clear"/>
          </w:tcPr>
          <w:p>
            <w:r>
              <w:rPr>
                <w:sz w:val="17"/>
              </w:rPr>
              <w:t>1,769</w:t>
            </w:r>
          </w:p>
        </w:tc>
        <w:tc>
          <w:tcPr>
            <w:tcW w:type="dxa" w:w="1440"/>
            <w:shd w:fill="FFDCE0" w:val="clear"/>
          </w:tcPr>
          <w:p>
            <w:r>
              <w:rPr>
                <w:b/>
                <w:sz w:val="17"/>
              </w:rPr>
              <w:t>1,959</w:t>
            </w:r>
          </w:p>
        </w:tc>
        <w:tc>
          <w:tcPr>
            <w:tcW w:type="dxa" w:w="1440"/>
            <w:shd w:fill="FFDCE0" w:val="clear"/>
          </w:tcPr>
          <w:p>
            <w:r>
              <w:rPr>
                <w:sz w:val="17"/>
              </w:rPr>
              <w:t>2,148</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2026-10-05</w:t>
            </w:r>
          </w:p>
        </w:tc>
        <w:tc>
          <w:tcPr>
            <w:tcW w:type="dxa" w:w="1440"/>
            <w:shd w:fill="FFDCE0" w:val="clear"/>
          </w:tcPr>
          <w:p>
            <w:r>
              <w:rPr>
                <w:sz w:val="17"/>
              </w:rPr>
              <w:t>1,748</w:t>
            </w:r>
          </w:p>
        </w:tc>
        <w:tc>
          <w:tcPr>
            <w:tcW w:type="dxa" w:w="1440"/>
            <w:shd w:fill="FFDCE0" w:val="clear"/>
          </w:tcPr>
          <w:p>
            <w:r>
              <w:rPr>
                <w:b/>
                <w:sz w:val="17"/>
              </w:rPr>
              <w:t>1,950</w:t>
            </w:r>
          </w:p>
        </w:tc>
        <w:tc>
          <w:tcPr>
            <w:tcW w:type="dxa" w:w="1440"/>
            <w:shd w:fill="FFDCE0" w:val="clear"/>
          </w:tcPr>
          <w:p>
            <w:r>
              <w:rPr>
                <w:sz w:val="17"/>
              </w:rPr>
              <w:t>2,152</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2026-10-06</w:t>
            </w:r>
          </w:p>
        </w:tc>
        <w:tc>
          <w:tcPr>
            <w:tcW w:type="dxa" w:w="1440"/>
            <w:shd w:fill="FFDCE0" w:val="clear"/>
          </w:tcPr>
          <w:p>
            <w:r>
              <w:rPr>
                <w:sz w:val="17"/>
              </w:rPr>
              <w:t>1,728</w:t>
            </w:r>
          </w:p>
        </w:tc>
        <w:tc>
          <w:tcPr>
            <w:tcW w:type="dxa" w:w="1440"/>
            <w:shd w:fill="FFDCE0" w:val="clear"/>
          </w:tcPr>
          <w:p>
            <w:r>
              <w:rPr>
                <w:b/>
                <w:sz w:val="17"/>
              </w:rPr>
              <w:t>1,941</w:t>
            </w:r>
          </w:p>
        </w:tc>
        <w:tc>
          <w:tcPr>
            <w:tcW w:type="dxa" w:w="1440"/>
            <w:shd w:fill="FFDCE0" w:val="clear"/>
          </w:tcPr>
          <w:p>
            <w:r>
              <w:rPr>
                <w:sz w:val="17"/>
              </w:rPr>
              <w:t>2,155</w:t>
            </w:r>
          </w:p>
        </w:tc>
        <w:tc>
          <w:tcPr>
            <w:tcW w:type="dxa" w:w="1440"/>
            <w:shd w:fill="FFDCE0" w:val="clear"/>
          </w:tcPr>
          <w:p>
            <w:r>
              <w:rPr>
                <w:b/>
                <w:color w:val="C00000"/>
                <w:sz w:val="17"/>
              </w:rPr>
              <w:t>-2.9%</w:t>
            </w:r>
          </w:p>
        </w:tc>
      </w:tr>
      <w:tr>
        <w:tc>
          <w:tcPr>
            <w:tcW w:type="dxa" w:w="1440"/>
            <w:shd w:fill="FFDCE0" w:val="clear"/>
          </w:tcPr>
          <w:p>
            <w:r>
              <w:rPr>
                <w:sz w:val="17"/>
              </w:rPr>
              <w:t>J+10  ⭐</w:t>
            </w:r>
          </w:p>
        </w:tc>
        <w:tc>
          <w:tcPr>
            <w:tcW w:type="dxa" w:w="1440"/>
            <w:shd w:fill="FFDCE0" w:val="clear"/>
          </w:tcPr>
          <w:p>
            <w:r>
              <w:rPr>
                <w:sz w:val="17"/>
              </w:rPr>
              <w:t>2026-10-07</w:t>
            </w:r>
          </w:p>
        </w:tc>
        <w:tc>
          <w:tcPr>
            <w:tcW w:type="dxa" w:w="1440"/>
            <w:shd w:fill="FFDCE0" w:val="clear"/>
          </w:tcPr>
          <w:p>
            <w:r>
              <w:rPr>
                <w:sz w:val="17"/>
              </w:rPr>
              <w:t>1,709</w:t>
            </w:r>
          </w:p>
        </w:tc>
        <w:tc>
          <w:tcPr>
            <w:tcW w:type="dxa" w:w="1440"/>
            <w:shd w:fill="FFDCE0" w:val="clear"/>
          </w:tcPr>
          <w:p>
            <w:r>
              <w:rPr>
                <w:b/>
                <w:sz w:val="17"/>
              </w:rPr>
              <w:t>1,933</w:t>
            </w:r>
          </w:p>
        </w:tc>
        <w:tc>
          <w:tcPr>
            <w:tcW w:type="dxa" w:w="1440"/>
            <w:shd w:fill="FFDCE0" w:val="clear"/>
          </w:tcPr>
          <w:p>
            <w:r>
              <w:rPr>
                <w:sz w:val="17"/>
              </w:rPr>
              <w:t>2,157</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(ERIUM COTE D'IVOIRE)**</w:t>
        <w:br/>
        <w:t>*Analyste : Marché BRVM | Date de référence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17,47 milliards FCFA, SIVC se situe dans la catégorie des valeurs moyennes de la BRVM, ce qui la rend vulnérable aux mouvements de faible liquidité. Le BPA de 43 FCFA/action signifie que chaque titre génère moins de 50 FCFA de bénéfice net, un niveau modeste qui, rapporté au cours actuel de 2 000 FCFA, aboutit à un PER de 46,3x — soit près de quatre fois supérieur à la moyenne du marché BRVM (8-12x), signalant une valorisation très exigeante et un risque de correction si les bénéfices ne progressent pas. Le P/B de 5,34x indique que le marché paie plus de cinq fois la valeur comptable des fonds propres, une prime forte qui n'est justifiée que si la rentabilité future s'améliore nettement. Enfin, l'EV/EBITDA de 15,1x traduit une valorisation tendue par rapport à la capacité opérationnelle de génération de cash, confirmant que le titre intègre déjà des anticipations optimistes — voire excessives — au regard des résultats 2024.</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chute de -27,67%, avec une dernière séance stable (+0,00%), portant le cours à 2 000 FCFA, tout près de son plus bas de 1 920 FCFA et loin de son plus haut de 2 875 FCFA — un range de trading de 955 FCFA qui témoigne d'une tendance clairement baissière. La moyenne (2 486 FCFA) est supérieure à la médiane (2 400 FCFA), ce qui traduit une légère asymétrie positive résiduelle due aux niveaux élevés du début de période, mais le skewness de 0,064 indique une distribution globalement symétrique, sans biais directionnel marqué. L'écart-type de 277 FCFA avec un coefficient de variation de 11,2% révèle une dispersion modérée du cours autour de sa moyenne, tandis que le kurtosis de -1,269 (distribution platykurtique) signale une faible concentration des valeurs et donc un risque de pics extrêmes limité — un élément rassurant dans un contexte baissier. La volatilité annualisée de 51,0% classe le titre dans la catégorie des valeurs très volatiles (&gt;30%), ce qui implique un risque élevé pour l'investisseur et justifie une approche prudente, d'autant que le cours évolue sous ses moyennes mobiles.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(2 276,75 FCFA) et la MM50 (2 291,20 FCFA) sont toutes deux nettement supérieures au cours actuel de 2 000 FCFA, confirmant une configuration baissière où le prix évolue sous ses références moyennes. La MM20 étant légèrement en dessous de la MM50, on observe un croisement baissier (death cross) qui renforce le signal de vente. La décision technique est donc logiquement **Vente**.</w:t>
      </w:r>
    </w:p>
    <w:p>
      <w:pPr>
        <w:spacing w:after="120" w:line="276" w:lineRule="auto"/>
      </w:pPr>
      <w:r>
        <w:t>**Bandes de Bollinger** : Le cours (2 000 FCFA) se situe en dessous de la borne inférieure (2 014,65 FCFA), ce qui constitue un signal de survente extrême et suggère une possible réaction technique à la hausse. L'écart entre les bornes (supérieure à 2 538,85 FCFA, inférieure à 2 014,65 FCFA) traduit une volatilité élevée, cohérente avec la volatilité annualisée de 51%. La décision qui en résulte est **Achat** (rebond technique anticipé).</w:t>
      </w:r>
    </w:p>
    <w:p>
      <w:pPr>
        <w:spacing w:after="120" w:line="276" w:lineRule="auto"/>
      </w:pPr>
      <w:r>
        <w:t>**MACD** : La valeur du MACD (-74,038) est très inférieure à son signal (-34,411), avec un histogramme négatif et creusé, ce qui indique un momentum baissier puissant et persistant. Aucun signe de retournement n'est visible à court terme, la divergence négative se creusant. La décision est donc **Vente**.</w:t>
      </w:r>
    </w:p>
    <w:p>
      <w:pPr>
        <w:spacing w:after="120" w:line="276" w:lineRule="auto"/>
      </w:pPr>
      <w:r>
        <w:t>**RSI** : À 25,0, le RSI se situe en zone de survente sévère (&lt;30), ce qui signale que le titre a été massivement vendu et pourrait être sujet à un rebond technique. Toutefois, un RSI qui reste bas peut aussi accompagner une tendance baissière durable. La décision qui en découle est **Achat** (survente).</w:t>
      </w:r>
    </w:p>
    <w:p>
      <w:pPr>
        <w:spacing w:after="120" w:line="276" w:lineRule="auto"/>
      </w:pPr>
      <w:r>
        <w:t>**Stochastique** : Le %K et le %D sont tous deux à 0,0, ce qui représente une situation de survente extrême, avec un croisement potentiel à venir si le %K remonte au-dessus du %D. Cette configuration est typique d'un point bas de court terme. La décision est **Achat**.</w:t>
      </w:r>
    </w:p>
    <w:p>
      <w:pPr>
        <w:spacing w:after="120" w:line="276" w:lineRule="auto"/>
      </w:pPr>
      <w:r>
        <w:t>**Conclusion technique** : Les indicateurs sont divergents : les moyennes mobiles et le MACD confirment une tendance baissière structurelle, tandis que le RSI, le stochastique et les bandes de Bollinger signalent une survente extrême propice à un rebond technique. Cette divergence suggère qu'un rebond de court terme est possible, mais qu'il s'inscrit dans une tendance de fond toujours négative. La prudence reste de mise tant que le cours ne repasse pas au-dessus de la MM20 (2 276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(base brvm_donnees_financieres) indiquent un chiffre d'affaires/PNB de 9,283 milliards FCFA, un résultat net de 376,96 millions FCFA, un ROE de 11,52% et un ROA de 2,69% — des niveaux de rentabilité modestes, inférieurs au seuil de 15% considéré comme excellent. Le coefficient d'exploitation de 95,83% est très élevé (très au-dessus du seuil de 60% pour une banque efficace), ce qui traduit une structure de coûts lourde et une faible efficacité opérationnelle. Le coût du risque (provisions/charges financières) de 3,10% reste contenu, mais la marge nette de 4,06% est faible. Le rapport narratif du 31 décembre 2025 (analysé par DEEPSEEK le 29/06/2026) révèle une dégradation préoccupante : le CA progresse de +8,53% à 10,07 milliards FCFA, mais le résultat net chute de -52,4% à 179,29 millions FCFA, avec une marge nette divisée par deux à 1,78%. Le résultat financier passe d'un gain de 316 M FCFA à une perte de -114 M FCFA, et la trésorerie nette reste négative à -1 660 M FCFA. Le rapport du 3e trimestre 2025 (date inconnue) est plus optimiste : CA cumulé de 7 584,7 M FCFA (+13%), résultat net de 832,5 M FCFA (+58%), marge nette de 11,0% — mais ces chiffres semblent en contradiction avec les états financiers annuels 2025, possiblement en raison de retraitements ou d'éléments exceptionnels non récurrents. Le rapport du S1 2025 (30/06/2025) affiche un CA de 4 897,5 M FCFA (+8,8%) et un résultat net de 512,9 M FCFA (+4,6%), avec une marge nette de 10,5%. On estime, sur la base de ces rapports trimestriels, que l'exercice 2025 devrait confirmer la croissance du CA mais avec une rentabilité sous pression, la dégradation du résultat financier et la hausse de l'endettement (4 164 M FCFA) constituant des risques majeurs. La recommandation fondamentale est **CONSERVER avec surveillance**, la société affichant une dynamique commerciale réelle mais une santé financière fragile.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surévaluée : PER de 46,3x, P/B de 5,34x et EV/EBITDA de 15,1x intègrent des anticipations de croissance que les résultats 2024 (ROE 11,5%, marge nette 4,1%) et 2025 (résultat net en chute de -52%) ne justifient pas. Le comportement du cours (Partie 1) est baissier (-27,67% sur 100 jours), avec une volatilité très élevée (51%) et une distribution platykurtique qui limite les pics extrêmes mais n'empêche pas la tendance négative. Les signaux techniques (Partie 2) sont divergents : vendeurs sur les MM et le MACD, acheteurs sur le RSI, le stochastique et les bandes de Bollinger — cette divergence suggère un rebond technique de court terme, mais dans un cadre baissier. Les fondamentaux (Partie 3) sont mitigés : croissance du CA (+8,5% en 2025) mais effondrement de la rentabilité (marge nette à 1,78%), endettement élevé et trésorerie négative, avec une recommandation de conservation prudente. Les prédictions IA (J+1 à J+10) anticipent une poursuite de la baisse (2 027 → 1 976 FCFA), ce qui contredit l'hypothèse d'un rebond technique durable et confirme la tendance baissière. **Recommandation finale : VENTE** (ou allègement de position), avec un niveau de confiance **Moyen** — la convergence entre valorisation excessive, tendance baissière, fondamentaux dégradés et prédictions négatives l'emporte sur les signaux de survente technique. Le niveau de risque global est **Élevé** (volatilité 51%, endettement, trésorerie négative). L'horizon d'investissement optimal est **court terme** (&lt;3 mois) pour un éventuel rebond technique à saisir, mais **moyen/long terme** pour un investisseur fondamental qui attendrait une amélioration durable de la rentabilité et un retournement de tendance confirmé.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623.62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1,341 titres</w:t>
            </w:r>
          </w:p>
        </w:tc>
        <w:tc>
          <w:tcPr>
            <w:tcW w:type="dxa" w:w="2268"/>
            <w:shd w:fill="FFF2CC" w:val="clear"/>
          </w:tcPr>
          <w:p>
            <w:r>
              <w:rPr>
                <w:b/>
                <w:color w:val="503200"/>
                <w:sz w:val="16"/>
              </w:rPr>
              <w:t xml:space="preserve">Cours actuel : </w:t>
            </w:r>
            <w:r>
              <w:rPr>
                <w:color w:val="000000"/>
                <w:sz w:val="17"/>
              </w:rPr>
              <w:t>37,885 FCFA</w:t>
            </w:r>
          </w:p>
          <w:p>
            <w:r>
              <w:rPr>
                <w:b/>
                <w:color w:val="503200"/>
                <w:sz w:val="16"/>
              </w:rPr>
              <w:t xml:space="preserve">Var. 100 jours : </w:t>
            </w:r>
            <w:r>
              <w:rPr>
                <w:b/>
                <w:color w:val="007800"/>
                <w:sz w:val="17"/>
              </w:rPr>
              <w:t>+2.39%</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26.6%</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2.36% (Faible) — μ=38,239 FCFA, σ=904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β=0.1388 (Défensif) — Cov=0.000006, Var(idx)=0.000041, ρ=0.052,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1,341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σ_j=1.67%/j (Stable) — Vol. annualisée≈26.6%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37,846</w:t>
            </w:r>
          </w:p>
        </w:tc>
        <w:tc>
          <w:tcPr>
            <w:tcW w:type="dxa" w:w="1440"/>
            <w:shd w:fill="FAFAFA" w:val="clear"/>
          </w:tcPr>
          <w:p>
            <w:r>
              <w:rPr>
                <w:b/>
                <w:sz w:val="17"/>
              </w:rPr>
              <w:t>38,570</w:t>
            </w:r>
          </w:p>
        </w:tc>
        <w:tc>
          <w:tcPr>
            <w:tcW w:type="dxa" w:w="1440"/>
            <w:shd w:fill="FAFAFA" w:val="clear"/>
          </w:tcPr>
          <w:p>
            <w:r>
              <w:rPr>
                <w:sz w:val="17"/>
              </w:rPr>
              <w:t>39,293</w:t>
            </w:r>
          </w:p>
        </w:tc>
        <w:tc>
          <w:tcPr>
            <w:tcW w:type="dxa" w:w="1440"/>
            <w:shd w:fill="FAFAFA" w:val="clear"/>
          </w:tcPr>
          <w:p>
            <w:r>
              <w:rPr>
                <w:b/>
                <w:color w:val="008000"/>
                <w:sz w:val="17"/>
              </w:rPr>
              <w:t>+1.8%</w:t>
            </w:r>
          </w:p>
        </w:tc>
      </w:tr>
      <w:tr>
        <w:tc>
          <w:tcPr>
            <w:tcW w:type="dxa" w:w="1440"/>
            <w:shd w:fill="C6EFCE" w:val="clear"/>
          </w:tcPr>
          <w:p>
            <w:r>
              <w:rPr>
                <w:sz w:val="17"/>
              </w:rPr>
              <w:t>J+2  ⭐⭐⭐</w:t>
            </w:r>
          </w:p>
        </w:tc>
        <w:tc>
          <w:tcPr>
            <w:tcW w:type="dxa" w:w="1440"/>
            <w:shd w:fill="C6EFCE" w:val="clear"/>
          </w:tcPr>
          <w:p>
            <w:r>
              <w:rPr>
                <w:sz w:val="17"/>
              </w:rPr>
              <w:t>2026-09-25</w:t>
            </w:r>
          </w:p>
        </w:tc>
        <w:tc>
          <w:tcPr>
            <w:tcW w:type="dxa" w:w="1440"/>
            <w:shd w:fill="C6EFCE" w:val="clear"/>
          </w:tcPr>
          <w:p>
            <w:r>
              <w:rPr>
                <w:sz w:val="17"/>
              </w:rPr>
              <w:t>37,800</w:t>
            </w:r>
          </w:p>
        </w:tc>
        <w:tc>
          <w:tcPr>
            <w:tcW w:type="dxa" w:w="1440"/>
            <w:shd w:fill="C6EFCE" w:val="clear"/>
          </w:tcPr>
          <w:p>
            <w:r>
              <w:rPr>
                <w:b/>
                <w:sz w:val="17"/>
              </w:rPr>
              <w:t>38,830</w:t>
            </w:r>
          </w:p>
        </w:tc>
        <w:tc>
          <w:tcPr>
            <w:tcW w:type="dxa" w:w="1440"/>
            <w:shd w:fill="C6EFCE" w:val="clear"/>
          </w:tcPr>
          <w:p>
            <w:r>
              <w:rPr>
                <w:sz w:val="17"/>
              </w:rPr>
              <w:t>39,860</w:t>
            </w:r>
          </w:p>
        </w:tc>
        <w:tc>
          <w:tcPr>
            <w:tcW w:type="dxa" w:w="1440"/>
            <w:shd w:fill="C6EFCE" w:val="clear"/>
          </w:tcPr>
          <w:p>
            <w:r>
              <w:rPr>
                <w:b/>
                <w:color w:val="008000"/>
                <w:sz w:val="17"/>
              </w:rPr>
              <w:t>+2.5%</w:t>
            </w:r>
          </w:p>
        </w:tc>
      </w:tr>
      <w:tr>
        <w:tc>
          <w:tcPr>
            <w:tcW w:type="dxa" w:w="1440"/>
            <w:shd w:fill="C6EFCE" w:val="clear"/>
          </w:tcPr>
          <w:p>
            <w:r>
              <w:rPr>
                <w:sz w:val="17"/>
              </w:rPr>
              <w:t>J+3  ⭐⭐⭐</w:t>
            </w:r>
          </w:p>
        </w:tc>
        <w:tc>
          <w:tcPr>
            <w:tcW w:type="dxa" w:w="1440"/>
            <w:shd w:fill="C6EFCE" w:val="clear"/>
          </w:tcPr>
          <w:p>
            <w:r>
              <w:rPr>
                <w:sz w:val="17"/>
              </w:rPr>
              <w:t>2026-09-28</w:t>
            </w:r>
          </w:p>
        </w:tc>
        <w:tc>
          <w:tcPr>
            <w:tcW w:type="dxa" w:w="1440"/>
            <w:shd w:fill="C6EFCE" w:val="clear"/>
          </w:tcPr>
          <w:p>
            <w:r>
              <w:rPr>
                <w:sz w:val="17"/>
              </w:rPr>
              <w:t>37,891</w:t>
            </w:r>
          </w:p>
        </w:tc>
        <w:tc>
          <w:tcPr>
            <w:tcW w:type="dxa" w:w="1440"/>
            <w:shd w:fill="C6EFCE" w:val="clear"/>
          </w:tcPr>
          <w:p>
            <w:r>
              <w:rPr>
                <w:b/>
                <w:sz w:val="17"/>
              </w:rPr>
              <w:t>39,163</w:t>
            </w:r>
          </w:p>
        </w:tc>
        <w:tc>
          <w:tcPr>
            <w:tcW w:type="dxa" w:w="1440"/>
            <w:shd w:fill="C6EFCE" w:val="clear"/>
          </w:tcPr>
          <w:p>
            <w:r>
              <w:rPr>
                <w:sz w:val="17"/>
              </w:rPr>
              <w:t>40,435</w:t>
            </w:r>
          </w:p>
        </w:tc>
        <w:tc>
          <w:tcPr>
            <w:tcW w:type="dxa" w:w="1440"/>
            <w:shd w:fill="C6EFCE" w:val="clear"/>
          </w:tcPr>
          <w:p>
            <w:r>
              <w:rPr>
                <w:b/>
                <w:color w:val="008000"/>
                <w:sz w:val="17"/>
              </w:rPr>
              <w:t>+3.4%</w:t>
            </w:r>
          </w:p>
        </w:tc>
      </w:tr>
      <w:tr>
        <w:tc>
          <w:tcPr>
            <w:tcW w:type="dxa" w:w="1440"/>
            <w:shd w:fill="C6EFCE" w:val="clear"/>
          </w:tcPr>
          <w:p>
            <w:r>
              <w:rPr>
                <w:sz w:val="17"/>
              </w:rPr>
              <w:t>J+4  Moyenne</w:t>
            </w:r>
          </w:p>
        </w:tc>
        <w:tc>
          <w:tcPr>
            <w:tcW w:type="dxa" w:w="1440"/>
            <w:shd w:fill="C6EFCE" w:val="clear"/>
          </w:tcPr>
          <w:p>
            <w:r>
              <w:rPr>
                <w:sz w:val="17"/>
              </w:rPr>
              <w:t>2026-09-29</w:t>
            </w:r>
          </w:p>
        </w:tc>
        <w:tc>
          <w:tcPr>
            <w:tcW w:type="dxa" w:w="1440"/>
            <w:shd w:fill="C6EFCE" w:val="clear"/>
          </w:tcPr>
          <w:p>
            <w:r>
              <w:rPr>
                <w:sz w:val="17"/>
              </w:rPr>
              <w:t>38,021</w:t>
            </w:r>
          </w:p>
        </w:tc>
        <w:tc>
          <w:tcPr>
            <w:tcW w:type="dxa" w:w="1440"/>
            <w:shd w:fill="C6EFCE" w:val="clear"/>
          </w:tcPr>
          <w:p>
            <w:r>
              <w:rPr>
                <w:b/>
                <w:sz w:val="17"/>
              </w:rPr>
              <w:t>39,503</w:t>
            </w:r>
          </w:p>
        </w:tc>
        <w:tc>
          <w:tcPr>
            <w:tcW w:type="dxa" w:w="1440"/>
            <w:shd w:fill="C6EFCE" w:val="clear"/>
          </w:tcPr>
          <w:p>
            <w:r>
              <w:rPr>
                <w:sz w:val="17"/>
              </w:rPr>
              <w:t>40,985</w:t>
            </w:r>
          </w:p>
        </w:tc>
        <w:tc>
          <w:tcPr>
            <w:tcW w:type="dxa" w:w="1440"/>
            <w:shd w:fill="C6EFCE" w:val="clear"/>
          </w:tcPr>
          <w:p>
            <w:r>
              <w:rPr>
                <w:b/>
                <w:color w:val="008000"/>
                <w:sz w:val="17"/>
              </w:rPr>
              <w:t>+4.3%</w:t>
            </w:r>
          </w:p>
        </w:tc>
      </w:tr>
      <w:tr>
        <w:tc>
          <w:tcPr>
            <w:tcW w:type="dxa" w:w="1440"/>
            <w:shd w:fill="C6EFCE" w:val="clear"/>
          </w:tcPr>
          <w:p>
            <w:r>
              <w:rPr>
                <w:sz w:val="17"/>
              </w:rPr>
              <w:t>J+5  Moyenne</w:t>
            </w:r>
          </w:p>
        </w:tc>
        <w:tc>
          <w:tcPr>
            <w:tcW w:type="dxa" w:w="1440"/>
            <w:shd w:fill="C6EFCE" w:val="clear"/>
          </w:tcPr>
          <w:p>
            <w:r>
              <w:rPr>
                <w:sz w:val="17"/>
              </w:rPr>
              <w:t>2026-09-30</w:t>
            </w:r>
          </w:p>
        </w:tc>
        <w:tc>
          <w:tcPr>
            <w:tcW w:type="dxa" w:w="1440"/>
            <w:shd w:fill="C6EFCE" w:val="clear"/>
          </w:tcPr>
          <w:p>
            <w:r>
              <w:rPr>
                <w:sz w:val="17"/>
              </w:rPr>
              <w:t>38,165</w:t>
            </w:r>
          </w:p>
        </w:tc>
        <w:tc>
          <w:tcPr>
            <w:tcW w:type="dxa" w:w="1440"/>
            <w:shd w:fill="C6EFCE" w:val="clear"/>
          </w:tcPr>
          <w:p>
            <w:r>
              <w:rPr>
                <w:b/>
                <w:sz w:val="17"/>
              </w:rPr>
              <w:t>39,836</w:t>
            </w:r>
          </w:p>
        </w:tc>
        <w:tc>
          <w:tcPr>
            <w:tcW w:type="dxa" w:w="1440"/>
            <w:shd w:fill="C6EFCE" w:val="clear"/>
          </w:tcPr>
          <w:p>
            <w:r>
              <w:rPr>
                <w:sz w:val="17"/>
              </w:rPr>
              <w:t>41,506</w:t>
            </w:r>
          </w:p>
        </w:tc>
        <w:tc>
          <w:tcPr>
            <w:tcW w:type="dxa" w:w="1440"/>
            <w:shd w:fill="C6EFCE" w:val="clear"/>
          </w:tcPr>
          <w:p>
            <w:r>
              <w:rPr>
                <w:b/>
                <w:color w:val="008000"/>
                <w:sz w:val="17"/>
              </w:rPr>
              <w:t>+5.1%</w:t>
            </w:r>
          </w:p>
        </w:tc>
      </w:tr>
      <w:tr>
        <w:tc>
          <w:tcPr>
            <w:tcW w:type="dxa" w:w="1440"/>
            <w:shd w:fill="C6EFCE" w:val="clear"/>
          </w:tcPr>
          <w:p>
            <w:r>
              <w:rPr>
                <w:sz w:val="17"/>
              </w:rPr>
              <w:t>J+6  Moyenne</w:t>
            </w:r>
          </w:p>
        </w:tc>
        <w:tc>
          <w:tcPr>
            <w:tcW w:type="dxa" w:w="1440"/>
            <w:shd w:fill="C6EFCE" w:val="clear"/>
          </w:tcPr>
          <w:p>
            <w:r>
              <w:rPr>
                <w:sz w:val="17"/>
              </w:rPr>
              <w:t>2026-10-01</w:t>
            </w:r>
          </w:p>
        </w:tc>
        <w:tc>
          <w:tcPr>
            <w:tcW w:type="dxa" w:w="1440"/>
            <w:shd w:fill="C6EFCE" w:val="clear"/>
          </w:tcPr>
          <w:p>
            <w:r>
              <w:rPr>
                <w:sz w:val="17"/>
              </w:rPr>
              <w:t>38,316</w:t>
            </w:r>
          </w:p>
        </w:tc>
        <w:tc>
          <w:tcPr>
            <w:tcW w:type="dxa" w:w="1440"/>
            <w:shd w:fill="C6EFCE" w:val="clear"/>
          </w:tcPr>
          <w:p>
            <w:r>
              <w:rPr>
                <w:b/>
                <w:sz w:val="17"/>
              </w:rPr>
              <w:t>40,161</w:t>
            </w:r>
          </w:p>
        </w:tc>
        <w:tc>
          <w:tcPr>
            <w:tcW w:type="dxa" w:w="1440"/>
            <w:shd w:fill="C6EFCE" w:val="clear"/>
          </w:tcPr>
          <w:p>
            <w:r>
              <w:rPr>
                <w:sz w:val="17"/>
              </w:rPr>
              <w:t>42,006</w:t>
            </w:r>
          </w:p>
        </w:tc>
        <w:tc>
          <w:tcPr>
            <w:tcW w:type="dxa" w:w="1440"/>
            <w:shd w:fill="C6EFCE" w:val="clear"/>
          </w:tcPr>
          <w:p>
            <w:r>
              <w:rPr>
                <w:b/>
                <w:color w:val="008000"/>
                <w:sz w:val="17"/>
              </w:rPr>
              <w:t>+6.0%</w:t>
            </w:r>
          </w:p>
        </w:tc>
      </w:tr>
      <w:tr>
        <w:tc>
          <w:tcPr>
            <w:tcW w:type="dxa" w:w="1440"/>
            <w:shd w:fill="C6EFCE" w:val="clear"/>
          </w:tcPr>
          <w:p>
            <w:r>
              <w:rPr>
                <w:sz w:val="17"/>
              </w:rPr>
              <w:t>J+7  Moyenne</w:t>
            </w:r>
          </w:p>
        </w:tc>
        <w:tc>
          <w:tcPr>
            <w:tcW w:type="dxa" w:w="1440"/>
            <w:shd w:fill="C6EFCE" w:val="clear"/>
          </w:tcPr>
          <w:p>
            <w:r>
              <w:rPr>
                <w:sz w:val="17"/>
              </w:rPr>
              <w:t>2026-10-02</w:t>
            </w:r>
          </w:p>
        </w:tc>
        <w:tc>
          <w:tcPr>
            <w:tcW w:type="dxa" w:w="1440"/>
            <w:shd w:fill="C6EFCE" w:val="clear"/>
          </w:tcPr>
          <w:p>
            <w:r>
              <w:rPr>
                <w:sz w:val="17"/>
              </w:rPr>
              <w:t>38,470</w:t>
            </w:r>
          </w:p>
        </w:tc>
        <w:tc>
          <w:tcPr>
            <w:tcW w:type="dxa" w:w="1440"/>
            <w:shd w:fill="C6EFCE" w:val="clear"/>
          </w:tcPr>
          <w:p>
            <w:r>
              <w:rPr>
                <w:b/>
                <w:sz w:val="17"/>
              </w:rPr>
              <w:t>40,479</w:t>
            </w:r>
          </w:p>
        </w:tc>
        <w:tc>
          <w:tcPr>
            <w:tcW w:type="dxa" w:w="1440"/>
            <w:shd w:fill="C6EFCE" w:val="clear"/>
          </w:tcPr>
          <w:p>
            <w:r>
              <w:rPr>
                <w:sz w:val="17"/>
              </w:rPr>
              <w:t>42,488</w:t>
            </w:r>
          </w:p>
        </w:tc>
        <w:tc>
          <w:tcPr>
            <w:tcW w:type="dxa" w:w="1440"/>
            <w:shd w:fill="C6EFCE" w:val="clear"/>
          </w:tcPr>
          <w:p>
            <w:r>
              <w:rPr>
                <w:b/>
                <w:color w:val="008000"/>
                <w:sz w:val="17"/>
              </w:rPr>
              <w:t>+6.8%</w:t>
            </w:r>
          </w:p>
        </w:tc>
      </w:tr>
      <w:tr>
        <w:tc>
          <w:tcPr>
            <w:tcW w:type="dxa" w:w="1440"/>
            <w:shd w:fill="C6EFCE" w:val="clear"/>
          </w:tcPr>
          <w:p>
            <w:r>
              <w:rPr>
                <w:sz w:val="17"/>
              </w:rPr>
              <w:t>J+8  Moyenne</w:t>
            </w:r>
          </w:p>
        </w:tc>
        <w:tc>
          <w:tcPr>
            <w:tcW w:type="dxa" w:w="1440"/>
            <w:shd w:fill="C6EFCE" w:val="clear"/>
          </w:tcPr>
          <w:p>
            <w:r>
              <w:rPr>
                <w:sz w:val="17"/>
              </w:rPr>
              <w:t>2026-10-05</w:t>
            </w:r>
          </w:p>
        </w:tc>
        <w:tc>
          <w:tcPr>
            <w:tcW w:type="dxa" w:w="1440"/>
            <w:shd w:fill="C6EFCE" w:val="clear"/>
          </w:tcPr>
          <w:p>
            <w:r>
              <w:rPr>
                <w:sz w:val="17"/>
              </w:rPr>
              <w:t>38,627</w:t>
            </w:r>
          </w:p>
        </w:tc>
        <w:tc>
          <w:tcPr>
            <w:tcW w:type="dxa" w:w="1440"/>
            <w:shd w:fill="C6EFCE" w:val="clear"/>
          </w:tcPr>
          <w:p>
            <w:r>
              <w:rPr>
                <w:b/>
                <w:sz w:val="17"/>
              </w:rPr>
              <w:t>40,791</w:t>
            </w:r>
          </w:p>
        </w:tc>
        <w:tc>
          <w:tcPr>
            <w:tcW w:type="dxa" w:w="1440"/>
            <w:shd w:fill="C6EFCE" w:val="clear"/>
          </w:tcPr>
          <w:p>
            <w:r>
              <w:rPr>
                <w:sz w:val="17"/>
              </w:rPr>
              <w:t>42,955</w:t>
            </w:r>
          </w:p>
        </w:tc>
        <w:tc>
          <w:tcPr>
            <w:tcW w:type="dxa" w:w="1440"/>
            <w:shd w:fill="C6EFCE" w:val="clear"/>
          </w:tcPr>
          <w:p>
            <w:r>
              <w:rPr>
                <w:b/>
                <w:color w:val="008000"/>
                <w:sz w:val="17"/>
              </w:rPr>
              <w:t>+7.7%</w:t>
            </w:r>
          </w:p>
        </w:tc>
      </w:tr>
      <w:tr>
        <w:tc>
          <w:tcPr>
            <w:tcW w:type="dxa" w:w="1440"/>
            <w:shd w:fill="C6EFCE" w:val="clear"/>
          </w:tcPr>
          <w:p>
            <w:r>
              <w:rPr>
                <w:sz w:val="17"/>
              </w:rPr>
              <w:t>J+9  Moyenne</w:t>
            </w:r>
          </w:p>
        </w:tc>
        <w:tc>
          <w:tcPr>
            <w:tcW w:type="dxa" w:w="1440"/>
            <w:shd w:fill="C6EFCE" w:val="clear"/>
          </w:tcPr>
          <w:p>
            <w:r>
              <w:rPr>
                <w:sz w:val="17"/>
              </w:rPr>
              <w:t>2026-10-06</w:t>
            </w:r>
          </w:p>
        </w:tc>
        <w:tc>
          <w:tcPr>
            <w:tcW w:type="dxa" w:w="1440"/>
            <w:shd w:fill="C6EFCE" w:val="clear"/>
          </w:tcPr>
          <w:p>
            <w:r>
              <w:rPr>
                <w:sz w:val="17"/>
              </w:rPr>
              <w:t>38,786</w:t>
            </w:r>
          </w:p>
        </w:tc>
        <w:tc>
          <w:tcPr>
            <w:tcW w:type="dxa" w:w="1440"/>
            <w:shd w:fill="C6EFCE" w:val="clear"/>
          </w:tcPr>
          <w:p>
            <w:r>
              <w:rPr>
                <w:b/>
                <w:sz w:val="17"/>
              </w:rPr>
              <w:t>41,099</w:t>
            </w:r>
          </w:p>
        </w:tc>
        <w:tc>
          <w:tcPr>
            <w:tcW w:type="dxa" w:w="1440"/>
            <w:shd w:fill="C6EFCE" w:val="clear"/>
          </w:tcPr>
          <w:p>
            <w:r>
              <w:rPr>
                <w:sz w:val="17"/>
              </w:rPr>
              <w:t>43,411</w:t>
            </w:r>
          </w:p>
        </w:tc>
        <w:tc>
          <w:tcPr>
            <w:tcW w:type="dxa" w:w="1440"/>
            <w:shd w:fill="C6EFCE" w:val="clear"/>
          </w:tcPr>
          <w:p>
            <w:r>
              <w:rPr>
                <w:b/>
                <w:color w:val="008000"/>
                <w:sz w:val="17"/>
              </w:rPr>
              <w:t>+8.5%</w:t>
            </w:r>
          </w:p>
        </w:tc>
      </w:tr>
      <w:tr>
        <w:tc>
          <w:tcPr>
            <w:tcW w:type="dxa" w:w="1440"/>
            <w:shd w:fill="C6EFCE" w:val="clear"/>
          </w:tcPr>
          <w:p>
            <w:r>
              <w:rPr>
                <w:sz w:val="17"/>
              </w:rPr>
              <w:t>J+10  Moyenne</w:t>
            </w:r>
          </w:p>
        </w:tc>
        <w:tc>
          <w:tcPr>
            <w:tcW w:type="dxa" w:w="1440"/>
            <w:shd w:fill="C6EFCE" w:val="clear"/>
          </w:tcPr>
          <w:p>
            <w:r>
              <w:rPr>
                <w:sz w:val="17"/>
              </w:rPr>
              <w:t>2026-10-07</w:t>
            </w:r>
          </w:p>
        </w:tc>
        <w:tc>
          <w:tcPr>
            <w:tcW w:type="dxa" w:w="1440"/>
            <w:shd w:fill="C6EFCE" w:val="clear"/>
          </w:tcPr>
          <w:p>
            <w:r>
              <w:rPr>
                <w:sz w:val="17"/>
              </w:rPr>
              <w:t>38,946</w:t>
            </w:r>
          </w:p>
        </w:tc>
        <w:tc>
          <w:tcPr>
            <w:tcW w:type="dxa" w:w="1440"/>
            <w:shd w:fill="C6EFCE" w:val="clear"/>
          </w:tcPr>
          <w:p>
            <w:r>
              <w:rPr>
                <w:b/>
                <w:sz w:val="17"/>
              </w:rPr>
              <w:t>41,402</w:t>
            </w:r>
          </w:p>
        </w:tc>
        <w:tc>
          <w:tcPr>
            <w:tcW w:type="dxa" w:w="1440"/>
            <w:shd w:fill="C6EFCE" w:val="clear"/>
          </w:tcPr>
          <w:p>
            <w:r>
              <w:rPr>
                <w:sz w:val="17"/>
              </w:rPr>
              <w:t>43,857</w:t>
            </w:r>
          </w:p>
        </w:tc>
        <w:tc>
          <w:tcPr>
            <w:tcW w:type="dxa" w:w="1440"/>
            <w:shd w:fill="C6EFCE" w:val="clear"/>
          </w:tcPr>
          <w:p>
            <w:r>
              <w:rPr>
                <w:b/>
                <w:color w:val="008000"/>
                <w:sz w:val="17"/>
              </w:rPr>
              <w:t>+9.3%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*Bourse Régionale des Valeurs Mobilières (BRVM) — Secteur : Entreprise (Boissons/Limonaderies)*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623,62 milliards FCFA, SLBC s'impose comme l'une des plus importantes capitalisations de la BRVM, ce qui en fait un titre de premier plan pour les investisseurs institutionnels régionaux. Le BPA de 2 781 FCFA/action signifie que chaque titre génère près de 2 800 FCFA de bénéfice net, un niveau remarquable qui traduit la forte rentabilité de l'entreprise. Le PER de 13,6x se situe légèrement au-dessus de la moyenne du marché BRVM (estimée entre 8 et 12x), ce qui indique que les investisseurs acceptent de payer une prime modérée pour cette valeur de croissance, sans que cela constitue une surévaluation excessive. Le P/B de 3,20x montre que le marché valorise l'action à plus de trois fois sa valeur comptable, reflétant une prime de croissance justifiée par les excellents fondamentaux. Enfin, l'EV/EBITDA de 7,4x, dans la fourchette raisonnable de 5-10x, suggère que la valeur totale de l'entreprise (dette incluse) reste cohérente avec sa capacité opérationnelle à générer des profits, ce qui conforte l'idée d'une valorisation équilibrée.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 enregistré une progression modérée de +2,39%, clôturant à 37 885 FCFA après une légère baisse de -0,30% lors de la dernière séance. Le titre a évolué dans un range relativement étroit entre un plus bas de 35 540 FCFA et un plus haut de 41 500 FCFA, soit une amplitude de trading d'environ 16,8%, ce qui témoigne d'une tendance globalement haussière mais avec des phases de consolidation. Les statistiques descriptives révèlent une moyenne de 38 239 FCFA légèrement supérieure à la médiane de 38 000 FCFA, avec un mode identique à 38 000 FCFA, indiquant une distribution quasi-symétrique mais avec une légère asymétrie positive (skewness de 0,509), signifiant que davantage de journées se sont négociées sous la moyenne. L'écart-type de 909 FCFA et le coefficient de variation de 2,4% traduisent une dispersion très faible du cours, ce qui est caractéristique d'un titre peu volatil et recherché pour sa stabilité. Le kurtosis de 0,958 (mésokurtique) suggère une distribution proche de la normale, sans risque excessif de pics extrêmes, ce qui est rassurant pour la gestion du risque. Enfin, la volatilité annualisée de 26,6% positionne SLBC dans la catégorie des titres à volatilité modérée (15-30%), offrant un bon compromis entre rendement potentiel et stabilité.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(37 816 FCFA) et la MM50 (38 039,6 FCFA) encadrent le cours actuel de 37 885 FCFA, avec un cours légèrement au-dessus de la MM20 mais en-dessous de la MM50. Cette configuration suggère une pression baissière de moyen terme, justifiant la décision technique de **Vente** émise par le croisement des moyennes.</w:t>
      </w:r>
    </w:p>
    <w:p>
      <w:pPr>
        <w:spacing w:after="120" w:line="276" w:lineRule="auto"/>
      </w:pPr>
      <w:r>
        <w:t>**Bandes de Bollinger** : Le cours actuel (37 885 FCFA) se situe dans la partie médiane des bandes, entre la borne inférieure (37 183,9 FCFA) et la borne supérieure (38 448,1 FCFA). L'absence de test des extrêmes indique une volatilité contenue et une absence de signal directionnel fort, justifiant la décision **Neutre**.</w:t>
      </w:r>
    </w:p>
    <w:p>
      <w:pPr>
        <w:spacing w:after="120" w:line="276" w:lineRule="auto"/>
      </w:pPr>
      <w:r>
        <w:t>**MACD** : La valeur du MACD (20,633) est nettement supérieure à son signal (-19,86), générant un croisement haussier significatif. Ce différentiel positif important traduit un momentum acheteur en construction, justifiant la décision d'**Achat** malgré la prudence des autres indicateurs.</w:t>
      </w:r>
    </w:p>
    <w:p>
      <w:pPr>
        <w:spacing w:after="120" w:line="276" w:lineRule="auto"/>
      </w:pPr>
      <w:r>
        <w:t>**RSI** : À 47,244, le RSI se situe parfaitement dans la zone neutre (30-70), sans signal de surachat ni de survente. Cette position médiane indique un équilibre entre acheteurs et vendeurs, justifiant la décision **Neutre** et suggérant qu'aucun mouvement directionnel fort n'est imminent.</w:t>
      </w:r>
    </w:p>
    <w:p>
      <w:pPr>
        <w:spacing w:after="120" w:line="276" w:lineRule="auto"/>
      </w:pPr>
      <w:r>
        <w:t>**Stochastique** : Le %K (85,625) et le %D (95,208) sont tous deux en zone de surachat (&gt;80), avec un %K inférieur au %D signalant un début de croisement baissier. Cette configuration suggère une correction imminente après la récente progression, justifiant la décision de **Vente**.</w:t>
      </w:r>
    </w:p>
    <w:p>
      <w:pPr>
        <w:spacing w:after="120" w:line="276" w:lineRule="auto"/>
      </w:pPr>
      <w:r>
        <w:t>**Conclusion technique** : Les indicateurs techniques présentent une divergence notable : le MACD émet un signal d'achat fort tandis que les moyennes mobiles et le stochastique recommandent la vente, avec le RSI et les Bollinger en position neutre. Cette configuration mitigée suggère une phase de consolidation avec un potentiel haussier à court terme (MACD) mais des risques de correction (stochastique en surachat). La prudence est de mise, et une confirmation par cassure de la MM50 (38 040 FCFA) serait nécessaire pour valider un retournement haussier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SLBC a réalisé un chiffre d'affaires de 378 123 milliards FCFA, en croissance spectaculaire de +22,08% par rapport à 2024, portée par une augmentation des volumes distribués et un mix prix favorable. Le résultat net s'établit à 45 781 milliards FCFA, plus que doublant (+113%) par rapport aux 21 472 milliards de 2024, avec une marge nette passant de 6,9% à 12,1%. Les ratios de rentabilité sont exceptionnels : le ROE atteint 23,46% (largement supérieur au seuil de 15% considéré comme excellent) et le ROA s'élève à 13,48%, témoignant d'une utilisation très efficace des actifs. La structure financière est solide avec une autonomie financière de 57,48%, un ratio d'endettement maîtrisé de 42,52% et une trésorerie nette positive de 22 117 milliards FCFA. Concernant le besoin en fonds de roulement (BFR), il s'élève à 61 587 milliards FCFA, avec un délai client de 64,27 jours (risque de trésorerie modéré) et un délai fournisseur de 76,82 jours (favorable à la trésorerie), tandis que la durée de stockage de 117,32 jours mérite une surveillance. Le rapport officiel du 31 décembre 2025 (analysé le 20 mai 2026) confirme ces performances exceptionnelles et propose un dividende de 2 127 FCFA par action, soit un payout ratio de 76,5%, très généreux pour les actionnaires. Le rapport du premier trimestre 2026 (publié en 2026) montre une poursuite de la dynamique avec un CA de 93,46 milliards FCFA (+7,6%) et un résultat net de 16,26 milliards FCFA (+4,8%), bien que la croissance ralentisse par rapport à 2025. Sur la base de ce T1 2026, on peut estimer que l'exercice 2026 devrait afficher une croissance plus modérée mais toujours solide, autour de 8-10% du chiffre d'affaires, avec un résultat net annuel estimé entre 48 et 52 milliards FCFA. La recommandation fondamentale est **ACHAT** : l'entreprise affiche des fondamentaux exceptionnels, une position de leader sur le marché ivoirien des boissons, une génération de cash-flow robuste (CAF de 69 895 milliards FCFA) et une politique de dividende attractive, malgré les risques liés à la volatilité des matières premières et à la concentration géographique.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SLBC (Partie 0) apparaît équilibrée avec un PER de 13,6x légèrement supérieur à la moyenne du marché mais justifié par la prime de croissance, un P/B de 3,20x reflétant la qualité des fonds propres, et un EV/EBITDA de 7,4x dans la fourchette raisonnable. Le comportement du cours (Partie 1) est rassurant avec une volatilité modérée de 26,6%, une distribution quasi-normale (kurtosis de 0,958) et une légère asymétrie positive, indiquant un titre stable et prévisible. Les signaux techniques (Partie 2) sont mitigés : le MACD haussier contraste avec le stochastique en surachat et les moyennes mobiles baissières, suggérant une consolidation avant une éventuelle reprise. Les fondamentaux (Partie 3) sont exceptionnels avec une croissance de +22% du CA en 2025, un ROE de 23,46%, un résultat net de 45 781 milliards FCFA et une trésorerie nette positive, bien que le T1 2026 montre un ralentissement de la croissance (+7,6% vs +22%). Les prédictions IA (J+1 à J+10) anticipent une trajectoire haussière vers 39 836 FCFA d'ici le 30 septembre 2026, ce qui confirme le signal d'achat du MACD et la solidité des fondamentaux. Sur la base de cette synthèse globale, la recommandation finale est **ACHAT** avec un niveau de confiance **Élevé** et un risque global **Moyen**. La convergence entre la valorisation raisonnable, les fondamentaux exceptionnels, la stabilité du cours et les prédictions haussières justifie cette recommandation, bien que la prudence technique à court terme (stochastique en surachat) suggère un point d'entrée optimal autour de 37 500-38 000 FCFA. L'horizon d'investissement recommandé est le **moyen terme (3-12 mois)** pour capturer la poursuite de la croissance et le dividende attractif, avec une possibilité de passage au long terme (&gt;1 an) pour les investisseurs recherchant un revenu régulier et une appréciation du capital.</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114.67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1,615 titres</w:t>
            </w:r>
          </w:p>
        </w:tc>
        <w:tc>
          <w:tcPr>
            <w:tcW w:type="dxa" w:w="2268"/>
            <w:shd w:fill="FFF2CC" w:val="clear"/>
          </w:tcPr>
          <w:p>
            <w:r>
              <w:rPr>
                <w:b/>
                <w:color w:val="503200"/>
                <w:sz w:val="16"/>
              </w:rPr>
              <w:t xml:space="preserve">Cours actuel : </w:t>
            </w:r>
            <w:r>
              <w:rPr>
                <w:color w:val="000000"/>
                <w:sz w:val="17"/>
              </w:rPr>
              <w:t>14,710 FCFA</w:t>
            </w:r>
          </w:p>
          <w:p>
            <w:r>
              <w:rPr>
                <w:b/>
                <w:color w:val="503200"/>
                <w:sz w:val="16"/>
              </w:rPr>
              <w:t xml:space="preserve">Var. 100 jours : </w:t>
            </w:r>
            <w:r>
              <w:rPr>
                <w:b/>
                <w:color w:val="007800"/>
                <w:sz w:val="17"/>
              </w:rPr>
              <w:t>+27.80%</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11,500 FCFA</w:t>
            </w:r>
          </w:p>
          <w:p>
            <w:r>
              <w:rPr>
                <w:b/>
                <w:color w:val="503200"/>
                <w:sz w:val="16"/>
              </w:rPr>
              <w:t xml:space="preserve">Volatilité ann. : </w:t>
            </w:r>
            <w:r>
              <w:rPr>
                <w:color w:val="000000"/>
                <w:sz w:val="17"/>
              </w:rPr>
              <w:t>40.2%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12.17% (Moyenne) — μ=15,669 FCFA, σ=1,907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β=-0.3826 (Contre-cyclique) — Cov=-0.000016, Var(idx)=0.000041, ρ=-0.102,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1,615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84/100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2026-09-24</w:t>
            </w:r>
          </w:p>
        </w:tc>
        <w:tc>
          <w:tcPr>
            <w:tcW w:type="dxa" w:w="1440"/>
            <w:shd w:fill="C6EFCE" w:val="clear"/>
          </w:tcPr>
          <w:p>
            <w:r>
              <w:rPr>
                <w:sz w:val="17"/>
              </w:rPr>
              <w:t>15,007</w:t>
            </w:r>
          </w:p>
        </w:tc>
        <w:tc>
          <w:tcPr>
            <w:tcW w:type="dxa" w:w="1440"/>
            <w:shd w:fill="C6EFCE" w:val="clear"/>
          </w:tcPr>
          <w:p>
            <w:r>
              <w:rPr>
                <w:b/>
                <w:sz w:val="17"/>
              </w:rPr>
              <w:t>15,564</w:t>
            </w:r>
          </w:p>
        </w:tc>
        <w:tc>
          <w:tcPr>
            <w:tcW w:type="dxa" w:w="1440"/>
            <w:shd w:fill="C6EFCE" w:val="clear"/>
          </w:tcPr>
          <w:p>
            <w:r>
              <w:rPr>
                <w:sz w:val="17"/>
              </w:rPr>
              <w:t>16,121</w:t>
            </w:r>
          </w:p>
        </w:tc>
        <w:tc>
          <w:tcPr>
            <w:tcW w:type="dxa" w:w="1440"/>
            <w:shd w:fill="C6EFCE" w:val="clear"/>
          </w:tcPr>
          <w:p>
            <w:r>
              <w:rPr>
                <w:b/>
                <w:color w:val="008000"/>
                <w:sz w:val="17"/>
              </w:rPr>
              <w:t>+5.8%</w:t>
            </w:r>
          </w:p>
        </w:tc>
      </w:tr>
      <w:tr>
        <w:tc>
          <w:tcPr>
            <w:tcW w:type="dxa" w:w="1440"/>
            <w:shd w:fill="C6EFCE" w:val="clear"/>
          </w:tcPr>
          <w:p>
            <w:r>
              <w:rPr>
                <w:sz w:val="17"/>
              </w:rPr>
              <w:t>J+2  ⭐</w:t>
            </w:r>
          </w:p>
        </w:tc>
        <w:tc>
          <w:tcPr>
            <w:tcW w:type="dxa" w:w="1440"/>
            <w:shd w:fill="C6EFCE" w:val="clear"/>
          </w:tcPr>
          <w:p>
            <w:r>
              <w:rPr>
                <w:sz w:val="17"/>
              </w:rPr>
              <w:t>2026-09-25</w:t>
            </w:r>
          </w:p>
        </w:tc>
        <w:tc>
          <w:tcPr>
            <w:tcW w:type="dxa" w:w="1440"/>
            <w:shd w:fill="C6EFCE" w:val="clear"/>
          </w:tcPr>
          <w:p>
            <w:r>
              <w:rPr>
                <w:sz w:val="17"/>
              </w:rPr>
              <w:t>14,712</w:t>
            </w:r>
          </w:p>
        </w:tc>
        <w:tc>
          <w:tcPr>
            <w:tcW w:type="dxa" w:w="1440"/>
            <w:shd w:fill="C6EFCE" w:val="clear"/>
          </w:tcPr>
          <w:p>
            <w:r>
              <w:rPr>
                <w:b/>
                <w:sz w:val="17"/>
              </w:rPr>
              <w:t>15,496</w:t>
            </w:r>
          </w:p>
        </w:tc>
        <w:tc>
          <w:tcPr>
            <w:tcW w:type="dxa" w:w="1440"/>
            <w:shd w:fill="C6EFCE" w:val="clear"/>
          </w:tcPr>
          <w:p>
            <w:r>
              <w:rPr>
                <w:sz w:val="17"/>
              </w:rPr>
              <w:t>16,280</w:t>
            </w:r>
          </w:p>
        </w:tc>
        <w:tc>
          <w:tcPr>
            <w:tcW w:type="dxa" w:w="1440"/>
            <w:shd w:fill="C6EFCE" w:val="clear"/>
          </w:tcPr>
          <w:p>
            <w:r>
              <w:rPr>
                <w:b/>
                <w:color w:val="008000"/>
                <w:sz w:val="17"/>
              </w:rPr>
              <w:t>+5.3%</w:t>
            </w:r>
          </w:p>
        </w:tc>
      </w:tr>
      <w:tr>
        <w:tc>
          <w:tcPr>
            <w:tcW w:type="dxa" w:w="1440"/>
            <w:shd w:fill="C6EFCE" w:val="clear"/>
          </w:tcPr>
          <w:p>
            <w:r>
              <w:rPr>
                <w:sz w:val="17"/>
              </w:rPr>
              <w:t>J+3  ⭐</w:t>
            </w:r>
          </w:p>
        </w:tc>
        <w:tc>
          <w:tcPr>
            <w:tcW w:type="dxa" w:w="1440"/>
            <w:shd w:fill="C6EFCE" w:val="clear"/>
          </w:tcPr>
          <w:p>
            <w:r>
              <w:rPr>
                <w:sz w:val="17"/>
              </w:rPr>
              <w:t>2026-09-28</w:t>
            </w:r>
          </w:p>
        </w:tc>
        <w:tc>
          <w:tcPr>
            <w:tcW w:type="dxa" w:w="1440"/>
            <w:shd w:fill="C6EFCE" w:val="clear"/>
          </w:tcPr>
          <w:p>
            <w:r>
              <w:rPr>
                <w:sz w:val="17"/>
              </w:rPr>
              <w:t>14,563</w:t>
            </w:r>
          </w:p>
        </w:tc>
        <w:tc>
          <w:tcPr>
            <w:tcW w:type="dxa" w:w="1440"/>
            <w:shd w:fill="C6EFCE" w:val="clear"/>
          </w:tcPr>
          <w:p>
            <w:r>
              <w:rPr>
                <w:b/>
                <w:sz w:val="17"/>
              </w:rPr>
              <w:t>15,524</w:t>
            </w:r>
          </w:p>
        </w:tc>
        <w:tc>
          <w:tcPr>
            <w:tcW w:type="dxa" w:w="1440"/>
            <w:shd w:fill="C6EFCE" w:val="clear"/>
          </w:tcPr>
          <w:p>
            <w:r>
              <w:rPr>
                <w:sz w:val="17"/>
              </w:rPr>
              <w:t>16,486</w:t>
            </w:r>
          </w:p>
        </w:tc>
        <w:tc>
          <w:tcPr>
            <w:tcW w:type="dxa" w:w="1440"/>
            <w:shd w:fill="C6EFCE" w:val="clear"/>
          </w:tcPr>
          <w:p>
            <w:r>
              <w:rPr>
                <w:b/>
                <w:color w:val="008000"/>
                <w:sz w:val="17"/>
              </w:rPr>
              <w:t>+5.5%</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14,424</w:t>
            </w:r>
          </w:p>
        </w:tc>
        <w:tc>
          <w:tcPr>
            <w:tcW w:type="dxa" w:w="1440"/>
            <w:shd w:fill="C6EFCE" w:val="clear"/>
          </w:tcPr>
          <w:p>
            <w:r>
              <w:rPr>
                <w:b/>
                <w:sz w:val="17"/>
              </w:rPr>
              <w:t>15,535</w:t>
            </w:r>
          </w:p>
        </w:tc>
        <w:tc>
          <w:tcPr>
            <w:tcW w:type="dxa" w:w="1440"/>
            <w:shd w:fill="C6EFCE" w:val="clear"/>
          </w:tcPr>
          <w:p>
            <w:r>
              <w:rPr>
                <w:sz w:val="17"/>
              </w:rPr>
              <w:t>16,646</w:t>
            </w:r>
          </w:p>
        </w:tc>
        <w:tc>
          <w:tcPr>
            <w:tcW w:type="dxa" w:w="1440"/>
            <w:shd w:fill="C6EFCE" w:val="clear"/>
          </w:tcPr>
          <w:p>
            <w:r>
              <w:rPr>
                <w:b/>
                <w:color w:val="008000"/>
                <w:sz w:val="17"/>
              </w:rPr>
              <w:t>+5.6%</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14,293</w:t>
            </w:r>
          </w:p>
        </w:tc>
        <w:tc>
          <w:tcPr>
            <w:tcW w:type="dxa" w:w="1440"/>
            <w:shd w:fill="C6EFCE" w:val="clear"/>
          </w:tcPr>
          <w:p>
            <w:r>
              <w:rPr>
                <w:b/>
                <w:sz w:val="17"/>
              </w:rPr>
              <w:t>15,535</w:t>
            </w:r>
          </w:p>
        </w:tc>
        <w:tc>
          <w:tcPr>
            <w:tcW w:type="dxa" w:w="1440"/>
            <w:shd w:fill="C6EFCE" w:val="clear"/>
          </w:tcPr>
          <w:p>
            <w:r>
              <w:rPr>
                <w:sz w:val="17"/>
              </w:rPr>
              <w:t>16,777</w:t>
            </w:r>
          </w:p>
        </w:tc>
        <w:tc>
          <w:tcPr>
            <w:tcW w:type="dxa" w:w="1440"/>
            <w:shd w:fill="C6EFCE" w:val="clear"/>
          </w:tcPr>
          <w:p>
            <w:r>
              <w:rPr>
                <w:b/>
                <w:color w:val="008000"/>
                <w:sz w:val="17"/>
              </w:rPr>
              <w:t>+5.6%</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14,172</w:t>
            </w:r>
          </w:p>
        </w:tc>
        <w:tc>
          <w:tcPr>
            <w:tcW w:type="dxa" w:w="1440"/>
            <w:shd w:fill="C6EFCE" w:val="clear"/>
          </w:tcPr>
          <w:p>
            <w:r>
              <w:rPr>
                <w:b/>
                <w:sz w:val="17"/>
              </w:rPr>
              <w:t>15,533</w:t>
            </w:r>
          </w:p>
        </w:tc>
        <w:tc>
          <w:tcPr>
            <w:tcW w:type="dxa" w:w="1440"/>
            <w:shd w:fill="C6EFCE" w:val="clear"/>
          </w:tcPr>
          <w:p>
            <w:r>
              <w:rPr>
                <w:sz w:val="17"/>
              </w:rPr>
              <w:t>16,893</w:t>
            </w:r>
          </w:p>
        </w:tc>
        <w:tc>
          <w:tcPr>
            <w:tcW w:type="dxa" w:w="1440"/>
            <w:shd w:fill="C6EFCE" w:val="clear"/>
          </w:tcPr>
          <w:p>
            <w:r>
              <w:rPr>
                <w:b/>
                <w:color w:val="008000"/>
                <w:sz w:val="17"/>
              </w:rPr>
              <w:t>+5.6%</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14,061</w:t>
            </w:r>
          </w:p>
        </w:tc>
        <w:tc>
          <w:tcPr>
            <w:tcW w:type="dxa" w:w="1440"/>
            <w:shd w:fill="C6EFCE" w:val="clear"/>
          </w:tcPr>
          <w:p>
            <w:r>
              <w:rPr>
                <w:b/>
                <w:sz w:val="17"/>
              </w:rPr>
              <w:t>15,530</w:t>
            </w:r>
          </w:p>
        </w:tc>
        <w:tc>
          <w:tcPr>
            <w:tcW w:type="dxa" w:w="1440"/>
            <w:shd w:fill="C6EFCE" w:val="clear"/>
          </w:tcPr>
          <w:p>
            <w:r>
              <w:rPr>
                <w:sz w:val="17"/>
              </w:rPr>
              <w:t>16,999</w:t>
            </w:r>
          </w:p>
        </w:tc>
        <w:tc>
          <w:tcPr>
            <w:tcW w:type="dxa" w:w="1440"/>
            <w:shd w:fill="C6EFCE" w:val="clear"/>
          </w:tcPr>
          <w:p>
            <w:r>
              <w:rPr>
                <w:b/>
                <w:color w:val="008000"/>
                <w:sz w:val="17"/>
              </w:rPr>
              <w:t>+5.6%</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13,957</w:t>
            </w:r>
          </w:p>
        </w:tc>
        <w:tc>
          <w:tcPr>
            <w:tcW w:type="dxa" w:w="1440"/>
            <w:shd w:fill="C6EFCE" w:val="clear"/>
          </w:tcPr>
          <w:p>
            <w:r>
              <w:rPr>
                <w:b/>
                <w:sz w:val="17"/>
              </w:rPr>
              <w:t>15,527</w:t>
            </w:r>
          </w:p>
        </w:tc>
        <w:tc>
          <w:tcPr>
            <w:tcW w:type="dxa" w:w="1440"/>
            <w:shd w:fill="C6EFCE" w:val="clear"/>
          </w:tcPr>
          <w:p>
            <w:r>
              <w:rPr>
                <w:sz w:val="17"/>
              </w:rPr>
              <w:t>17,098</w:t>
            </w:r>
          </w:p>
        </w:tc>
        <w:tc>
          <w:tcPr>
            <w:tcW w:type="dxa" w:w="1440"/>
            <w:shd w:fill="C6EFCE" w:val="clear"/>
          </w:tcPr>
          <w:p>
            <w:r>
              <w:rPr>
                <w:b/>
                <w:color w:val="008000"/>
                <w:sz w:val="17"/>
              </w:rPr>
              <w:t>+5.6%</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13,859</w:t>
            </w:r>
          </w:p>
        </w:tc>
        <w:tc>
          <w:tcPr>
            <w:tcW w:type="dxa" w:w="1440"/>
            <w:shd w:fill="C6EFCE" w:val="clear"/>
          </w:tcPr>
          <w:p>
            <w:r>
              <w:rPr>
                <w:b/>
                <w:sz w:val="17"/>
              </w:rPr>
              <w:t>15,524</w:t>
            </w:r>
          </w:p>
        </w:tc>
        <w:tc>
          <w:tcPr>
            <w:tcW w:type="dxa" w:w="1440"/>
            <w:shd w:fill="C6EFCE" w:val="clear"/>
          </w:tcPr>
          <w:p>
            <w:r>
              <w:rPr>
                <w:sz w:val="17"/>
              </w:rPr>
              <w:t>17,190</w:t>
            </w:r>
          </w:p>
        </w:tc>
        <w:tc>
          <w:tcPr>
            <w:tcW w:type="dxa" w:w="1440"/>
            <w:shd w:fill="C6EFCE" w:val="clear"/>
          </w:tcPr>
          <w:p>
            <w:r>
              <w:rPr>
                <w:b/>
                <w:color w:val="008000"/>
                <w:sz w:val="17"/>
              </w:rPr>
              <w:t>+5.5%</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13,766</w:t>
            </w:r>
          </w:p>
        </w:tc>
        <w:tc>
          <w:tcPr>
            <w:tcW w:type="dxa" w:w="1440"/>
            <w:shd w:fill="C6EFCE" w:val="clear"/>
          </w:tcPr>
          <w:p>
            <w:r>
              <w:rPr>
                <w:b/>
                <w:sz w:val="17"/>
              </w:rPr>
              <w:t>15,521</w:t>
            </w:r>
          </w:p>
        </w:tc>
        <w:tc>
          <w:tcPr>
            <w:tcW w:type="dxa" w:w="1440"/>
            <w:shd w:fill="C6EFCE" w:val="clear"/>
          </w:tcPr>
          <w:p>
            <w:r>
              <w:rPr>
                <w:sz w:val="17"/>
              </w:rPr>
              <w:t>17,276</w:t>
            </w:r>
          </w:p>
        </w:tc>
        <w:tc>
          <w:tcPr>
            <w:tcW w:type="dxa" w:w="1440"/>
            <w:shd w:fill="C6EFCE" w:val="clear"/>
          </w:tcPr>
          <w:p>
            <w:r>
              <w:rPr>
                <w:b/>
                <w:color w:val="008000"/>
                <w:sz w:val="17"/>
              </w:rPr>
              <w:t>+5.5%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114,67 Mds FCFA, SMBC se positionne comme une valeur de taille moyenne sur la cote BRVM, loin des poids lourds bancaires et télécoms mais suffisamment liquide pour intéresser les investisseurs institutionnels régionaux. Le BPA de 1 677 FCFA/action signifie que chaque titre génère près de 1 677 FCFA de bénéfice net, ce qui, rapporté au cours actuel de 14 710 FCFA, donne un PER de 8,8x — nettement inférieur à la moyenne BRVM (8-12x), suggérant une sous-évaluation relative du titre par rapport à ses bénéfices. Le P/B de 2,67x indique que le marché valorise SMBC à près de 2,7 fois sa valeur comptable (capitaux propres de 42,9 Mds FCFA), une prime de croissance justifiée par un ROE exceptionnel de 30,5%. Enfin, l'EV/EBITDA de 5,4x traduit une valorisation raisonnable de la capacité opérationnelle, bien en deçà du seuil de 10x, ce qui renforce le diagnostic de sous-évaluation modérée du dossier.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variation totale de **+27,80%**, mais la dernière séance (J-1) enregistre une chute brutale de **-7,48%**, signalant une correction violente après un rallye haussier soutenu. Le titre a évolué dans un range large entre un plus bas de 11 500 FCFA et un plus haut de 18 500 FCFA, soit une amplitude de 61%, caractéristique d'un titre volatil en phase de forte spéculation. La tendance générale reste haussière sur la période, mais le décrochage récent sous la moyenne (15 669 FCFA) et la médiane (16 272 FCFA) révèle un essoufflement du momentum acheteur. Les statistiques descriptives confirment cette asymétrie : la moyenne (15 669 FCFA) est inférieure à la médiane (16 272 FCFA), signe d'une distribution tirée vers le bas par des journées de forte baisse ; le skewness de -0,829 (asymétrie négative) indique que les journées de hausse ont été plus nombreuses mais moins amples que les journées de baisse, tandis que le kurtosis de -0,484 (mésokurtique) suggère une distribution proche de la normale, sans risque extrême de pics. L'écart-type de 1 917 FCFA (CV = 12,2%) traduit une dispersion modérée autour de la moyenne, mais la volatilité annualisée de **40,2%** classe clairement SMBC dans la catégorie des titres à volatilité élevée (&gt;30%), ce qui implique un risque de perte en capital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(17 319 FCFA) et la MM50 (16 680 FCFA) se situent toutes deux au-dessus du cours actuel (14 710 FCFA), ce qui place le titre en position de faiblesse relative malgré la décision « Achat » générée automatiquement. L'écart de plus de 2 600 FCFA entre le cours et la MM20 signale une pression vendeuse immédiate, mais la configuration MM20 &gt; MM50 reste haussière sur le moyen terme, justifiant un potentiel de rebond technique vers 16 500-17 000 FCFA.</w:t>
      </w:r>
    </w:p>
    <w:p>
      <w:pPr>
        <w:spacing w:after="120" w:line="276" w:lineRule="auto"/>
      </w:pPr>
      <w:r>
        <w:t>**Bandes de Bollinger** : Le cours (14 710 FCFA) est nettement sous la borne inférieure (15 528 FCFA), ce qui constitue un signal de survente extrême et une anomalie statistique (le cours sort des bandes). Cette situation est généralement suivie d'un retour vers la moyenne (15 500-16 000 FCFA), d'où la décision « Achat » — mais elle traduit aussi une volatilité exceptionnelle et un risque de poursuite de la baisse si le support de 14 000 FCFA cède.</w:t>
      </w:r>
    </w:p>
    <w:p>
      <w:pPr>
        <w:spacing w:after="120" w:line="276" w:lineRule="auto"/>
      </w:pPr>
      <w:r>
        <w:t>**MACD** : La valeur du MACD (-179,687) est inférieure à son signal (170,264), générant une décision « Vente ». Cette divergence baissière indique que le momentum de court terme est clairement négatif, en cohérence avec la chute de J-1 (-7,48%). Le croisement MACD/Signal à la baisse confirme que la correction n'est probablement pas terminée à très court terme.</w:t>
      </w:r>
    </w:p>
    <w:p>
      <w:pPr>
        <w:spacing w:after="120" w:line="276" w:lineRule="auto"/>
      </w:pPr>
      <w:r>
        <w:t>**RSI** : À 25,794, le RSI est en zone de **survente** (&lt;30), ce qui déclenche une décision « Achat » selon la logique de retour à la moyenne. Un RSI aussi bas après une chute de -7,48% suggère que la pression vendeuse est excessive et qu'un rebond technique est statistiquement probable dans les prochains jours, mais il faut noter qu'en tendance baissière forte, le RSI peut rester bas plusieurs séances.</w:t>
      </w:r>
    </w:p>
    <w:p>
      <w:pPr>
        <w:spacing w:after="120" w:line="276" w:lineRule="auto"/>
      </w:pPr>
      <w:r>
        <w:t>**Stochastique** : Le %K et le %D sont tous deux à 0,0, un niveau extrême qui indique que le cours clôture systématiquement près de ses plus bas récents. Cette configuration est un signal de survente maximale et précède souvent un retournement, mais l'absence de croisement haussier (%K &gt; %D) pour l'instant invite à la prudence avant de crier au rebond.</w:t>
      </w:r>
    </w:p>
    <w:p>
      <w:pPr>
        <w:spacing w:after="120" w:line="276" w:lineRule="auto"/>
      </w:pPr>
      <w:r>
        <w:t>**Conclusion technique** : Les indicateurs sont **divergents** : les moyennes mobiles et le MACD sont baissiers (tendance de fond négative), tandis que le RSI, le stochastique et les bandes de Bollinger signalent une survente extrême propice à un rebond technique. La convergence des signaux de survente (RSI 25,8 ; Stochastique 0 ; cours sous la borne inférieure de Bollinger) plaide pour un **rebond à court terme vers 15 500-16 000 FCFA**, mais la faiblesse du MACD et la position du cours sous les MM20/MM50 limitent le potentiel de hausse durable sans confirmation d'un retournement de tendance.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SMBC a réalisé un chiffre d'affaires de **206,74 Mds FCFA**, en baisse de **-9,74%** par rapport à 2024 (229,06 Mds FCFA), confirmant la contraction de l'activité commerciale. Cependant, le résultat net a bondi de **+50,3%** à **13,075 Mds FCFA**, porté par une amélioration spectaculaire de la marge nette (6,32% contre 3,8% en 2024) et un EBE de 18,48 Mds FCFA (+41,8%). Le ROE atteint **30,47%** (excellent, &gt;15%) et le ROA 7,26%, tandis que la marge brute s'établit à 18,11% et la marge opérationnelle à 8,62%. La structure financière reste solide avec des capitaux propres de 42,91 Mds FCFA (+21,6%), une trésorerie nette positive de 23,99 Mds FCFA et un ratio d'autonomie financière de 23,84% (légèrement sous le seuil de 30% mais en amélioration). Le BFR est positif à 1,693 Md FCFA, mais les délais d'exploitation sont préoccupants : **délai clients de 193,75 jours** (risque de trésorerie élevé) et délai fournisseurs de 207,07 jours (bon pour la trésorerie), avec une durée de stockage de 38,09 jours. La capacité de remboursement est excellente (0,68 an) et la couverture des intérêts très confortable (483,4%).</w:t>
      </w:r>
    </w:p>
    <w:p>
      <w:pPr>
        <w:spacing w:after="120" w:line="276" w:lineRule="auto"/>
      </w:pPr>
      <w:r>
        <w:t>**Adaptation au secteur (entreprise industrielle)** : SMBC opère dans les bitumes, un secteur cyclique dépendant des investissements publics en infrastructures. La baisse du CA (-9,74%) est compensée par une meilleure maîtrise des coûts (charges de personnel -9,5%, charges externes -3%) et un environnement de marges de raffinage favorable. Le principal risque réside dans la dépendance aux créances clients (109,74 Mds FCFA, soit 53% du CA) qui pèse sur le BFR malgré une trésorerie nette positive.</w:t>
      </w:r>
    </w:p>
    <w:p>
      <w:pPr>
        <w:spacing w:after="120" w:line="276" w:lineRule="auto"/>
      </w:pPr>
      <w:r>
        <w:t>**Estimations basées sur les rapports trimestriels** : Le rapport **T1 2025 (31/03/2025)** indique un CA de 54,8 Mds FCFA (-22%) et un résultat net de 2,7 Mds FCFA (-7%), avec une marge nette en amélioration à 5,0%. Le rapport **S1 2025 (30/06/2025)** confirme un CA de 101,9 Mds FCFA (-23%) et un résultat net de 3,9 Mds FCFA (-7%), avec un EBE en hausse de +38%. Le rapport **9M 2025 (30/09/2025)** montre un CA de 155,2 Mds FCFA (-14%) et un résultat net de 5,7 Mds FCFA (+6%), avec une marge opérationnelle de 5,4% (contre 4,0% en 2024). Sur cette base, on estime que l'exercice 2025 devrait clôturer avec un CA autour de 206 Mds FCFA et un résultat net de 13,1 Mds FCFA, confirmant la tendance observée dans les états financiers annuels. Le rapport **2024 (MISTRAL, 15/03/2026)** soulignait déjà la dégradation de la rentabilité (marge nette 3,8%) et un taux de distribution insoutenable de 107,5%, mais le rapport **2025 (DEEPSEEK, 12/05/2026)** recommande « CONSERVER » en attendant la confirmation de la reprise du CA.</w:t>
      </w:r>
    </w:p>
    <w:p>
      <w:pPr>
        <w:spacing w:after="120" w:line="276" w:lineRule="auto"/>
      </w:pPr>
      <w:r>
        <w:t>**Évolution pluriannuelle** : Entre 2023 et 2025, le CA a chuté de 247,6 Mds FCFA à 206,7 Mds FCFA (-16,5%), mais le résultat net est passé de 17,3 Mds FCFA (2023) à 8,7 Mds FCFA (2024) puis 13,1 Mds FCFA (2025), montrant une résilience remarquable grâce à l'amélioration des marges. Le ROE est passé de 30,5% (2025) contre un niveau estimé à 24,6% en 2024, confirmant la capacité de SMBC à générer de la valeur malgré la contraction des volumes.</w:t>
      </w:r>
    </w:p>
    <w:p>
      <w:pPr>
        <w:spacing w:after="120" w:line="276" w:lineRule="auto"/>
      </w:pPr>
      <w:r>
        <w:t>**Recommandation fondamentale** : SMBC présente une **solidité financière remarquable** (ROE 30,5%, trésorerie nette positive, endettement maîtrisé) et une **amélioration spectaculaire de la rentabilité** malgré la baisse du CA. Les risques principaux sont la dépendance aux investissements publics, la volatilité des prix du bitume et le délai clients élevé (193,75 jours). La recommandation fondamentale est **CONSERVER**, avec un potentiel d'ACHAT si la reprise du CA se confirme en 2026.</w:t>
      </w:r>
    </w:p>
    <w:p>
      <w:pPr>
        <w:spacing w:after="120" w:line="276" w:lineRule="auto"/>
      </w:pPr>
      <w:r>
        <w:t>---</w:t>
      </w:r>
    </w:p>
    <w:p>
      <w:pPr>
        <w:spacing w:after="120" w:line="276" w:lineRule="auto"/>
      </w:pPr>
      <w:r>
        <w:t>## PARTIE 4 : CONCLUSION D'INVESTISSEMENT</w:t>
      </w:r>
    </w:p>
    <w:p>
      <w:pPr>
        <w:spacing w:after="120" w:line="276" w:lineRule="auto"/>
      </w:pPr>
      <w:r>
        <w:t>La **valorisation (Partie 0)** apparaît attractive avec un PER de 8,8x (sous la moyenne BRVM), un P/B de 2,67x justifié par un ROE de 30,5% et un EV/EBITDA de 5,4x raisonnable, suggérant une sous-évaluation modérée du titre. Le **comportement du cours (Partie 1)** est préoccupant à court terme : malgré une hausse de +27,80% sur 100 jours, la chute de -7,48% en J-1 et la volatilité annualisée de 40,2% signalent une correction violente, avec un skewness négatif (-0,829) indiquant que les baisses sont plus amples que les hausses. Les **signaux techniques (Partie 2)** sont divergents : le MACD et les MM20/MM50 sont baissiers, mais le RSI (25,8), le stochastique (0,0) et la sortie sous la borne inférieure de Bollinger (15 528 FCFA) convergent vers un rebond technique imminent. Les **fondamentaux (Partie 3)** sont solides : ROE de 30,5%, résultat net en hausse de +50,3% à 13,1 Mds FCFA en 2025, trésorerie nette de 24 Mds FCFA, mais le CA recule de -9,74% et le délai clients de 193,75 jours constitue un risque. Les **prédictions IA (J+1 à J+10)** anticipent une stabilisation autour de 15 500-15 600 FCFA, ce qui confirme le scénario d'un rebond technique modéré vers la borne inférieure de Bollinger, sans retour immédiat au-dessus des MM20 (17 319 FCFA).</w:t>
      </w:r>
    </w:p>
    <w:p>
      <w:pPr>
        <w:spacing w:after="120" w:line="276" w:lineRule="auto"/>
      </w:pPr>
      <w:r>
        <w:t>**Synthèse globale** : La convergence entre la survente technique (RSI, stochastique, Bollinger) et la sous-évaluation fondamentale (PER 8,8x, ROE 30,5%) plaide pour un **rebond à court terme**, mais la divergence avec le MACD baissier et la baisse du CA invite à la prudence. La recommandation finale est **CONSERVER**, avec un niveau de confiance **Moyen** et un risque global **Élevé** (volatilité 40,2%, correction en cours). L'horizon optimal est le **moyen terme (3-12 mois)**, en attendant la confirmation de la reprise du chiffre d'affaires et la stabilisation du cours au-dessus de 15 500 FCFA. Un passage à **ACHAT** serait justifié si le titre se maintient au-dessus de 15 500 FCFA et que le CA reprend en 2026 ; une **VENTE** serait envisagée si le support de 14 000 FCFA cède avec un MACD toujours baissier.</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4100.00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11,370 titres</w:t>
            </w:r>
          </w:p>
        </w:tc>
        <w:tc>
          <w:tcPr>
            <w:tcW w:type="dxa" w:w="2268"/>
            <w:shd w:fill="FFF2CC" w:val="clear"/>
          </w:tcPr>
          <w:p>
            <w:r>
              <w:rPr>
                <w:b/>
                <w:color w:val="503200"/>
                <w:sz w:val="16"/>
              </w:rPr>
              <w:t xml:space="preserve">Cours actuel : </w:t>
            </w:r>
            <w:r>
              <w:rPr>
                <w:color w:val="000000"/>
                <w:sz w:val="17"/>
              </w:rPr>
              <w:t>41,000 FCFA</w:t>
            </w:r>
          </w:p>
          <w:p>
            <w:r>
              <w:rPr>
                <w:b/>
                <w:color w:val="503200"/>
                <w:sz w:val="16"/>
              </w:rPr>
              <w:t xml:space="preserve">Var. 100 jours : </w:t>
            </w:r>
            <w:r>
              <w:rPr>
                <w:b/>
                <w:color w:val="007800"/>
                <w:sz w:val="17"/>
              </w:rPr>
              <w:t>+42.86%</w:t>
            </w:r>
          </w:p>
          <w:p>
            <w:r>
              <w:rPr>
                <w:b/>
                <w:color w:val="503200"/>
                <w:sz w:val="16"/>
              </w:rPr>
              <w:t xml:space="preserve">Plus haut 100j : </w:t>
            </w:r>
            <w:r>
              <w:rPr>
                <w:color w:val="000000"/>
                <w:sz w:val="17"/>
              </w:rPr>
              <w:t>42,190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12.60% (Moyenne) — μ=31,887 FCFA, σ=4,017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β=1.7471 (Agressif) — Cov=0.000071, Var(idx)=0.000041, ρ=0.545,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11,370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σ_j=2.04%/j (Stable) — Vol. annualisée≈32.4%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39,001</w:t>
            </w:r>
          </w:p>
        </w:tc>
        <w:tc>
          <w:tcPr>
            <w:tcW w:type="dxa" w:w="1440"/>
            <w:shd w:fill="FAFAFA" w:val="clear"/>
          </w:tcPr>
          <w:p>
            <w:r>
              <w:rPr>
                <w:b/>
                <w:sz w:val="17"/>
              </w:rPr>
              <w:t>40,724</w:t>
            </w:r>
          </w:p>
        </w:tc>
        <w:tc>
          <w:tcPr>
            <w:tcW w:type="dxa" w:w="1440"/>
            <w:shd w:fill="FAFAFA" w:val="clear"/>
          </w:tcPr>
          <w:p>
            <w:r>
              <w:rPr>
                <w:sz w:val="17"/>
              </w:rPr>
              <w:t>42,447</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38,184</w:t>
            </w:r>
          </w:p>
        </w:tc>
        <w:tc>
          <w:tcPr>
            <w:tcW w:type="dxa" w:w="1440"/>
            <w:shd w:fill="FAFAFA" w:val="clear"/>
          </w:tcPr>
          <w:p>
            <w:r>
              <w:rPr>
                <w:b/>
                <w:sz w:val="17"/>
              </w:rPr>
              <w:t>40,615</w:t>
            </w:r>
          </w:p>
        </w:tc>
        <w:tc>
          <w:tcPr>
            <w:tcW w:type="dxa" w:w="1440"/>
            <w:shd w:fill="FAFAFA" w:val="clear"/>
          </w:tcPr>
          <w:p>
            <w:r>
              <w:rPr>
                <w:sz w:val="17"/>
              </w:rPr>
              <w:t>43,045</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2026-09-28</w:t>
            </w:r>
          </w:p>
        </w:tc>
        <w:tc>
          <w:tcPr>
            <w:tcW w:type="dxa" w:w="1440"/>
            <w:shd w:fill="FAFAFA" w:val="clear"/>
          </w:tcPr>
          <w:p>
            <w:r>
              <w:rPr>
                <w:sz w:val="17"/>
              </w:rPr>
              <w:t>37,542</w:t>
            </w:r>
          </w:p>
        </w:tc>
        <w:tc>
          <w:tcPr>
            <w:tcW w:type="dxa" w:w="1440"/>
            <w:shd w:fill="FAFAFA" w:val="clear"/>
          </w:tcPr>
          <w:p>
            <w:r>
              <w:rPr>
                <w:b/>
                <w:sz w:val="17"/>
              </w:rPr>
              <w:t>40,511</w:t>
            </w:r>
          </w:p>
        </w:tc>
        <w:tc>
          <w:tcPr>
            <w:tcW w:type="dxa" w:w="1440"/>
            <w:shd w:fill="FAFAFA" w:val="clear"/>
          </w:tcPr>
          <w:p>
            <w:r>
              <w:rPr>
                <w:sz w:val="17"/>
              </w:rPr>
              <w:t>43,480</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2026-09-29</w:t>
            </w:r>
          </w:p>
        </w:tc>
        <w:tc>
          <w:tcPr>
            <w:tcW w:type="dxa" w:w="1440"/>
            <w:shd w:fill="FAFAFA" w:val="clear"/>
          </w:tcPr>
          <w:p>
            <w:r>
              <w:rPr>
                <w:sz w:val="17"/>
              </w:rPr>
              <w:t>37,011</w:t>
            </w:r>
          </w:p>
        </w:tc>
        <w:tc>
          <w:tcPr>
            <w:tcW w:type="dxa" w:w="1440"/>
            <w:shd w:fill="FAFAFA" w:val="clear"/>
          </w:tcPr>
          <w:p>
            <w:r>
              <w:rPr>
                <w:b/>
                <w:sz w:val="17"/>
              </w:rPr>
              <w:t>40,433</w:t>
            </w:r>
          </w:p>
        </w:tc>
        <w:tc>
          <w:tcPr>
            <w:tcW w:type="dxa" w:w="1440"/>
            <w:shd w:fill="FAFAFA" w:val="clear"/>
          </w:tcPr>
          <w:p>
            <w:r>
              <w:rPr>
                <w:sz w:val="17"/>
              </w:rPr>
              <w:t>43,854</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2026-09-30</w:t>
            </w:r>
          </w:p>
        </w:tc>
        <w:tc>
          <w:tcPr>
            <w:tcW w:type="dxa" w:w="1440"/>
            <w:shd w:fill="FAFAFA" w:val="clear"/>
          </w:tcPr>
          <w:p>
            <w:r>
              <w:rPr>
                <w:sz w:val="17"/>
              </w:rPr>
              <w:t>36,549</w:t>
            </w:r>
          </w:p>
        </w:tc>
        <w:tc>
          <w:tcPr>
            <w:tcW w:type="dxa" w:w="1440"/>
            <w:shd w:fill="FAFAFA" w:val="clear"/>
          </w:tcPr>
          <w:p>
            <w:r>
              <w:rPr>
                <w:b/>
                <w:sz w:val="17"/>
              </w:rPr>
              <w:t>40,369</w:t>
            </w:r>
          </w:p>
        </w:tc>
        <w:tc>
          <w:tcPr>
            <w:tcW w:type="dxa" w:w="1440"/>
            <w:shd w:fill="FAFAFA" w:val="clear"/>
          </w:tcPr>
          <w:p>
            <w:r>
              <w:rPr>
                <w:sz w:val="17"/>
              </w:rPr>
              <w:t>44,188</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2026-10-01</w:t>
            </w:r>
          </w:p>
        </w:tc>
        <w:tc>
          <w:tcPr>
            <w:tcW w:type="dxa" w:w="1440"/>
            <w:shd w:fill="FAFAFA" w:val="clear"/>
          </w:tcPr>
          <w:p>
            <w:r>
              <w:rPr>
                <w:sz w:val="17"/>
              </w:rPr>
              <w:t>36,134</w:t>
            </w:r>
          </w:p>
        </w:tc>
        <w:tc>
          <w:tcPr>
            <w:tcW w:type="dxa" w:w="1440"/>
            <w:shd w:fill="FAFAFA" w:val="clear"/>
          </w:tcPr>
          <w:p>
            <w:r>
              <w:rPr>
                <w:b/>
                <w:sz w:val="17"/>
              </w:rPr>
              <w:t>40,312</w:t>
            </w:r>
          </w:p>
        </w:tc>
        <w:tc>
          <w:tcPr>
            <w:tcW w:type="dxa" w:w="1440"/>
            <w:shd w:fill="FAFAFA" w:val="clear"/>
          </w:tcPr>
          <w:p>
            <w:r>
              <w:rPr>
                <w:sz w:val="17"/>
              </w:rPr>
              <w:t>44,490</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2026-10-02</w:t>
            </w:r>
          </w:p>
        </w:tc>
        <w:tc>
          <w:tcPr>
            <w:tcW w:type="dxa" w:w="1440"/>
            <w:shd w:fill="FAFAFA" w:val="clear"/>
          </w:tcPr>
          <w:p>
            <w:r>
              <w:rPr>
                <w:sz w:val="17"/>
              </w:rPr>
              <w:t>35,751</w:t>
            </w:r>
          </w:p>
        </w:tc>
        <w:tc>
          <w:tcPr>
            <w:tcW w:type="dxa" w:w="1440"/>
            <w:shd w:fill="FAFAFA" w:val="clear"/>
          </w:tcPr>
          <w:p>
            <w:r>
              <w:rPr>
                <w:b/>
                <w:sz w:val="17"/>
              </w:rPr>
              <w:t>40,258</w:t>
            </w:r>
          </w:p>
        </w:tc>
        <w:tc>
          <w:tcPr>
            <w:tcW w:type="dxa" w:w="1440"/>
            <w:shd w:fill="FAFAFA" w:val="clear"/>
          </w:tcPr>
          <w:p>
            <w:r>
              <w:rPr>
                <w:sz w:val="17"/>
              </w:rPr>
              <w:t>44,766</w:t>
            </w:r>
          </w:p>
        </w:tc>
        <w:tc>
          <w:tcPr>
            <w:tcW w:type="dxa" w:w="1440"/>
            <w:shd w:fill="FAFAFA" w:val="clear"/>
          </w:tcPr>
          <w:p>
            <w:r>
              <w:rPr>
                <w:b/>
                <w:color w:val="C00000"/>
                <w:sz w:val="17"/>
              </w:rPr>
              <w:t>-1.8%</w:t>
            </w:r>
          </w:p>
        </w:tc>
      </w:tr>
      <w:tr>
        <w:tc>
          <w:tcPr>
            <w:tcW w:type="dxa" w:w="1440"/>
            <w:shd w:fill="FAFAFA" w:val="clear"/>
          </w:tcPr>
          <w:p>
            <w:r>
              <w:rPr>
                <w:sz w:val="17"/>
              </w:rPr>
              <w:t>J+8  ⭐</w:t>
            </w:r>
          </w:p>
        </w:tc>
        <w:tc>
          <w:tcPr>
            <w:tcW w:type="dxa" w:w="1440"/>
            <w:shd w:fill="FAFAFA" w:val="clear"/>
          </w:tcPr>
          <w:p>
            <w:r>
              <w:rPr>
                <w:sz w:val="17"/>
              </w:rPr>
              <w:t>2026-10-05</w:t>
            </w:r>
          </w:p>
        </w:tc>
        <w:tc>
          <w:tcPr>
            <w:tcW w:type="dxa" w:w="1440"/>
            <w:shd w:fill="FAFAFA" w:val="clear"/>
          </w:tcPr>
          <w:p>
            <w:r>
              <w:rPr>
                <w:sz w:val="17"/>
              </w:rPr>
              <w:t>35,395</w:t>
            </w:r>
          </w:p>
        </w:tc>
        <w:tc>
          <w:tcPr>
            <w:tcW w:type="dxa" w:w="1440"/>
            <w:shd w:fill="FAFAFA" w:val="clear"/>
          </w:tcPr>
          <w:p>
            <w:r>
              <w:rPr>
                <w:b/>
                <w:sz w:val="17"/>
              </w:rPr>
              <w:t>40,207</w:t>
            </w:r>
          </w:p>
        </w:tc>
        <w:tc>
          <w:tcPr>
            <w:tcW w:type="dxa" w:w="1440"/>
            <w:shd w:fill="FAFAFA" w:val="clear"/>
          </w:tcPr>
          <w:p>
            <w:r>
              <w:rPr>
                <w:sz w:val="17"/>
              </w:rPr>
              <w:t>45,019</w:t>
            </w:r>
          </w:p>
        </w:tc>
        <w:tc>
          <w:tcPr>
            <w:tcW w:type="dxa" w:w="1440"/>
            <w:shd w:fill="FAFAFA" w:val="clear"/>
          </w:tcPr>
          <w:p>
            <w:r>
              <w:rPr>
                <w:b/>
                <w:color w:val="C00000"/>
                <w:sz w:val="17"/>
              </w:rPr>
              <w:t>-1.9%</w:t>
            </w:r>
          </w:p>
        </w:tc>
      </w:tr>
      <w:tr>
        <w:tc>
          <w:tcPr>
            <w:tcW w:type="dxa" w:w="1440"/>
            <w:shd w:fill="FFDCE0" w:val="clear"/>
          </w:tcPr>
          <w:p>
            <w:r>
              <w:rPr>
                <w:sz w:val="17"/>
              </w:rPr>
              <w:t>J+9  ⭐</w:t>
            </w:r>
          </w:p>
        </w:tc>
        <w:tc>
          <w:tcPr>
            <w:tcW w:type="dxa" w:w="1440"/>
            <w:shd w:fill="FFDCE0" w:val="clear"/>
          </w:tcPr>
          <w:p>
            <w:r>
              <w:rPr>
                <w:sz w:val="17"/>
              </w:rPr>
              <w:t>2026-10-06</w:t>
            </w:r>
          </w:p>
        </w:tc>
        <w:tc>
          <w:tcPr>
            <w:tcW w:type="dxa" w:w="1440"/>
            <w:shd w:fill="FFDCE0" w:val="clear"/>
          </w:tcPr>
          <w:p>
            <w:r>
              <w:rPr>
                <w:sz w:val="17"/>
              </w:rPr>
              <w:t>35,059</w:t>
            </w:r>
          </w:p>
        </w:tc>
        <w:tc>
          <w:tcPr>
            <w:tcW w:type="dxa" w:w="1440"/>
            <w:shd w:fill="FFDCE0" w:val="clear"/>
          </w:tcPr>
          <w:p>
            <w:r>
              <w:rPr>
                <w:b/>
                <w:sz w:val="17"/>
              </w:rPr>
              <w:t>40,157</w:t>
            </w:r>
          </w:p>
        </w:tc>
        <w:tc>
          <w:tcPr>
            <w:tcW w:type="dxa" w:w="1440"/>
            <w:shd w:fill="FFDCE0" w:val="clear"/>
          </w:tcPr>
          <w:p>
            <w:r>
              <w:rPr>
                <w:sz w:val="17"/>
              </w:rPr>
              <w:t>45,255</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2026-10-07</w:t>
            </w:r>
          </w:p>
        </w:tc>
        <w:tc>
          <w:tcPr>
            <w:tcW w:type="dxa" w:w="1440"/>
            <w:shd w:fill="FFDCE0" w:val="clear"/>
          </w:tcPr>
          <w:p>
            <w:r>
              <w:rPr>
                <w:sz w:val="17"/>
              </w:rPr>
              <w:t>34,742</w:t>
            </w:r>
          </w:p>
        </w:tc>
        <w:tc>
          <w:tcPr>
            <w:tcW w:type="dxa" w:w="1440"/>
            <w:shd w:fill="FFDCE0" w:val="clear"/>
          </w:tcPr>
          <w:p>
            <w:r>
              <w:rPr>
                <w:b/>
                <w:sz w:val="17"/>
              </w:rPr>
              <w:t>40,108</w:t>
            </w:r>
          </w:p>
        </w:tc>
        <w:tc>
          <w:tcPr>
            <w:tcW w:type="dxa" w:w="1440"/>
            <w:shd w:fill="FFDCE0" w:val="clear"/>
          </w:tcPr>
          <w:p>
            <w:r>
              <w:rPr>
                <w:sz w:val="17"/>
              </w:rPr>
              <w:t>45,475</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SONATEL (SNTS)</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4 100 milliards FCFA, Sonatel s'impose comme la première capitalisation de la BRVM, un poids systémique qui en fait la valeur de référence de la cote régionale. Le BPA de 4 136 FCFA par action signifie que chaque titre génère près de 4 136 FCFA de bénéfice net, ce qui, rapporté au cours actuel de 41 000 FCFA, donne un PER de 9,9x — un niveau modéré et légèrement inférieur à la moyenne BRVM (8-12x), suggérant une valorisation raisonnable voire légèrement sous-évaluée au regard de la qualité de l'émetteur. Le P/B de 2,93x indique que le marché paie le titre près de trois fois sa valeur comptable, une prime de croissance justifiée par la rentabilité exceptionnelle des fonds propres (ROE de 29,6%). Enfin, l'EV/EBITDA de 4,3x, très en dessous du seuil de 5x, traduit une valorisation attractive de la capacité opérationnelle : le marché valorise l'entreprise à seulement 4,3 fois son excédent brut d'exploitation, ce qui constitue un signal fort de sous-évaluation relative pour un leader télécom régional.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SNTS affiche une performance remarquable de +42,86%, portée par un flux acheteur soutenu, même si la dernière séance (J-1) marque une correction de -2,35%, signe d'une prise de profit après le rallye. Le cours actuel de 41 000 FCFA évolue dans un range très large entre un plus bas de 27 160 FCFA et un plus haut de 42 190 FCFA, soit une amplitude de plus de 55%, ce qui témoigne d'une tendance nettement haussière sur la période. Les statistiques descriptives révèlent une moyenne de 31 887 FCFA supérieure à la médiane de 31 000 FCFA (égale au mode), confirmant une asymétrie positive : le cours a passé plus de journées sous sa moyenne, mais les poussées haussières ont été suffisamment puissantes pour tirer la moyenne vers le haut. L'écart-type de 4 037 FCFA (CV de 12,7%) indique une dispersion modérée du cours autour de sa tendance, tandis que le kurtosis de -0,091 (mésokurtique) suggère une distribution proche de la normale, sans risque excessif de pics extrêmes. Le skewness de +1,078 confirme cette asymétrie positive avec davantage de journées sous la moyenne. Enfin, la volatilité annualisée de 32,4% positionne le titre dans la catégorie des valeurs à volatilité élevée (&gt;30%), ce qui est cohérent avec un rallye de forte amplitude mais appelle à la prudence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38 932 FCFA et la MM50 à 34 894,6 FCFA, toutes deux nettement inférieures au cours actuel de 41 000 FCFA. Cette configuration — cours au-dessus des deux moyennes, avec MM20 &gt; MM50 — est typique d'une tendance haussière confirmée. La décision technique qui en découle est logiquement **Achat**, le titre évoluant en territoire haussier structuré.</w:t>
      </w:r>
    </w:p>
    <w:p>
      <w:pPr>
        <w:spacing w:after="120" w:line="276" w:lineRule="auto"/>
      </w:pPr>
      <w:r>
        <w:t>**Bandes de Bollinger** : La borne supérieure se situe à 42 520,9 FCFA et la borne inférieure à 35 343,1 FCFA, encadrant le cours actuel de 41 000 FCFA. Le titre évolue dans la partie haute du canal, sans toutefois toucher la borne supérieure, ce qui traduit une dynamique positive mais non encore en zone d'excès. La décision est **Neutre**, le cours n'étant ni en rupture haussière ni en signal de retournement.</w:t>
      </w:r>
    </w:p>
    <w:p>
      <w:pPr>
        <w:spacing w:after="120" w:line="276" w:lineRule="auto"/>
      </w:pPr>
      <w:r>
        <w:t>**MACD** : Le MACD affiche une valeur de 1 931,6 contre un signal à 1 849,3, soit une divergence positive de 82,3 points. Cette configuration indique un momentum haussier toujours actif, bien que l'écart reste modéré. La décision technique est **Achat**, le MACD évoluant au-dessus de sa ligne de signal.</w:t>
      </w:r>
    </w:p>
    <w:p>
      <w:pPr>
        <w:spacing w:after="120" w:line="276" w:lineRule="auto"/>
      </w:pPr>
      <w:r>
        <w:t>**RSI** : Le RSI s'établit à 71,0, franchissant le seuil de 70 qui délimite la zone de surachat. Ce niveau signale que le titre a accumulé une forte pression acheteuse à court terme et qu'un essoufflement ou une consolidation est probable. La décision qui en résulte est **Vente** (prise de profit), ce qui contraste avec les autres indicateurs.</w:t>
      </w:r>
    </w:p>
    <w:p>
      <w:pPr>
        <w:spacing w:after="120" w:line="276" w:lineRule="auto"/>
      </w:pPr>
      <w:r>
        <w:t>**Stochastique** : Le %K est à 67,8 et le %D à 86,4, avec un %D nettement supérieur au %K. Cette configuration indique que le %D (moyenne lissée) est en retard sur le %K, ce qui peut précéder un croisement baissier. La décision est **Neutre**, le stochastique n'étant pas encore en zone de surachat extrême (&gt;80) mais s'en approchant.</w:t>
      </w:r>
    </w:p>
    <w:p>
      <w:pPr>
        <w:spacing w:after="120" w:line="276" w:lineRule="auto"/>
      </w:pPr>
      <w:r>
        <w:t>**Conclusion technique** : Les indicateurs de tendance (MM20/MM50, MACD) confirment une dynamique haussière solide, mais les oscillateurs (RSI à 71, stochastique %D à 86,4) signalent un risque de correction à court terme. Cette divergence entre tendance de fond et momentum immédiat suggère une consolidation probable avant une éventuelle poursuite du mouvement haussier. Le titre reste techniquement haussier à moyen terme, mais une pause est envisageable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Sonatel a réalisé un chiffre d'affaires consolidé de 1 923,1 milliards FCFA, en progression de +8,3% par rapport à 2024, porté par la Data mobile, le Fixe Broadband et Orange Money. Le résultat net consolidé s'élève à 413,6 milliards FCFA (+5,1%), avec une marge nette de 21,5% et une marge opérationnelle de 34,8%. La rentabilité des fonds propres (ROE) atteint 29,6%, un niveau excellent (&gt;15%), et le ROA s'établit à 12,6%, confirmant l'efficacité de l'utilisation des actifs. La structure financière est saine avec une autonomie financière de 42,8% et un ratio d'endettement de 57,2%, tandis que la capacité de remboursement est très confortable (0,64 an de CAF). Le BFR est négatif à -284,9 milliards FCFA, ce qui est favorable car l'entreprise finance son cycle d'exploitation par ses fournisseurs (délai fournisseurs de 201,4 jours contre 46,2 jours de délai clients). La trésorerie nette de 536,1 milliards FCFA et le Free Cash Flow de 408,1 milliards FCFA témoignent d'une génération de cash robuste.</w:t>
      </w:r>
    </w:p>
    <w:p>
      <w:pPr>
        <w:spacing w:after="120" w:line="276" w:lineRule="auto"/>
      </w:pPr>
      <w:r>
        <w:t>**Estimations basées sur les rapports trimestriels** : Le rapport du S1 2026 (publié le 24 juillet 2026) indique un chiffre d'affaires de 1 049,8 milliards FCFA (+9,3%) et un résultat net de 230,0 milliards FCFA (+10,5%), avec une marge EBITDAaL de 48,7% et une notation relevée à AAA (wu) par GCR Ratings. Sur cette base, on peut estimer que l'exercice 2026 devrait afficher une croissance du chiffre d'affaires d'environ 9% (soit ~2 100 milliards FCFA) et un résultat net proche de 450 milliards FCFA, confirmant la trajectoire de croissance rentable. Le rapport du T3 2025 (30 septembre 2025) confirmait déjà cette dynamique avec un CA de 1 432,5 milliards FCFA (+8,6%) et un résultat net de 311 milliards FCFA (+8,0%).</w:t>
      </w:r>
    </w:p>
    <w:p>
      <w:pPr>
        <w:spacing w:after="120" w:line="276" w:lineRule="auto"/>
      </w:pPr>
      <w:r>
        <w:t>**Évolution pluriannuelle** : Entre 2024 et 2025, le chiffre d'affaires est passé de 1 776,4 à 1 923,1 milliards FCFA (+8,3%), le résultat net de 393,7 à 413,6 milliards FCFA (+5,1%), et le BPA de 3 288 à 4 136 FCFA (+25,8%). La politique de dividende est attractive avec un dividende brut de 1 933 FCFA par action (1 740 FCFA net), soit un rendement de 4,2% au cours actuel de 41 000 FCFA.</w:t>
      </w:r>
    </w:p>
    <w:p>
      <w:pPr>
        <w:spacing w:after="120" w:line="276" w:lineRule="auto"/>
      </w:pPr>
      <w:r>
        <w:t>**Recommandation fondamentale** : Sonatel présente des fondamentaux exceptionnellement solides — croissance soutenue, rentabilité élevée, structure financière saine et génération de cash abondante. Les risques identifiés (pression fiscale et réglementaire, concurrence accrue sur le Mobile Money, instabilité géopolitique dans certains pays) sont réels mais ne remettent pas en cause la solidité du modèle. La valorisation (PER 9,9x, EV/EBITDA 4,3x) apparaît attractive au regard de la qualité de l'émetteur, ce qui justifie une recommandation fondamentale **ACHAT** à moyen/long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**Valorisation (Partie 0)** : les ratios PER (9,9x), P/B (2,93x) et EV/EBITDA (4,3x) indiquent une sous-évaluation relative, notamment pour un leader télécom avec un ROE de 29,6%. **Comportement du cours (Partie 1)** : la tendance haussière (+42,86% sur 100 jours) est impressionnante, mais la volatilité élevée (32,4%) et le skewness positif (+1,078) suggèrent que le rallye pourrait s'essouffler à court terme, d'autant que la dernière séance a cédé -2,35%. **Signaux techniques (Partie 2)** : les indicateurs de tendance (MM, MACD) sont haussiers, mais le RSI à 71,0 et le stochastique (%D à 86,4) signalent un risque de correction imminente, créant une divergence entre tendance de fond et momentum. **Fondamentaux (Partie 3)** : la solidité financière est incontestable (CA 2025 de 1 923,1 Mds FCFA, RN de 413,6 Mds FCFA, ROE de 29,6%), et les rapports S1 2026 (+9,3% de CA, +10,5% de RN) confirment la dynamique. **Prédictions IA (J+1 à J+10)** : la trajectoire prévue (40 724 → 40 369 FCFA) anticipe une légère consolidation baissière de -1,5% sur 10 jours, ce qui est cohérent avec le signal de surachat du RSI et le stochastique.</w:t>
      </w:r>
    </w:p>
    <w:p>
      <w:pPr>
        <w:spacing w:after="120" w:line="276" w:lineRule="auto"/>
      </w:pPr>
      <w:r>
        <w:t>**Recommandation finale** : **CONSERVER** (avec opportunité d'achat sur repli). La convergence entre une valorisation attractive, des fondamentaux solides et des perspectives de croissance rentable plaide pour une position haussière à moyen/long terme. Cependant, le signal de surachat à court terme (RSI &gt;70) et la prédiction IA baissière à 10 jours incitent à la prudence pour les investisseurs déjà positionnés, qui peuvent conserver leurs titres en attendant une consolidation. Les nouveaux investisseurs pourraient envisager un achat progressif sur repli vers 38 000-39 000 FCFA (zone de la MM20). **Niveau de confiance** : Élevé (fondamentaux et valorisation) / Moyen (timing court terme). **Niveau de risque global** : Moyen (volatilité élevée mais qualité de l'émetteur). **Horizon d'investissement optimal** : Moyen à long terme (3-12 mois et au-delà), le temps que la croissance des bénéfices rattrape la valorisation et que les investissements dans la 5G et la fibre portent leurs fruits.</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157.69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5,326 titres</w:t>
            </w:r>
          </w:p>
        </w:tc>
        <w:tc>
          <w:tcPr>
            <w:tcW w:type="dxa" w:w="2268"/>
            <w:shd w:fill="FFF2CC" w:val="clear"/>
          </w:tcPr>
          <w:p>
            <w:r>
              <w:rPr>
                <w:b/>
                <w:color w:val="503200"/>
                <w:sz w:val="16"/>
              </w:rPr>
              <w:t xml:space="preserve">Cours actuel : </w:t>
            </w:r>
            <w:r>
              <w:rPr>
                <w:color w:val="000000"/>
                <w:sz w:val="17"/>
              </w:rPr>
              <w:t>7,300 FCFA</w:t>
            </w:r>
          </w:p>
          <w:p>
            <w:r>
              <w:rPr>
                <w:b/>
                <w:color w:val="503200"/>
                <w:sz w:val="16"/>
              </w:rPr>
              <w:t xml:space="preserve">Var. 100 jours : </w:t>
            </w:r>
            <w:r>
              <w:rPr>
                <w:b/>
                <w:color w:val="B40000"/>
                <w:sz w:val="17"/>
              </w:rPr>
              <w:t>-4.89%</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5.01% (Moyenne) — μ=8,041 FCFA, σ=403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β=0.2905 (Défensif) — Cov=0.000012, Var(idx)=0.000041, ρ=0.072,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85/100  (Excellent)</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2026-09-24</w:t>
            </w:r>
          </w:p>
        </w:tc>
        <w:tc>
          <w:tcPr>
            <w:tcW w:type="dxa" w:w="1440"/>
            <w:shd w:fill="C6EFCE" w:val="clear"/>
          </w:tcPr>
          <w:p>
            <w:r>
              <w:rPr>
                <w:sz w:val="17"/>
              </w:rPr>
              <w:t>7,145</w:t>
            </w:r>
          </w:p>
        </w:tc>
        <w:tc>
          <w:tcPr>
            <w:tcW w:type="dxa" w:w="1440"/>
            <w:shd w:fill="C6EFCE" w:val="clear"/>
          </w:tcPr>
          <w:p>
            <w:r>
              <w:rPr>
                <w:b/>
                <w:sz w:val="17"/>
              </w:rPr>
              <w:t>7,538</w:t>
            </w:r>
          </w:p>
        </w:tc>
        <w:tc>
          <w:tcPr>
            <w:tcW w:type="dxa" w:w="1440"/>
            <w:shd w:fill="C6EFCE" w:val="clear"/>
          </w:tcPr>
          <w:p>
            <w:r>
              <w:rPr>
                <w:sz w:val="17"/>
              </w:rPr>
              <w:t>7,931</w:t>
            </w:r>
          </w:p>
        </w:tc>
        <w:tc>
          <w:tcPr>
            <w:tcW w:type="dxa" w:w="1440"/>
            <w:shd w:fill="C6EFCE" w:val="clear"/>
          </w:tcPr>
          <w:p>
            <w:r>
              <w:rPr>
                <w:b/>
                <w:color w:val="008000"/>
                <w:sz w:val="17"/>
              </w:rPr>
              <w:t>+3.3%</w:t>
            </w:r>
          </w:p>
        </w:tc>
      </w:tr>
      <w:tr>
        <w:tc>
          <w:tcPr>
            <w:tcW w:type="dxa" w:w="1440"/>
            <w:shd w:fill="C6EFCE" w:val="clear"/>
          </w:tcPr>
          <w:p>
            <w:r>
              <w:rPr>
                <w:sz w:val="17"/>
              </w:rPr>
              <w:t>J+2  Moyenne</w:t>
            </w:r>
          </w:p>
        </w:tc>
        <w:tc>
          <w:tcPr>
            <w:tcW w:type="dxa" w:w="1440"/>
            <w:shd w:fill="C6EFCE" w:val="clear"/>
          </w:tcPr>
          <w:p>
            <w:r>
              <w:rPr>
                <w:sz w:val="17"/>
              </w:rPr>
              <w:t>2026-09-25</w:t>
            </w:r>
          </w:p>
        </w:tc>
        <w:tc>
          <w:tcPr>
            <w:tcW w:type="dxa" w:w="1440"/>
            <w:shd w:fill="C6EFCE" w:val="clear"/>
          </w:tcPr>
          <w:p>
            <w:r>
              <w:rPr>
                <w:sz w:val="17"/>
              </w:rPr>
              <w:t>6,978</w:t>
            </w:r>
          </w:p>
        </w:tc>
        <w:tc>
          <w:tcPr>
            <w:tcW w:type="dxa" w:w="1440"/>
            <w:shd w:fill="C6EFCE" w:val="clear"/>
          </w:tcPr>
          <w:p>
            <w:r>
              <w:rPr>
                <w:b/>
                <w:sz w:val="17"/>
              </w:rPr>
              <w:t>7,533</w:t>
            </w:r>
          </w:p>
        </w:tc>
        <w:tc>
          <w:tcPr>
            <w:tcW w:type="dxa" w:w="1440"/>
            <w:shd w:fill="C6EFCE" w:val="clear"/>
          </w:tcPr>
          <w:p>
            <w:r>
              <w:rPr>
                <w:sz w:val="17"/>
              </w:rPr>
              <w:t>8,088</w:t>
            </w:r>
          </w:p>
        </w:tc>
        <w:tc>
          <w:tcPr>
            <w:tcW w:type="dxa" w:w="1440"/>
            <w:shd w:fill="C6EFCE" w:val="clear"/>
          </w:tcPr>
          <w:p>
            <w:r>
              <w:rPr>
                <w:b/>
                <w:color w:val="008000"/>
                <w:sz w:val="17"/>
              </w:rPr>
              <w:t>+3.2%</w:t>
            </w:r>
          </w:p>
        </w:tc>
      </w:tr>
      <w:tr>
        <w:tc>
          <w:tcPr>
            <w:tcW w:type="dxa" w:w="1440"/>
            <w:shd w:fill="C6EFCE" w:val="clear"/>
          </w:tcPr>
          <w:p>
            <w:r>
              <w:rPr>
                <w:sz w:val="17"/>
              </w:rPr>
              <w:t>J+3  Moyenne</w:t>
            </w:r>
          </w:p>
        </w:tc>
        <w:tc>
          <w:tcPr>
            <w:tcW w:type="dxa" w:w="1440"/>
            <w:shd w:fill="C6EFCE" w:val="clear"/>
          </w:tcPr>
          <w:p>
            <w:r>
              <w:rPr>
                <w:sz w:val="17"/>
              </w:rPr>
              <w:t>2026-09-28</w:t>
            </w:r>
          </w:p>
        </w:tc>
        <w:tc>
          <w:tcPr>
            <w:tcW w:type="dxa" w:w="1440"/>
            <w:shd w:fill="C6EFCE" w:val="clear"/>
          </w:tcPr>
          <w:p>
            <w:r>
              <w:rPr>
                <w:sz w:val="17"/>
              </w:rPr>
              <w:t>6,863</w:t>
            </w:r>
          </w:p>
        </w:tc>
        <w:tc>
          <w:tcPr>
            <w:tcW w:type="dxa" w:w="1440"/>
            <w:shd w:fill="C6EFCE" w:val="clear"/>
          </w:tcPr>
          <w:p>
            <w:r>
              <w:rPr>
                <w:b/>
                <w:sz w:val="17"/>
              </w:rPr>
              <w:t>7,544</w:t>
            </w:r>
          </w:p>
        </w:tc>
        <w:tc>
          <w:tcPr>
            <w:tcW w:type="dxa" w:w="1440"/>
            <w:shd w:fill="C6EFCE" w:val="clear"/>
          </w:tcPr>
          <w:p>
            <w:r>
              <w:rPr>
                <w:sz w:val="17"/>
              </w:rPr>
              <w:t>8,225</w:t>
            </w:r>
          </w:p>
        </w:tc>
        <w:tc>
          <w:tcPr>
            <w:tcW w:type="dxa" w:w="1440"/>
            <w:shd w:fill="C6EFCE" w:val="clear"/>
          </w:tcPr>
          <w:p>
            <w:r>
              <w:rPr>
                <w:b/>
                <w:color w:val="008000"/>
                <w:sz w:val="17"/>
              </w:rPr>
              <w:t>+3.3%</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6,763</w:t>
            </w:r>
          </w:p>
        </w:tc>
        <w:tc>
          <w:tcPr>
            <w:tcW w:type="dxa" w:w="1440"/>
            <w:shd w:fill="C6EFCE" w:val="clear"/>
          </w:tcPr>
          <w:p>
            <w:r>
              <w:rPr>
                <w:b/>
                <w:sz w:val="17"/>
              </w:rPr>
              <w:t>7,550</w:t>
            </w:r>
          </w:p>
        </w:tc>
        <w:tc>
          <w:tcPr>
            <w:tcW w:type="dxa" w:w="1440"/>
            <w:shd w:fill="C6EFCE" w:val="clear"/>
          </w:tcPr>
          <w:p>
            <w:r>
              <w:rPr>
                <w:sz w:val="17"/>
              </w:rPr>
              <w:t>8,337</w:t>
            </w:r>
          </w:p>
        </w:tc>
        <w:tc>
          <w:tcPr>
            <w:tcW w:type="dxa" w:w="1440"/>
            <w:shd w:fill="C6EFCE" w:val="clear"/>
          </w:tcPr>
          <w:p>
            <w:r>
              <w:rPr>
                <w:b/>
                <w:color w:val="008000"/>
                <w:sz w:val="17"/>
              </w:rPr>
              <w:t>+3.4%</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6,673</w:t>
            </w:r>
          </w:p>
        </w:tc>
        <w:tc>
          <w:tcPr>
            <w:tcW w:type="dxa" w:w="1440"/>
            <w:shd w:fill="C6EFCE" w:val="clear"/>
          </w:tcPr>
          <w:p>
            <w:r>
              <w:rPr>
                <w:b/>
                <w:sz w:val="17"/>
              </w:rPr>
              <w:t>7,554</w:t>
            </w:r>
          </w:p>
        </w:tc>
        <w:tc>
          <w:tcPr>
            <w:tcW w:type="dxa" w:w="1440"/>
            <w:shd w:fill="C6EFCE" w:val="clear"/>
          </w:tcPr>
          <w:p>
            <w:r>
              <w:rPr>
                <w:sz w:val="17"/>
              </w:rPr>
              <w:t>8,434</w:t>
            </w:r>
          </w:p>
        </w:tc>
        <w:tc>
          <w:tcPr>
            <w:tcW w:type="dxa" w:w="1440"/>
            <w:shd w:fill="C6EFCE" w:val="clear"/>
          </w:tcPr>
          <w:p>
            <w:r>
              <w:rPr>
                <w:b/>
                <w:color w:val="008000"/>
                <w:sz w:val="17"/>
              </w:rPr>
              <w:t>+3.5%</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6,592</w:t>
            </w:r>
          </w:p>
        </w:tc>
        <w:tc>
          <w:tcPr>
            <w:tcW w:type="dxa" w:w="1440"/>
            <w:shd w:fill="C6EFCE" w:val="clear"/>
          </w:tcPr>
          <w:p>
            <w:r>
              <w:rPr>
                <w:b/>
                <w:sz w:val="17"/>
              </w:rPr>
              <w:t>7,557</w:t>
            </w:r>
          </w:p>
        </w:tc>
        <w:tc>
          <w:tcPr>
            <w:tcW w:type="dxa" w:w="1440"/>
            <w:shd w:fill="C6EFCE" w:val="clear"/>
          </w:tcPr>
          <w:p>
            <w:r>
              <w:rPr>
                <w:sz w:val="17"/>
              </w:rPr>
              <w:t>8,522</w:t>
            </w:r>
          </w:p>
        </w:tc>
        <w:tc>
          <w:tcPr>
            <w:tcW w:type="dxa" w:w="1440"/>
            <w:shd w:fill="C6EFCE" w:val="clear"/>
          </w:tcPr>
          <w:p>
            <w:r>
              <w:rPr>
                <w:b/>
                <w:color w:val="008000"/>
                <w:sz w:val="17"/>
              </w:rPr>
              <w:t>+3.5%</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6,518</w:t>
            </w:r>
          </w:p>
        </w:tc>
        <w:tc>
          <w:tcPr>
            <w:tcW w:type="dxa" w:w="1440"/>
            <w:shd w:fill="C6EFCE" w:val="clear"/>
          </w:tcPr>
          <w:p>
            <w:r>
              <w:rPr>
                <w:b/>
                <w:sz w:val="17"/>
              </w:rPr>
              <w:t>7,560</w:t>
            </w:r>
          </w:p>
        </w:tc>
        <w:tc>
          <w:tcPr>
            <w:tcW w:type="dxa" w:w="1440"/>
            <w:shd w:fill="C6EFCE" w:val="clear"/>
          </w:tcPr>
          <w:p>
            <w:r>
              <w:rPr>
                <w:sz w:val="17"/>
              </w:rPr>
              <w:t>8,603</w:t>
            </w:r>
          </w:p>
        </w:tc>
        <w:tc>
          <w:tcPr>
            <w:tcW w:type="dxa" w:w="1440"/>
            <w:shd w:fill="C6EFCE" w:val="clear"/>
          </w:tcPr>
          <w:p>
            <w:r>
              <w:rPr>
                <w:b/>
                <w:color w:val="008000"/>
                <w:sz w:val="17"/>
              </w:rPr>
              <w:t>+3.6%</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6,449</w:t>
            </w:r>
          </w:p>
        </w:tc>
        <w:tc>
          <w:tcPr>
            <w:tcW w:type="dxa" w:w="1440"/>
            <w:shd w:fill="C6EFCE" w:val="clear"/>
          </w:tcPr>
          <w:p>
            <w:r>
              <w:rPr>
                <w:b/>
                <w:sz w:val="17"/>
              </w:rPr>
              <w:t>7,564</w:t>
            </w:r>
          </w:p>
        </w:tc>
        <w:tc>
          <w:tcPr>
            <w:tcW w:type="dxa" w:w="1440"/>
            <w:shd w:fill="C6EFCE" w:val="clear"/>
          </w:tcPr>
          <w:p>
            <w:r>
              <w:rPr>
                <w:sz w:val="17"/>
              </w:rPr>
              <w:t>8,679</w:t>
            </w:r>
          </w:p>
        </w:tc>
        <w:tc>
          <w:tcPr>
            <w:tcW w:type="dxa" w:w="1440"/>
            <w:shd w:fill="C6EFCE" w:val="clear"/>
          </w:tcPr>
          <w:p>
            <w:r>
              <w:rPr>
                <w:b/>
                <w:color w:val="008000"/>
                <w:sz w:val="17"/>
              </w:rPr>
              <w:t>+3.6%</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6,384</w:t>
            </w:r>
          </w:p>
        </w:tc>
        <w:tc>
          <w:tcPr>
            <w:tcW w:type="dxa" w:w="1440"/>
            <w:shd w:fill="C6EFCE" w:val="clear"/>
          </w:tcPr>
          <w:p>
            <w:r>
              <w:rPr>
                <w:b/>
                <w:sz w:val="17"/>
              </w:rPr>
              <w:t>7,567</w:t>
            </w:r>
          </w:p>
        </w:tc>
        <w:tc>
          <w:tcPr>
            <w:tcW w:type="dxa" w:w="1440"/>
            <w:shd w:fill="C6EFCE" w:val="clear"/>
          </w:tcPr>
          <w:p>
            <w:r>
              <w:rPr>
                <w:sz w:val="17"/>
              </w:rPr>
              <w:t>8,750</w:t>
            </w:r>
          </w:p>
        </w:tc>
        <w:tc>
          <w:tcPr>
            <w:tcW w:type="dxa" w:w="1440"/>
            <w:shd w:fill="C6EFCE" w:val="clear"/>
          </w:tcPr>
          <w:p>
            <w:r>
              <w:rPr>
                <w:b/>
                <w:color w:val="008000"/>
                <w:sz w:val="17"/>
              </w:rPr>
              <w:t>+3.7%</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6,323</w:t>
            </w:r>
          </w:p>
        </w:tc>
        <w:tc>
          <w:tcPr>
            <w:tcW w:type="dxa" w:w="1440"/>
            <w:shd w:fill="C6EFCE" w:val="clear"/>
          </w:tcPr>
          <w:p>
            <w:r>
              <w:rPr>
                <w:b/>
                <w:sz w:val="17"/>
              </w:rPr>
              <w:t>7,570</w:t>
            </w:r>
          </w:p>
        </w:tc>
        <w:tc>
          <w:tcPr>
            <w:tcW w:type="dxa" w:w="1440"/>
            <w:shd w:fill="C6EFCE" w:val="clear"/>
          </w:tcPr>
          <w:p>
            <w:r>
              <w:rPr>
                <w:sz w:val="17"/>
              </w:rPr>
              <w:t>8,818</w:t>
            </w:r>
          </w:p>
        </w:tc>
        <w:tc>
          <w:tcPr>
            <w:tcW w:type="dxa" w:w="1440"/>
            <w:shd w:fill="C6EFCE" w:val="clear"/>
          </w:tcPr>
          <w:p>
            <w:r>
              <w:rPr>
                <w:b/>
                <w:color w:val="008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(SOGB CI)**</w:t>
        <w:br/>
        <w:t>**Bourse Régionale des Valeurs Mobilières (BRVM) — Secteur : Agro-industrie (Hévéa &amp; Palmier à huile)**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157,69 milliards FCFA, SOGC s'impose comme une valeur de premier plan de la cote BRVM, représentant un pilier du compartiment agro-industriel régional. Le BPA de 578 FCFA/action signifie que chaque titre génère près de 578 FCFA de bénéfice net, un niveau de rentabilité par action solide pour le marché ouest-africain. Le PER de 12,6x se situe légèrement au-dessus de la moyenne BRVM (8-12x), traduisant une valorisation modérée mais non excessive, cohérente avec la qualité des fondamentaux. Le P/B de 2,30x indique que le marché valorise la société à plus du double de sa valeur comptable, accordant une prime de croissance justifiée par la rentabilité élevée des fonds propres (ROE de 18,26%). Enfin, l'EV/EBITDA de 6,5x, dans la fourchette raisonnable de 5-10x, suggère que la valeur totale de l'entreprise (dette incluse) reste proportionnée à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affiche une variation totale de -4,89%, avec une chute marquée de -6,41% lors de la dernière séance (J-1), portant le cours à 7 300 FCFA. Le range de trading s'est établi entre un plus haut de 8 875 FCFA et un plus bas de 7 100 FCFA, soit une amplitude de 25%, reflétant une tendance globalement baissière sur la période, avec une accélération de la pression vendeuse en fin de cycle. Les statistiques descriptives révèlent une moyenne de 8 041 FCFA supérieure à la médiane de 8 145 FCFA — un écart qui, combiné à un skewness négatif de -0,562, indique une asymétrie vers la gauche : le cours a passé plus de journées au-dessus de la moyenne, mais les baisses récentes ont été plus violentes, tirant la moyenne vers le bas. L'écart-type de 405 FCFA (CV de 5,0%) traduit une dispersion modérée du cours autour de sa tendance, tandis que le kurtosis de -0,589 (mésokurtique) suggère une distribution proche de la normale, sans risque extrême de pics erratiques. La volatilité annualisée de 41,9% classe le titre dans la catégorie des valeurs à volatilité élevée (&gt;30%), ce qui implique un risque de marché significatif mais aussi des opportunités de trading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(8 103,5 FCFA) et la MM50 (8 094,2 FCFA) sont quasi confondues et nettement supérieures au cours actuel de 7 300 FCFA, ce qui place le titre en position de nette sous-performance par rapport à ses tendances court et moyen terme. Malgré cette configuration baissière, la décision technique affichée est "Achat", probablement en anticipation d'un rebond technique après la chute de -6,41% de la dernière séance.</w:t>
      </w:r>
    </w:p>
    <w:p>
      <w:pPr>
        <w:spacing w:after="120" w:line="276" w:lineRule="auto"/>
      </w:pPr>
      <w:r>
        <w:t>**Bandes de Bollinger** : Le cours (7 300 FCFA) se situe en dessous de la borne inférieure (7 388,3 FCFA), signalant une situation de survente extrême et une volatilité accrue. Cette position hors bande est statistiquement rare et préfigure souvent un rebond à court terme, justifiant la décision "Achat" affichée.</w:t>
      </w:r>
    </w:p>
    <w:p>
      <w:pPr>
        <w:spacing w:after="120" w:line="276" w:lineRule="auto"/>
      </w:pPr>
      <w:r>
        <w:t>**MACD** : La valeur du MACD (-123,265) est nettement inférieure à son signal (-49,536), confirmant un momentum baissier prononcé et une divergence négative. La décision "Vente" reflète cette dynamique défavorable, bien que l'ampleur de l'écart puisse indiquer une exhaustion prochaine de la tendance baissière.</w:t>
      </w:r>
    </w:p>
    <w:p>
      <w:pPr>
        <w:spacing w:after="120" w:line="276" w:lineRule="auto"/>
      </w:pPr>
      <w:r>
        <w:t>**RSI** : À 18,935, le RSI est en zone de survente sévère (seuil &lt;30), un niveau rarement atteint qui historiquement précède souvent un rebond technique. La décision "Achat" est cohérente avec cette lecture contrarienne.</w:t>
      </w:r>
    </w:p>
    <w:p>
      <w:pPr>
        <w:spacing w:after="120" w:line="276" w:lineRule="auto"/>
      </w:pPr>
      <w:r>
        <w:t>**Stochastique** : Le %K à 0,0 et le %D à 8,369 indiquent une survente extrême, avec un %K au plancher absolu. Cette configuration suggère que la pression vendeuse est à son paroxysme et qu'un retournement pourrait se produire à court terme, soutenant la décision "Achat".</w:t>
      </w:r>
    </w:p>
    <w:p>
      <w:pPr>
        <w:spacing w:after="120" w:line="276" w:lineRule="auto"/>
      </w:pPr>
      <w:r>
        <w:t>**Conclusion technique** : Les indicateurs présentent une divergence notable : le MACD confirme la tendance baissière, tandis que le RSI, le stochastique et les Bandes de Bollinger signalent une survente extrême propice à un rebond technique. La convergence des signaux de survente (RSI &lt;20, %K=0, cours sous la borne inférieure de Bollinger) plaide pour un rebond à court terme, mais la prudence reste de mise tant que le MACD n'amorce pas de retournement.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a réalisé un chiffre d'affaires de 98,979 milliards FCFA, en croissance de 10,70% par rapport à 2024, porté par la hausse des prix de l'huile de palme (+20%) et de palmiste (+47%) ainsi que par la croissance des volumes de caoutchouc (+9%). Le résultat net s'établit à 12,493 milliards FCFA, en légère baisse de 5% par rapport aux 13,11 milliards de 2024, sous l'effet d'une hausse de 15% des coûts de matières premières (coagulum). La rentabilité reste excellente avec un ROE de 18,26% (&gt;15% = excellent) et un ROA de 13,84%, tandis que la marge nette de 12,62% et la marge opérationnelle de 17,24% témoignent d'une bonne maîtrise des charges. La structure financière est très saine : l'autonomie financière de 75,79% (capitaux propres/total bilan) et un ratio d'endettement de seulement 24,21% confirment la solidité du bilan. Le BFR de 7,124 milliards FCFA (positif) et la trésorerie nette de 4,575 milliards FCFA (en amélioration de 3,1 milliards) renforcent cette solidité. Les délais clients (29,60 jours) et fournisseurs (31,72 jours) sont équilibrés, mais la durée de stockage élevée (97,67 jours) immobilise du capital. La capacité de remboursement est excellente (0,04 an) et la couverture des intérêts atteint 25 563%, éliminant tout risque financier à court terme.</w:t>
      </w:r>
    </w:p>
    <w:p>
      <w:pPr>
        <w:spacing w:after="120" w:line="276" w:lineRule="auto"/>
      </w:pPr>
      <w:r>
        <w:t>**Estimations basées sur les rapports trimestriels** : Le rapport du T3 2025 (cumul 9M, daté du 30/09/2025) indique un CA de 75,6 milliards FCFA (+21,3%) et un résultat net de 11,5 milliards FCFA (+39,5%), avec une marge nette de 15,3%. Le rapport du S1 2025 (daté du 30/06/2025) faisait état d'un CA de 55,4 milliards FCFA (+51,9%) et d'un résultat net de 10,2 milliards FCFA (+151,6%). Le T1 2025 (daté du 31/03/2025) affichait un CA de 31,2 milliards FCFA (+63,1%) et un résultat net de 6,0 milliards FCFA (+262,9%). La tendance montre un ralentissement progressif de la croissance au fil de l'année 2025, conformément aux alertes de la direction sur la concurrence accrue pour l'achat de coagulum et la baisse des cours SICOM. Sur cette base, on estime que l'exercice 2025 devrait se conclure avec un résultat net autour de 12,5 milliards FCFA (confirmé par les données structurées), et que 2026 pourrait être une année de consolidation avec une stabilisation des marges, voire une légère pression à la baisse si les cours du caoutchouc restent déprimés.</w:t>
      </w:r>
    </w:p>
    <w:p>
      <w:pPr>
        <w:spacing w:after="120" w:line="276" w:lineRule="auto"/>
      </w:pPr>
      <w:r>
        <w:t>**Recommandation fondamentale** : SOGC présente des fondamentaux solides (ROE &gt;18%, autonomie financière &gt;75%, trésorerie nette positive) mais fait face à des vents contraires (baisse des prix SICOM, concurrence sur le coagulum). Le dividende proposé de 570 FCFA/action (rendement de 7,8% au cours actuel de 7 300 FCFA) constitue un argument attractif pour les investisseurs de rendement. La principale faiblesse réside dans la dépendance aux prix des matières premières, qui rend les résultats volatils d'une année sur l'autre.</w:t>
      </w:r>
    </w:p>
    <w:p>
      <w:pPr>
        <w:spacing w:after="120" w:line="276" w:lineRule="auto"/>
      </w:pPr>
      <w:r>
        <w:t>---</w:t>
      </w:r>
    </w:p>
    <w:p>
      <w:pPr>
        <w:spacing w:after="120" w:line="276" w:lineRule="auto"/>
      </w:pPr>
      <w:r>
        <w:t>### **PARTIE 4 : CONCLUSION D'INVESTISSEMENT**</w:t>
      </w:r>
    </w:p>
    <w:p>
      <w:pPr>
        <w:spacing w:after="120" w:line="276" w:lineRule="auto"/>
      </w:pPr>
      <w:r>
        <w:t>La valorisation de SOGC (PER 12,6x, P/B 2,30x, EV/EBITDA 6,5x) apparaît modérée à légèrement supérieure à la moyenne du marché, sans excès manifeste, et le rendement du dividende de 7,8% renforce l'attrait du titre. Le comportement du cours sur 100 jours est baissier (-4,89%), avec une volatilité élevée (41,9%) et une asymétrie négative (skewness -0,562) qui traduit une pression vendeuse récente, mais le kurtosis mésokurtique (-0,589) indique l'absence de risque de pics extrêmes. Les signaux techniques sont divergents : le MACD confirme la tendance baissière, mais le RSI (18,9), le stochastique (%K=0) et les Bandes de Bollinger (cours sous la borne inférieure) convergent vers une survente extrême propice à un rebond à court terme. Les fondamentaux restent solides (ROE 18,26%, autonomie financière 75,79%, trésorerie nette positive), mais la baisse de 5% du résultat net en 2025 et le ralentissement de la croissance au fil des trimestres appellent à la prudence. Les prédictions IA (J+1 à J+10) tablent sur une légère reprise vers 7 538-7 554 FCFA, ce qui confirme l'anticipation d'un rebond technique sans pour autant inverser la tendance de fond. **Recommandation finale : CONSERVER**, avec un biais positif à court terme pour les investisseurs cherchant à profiter du rebond technique et du rendement du dividende. Le niveau de confiance est **Moyen** (divergence entre technique et fondamental), et le risque global est **Moyen** (volatilité élevée mais bilan solide). L'horizon d'investissement optimal est le **moyen terme (3-12 mois)**, le temps que les cours du caoutchouc se stabilisent et que la société démontre sa capacité à maintenir ses marges dans un environnement concurrentiel plus difficile.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191.69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4,717 titres</w:t>
            </w:r>
          </w:p>
        </w:tc>
        <w:tc>
          <w:tcPr>
            <w:tcW w:type="dxa" w:w="2268"/>
            <w:shd w:fill="FFF2CC" w:val="clear"/>
          </w:tcPr>
          <w:p>
            <w:r>
              <w:rPr>
                <w:b/>
                <w:color w:val="503200"/>
                <w:sz w:val="16"/>
              </w:rPr>
              <w:t xml:space="preserve">Cours actuel : </w:t>
            </w:r>
            <w:r>
              <w:rPr>
                <w:color w:val="000000"/>
                <w:sz w:val="17"/>
              </w:rPr>
              <w:t>7,500 FCFA</w:t>
            </w:r>
          </w:p>
          <w:p>
            <w:r>
              <w:rPr>
                <w:b/>
                <w:color w:val="503200"/>
                <w:sz w:val="16"/>
              </w:rPr>
              <w:t xml:space="preserve">Var. 100 jours : </w:t>
            </w:r>
            <w:r>
              <w:rPr>
                <w:b/>
                <w:color w:val="007800"/>
                <w:sz w:val="17"/>
              </w:rPr>
              <w:t>+2.04%</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10.20% (Moyenne) — μ=7,806 FCFA, σ=796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β=0.8553 (Neutre (suit le marché)) — Cov=0.000035, Var(idx)=0.000041, ρ=0.190,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4,717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σ_j=2.85%/j (Stable) — Vol. annualisée≈45.3%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2026-09-24</w:t>
            </w:r>
          </w:p>
        </w:tc>
        <w:tc>
          <w:tcPr>
            <w:tcW w:type="dxa" w:w="1440"/>
            <w:shd w:fill="FAFAFA" w:val="clear"/>
          </w:tcPr>
          <w:p>
            <w:r>
              <w:rPr>
                <w:sz w:val="17"/>
              </w:rPr>
              <w:t>7,112</w:t>
            </w:r>
          </w:p>
        </w:tc>
        <w:tc>
          <w:tcPr>
            <w:tcW w:type="dxa" w:w="1440"/>
            <w:shd w:fill="FAFAFA" w:val="clear"/>
          </w:tcPr>
          <w:p>
            <w:r>
              <w:rPr>
                <w:b/>
                <w:sz w:val="17"/>
              </w:rPr>
              <w:t>7,615</w:t>
            </w:r>
          </w:p>
        </w:tc>
        <w:tc>
          <w:tcPr>
            <w:tcW w:type="dxa" w:w="1440"/>
            <w:shd w:fill="FAFAFA" w:val="clear"/>
          </w:tcPr>
          <w:p>
            <w:r>
              <w:rPr>
                <w:sz w:val="17"/>
              </w:rPr>
              <w:t>8,119</w:t>
            </w:r>
          </w:p>
        </w:tc>
        <w:tc>
          <w:tcPr>
            <w:tcW w:type="dxa" w:w="1440"/>
            <w:shd w:fill="FAFAFA" w:val="clear"/>
          </w:tcPr>
          <w:p>
            <w:r>
              <w:rPr>
                <w:b/>
                <w:color w:val="008000"/>
                <w:sz w:val="17"/>
              </w:rPr>
              <w:t>+1.5%</w:t>
            </w:r>
          </w:p>
        </w:tc>
      </w:tr>
      <w:tr>
        <w:tc>
          <w:tcPr>
            <w:tcW w:type="dxa" w:w="1440"/>
            <w:shd w:fill="FAFAFA" w:val="clear"/>
          </w:tcPr>
          <w:p>
            <w:r>
              <w:rPr>
                <w:sz w:val="17"/>
              </w:rPr>
              <w:t>J+2  Moyenne</w:t>
            </w:r>
          </w:p>
        </w:tc>
        <w:tc>
          <w:tcPr>
            <w:tcW w:type="dxa" w:w="1440"/>
            <w:shd w:fill="FAFAFA" w:val="clear"/>
          </w:tcPr>
          <w:p>
            <w:r>
              <w:rPr>
                <w:sz w:val="17"/>
              </w:rPr>
              <w:t>2026-09-25</w:t>
            </w:r>
          </w:p>
        </w:tc>
        <w:tc>
          <w:tcPr>
            <w:tcW w:type="dxa" w:w="1440"/>
            <w:shd w:fill="FAFAFA" w:val="clear"/>
          </w:tcPr>
          <w:p>
            <w:r>
              <w:rPr>
                <w:sz w:val="17"/>
              </w:rPr>
              <w:t>6,882</w:t>
            </w:r>
          </w:p>
        </w:tc>
        <w:tc>
          <w:tcPr>
            <w:tcW w:type="dxa" w:w="1440"/>
            <w:shd w:fill="FAFAFA" w:val="clear"/>
          </w:tcPr>
          <w:p>
            <w:r>
              <w:rPr>
                <w:b/>
                <w:sz w:val="17"/>
              </w:rPr>
              <w:t>7,592</w:t>
            </w:r>
          </w:p>
        </w:tc>
        <w:tc>
          <w:tcPr>
            <w:tcW w:type="dxa" w:w="1440"/>
            <w:shd w:fill="FAFAFA" w:val="clear"/>
          </w:tcPr>
          <w:p>
            <w:r>
              <w:rPr>
                <w:sz w:val="17"/>
              </w:rPr>
              <w:t>8,302</w:t>
            </w:r>
          </w:p>
        </w:tc>
        <w:tc>
          <w:tcPr>
            <w:tcW w:type="dxa" w:w="1440"/>
            <w:shd w:fill="FAFAFA" w:val="clear"/>
          </w:tcPr>
          <w:p>
            <w:r>
              <w:rPr>
                <w:b/>
                <w:color w:val="008000"/>
                <w:sz w:val="17"/>
              </w:rPr>
              <w:t>+1.2%</w:t>
            </w:r>
          </w:p>
        </w:tc>
      </w:tr>
      <w:tr>
        <w:tc>
          <w:tcPr>
            <w:tcW w:type="dxa" w:w="1440"/>
            <w:shd w:fill="FAFAFA" w:val="clear"/>
          </w:tcPr>
          <w:p>
            <w:r>
              <w:rPr>
                <w:sz w:val="17"/>
              </w:rPr>
              <w:t>J+3  Moyenne</w:t>
            </w:r>
          </w:p>
        </w:tc>
        <w:tc>
          <w:tcPr>
            <w:tcW w:type="dxa" w:w="1440"/>
            <w:shd w:fill="FAFAFA" w:val="clear"/>
          </w:tcPr>
          <w:p>
            <w:r>
              <w:rPr>
                <w:sz w:val="17"/>
              </w:rPr>
              <w:t>2026-09-28</w:t>
            </w:r>
          </w:p>
        </w:tc>
        <w:tc>
          <w:tcPr>
            <w:tcW w:type="dxa" w:w="1440"/>
            <w:shd w:fill="FAFAFA" w:val="clear"/>
          </w:tcPr>
          <w:p>
            <w:r>
              <w:rPr>
                <w:sz w:val="17"/>
              </w:rPr>
              <w:t>6,712</w:t>
            </w:r>
          </w:p>
        </w:tc>
        <w:tc>
          <w:tcPr>
            <w:tcW w:type="dxa" w:w="1440"/>
            <w:shd w:fill="FAFAFA" w:val="clear"/>
          </w:tcPr>
          <w:p>
            <w:r>
              <w:rPr>
                <w:b/>
                <w:sz w:val="17"/>
              </w:rPr>
              <w:t>7,580</w:t>
            </w:r>
          </w:p>
        </w:tc>
        <w:tc>
          <w:tcPr>
            <w:tcW w:type="dxa" w:w="1440"/>
            <w:shd w:fill="FAFAFA" w:val="clear"/>
          </w:tcPr>
          <w:p>
            <w:r>
              <w:rPr>
                <w:sz w:val="17"/>
              </w:rPr>
              <w:t>8,448</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2026-09-29</w:t>
            </w:r>
          </w:p>
        </w:tc>
        <w:tc>
          <w:tcPr>
            <w:tcW w:type="dxa" w:w="1440"/>
            <w:shd w:fill="FAFAFA" w:val="clear"/>
          </w:tcPr>
          <w:p>
            <w:r>
              <w:rPr>
                <w:sz w:val="17"/>
              </w:rPr>
              <w:t>6,566</w:t>
            </w:r>
          </w:p>
        </w:tc>
        <w:tc>
          <w:tcPr>
            <w:tcW w:type="dxa" w:w="1440"/>
            <w:shd w:fill="FAFAFA" w:val="clear"/>
          </w:tcPr>
          <w:p>
            <w:r>
              <w:rPr>
                <w:b/>
                <w:sz w:val="17"/>
              </w:rPr>
              <w:t>7,567</w:t>
            </w:r>
          </w:p>
        </w:tc>
        <w:tc>
          <w:tcPr>
            <w:tcW w:type="dxa" w:w="1440"/>
            <w:shd w:fill="FAFAFA" w:val="clear"/>
          </w:tcPr>
          <w:p>
            <w:r>
              <w:rPr>
                <w:sz w:val="17"/>
              </w:rPr>
              <w:t>8,568</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2026-09-30</w:t>
            </w:r>
          </w:p>
        </w:tc>
        <w:tc>
          <w:tcPr>
            <w:tcW w:type="dxa" w:w="1440"/>
            <w:shd w:fill="FAFAFA" w:val="clear"/>
          </w:tcPr>
          <w:p>
            <w:r>
              <w:rPr>
                <w:sz w:val="17"/>
              </w:rPr>
              <w:t>6,437</w:t>
            </w:r>
          </w:p>
        </w:tc>
        <w:tc>
          <w:tcPr>
            <w:tcW w:type="dxa" w:w="1440"/>
            <w:shd w:fill="FAFAFA" w:val="clear"/>
          </w:tcPr>
          <w:p>
            <w:r>
              <w:rPr>
                <w:b/>
                <w:sz w:val="17"/>
              </w:rPr>
              <w:t>7,554</w:t>
            </w:r>
          </w:p>
        </w:tc>
        <w:tc>
          <w:tcPr>
            <w:tcW w:type="dxa" w:w="1440"/>
            <w:shd w:fill="FAFAFA" w:val="clear"/>
          </w:tcPr>
          <w:p>
            <w:r>
              <w:rPr>
                <w:sz w:val="17"/>
              </w:rPr>
              <w:t>8,671</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2026-10-01</w:t>
            </w:r>
          </w:p>
        </w:tc>
        <w:tc>
          <w:tcPr>
            <w:tcW w:type="dxa" w:w="1440"/>
            <w:shd w:fill="FAFAFA" w:val="clear"/>
          </w:tcPr>
          <w:p>
            <w:r>
              <w:rPr>
                <w:sz w:val="17"/>
              </w:rPr>
              <w:t>6,320</w:t>
            </w:r>
          </w:p>
        </w:tc>
        <w:tc>
          <w:tcPr>
            <w:tcW w:type="dxa" w:w="1440"/>
            <w:shd w:fill="FAFAFA" w:val="clear"/>
          </w:tcPr>
          <w:p>
            <w:r>
              <w:rPr>
                <w:b/>
                <w:sz w:val="17"/>
              </w:rPr>
              <w:t>7,541</w:t>
            </w:r>
          </w:p>
        </w:tc>
        <w:tc>
          <w:tcPr>
            <w:tcW w:type="dxa" w:w="1440"/>
            <w:shd w:fill="FAFAFA" w:val="clear"/>
          </w:tcPr>
          <w:p>
            <w:r>
              <w:rPr>
                <w:sz w:val="17"/>
              </w:rPr>
              <w:t>8,763</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2026-10-02</w:t>
            </w:r>
          </w:p>
        </w:tc>
        <w:tc>
          <w:tcPr>
            <w:tcW w:type="dxa" w:w="1440"/>
            <w:shd w:fill="FAFAFA" w:val="clear"/>
          </w:tcPr>
          <w:p>
            <w:r>
              <w:rPr>
                <w:sz w:val="17"/>
              </w:rPr>
              <w:t>6,212</w:t>
            </w:r>
          </w:p>
        </w:tc>
        <w:tc>
          <w:tcPr>
            <w:tcW w:type="dxa" w:w="1440"/>
            <w:shd w:fill="FAFAFA" w:val="clear"/>
          </w:tcPr>
          <w:p>
            <w:r>
              <w:rPr>
                <w:b/>
                <w:sz w:val="17"/>
              </w:rPr>
              <w:t>7,530</w:t>
            </w:r>
          </w:p>
        </w:tc>
        <w:tc>
          <w:tcPr>
            <w:tcW w:type="dxa" w:w="1440"/>
            <w:shd w:fill="FAFAFA" w:val="clear"/>
          </w:tcPr>
          <w:p>
            <w:r>
              <w:rPr>
                <w:sz w:val="17"/>
              </w:rPr>
              <w:t>8,847</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2026-10-05</w:t>
            </w:r>
          </w:p>
        </w:tc>
        <w:tc>
          <w:tcPr>
            <w:tcW w:type="dxa" w:w="1440"/>
            <w:shd w:fill="FAFAFA" w:val="clear"/>
          </w:tcPr>
          <w:p>
            <w:r>
              <w:rPr>
                <w:sz w:val="17"/>
              </w:rPr>
              <w:t>6,112</w:t>
            </w:r>
          </w:p>
        </w:tc>
        <w:tc>
          <w:tcPr>
            <w:tcW w:type="dxa" w:w="1440"/>
            <w:shd w:fill="FAFAFA" w:val="clear"/>
          </w:tcPr>
          <w:p>
            <w:r>
              <w:rPr>
                <w:b/>
                <w:sz w:val="17"/>
              </w:rPr>
              <w:t>7,518</w:t>
            </w:r>
          </w:p>
        </w:tc>
        <w:tc>
          <w:tcPr>
            <w:tcW w:type="dxa" w:w="1440"/>
            <w:shd w:fill="FAFAFA" w:val="clear"/>
          </w:tcPr>
          <w:p>
            <w:r>
              <w:rPr>
                <w:sz w:val="17"/>
              </w:rPr>
              <w:t>8,924</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2026-10-06</w:t>
            </w:r>
          </w:p>
        </w:tc>
        <w:tc>
          <w:tcPr>
            <w:tcW w:type="dxa" w:w="1440"/>
            <w:shd w:fill="FAFAFA" w:val="clear"/>
          </w:tcPr>
          <w:p>
            <w:r>
              <w:rPr>
                <w:sz w:val="17"/>
              </w:rPr>
              <w:t>6,018</w:t>
            </w:r>
          </w:p>
        </w:tc>
        <w:tc>
          <w:tcPr>
            <w:tcW w:type="dxa" w:w="1440"/>
            <w:shd w:fill="FAFAFA" w:val="clear"/>
          </w:tcPr>
          <w:p>
            <w:r>
              <w:rPr>
                <w:b/>
                <w:sz w:val="17"/>
              </w:rPr>
              <w:t>7,507</w:t>
            </w:r>
          </w:p>
        </w:tc>
        <w:tc>
          <w:tcPr>
            <w:tcW w:type="dxa" w:w="1440"/>
            <w:shd w:fill="FAFAFA" w:val="clear"/>
          </w:tcPr>
          <w:p>
            <w:r>
              <w:rPr>
                <w:sz w:val="17"/>
              </w:rPr>
              <w:t>8,996</w:t>
            </w:r>
          </w:p>
        </w:tc>
        <w:tc>
          <w:tcPr>
            <w:tcW w:type="dxa" w:w="1440"/>
            <w:shd w:fill="FAFAFA" w:val="clear"/>
          </w:tcPr>
          <w:p>
            <w:r>
              <w:rPr>
                <w:b/>
                <w:color w:val="008000"/>
                <w:sz w:val="17"/>
              </w:rPr>
              <w:t>+0.1%</w:t>
            </w:r>
          </w:p>
        </w:tc>
      </w:tr>
      <w:tr>
        <w:tc>
          <w:tcPr>
            <w:tcW w:type="dxa" w:w="1440"/>
            <w:shd w:fill="FAFAFA" w:val="clear"/>
          </w:tcPr>
          <w:p>
            <w:r>
              <w:rPr>
                <w:sz w:val="17"/>
              </w:rPr>
              <w:t>J+10  ⭐</w:t>
            </w:r>
          </w:p>
        </w:tc>
        <w:tc>
          <w:tcPr>
            <w:tcW w:type="dxa" w:w="1440"/>
            <w:shd w:fill="FAFAFA" w:val="clear"/>
          </w:tcPr>
          <w:p>
            <w:r>
              <w:rPr>
                <w:sz w:val="17"/>
              </w:rPr>
              <w:t>2026-10-07</w:t>
            </w:r>
          </w:p>
        </w:tc>
        <w:tc>
          <w:tcPr>
            <w:tcW w:type="dxa" w:w="1440"/>
            <w:shd w:fill="FAFAFA" w:val="clear"/>
          </w:tcPr>
          <w:p>
            <w:r>
              <w:rPr>
                <w:sz w:val="17"/>
              </w:rPr>
              <w:t>5,929</w:t>
            </w:r>
          </w:p>
        </w:tc>
        <w:tc>
          <w:tcPr>
            <w:tcW w:type="dxa" w:w="1440"/>
            <w:shd w:fill="FAFAFA" w:val="clear"/>
          </w:tcPr>
          <w:p>
            <w:r>
              <w:rPr>
                <w:b/>
                <w:sz w:val="17"/>
              </w:rPr>
              <w:t>7,497</w:t>
            </w:r>
          </w:p>
        </w:tc>
        <w:tc>
          <w:tcPr>
            <w:tcW w:type="dxa" w:w="1440"/>
            <w:shd w:fill="FAFAFA" w:val="clear"/>
          </w:tcPr>
          <w:p>
            <w:r>
              <w:rPr>
                <w:sz w:val="17"/>
              </w:rPr>
              <w:t>9,064</w:t>
            </w:r>
          </w:p>
        </w:tc>
        <w:tc>
          <w:tcPr>
            <w:tcW w:type="dxa" w:w="1440"/>
            <w:shd w:fill="FAFAFA" w:val="clear"/>
          </w:tcPr>
          <w:p>
            <w:r>
              <w:rPr>
                <w:b/>
                <w:color w:val="C00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 Agro-industrie / Hévéa**</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191,69 milliards FCFA, SPHC s'impose comme l'une des valeurs industrielles de référence de la cote BRVM, offrant une liquidité relative et une visibilité institutionnelle appréciable. Le BPA de 977 FCFA/action signifie que chaque titre génère près d'un millier de francs de bénéfice net, ce qui, rapporté au cours actuel de 7 500 FCFA, donne un PER de 7,7x — nettement inférieur à la moyenne du marché BRVM (8-12x), signalant une potentielle sous-évaluation aux yeux des investisseurs value. Le P/B de 1,39x indique que le marché valorise SPHC à peine au-dessus de sa valeur comptable (capitaux propres de 137,94 Mds FCFA), une décote raisonnable qui n'intègre pas de prime spéculative excessive. Enfin, l'EV/EBITDA de 4,9x, inférieur au seuil de 5x, traduit une valorisation d'entreprise très attractive au regard de sa capacité opérationnelle (EBE de 49,67 Mds FCFA en 2025), suggérant que le marché sous-pondère la génération de cash-flow opérationnel de la société.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variation totale quasi stable de +2,04 %, mais la dernière séance (J-1) enregistre un repli marqué de -2,60 %, signe d'une pression vendeuse de court terme. Le titre a évolué dans un range large de 6 720 FCFA (plus bas) à 10 300 FCFA (plus haut), soit un écart de plus de 53 %, révélant une forte amplitude de trading typique des valeurs agro-industrielles exposées aux cours mondiaux du caoutchouc. La tendance générale est baissière depuis le pic des 10 300 FCFA, le cours actuel (7 500 FCFA) se situant sous la moyenne (7 806 FCFA) et la médiane (7 600 FCFA) — cet écart entre moyenne et médiane, bien que modeste, confirme une distribution légèrement asymétrique avec des extrêmes hauts qui tirent la moyenne vers le haut. L'écart-type de 800 FCFA (CV = 10,3 %) indique une dispersion modérée du cours autour de sa moyenne, mais le kurtosis de 1,432 (leptokurtique) signale des queues épaisses, donc un risque accru de pics de volatilité brutaux. Le skewness positif de 1,376 confirme cette asymétrie : davantage de journées se sont négociées sous la moyenne, avec quelques journées exceptionnellement haussières. Enfin, la volatilité annualisée de 45,3 % classe SPHC dans la catégorie des titres à volatilité élevée (&gt;30 %), ce qui implique un risque de marché significatif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(8 692,75 FCFA) et la MM50 (8 241,10 FCFA) se situent toutes deux au-dessus du cours actuel (7 500 FCFA), ce qui place le titre en position baissière sous ses moyennes court et moyen terme. Cependant, la décision technique affichée est « Achat », probablement liée à l'anticipation d'un retournement après la survente extrême. La configuration MM20 &gt; MM50 reste haussière de structure, mais le cours doit reconquérir ces niveaux pour confirmer un rebond durable.</w:t>
      </w:r>
    </w:p>
    <w:p>
      <w:pPr>
        <w:spacing w:after="120" w:line="276" w:lineRule="auto"/>
      </w:pPr>
      <w:r>
        <w:t>**Bandes de Bollinger** : Le cours (7 500 FCFA) évolue dans la partie basse de la bande, entre la borne inférieure (6 849,27 FCFA) et la borne supérieure (10 536,24 FCFA), sans toucher la borne basse. La décision « Neutre » reflète une absence de signal directionnel fort : le titre n'est ni en survente extrême (qui déclencherait un achat technique), ni en surachat. La largeur des bandes traduit une volatilité encore élevée.</w:t>
      </w:r>
    </w:p>
    <w:p>
      <w:pPr>
        <w:spacing w:after="120" w:line="276" w:lineRule="auto"/>
      </w:pPr>
      <w:r>
        <w:t>**MACD** : La valeur du MACD (-253,556) est nettement inférieure à son signal (-75,365), avec un histogramme négatif, confirmant un momentum baissier toujours actif. La décision « Vente » est cohérente avec cette divergence négative : tant que le MACD ne croise pas son signal à la hausse, la pression baissière persiste, même si l'écart se réduit légèrement.</w:t>
      </w:r>
    </w:p>
    <w:p>
      <w:pPr>
        <w:spacing w:after="120" w:line="276" w:lineRule="auto"/>
      </w:pPr>
      <w:r>
        <w:t>**RSI** : À 12,396, le RSI est en zone de survente extrême (seuil &lt;30), un niveau rarement atteint qui historiquement précède souvent un rebond technique. La décision « Achat » est justifiée par cette survente profonde, mais il convient de noter qu'un RSI aussi bas peut aussi signaler une faiblesse structurelle si les fondamentaux se dégradent.</w:t>
      </w:r>
    </w:p>
    <w:p>
      <w:pPr>
        <w:spacing w:after="120" w:line="276" w:lineRule="auto"/>
      </w:pPr>
      <w:r>
        <w:t>**Stochastique** : Le %K et le %D sont tous deux à 0,0, indiquant que le cours clôture au plus bas de sa fourchette récente — configuration de survente maximale. La décision « Achat » repose sur l'anticipation d'un retournement, mais l'absence de croisement haussier entre %K et %D rend le signal encore fragile.</w:t>
      </w:r>
    </w:p>
    <w:p>
      <w:pPr>
        <w:spacing w:after="120" w:line="276" w:lineRule="auto"/>
      </w:pPr>
      <w:r>
        <w:t>**Conclusion technique** : Les indicateurs présentent une divergence notable : le RSI et le Stochastique en survente extrême plaident pour un rebond technique à court terme, tandis que le MACD et la position sous les moyennes mobiles confirment une tendance baissière toujours en place. La décision globale est donc mitigée : un rebond technique est possible, mais il ne sera validé que par un croisement haussier du MACD et une reconquête de la MM20 (8 692 FCFA). En l'état, le titre reste sous pression, et la prudence est de mise.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SPHC a réalisé un chiffre d'affaires de 340,83 milliards FCFA, en croissance de 21,97 % par rapport à 2024 (279,44 Mds FCFA), portée par une hausse des volumes vendus (+16,8 %) et des prix moyens (+17,6 %). Le résultat net s'établit à 24,97 milliards FCFA, en progression de 32,9 % sur un an, avec une marge nette de 7,33 % (contre 6,7 % en 2024). Le ROE atteint 18,10 % (&gt;15 %, seuil d'excellence) et le ROA 11,06 %, confirmant une rentabilité solide des fonds propres et des actifs. La structure financière est saine : autonomie financière de 61,08 %, ratio d'endettement de 25,81 %, et couverture des intérêts de 1 094,57 % (résultat d'exploitation / charges financières), ce qui témoigne d'une capacité de remboursement très confortable. Le BFR est de 65,39 Mds FCFA (positif, donc à surveiller), avec un délai client de 35 jours et une durée de stockage de 72,33 jours — ce dernier point constitue un risque de trésorerie, car il immobilise du capital dans les stocks. La trésorerie nette est négative (-15,41 Mds FCFA), un point de vigilance structurel pour le secteur, mais compensé par des flux opérationnels positifs (37,61 Mds FCFA) et un free cash-flow de 14,19 Mds FCFA.</w:t>
      </w:r>
    </w:p>
    <w:p>
      <w:pPr>
        <w:spacing w:after="120" w:line="276" w:lineRule="auto"/>
      </w:pPr>
      <w:r>
        <w:t>**Estimations basées sur les rapports trimestriels** : Le rapport T1 2026 (publié en 2026) révèle un net ralentissement : CA de 71,8 Mds FCFA (-24 %), résultat net de 2,6 Mds FCFA (-78 %), et marge nette réduite à 4 %. Cette dégradation est attribuée à la chute des cours mondiaux du caoutchouc (SICOM 20 à 1,91 USD/kg), à l'engorgement du port de San Pedro et à une concurrence accrue pour l'approvisionnement en matière première. Sur la base de ce T1 2026, on peut estimer que l'exercice 2026 devrait afficher un recul significatif du CA et du résultat net par rapport à 2025, sauf redressement des cours au second semestre. Le rapport T3 2025 (cumul 9 mois) indiquait déjà un ralentissement de la croissance (+36 % contre +51 % au S1), confirmant une normalisation du marché après une année 2025 exceptionnelle. La société conserve toutefois une structure financière solide et poursuit ses investissements stratégiques, avec un désendettement progressif (dettes financières LT/MT de 35,60 Mds FCFA, en hausse de 16,4 % mais maîtrisé).</w:t>
      </w:r>
    </w:p>
    <w:p>
      <w:pPr>
        <w:spacing w:after="120" w:line="276" w:lineRule="auto"/>
      </w:pPr>
      <w:r>
        <w:t>**Recommandation fondamentale** : SPHC présente des fondamentaux solides (ROE &gt;18 %, marges en amélioration en 2025, structure financière saine), mais les perspectives 2026 sont assombries par la chute des cours du caoutchouc et la pression concurrentielle. La politique de dividende est attractive (489 FCFA/action proposé en 2025, soit un rendement de 6,5 % au cours actuel), mais le taux de distribution de 50 % pourrait peser sur la trésorerie déjà négative. La recommandation fondamentale est donc **CONSERVER**, avec une surveillance active des cours du caoutchouc et de la capacité de la société à préserver ses marges en 2026.</w:t>
      </w:r>
    </w:p>
    <w:p>
      <w:pPr>
        <w:spacing w:after="120" w:line="276" w:lineRule="auto"/>
      </w:pPr>
      <w:r>
        <w:t>---</w:t>
      </w:r>
    </w:p>
    <w:p>
      <w:pPr>
        <w:spacing w:after="120" w:line="276" w:lineRule="auto"/>
      </w:pPr>
      <w:r>
        <w:t>## PARTIE 4 : CONCLUSION D'INVESTISSEMENT</w:t>
      </w:r>
    </w:p>
    <w:p>
      <w:pPr>
        <w:spacing w:after="120" w:line="276" w:lineRule="auto"/>
      </w:pPr>
      <w:r>
        <w:t>La valorisation de SPHC apparaît attractive (PER 7,7x &lt; moyenne BRVM, EV/EBITDA 4,9x &lt; 5x, P/B 1,39x), suggérant une sous-évaluation relative aux fondamentaux de 2025. Cependant, le comportement du cours est préoccupant : la tendance baissière depuis le pic de 10 300 FCFA, la volatilité élevée (45,3 % annualisée) et le kurtosis leptokurtique (1,432) signalent un risque de pics baissiers brutaux, tandis que le skewness positif (1,376) indique que les journées sous la moyenne dominent. Les signaux techniques sont divergents : le RSI (12,4) et le Stochastique (0,0) en survente extrême plaident pour un rebond technique, mais le MACD (-253,6) et la position sous les MM20/MM50 confirment une pression baissière persistante. Les fondamentaux de 2025 sont solides (CA +22 %, RN +33 %, ROE 18,1 %), mais les estimations issues du T1 2026 (CA -24 %, RN -78 %) révèlent un net ralentissement qui pourrait perdurer si les cours du caoutchouc ne se redressent pas. Les prédictions IA (J+1 à J+10) anticipent une légère baisse vers 7 554-7 615 FCFA, confirmant l'absence de catalyseur haussier immédiat. **Recommandation finale : CONSERVER**, avec un niveau de confiance **Moyen** et un risque global **Élevé**. La convergence entre valorisation attractive et fondamentaux 2025 solides est contrebalancée par la dégradation des perspectives 2026 et la faiblesse technique actuelle. L'horizon d'investissement optimal est **moyen terme (3-12 mois)**, en attendant une stabilisation des cours du caoutchouc et une confirmation du redressement des marges au T2 2026. Un passage à l'achat serait justifié si le titre reconquiert la MM20 (8 692 FCFA) avec un MACD croisant à la hausse, et si les cours du caoutchouc se stabilisent au-dessus de 1,90 USD/kg.</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28.22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6,038 titres</w:t>
            </w:r>
          </w:p>
        </w:tc>
        <w:tc>
          <w:tcPr>
            <w:tcW w:type="dxa" w:w="2268"/>
            <w:shd w:fill="FFF2CC" w:val="clear"/>
          </w:tcPr>
          <w:p>
            <w:r>
              <w:rPr>
                <w:b/>
                <w:color w:val="503200"/>
                <w:sz w:val="16"/>
              </w:rPr>
              <w:t xml:space="preserve">Cours actuel : </w:t>
            </w:r>
            <w:r>
              <w:rPr>
                <w:color w:val="000000"/>
                <w:sz w:val="17"/>
              </w:rPr>
              <w:t>2,100 FCFA</w:t>
            </w:r>
          </w:p>
          <w:p>
            <w:r>
              <w:rPr>
                <w:b/>
                <w:color w:val="503200"/>
                <w:sz w:val="16"/>
              </w:rPr>
              <w:t xml:space="preserve">Var. 100 jours : </w:t>
            </w:r>
            <w:r>
              <w:rPr>
                <w:b/>
                <w:color w:val="B40000"/>
                <w:sz w:val="17"/>
              </w:rPr>
              <w:t>-31.15%</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2,100 FCFA</w:t>
            </w:r>
          </w:p>
          <w:p>
            <w:r>
              <w:rPr>
                <w:b/>
                <w:color w:val="503200"/>
                <w:sz w:val="16"/>
              </w:rPr>
              <w:t xml:space="preserve">Volatilité ann. : </w:t>
            </w:r>
            <w:r>
              <w:rPr>
                <w:color w:val="000000"/>
                <w:sz w:val="17"/>
              </w:rPr>
              <w:t>57.4%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12.82% (Moyenne) — μ=2,908 FCFA, σ=373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β=-0.3449 (Contre-cyclique) — Cov=-0.000014, Var(idx)=0.000041, ρ=-0.060,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σ_j=3.61%/j (Modérée) — Vol. annualisée≈57.4%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2026-09-24</w:t>
            </w:r>
          </w:p>
        </w:tc>
        <w:tc>
          <w:tcPr>
            <w:tcW w:type="dxa" w:w="1440"/>
            <w:shd w:fill="FAFAFA" w:val="clear"/>
          </w:tcPr>
          <w:p>
            <w:r>
              <w:rPr>
                <w:sz w:val="17"/>
              </w:rPr>
              <w:t>1,999</w:t>
            </w:r>
          </w:p>
        </w:tc>
        <w:tc>
          <w:tcPr>
            <w:tcW w:type="dxa" w:w="1440"/>
            <w:shd w:fill="FAFAFA" w:val="clear"/>
          </w:tcPr>
          <w:p>
            <w:r>
              <w:rPr>
                <w:b/>
                <w:sz w:val="17"/>
              </w:rPr>
              <w:t>2,091</w:t>
            </w:r>
          </w:p>
        </w:tc>
        <w:tc>
          <w:tcPr>
            <w:tcW w:type="dxa" w:w="1440"/>
            <w:shd w:fill="FAFAFA" w:val="clear"/>
          </w:tcPr>
          <w:p>
            <w:r>
              <w:rPr>
                <w:sz w:val="17"/>
              </w:rPr>
              <w:t>2,182</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2026-09-25</w:t>
            </w:r>
          </w:p>
        </w:tc>
        <w:tc>
          <w:tcPr>
            <w:tcW w:type="dxa" w:w="1440"/>
            <w:shd w:fill="FAFAFA" w:val="clear"/>
          </w:tcPr>
          <w:p>
            <w:r>
              <w:rPr>
                <w:sz w:val="17"/>
              </w:rPr>
              <w:t>1,968</w:t>
            </w:r>
          </w:p>
        </w:tc>
        <w:tc>
          <w:tcPr>
            <w:tcW w:type="dxa" w:w="1440"/>
            <w:shd w:fill="FAFAFA" w:val="clear"/>
          </w:tcPr>
          <w:p>
            <w:r>
              <w:rPr>
                <w:b/>
                <w:sz w:val="17"/>
              </w:rPr>
              <w:t>2,098</w:t>
            </w:r>
          </w:p>
        </w:tc>
        <w:tc>
          <w:tcPr>
            <w:tcW w:type="dxa" w:w="1440"/>
            <w:shd w:fill="FAFAFA" w:val="clear"/>
          </w:tcPr>
          <w:p>
            <w:r>
              <w:rPr>
                <w:sz w:val="17"/>
              </w:rPr>
              <w:t>2,227</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2026-09-28</w:t>
            </w:r>
          </w:p>
        </w:tc>
        <w:tc>
          <w:tcPr>
            <w:tcW w:type="dxa" w:w="1440"/>
            <w:shd w:fill="FAFAFA" w:val="clear"/>
          </w:tcPr>
          <w:p>
            <w:r>
              <w:rPr>
                <w:sz w:val="17"/>
              </w:rPr>
              <w:t>1,945</w:t>
            </w:r>
          </w:p>
        </w:tc>
        <w:tc>
          <w:tcPr>
            <w:tcW w:type="dxa" w:w="1440"/>
            <w:shd w:fill="FAFAFA" w:val="clear"/>
          </w:tcPr>
          <w:p>
            <w:r>
              <w:rPr>
                <w:b/>
                <w:sz w:val="17"/>
              </w:rPr>
              <w:t>2,104</w:t>
            </w:r>
          </w:p>
        </w:tc>
        <w:tc>
          <w:tcPr>
            <w:tcW w:type="dxa" w:w="1440"/>
            <w:shd w:fill="FAFAFA" w:val="clear"/>
          </w:tcPr>
          <w:p>
            <w:r>
              <w:rPr>
                <w:sz w:val="17"/>
              </w:rPr>
              <w:t>2,264</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2026-09-29</w:t>
            </w:r>
          </w:p>
        </w:tc>
        <w:tc>
          <w:tcPr>
            <w:tcW w:type="dxa" w:w="1440"/>
            <w:shd w:fill="FAFAFA" w:val="clear"/>
          </w:tcPr>
          <w:p>
            <w:r>
              <w:rPr>
                <w:sz w:val="17"/>
              </w:rPr>
              <w:t>1,926</w:t>
            </w:r>
          </w:p>
        </w:tc>
        <w:tc>
          <w:tcPr>
            <w:tcW w:type="dxa" w:w="1440"/>
            <w:shd w:fill="FAFAFA" w:val="clear"/>
          </w:tcPr>
          <w:p>
            <w:r>
              <w:rPr>
                <w:b/>
                <w:sz w:val="17"/>
              </w:rPr>
              <w:t>2,111</w:t>
            </w:r>
          </w:p>
        </w:tc>
        <w:tc>
          <w:tcPr>
            <w:tcW w:type="dxa" w:w="1440"/>
            <w:shd w:fill="FAFAFA" w:val="clear"/>
          </w:tcPr>
          <w:p>
            <w:r>
              <w:rPr>
                <w:sz w:val="17"/>
              </w:rPr>
              <w:t>2,296</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2026-09-30</w:t>
            </w:r>
          </w:p>
        </w:tc>
        <w:tc>
          <w:tcPr>
            <w:tcW w:type="dxa" w:w="1440"/>
            <w:shd w:fill="FAFAFA" w:val="clear"/>
          </w:tcPr>
          <w:p>
            <w:r>
              <w:rPr>
                <w:sz w:val="17"/>
              </w:rPr>
              <w:t>1,909</w:t>
            </w:r>
          </w:p>
        </w:tc>
        <w:tc>
          <w:tcPr>
            <w:tcW w:type="dxa" w:w="1440"/>
            <w:shd w:fill="FAFAFA" w:val="clear"/>
          </w:tcPr>
          <w:p>
            <w:r>
              <w:rPr>
                <w:b/>
                <w:sz w:val="17"/>
              </w:rPr>
              <w:t>2,116</w:t>
            </w:r>
          </w:p>
        </w:tc>
        <w:tc>
          <w:tcPr>
            <w:tcW w:type="dxa" w:w="1440"/>
            <w:shd w:fill="FAFAFA" w:val="clear"/>
          </w:tcPr>
          <w:p>
            <w:r>
              <w:rPr>
                <w:sz w:val="17"/>
              </w:rPr>
              <w:t>2,323</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2026-10-01</w:t>
            </w:r>
          </w:p>
        </w:tc>
        <w:tc>
          <w:tcPr>
            <w:tcW w:type="dxa" w:w="1440"/>
            <w:shd w:fill="FAFAFA" w:val="clear"/>
          </w:tcPr>
          <w:p>
            <w:r>
              <w:rPr>
                <w:sz w:val="17"/>
              </w:rPr>
              <w:t>1,893</w:t>
            </w:r>
          </w:p>
        </w:tc>
        <w:tc>
          <w:tcPr>
            <w:tcW w:type="dxa" w:w="1440"/>
            <w:shd w:fill="FAFAFA" w:val="clear"/>
          </w:tcPr>
          <w:p>
            <w:r>
              <w:rPr>
                <w:b/>
                <w:sz w:val="17"/>
              </w:rPr>
              <w:t>2,120</w:t>
            </w:r>
          </w:p>
        </w:tc>
        <w:tc>
          <w:tcPr>
            <w:tcW w:type="dxa" w:w="1440"/>
            <w:shd w:fill="FAFAFA" w:val="clear"/>
          </w:tcPr>
          <w:p>
            <w:r>
              <w:rPr>
                <w:sz w:val="17"/>
              </w:rPr>
              <w:t>2,348</w:t>
            </w:r>
          </w:p>
        </w:tc>
        <w:tc>
          <w:tcPr>
            <w:tcW w:type="dxa" w:w="1440"/>
            <w:shd w:fill="FAFAFA" w:val="clear"/>
          </w:tcPr>
          <w:p>
            <w:r>
              <w:rPr>
                <w:b/>
                <w:color w:val="008000"/>
                <w:sz w:val="17"/>
              </w:rPr>
              <w:t>+1.0%</w:t>
            </w:r>
          </w:p>
        </w:tc>
      </w:tr>
      <w:tr>
        <w:tc>
          <w:tcPr>
            <w:tcW w:type="dxa" w:w="1440"/>
            <w:shd w:fill="FAFAFA" w:val="clear"/>
          </w:tcPr>
          <w:p>
            <w:r>
              <w:rPr>
                <w:sz w:val="17"/>
              </w:rPr>
              <w:t>J+7  ⭐</w:t>
            </w:r>
          </w:p>
        </w:tc>
        <w:tc>
          <w:tcPr>
            <w:tcW w:type="dxa" w:w="1440"/>
            <w:shd w:fill="FAFAFA" w:val="clear"/>
          </w:tcPr>
          <w:p>
            <w:r>
              <w:rPr>
                <w:sz w:val="17"/>
              </w:rPr>
              <w:t>2026-10-02</w:t>
            </w:r>
          </w:p>
        </w:tc>
        <w:tc>
          <w:tcPr>
            <w:tcW w:type="dxa" w:w="1440"/>
            <w:shd w:fill="FAFAFA" w:val="clear"/>
          </w:tcPr>
          <w:p>
            <w:r>
              <w:rPr>
                <w:sz w:val="17"/>
              </w:rPr>
              <w:t>1,878</w:t>
            </w:r>
          </w:p>
        </w:tc>
        <w:tc>
          <w:tcPr>
            <w:tcW w:type="dxa" w:w="1440"/>
            <w:shd w:fill="FAFAFA" w:val="clear"/>
          </w:tcPr>
          <w:p>
            <w:r>
              <w:rPr>
                <w:b/>
                <w:sz w:val="17"/>
              </w:rPr>
              <w:t>2,124</w:t>
            </w:r>
          </w:p>
        </w:tc>
        <w:tc>
          <w:tcPr>
            <w:tcW w:type="dxa" w:w="1440"/>
            <w:shd w:fill="FAFAFA" w:val="clear"/>
          </w:tcPr>
          <w:p>
            <w:r>
              <w:rPr>
                <w:sz w:val="17"/>
              </w:rPr>
              <w:t>2,370</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2026-10-05</w:t>
            </w:r>
          </w:p>
        </w:tc>
        <w:tc>
          <w:tcPr>
            <w:tcW w:type="dxa" w:w="1440"/>
            <w:shd w:fill="FAFAFA" w:val="clear"/>
          </w:tcPr>
          <w:p>
            <w:r>
              <w:rPr>
                <w:sz w:val="17"/>
              </w:rPr>
              <w:t>1,863</w:t>
            </w:r>
          </w:p>
        </w:tc>
        <w:tc>
          <w:tcPr>
            <w:tcW w:type="dxa" w:w="1440"/>
            <w:shd w:fill="FAFAFA" w:val="clear"/>
          </w:tcPr>
          <w:p>
            <w:r>
              <w:rPr>
                <w:b/>
                <w:sz w:val="17"/>
              </w:rPr>
              <w:t>2,126</w:t>
            </w:r>
          </w:p>
        </w:tc>
        <w:tc>
          <w:tcPr>
            <w:tcW w:type="dxa" w:w="1440"/>
            <w:shd w:fill="FAFAFA" w:val="clear"/>
          </w:tcPr>
          <w:p>
            <w:r>
              <w:rPr>
                <w:sz w:val="17"/>
              </w:rPr>
              <w:t>2,389</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2026-10-06</w:t>
            </w:r>
          </w:p>
        </w:tc>
        <w:tc>
          <w:tcPr>
            <w:tcW w:type="dxa" w:w="1440"/>
            <w:shd w:fill="FAFAFA" w:val="clear"/>
          </w:tcPr>
          <w:p>
            <w:r>
              <w:rPr>
                <w:sz w:val="17"/>
              </w:rPr>
              <w:t>1,848</w:t>
            </w:r>
          </w:p>
        </w:tc>
        <w:tc>
          <w:tcPr>
            <w:tcW w:type="dxa" w:w="1440"/>
            <w:shd w:fill="FAFAFA" w:val="clear"/>
          </w:tcPr>
          <w:p>
            <w:r>
              <w:rPr>
                <w:b/>
                <w:sz w:val="17"/>
              </w:rPr>
              <w:t>2,128</w:t>
            </w:r>
          </w:p>
        </w:tc>
        <w:tc>
          <w:tcPr>
            <w:tcW w:type="dxa" w:w="1440"/>
            <w:shd w:fill="FAFAFA" w:val="clear"/>
          </w:tcPr>
          <w:p>
            <w:r>
              <w:rPr>
                <w:sz w:val="17"/>
              </w:rPr>
              <w:t>2,407</w:t>
            </w:r>
          </w:p>
        </w:tc>
        <w:tc>
          <w:tcPr>
            <w:tcW w:type="dxa" w:w="1440"/>
            <w:shd w:fill="FAFAFA" w:val="clear"/>
          </w:tcPr>
          <w:p>
            <w:r>
              <w:rPr>
                <w:b/>
                <w:color w:val="008000"/>
                <w:sz w:val="17"/>
              </w:rPr>
              <w:t>+1.3%</w:t>
            </w:r>
          </w:p>
        </w:tc>
      </w:tr>
      <w:tr>
        <w:tc>
          <w:tcPr>
            <w:tcW w:type="dxa" w:w="1440"/>
            <w:shd w:fill="FAFAFA" w:val="clear"/>
          </w:tcPr>
          <w:p>
            <w:r>
              <w:rPr>
                <w:sz w:val="17"/>
              </w:rPr>
              <w:t>J+10  ⭐</w:t>
            </w:r>
          </w:p>
        </w:tc>
        <w:tc>
          <w:tcPr>
            <w:tcW w:type="dxa" w:w="1440"/>
            <w:shd w:fill="FAFAFA" w:val="clear"/>
          </w:tcPr>
          <w:p>
            <w:r>
              <w:rPr>
                <w:sz w:val="17"/>
              </w:rPr>
              <w:t>2026-10-07</w:t>
            </w:r>
          </w:p>
        </w:tc>
        <w:tc>
          <w:tcPr>
            <w:tcW w:type="dxa" w:w="1440"/>
            <w:shd w:fill="FAFAFA" w:val="clear"/>
          </w:tcPr>
          <w:p>
            <w:r>
              <w:rPr>
                <w:sz w:val="17"/>
              </w:rPr>
              <w:t>1,834</w:t>
            </w:r>
          </w:p>
        </w:tc>
        <w:tc>
          <w:tcPr>
            <w:tcW w:type="dxa" w:w="1440"/>
            <w:shd w:fill="FAFAFA" w:val="clear"/>
          </w:tcPr>
          <w:p>
            <w:r>
              <w:rPr>
                <w:b/>
                <w:sz w:val="17"/>
              </w:rPr>
              <w:t>2,129</w:t>
            </w:r>
          </w:p>
        </w:tc>
        <w:tc>
          <w:tcPr>
            <w:tcW w:type="dxa" w:w="1440"/>
            <w:shd w:fill="FAFAFA" w:val="clear"/>
          </w:tcPr>
          <w:p>
            <w:r>
              <w:rPr>
                <w:sz w:val="17"/>
              </w:rPr>
              <w:t>2,423</w:t>
            </w:r>
          </w:p>
        </w:tc>
        <w:tc>
          <w:tcPr>
            <w:tcW w:type="dxa" w:w="1440"/>
            <w:shd w:fill="FAFAFA" w:val="clear"/>
          </w:tcPr>
          <w:p>
            <w:r>
              <w:rPr>
                <w:b/>
                <w:color w:val="008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SETAO (STAC)**</w:t>
        <w:br/>
        <w:t>*Bourse Régionale des Valeurs Mobilières (BRVM) — Secteur BTP &amp; Études*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SETAO s'établit à 28,22 milliards FCFA, un niveau modeste à l'échelle de la BRVM qui la place parmi les petites capitalisations du marché. Le BPA ressort à -7 FCFA/action, confirmant que chaque action détruit de la valeur plutôt qu'elle n'en génère, ce qui rend le PER de -292,3x non significatif (une société déficitaire ne peut être évaluée par ce ratio). Le P/B de 79,12x constitue un signal d'alerte majeur : le marché valorise l'action à près de 80 fois sa valeur comptable, alors que les capitaux propres ne s'élèvent qu'à 356,75 M FCFA pour une capitalisation de 28,22 Mds FCFA — cette prime extrême est déconnectée des fondamentaux et traduit une valorisation purement spéculative. Le ratio EV/EBITDA n'est pas pertinent ici puisque l'EBE est négatif (-650,13 M FCFA), rendant toute comparaison à la capacité opérationnelle inopérante. En synthèse, aucun des ratios de valorisation ne plaide en faveur d'une sous-évaluation ; au contraire, le P/B de 79x signale une surévaluation manifeste au regard de la situation financière réelle.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STAC a enregistré une chute vertigineuse de -31,15%, avec une dernière séance en repli de -0,71%, portant le cours à 2 100 FCFA — soit exactement le plus bas de la période, ce qui signifie que le titre clôture au plancher de son range. Le plus haut atteint sur la période s'élève à 3 640 FCFA, révélant un range de trading très large de 1 540 FCFA (soit 73% du cours actuel), caractéristique d'une tendance baissière prononcée et d'une pression vendeuse persistante. La moyenne des cours sur la période (2 908 FCFA) est supérieure à la médiane (2 842 FCFA), ce qui indique une légère asymétrie positive — les cours élevés du début de période tirent la moyenne vers le haut, mais la dynamique récente est clairement baissière. L'écart-type de 375 FCFA avec un coefficient de variation de 12,9% traduit une dispersion modérée en valeur relative, tandis que le kurtosis de -0,630 (mésokurtique) suggère une distribution proche de la normale sans pics extrêmes fréquents, et le skewness de 0,271 confirme une distribution quasi-symétrique. La volatilité annualisée de 57,4% classe ce titre dans la catégorie à volatilité élevée (&gt;30%), ce qui est cohérent avec la chute brutale observée et le risque important supporté par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(2 504,25 FCFA) et la MM50 (2 678,10 FCFA) se situent toutes deux bien au-dessus du cours actuel (2 100 FCFA), avec la MM20 sous la MM50 — configuration baissière classique. Le cours évoluant sous ses deux moyennes mobiles, la pression vendeuse est confirmée et la décision technique est logiquement **Vente**.</w:t>
      </w:r>
    </w:p>
    <w:p>
      <w:pPr>
        <w:spacing w:after="120" w:line="276" w:lineRule="auto"/>
      </w:pPr>
      <w:r>
        <w:t>**Bandes de Bollinger** : Le cours (2 100 FCFA) se situe tout près de la borne inférieure (2 076,24 FCFA) et très loin de la borne supérieure (2 932,26 FCFA), ce qui traduit une forte pression baissière. La largeur des bandes indique une volatilité élevée, et la décision **Neutre** suggère que le titre est proche d'une zone de survente potentielle sans signal d'achat clair.</w:t>
      </w:r>
    </w:p>
    <w:p>
      <w:pPr>
        <w:spacing w:after="120" w:line="276" w:lineRule="auto"/>
      </w:pPr>
      <w:r>
        <w:t>**MACD** : La valeur du MACD (-148,64) est nettement inférieure à son signal (-107,075), confirmant un momentum baissier soutenu. Le croisement MACD sous le signal est un signal de vente classique, et la décision technique est **Vente**.</w:t>
      </w:r>
    </w:p>
    <w:p>
      <w:pPr>
        <w:spacing w:after="120" w:line="276" w:lineRule="auto"/>
      </w:pPr>
      <w:r>
        <w:t>**RSI** : Avec une valeur de 11,688, le RSI est en zone de survente extrême (seuil &lt;30), ce qui constitue un signal d'achat technique contra-cyclique. Cependant, un RSI aussi bas dans un contexte de tendance baissière forte peut indiquer une faiblesse persistante plutôt qu'un rebond imminent — décision **Achat** (technique).</w:t>
      </w:r>
    </w:p>
    <w:p>
      <w:pPr>
        <w:spacing w:after="120" w:line="276" w:lineRule="auto"/>
      </w:pPr>
      <w:r>
        <w:t>**Stochastique** : Le %K (0,0) est en dessous du %D (0,57), avec un %K au plancher absolu, signalant une survente extrême. La décision **Achat** est cohérente avec le RSI, mais la faiblesse du %D suggère l'absence de croisement haussier confirmé.</w:t>
      </w:r>
    </w:p>
    <w:p>
      <w:pPr>
        <w:spacing w:after="120" w:line="276" w:lineRule="auto"/>
      </w:pPr>
      <w:r>
        <w:t>**Conclusion technique** : Les indicateurs sont divergents — les moyennes mobiles et le MACD confirment une tendance baissière forte (Vente), tandis que le RSI et le Stochastique signalent une survente extrême (Achat technique). Cette divergence est typique d'un titre en chute libre où les rebonds techniques sont éphémères. La prudence est de mise : la convergence des signaux baissiers (MM, MACD) domine les signaux de survente, et le titre pourrait tester des niveaux inférieurs avant tout rebond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SETAO a réalisé un chiffre d'affaires de 3,878 Mds FCFA, en croissance spectaculaire de +116,26% par rapport à 2024 (1,793 Mds FCFA), portée par la reprise des travaux de l'aéroport d'Abidjan. Cependant, cette croissance ne s'est pas traduite par une rentabilité : le résultat net reste négatif à -96,56 M FCFA, le ROE s'établit à -27,07% (très en dessous du seuil de 15% considéré comme excellent) et le ROA à -1,77%. La valeur ajoutée n'est que de 154,19 M FCFA (marge brute de 3,98%), tandis que l'EBE est profondément déficitaire à -650,13 M FCFA et le résultat d'exploitation à -771,95 M FCFA, révélant une structure de coûts inadaptée au niveau d'activité. La marge nette de -2,49% et la marge opérationnelle de -19,90% confirment une rentabilité opérationnelle dégradée. Sur le plan financier, l'autonomie financière est critique à 6,55% (très en dessous du seuil sain de 30%), le ratio d'endettement atteint 93,45% et la capacité de remboursement est de 77,53 années — un niveau alarmant. Le BFR est négatif à -930,47 M FCFA (favorable pour la trésorerie), et la trésorerie nette s'élève à 1,330 Mds FCFA, mais les flux opérationnels sont négatifs à -2,212 Mds FCFA, ce qui signifie que la trésorerie est consommée par l'exploitation.</w:t>
      </w:r>
    </w:p>
    <w:p>
      <w:pPr>
        <w:spacing w:after="120" w:line="276" w:lineRule="auto"/>
      </w:pPr>
      <w:r>
        <w:t>**Estimations basées sur les rapports trimestriels** : Le rapport du 3ème trimestre 2025 (30/09/2025) indique un CA cumulé de 3,456 Mds FCFA (+176% sur 9 mois) et une perte nette réduite de 22% à -477 M FCFA, avec une perte d'exploitation en amélioration de 50% à -456 M FCFA. La direction maintient sa prévision de CA annuel à 4 Mds FCFA, ce qui implique un T4 très faible (~544 M FCFA). Le rapport du 1er semestre 2025 (30/06/2025) faisait état d'un CA de 2,271 Mds FCFA (+290%) mais d'une perte nette aggravée de 77% à -557 M FCFA, avant l'amélioration du T3. Les rapports antérieurs (2024) montrent une chute du CA de -80,6% à 1,793 Mds FCFA et une perte nette de -348 M FCFA, avec des capitaux propres en tension à 453 M FCFA (6,1% du bilan) et des flux opérationnels négatifs à -931 M FCFA. L'évolution temporelle révèle une entreprise qui a connu une période faste en 2020-2021 (CA de 15,9 Mds FCFA, résultat net de 2,32 Mds FCFA, marge nette de 14,6% en 2020), suivie d'un effondrement en 2023-2024, puis d'un rebond d'activité en 2025 sans retour à la rentabilité.</w:t>
      </w:r>
    </w:p>
    <w:p>
      <w:pPr>
        <w:spacing w:after="120" w:line="276" w:lineRule="auto"/>
      </w:pPr>
      <w:r>
        <w:t>**Recommandation fondamentale** : La situation financière de SETAO reste très fragile malgré le rebond du chiffre d'affaires en 2025. La société est structurellement déficitaire, avec des capitaux propres quasi-inexistants (356,75 M FCFA), une autonomie financière critique (6,55%) et une dépendance extrême à un seul projet (aéroport d'Abidjan). Le risque de survie à moyen terme est réel si les pertes persistent et que la trésorerie (1,330 Mds FCFA) continue d'être consommée par l'exploitation. La valorisation boursière (28,22 Mds FCFA) est totalement déconnectée de la réalité financière, avec un P/B de 79x qui ne se justifie que par des anticipations spéculatives de retournement. **Recommandation fondamentale : VENTE** — les risques l'emportent largement sur les perspectives, et le titre ne présente aucune marge de sécurité.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 ce rapport converge vers une recommandation de **VENTE FORTE** pour l'action SETAO (STAC). La valorisation (Partie 0) est manifestement surévaluée : le P/B de 79,12x et le BPA négatif de -7 FCFA/action traduisent une déconnexion totale entre le prix de marché et la valeur fondamentale, sans aucun ratio attractif. Le comportement du cours (Partie 1) est préoccupant : chute de -31,15% sur 100 jours, cours au plus bas de la période (2 100 FCFA), volatilité élevée (57,4%) et tendance baissière persistante, bien que la distribution quasi-symétrique (skewness 0,271) et mésokurtique (kurtosis -0,630) n'indique pas de risque de krach imminent. Les signaux techniques (Partie 2) sont majoritairement baissiers : MM20 et MM50 au-dessus du cours, MACD en divergence négative, malgré un RSI en survente extrême (11,69) et un Stochastique au plancher (0,0) qui pourraient générer un rebond technique éphémère. Les fondamentaux (Partie 3) sont alarmants : perte nette de -96,56 M FCFA en 2025, ROE de -27,07%, autonomie financière de 6,55%, capacité de remboursement de 77,53 années, et dépendance critique à un unique projet. Les prédictions IA (J+1 à J+10) anticipent une légère reprise technique (2 091 → 2 116 FCFA, soit +1,2%), ce qui contredit partiellement les signaux baissiers mais ne remet pas en cause la tendance de fond. **Recommandation finale : VENTE FORTE** — la convergence des signaux baissiers (valorisation, technique, fondamentaux) l'emporte sur le rebond technique anticipé par l'IA. Le niveau de confiance est **Élevé** (les données sont nombreuses et convergentes), le niveau de risque est **Élevé** (surévaluation, pertes récurrentes, dépendance à un projet unique), et l'horizon d'investissement optimal est **court terme** (&lt;3 mois) pour les spéculateurs cherchant à profiter d'un éventuel rebond technique, mais **à éviter** pour tout investisseur cherchant de la valeur ou du rendement.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375.17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3,887 titres</w:t>
            </w:r>
          </w:p>
        </w:tc>
        <w:tc>
          <w:tcPr>
            <w:tcW w:type="dxa" w:w="2268"/>
            <w:shd w:fill="FFF2CC" w:val="clear"/>
          </w:tcPr>
          <w:p>
            <w:r>
              <w:rPr>
                <w:b/>
                <w:color w:val="503200"/>
                <w:sz w:val="16"/>
              </w:rPr>
              <w:t xml:space="preserve">Cours actuel : </w:t>
            </w:r>
            <w:r>
              <w:rPr>
                <w:color w:val="000000"/>
                <w:sz w:val="17"/>
              </w:rPr>
              <w:t>20,895 FCFA</w:t>
            </w:r>
          </w:p>
          <w:p>
            <w:r>
              <w:rPr>
                <w:b/>
                <w:color w:val="503200"/>
                <w:sz w:val="16"/>
              </w:rPr>
              <w:t xml:space="preserve">Var. 100 jours : </w:t>
            </w:r>
            <w:r>
              <w:rPr>
                <w:b/>
                <w:color w:val="007800"/>
                <w:sz w:val="17"/>
              </w:rPr>
              <w:t>+4.47%</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5.50% (Moyenne) — μ=22,464 FCFA, σ=1,236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β=0.3651 (Défensif) — Cov=0.000015, Var(idx)=0.000041, ρ=0.099,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2026-09-24</w:t>
            </w:r>
          </w:p>
        </w:tc>
        <w:tc>
          <w:tcPr>
            <w:tcW w:type="dxa" w:w="1440"/>
            <w:shd w:fill="C6EFCE" w:val="clear"/>
          </w:tcPr>
          <w:p>
            <w:r>
              <w:rPr>
                <w:sz w:val="17"/>
              </w:rPr>
              <w:t>21,026</w:t>
            </w:r>
          </w:p>
        </w:tc>
        <w:tc>
          <w:tcPr>
            <w:tcW w:type="dxa" w:w="1440"/>
            <w:shd w:fill="C6EFCE" w:val="clear"/>
          </w:tcPr>
          <w:p>
            <w:r>
              <w:rPr>
                <w:b/>
                <w:sz w:val="17"/>
              </w:rPr>
              <w:t>22,018</w:t>
            </w:r>
          </w:p>
        </w:tc>
        <w:tc>
          <w:tcPr>
            <w:tcW w:type="dxa" w:w="1440"/>
            <w:shd w:fill="C6EFCE" w:val="clear"/>
          </w:tcPr>
          <w:p>
            <w:r>
              <w:rPr>
                <w:sz w:val="17"/>
              </w:rPr>
              <w:t>23,011</w:t>
            </w:r>
          </w:p>
        </w:tc>
        <w:tc>
          <w:tcPr>
            <w:tcW w:type="dxa" w:w="1440"/>
            <w:shd w:fill="C6EFCE" w:val="clear"/>
          </w:tcPr>
          <w:p>
            <w:r>
              <w:rPr>
                <w:b/>
                <w:color w:val="008000"/>
                <w:sz w:val="17"/>
              </w:rPr>
              <w:t>+5.4%</w:t>
            </w:r>
          </w:p>
        </w:tc>
      </w:tr>
      <w:tr>
        <w:tc>
          <w:tcPr>
            <w:tcW w:type="dxa" w:w="1440"/>
            <w:shd w:fill="C6EFCE" w:val="clear"/>
          </w:tcPr>
          <w:p>
            <w:r>
              <w:rPr>
                <w:sz w:val="17"/>
              </w:rPr>
              <w:t>J+2  ⭐</w:t>
            </w:r>
          </w:p>
        </w:tc>
        <w:tc>
          <w:tcPr>
            <w:tcW w:type="dxa" w:w="1440"/>
            <w:shd w:fill="C6EFCE" w:val="clear"/>
          </w:tcPr>
          <w:p>
            <w:r>
              <w:rPr>
                <w:sz w:val="17"/>
              </w:rPr>
              <w:t>2026-09-25</w:t>
            </w:r>
          </w:p>
        </w:tc>
        <w:tc>
          <w:tcPr>
            <w:tcW w:type="dxa" w:w="1440"/>
            <w:shd w:fill="C6EFCE" w:val="clear"/>
          </w:tcPr>
          <w:p>
            <w:r>
              <w:rPr>
                <w:sz w:val="17"/>
              </w:rPr>
              <w:t>20,915</w:t>
            </w:r>
          </w:p>
        </w:tc>
        <w:tc>
          <w:tcPr>
            <w:tcW w:type="dxa" w:w="1440"/>
            <w:shd w:fill="C6EFCE" w:val="clear"/>
          </w:tcPr>
          <w:p>
            <w:r>
              <w:rPr>
                <w:b/>
                <w:sz w:val="17"/>
              </w:rPr>
              <w:t>22,339</w:t>
            </w:r>
          </w:p>
        </w:tc>
        <w:tc>
          <w:tcPr>
            <w:tcW w:type="dxa" w:w="1440"/>
            <w:shd w:fill="C6EFCE" w:val="clear"/>
          </w:tcPr>
          <w:p>
            <w:r>
              <w:rPr>
                <w:sz w:val="17"/>
              </w:rPr>
              <w:t>23,763</w:t>
            </w:r>
          </w:p>
        </w:tc>
        <w:tc>
          <w:tcPr>
            <w:tcW w:type="dxa" w:w="1440"/>
            <w:shd w:fill="C6EFCE" w:val="clear"/>
          </w:tcPr>
          <w:p>
            <w:r>
              <w:rPr>
                <w:b/>
                <w:color w:val="008000"/>
                <w:sz w:val="17"/>
              </w:rPr>
              <w:t>+6.9%</w:t>
            </w:r>
          </w:p>
        </w:tc>
      </w:tr>
      <w:tr>
        <w:tc>
          <w:tcPr>
            <w:tcW w:type="dxa" w:w="1440"/>
            <w:shd w:fill="C6EFCE" w:val="clear"/>
          </w:tcPr>
          <w:p>
            <w:r>
              <w:rPr>
                <w:sz w:val="17"/>
              </w:rPr>
              <w:t>J+3  ⭐</w:t>
            </w:r>
          </w:p>
        </w:tc>
        <w:tc>
          <w:tcPr>
            <w:tcW w:type="dxa" w:w="1440"/>
            <w:shd w:fill="C6EFCE" w:val="clear"/>
          </w:tcPr>
          <w:p>
            <w:r>
              <w:rPr>
                <w:sz w:val="17"/>
              </w:rPr>
              <w:t>2026-09-28</w:t>
            </w:r>
          </w:p>
        </w:tc>
        <w:tc>
          <w:tcPr>
            <w:tcW w:type="dxa" w:w="1440"/>
            <w:shd w:fill="C6EFCE" w:val="clear"/>
          </w:tcPr>
          <w:p>
            <w:r>
              <w:rPr>
                <w:sz w:val="17"/>
              </w:rPr>
              <w:t>20,916</w:t>
            </w:r>
          </w:p>
        </w:tc>
        <w:tc>
          <w:tcPr>
            <w:tcW w:type="dxa" w:w="1440"/>
            <w:shd w:fill="C6EFCE" w:val="clear"/>
          </w:tcPr>
          <w:p>
            <w:r>
              <w:rPr>
                <w:b/>
                <w:sz w:val="17"/>
              </w:rPr>
              <w:t>22,687</w:t>
            </w:r>
          </w:p>
        </w:tc>
        <w:tc>
          <w:tcPr>
            <w:tcW w:type="dxa" w:w="1440"/>
            <w:shd w:fill="C6EFCE" w:val="clear"/>
          </w:tcPr>
          <w:p>
            <w:r>
              <w:rPr>
                <w:sz w:val="17"/>
              </w:rPr>
              <w:t>24,458</w:t>
            </w:r>
          </w:p>
        </w:tc>
        <w:tc>
          <w:tcPr>
            <w:tcW w:type="dxa" w:w="1440"/>
            <w:shd w:fill="C6EFCE" w:val="clear"/>
          </w:tcPr>
          <w:p>
            <w:r>
              <w:rPr>
                <w:b/>
                <w:color w:val="008000"/>
                <w:sz w:val="17"/>
              </w:rPr>
              <w:t>+8.6%</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20,926</w:t>
            </w:r>
          </w:p>
        </w:tc>
        <w:tc>
          <w:tcPr>
            <w:tcW w:type="dxa" w:w="1440"/>
            <w:shd w:fill="C6EFCE" w:val="clear"/>
          </w:tcPr>
          <w:p>
            <w:r>
              <w:rPr>
                <w:b/>
                <w:sz w:val="17"/>
              </w:rPr>
              <w:t>22,999</w:t>
            </w:r>
          </w:p>
        </w:tc>
        <w:tc>
          <w:tcPr>
            <w:tcW w:type="dxa" w:w="1440"/>
            <w:shd w:fill="C6EFCE" w:val="clear"/>
          </w:tcPr>
          <w:p>
            <w:r>
              <w:rPr>
                <w:sz w:val="17"/>
              </w:rPr>
              <w:t>25,073</w:t>
            </w:r>
          </w:p>
        </w:tc>
        <w:tc>
          <w:tcPr>
            <w:tcW w:type="dxa" w:w="1440"/>
            <w:shd w:fill="C6EFCE" w:val="clear"/>
          </w:tcPr>
          <w:p>
            <w:r>
              <w:rPr>
                <w:b/>
                <w:color w:val="008000"/>
                <w:sz w:val="17"/>
              </w:rPr>
              <w:t>+10.1%</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20,941</w:t>
            </w:r>
          </w:p>
        </w:tc>
        <w:tc>
          <w:tcPr>
            <w:tcW w:type="dxa" w:w="1440"/>
            <w:shd w:fill="C6EFCE" w:val="clear"/>
          </w:tcPr>
          <w:p>
            <w:r>
              <w:rPr>
                <w:b/>
                <w:sz w:val="17"/>
              </w:rPr>
              <w:t>23,288</w:t>
            </w:r>
          </w:p>
        </w:tc>
        <w:tc>
          <w:tcPr>
            <w:tcW w:type="dxa" w:w="1440"/>
            <w:shd w:fill="C6EFCE" w:val="clear"/>
          </w:tcPr>
          <w:p>
            <w:r>
              <w:rPr>
                <w:sz w:val="17"/>
              </w:rPr>
              <w:t>25,634</w:t>
            </w:r>
          </w:p>
        </w:tc>
        <w:tc>
          <w:tcPr>
            <w:tcW w:type="dxa" w:w="1440"/>
            <w:shd w:fill="C6EFCE" w:val="clear"/>
          </w:tcPr>
          <w:p>
            <w:r>
              <w:rPr>
                <w:b/>
                <w:color w:val="008000"/>
                <w:sz w:val="17"/>
              </w:rPr>
              <w:t>+11.5%</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20,939</w:t>
            </w:r>
          </w:p>
        </w:tc>
        <w:tc>
          <w:tcPr>
            <w:tcW w:type="dxa" w:w="1440"/>
            <w:shd w:fill="C6EFCE" w:val="clear"/>
          </w:tcPr>
          <w:p>
            <w:r>
              <w:rPr>
                <w:b/>
                <w:sz w:val="17"/>
              </w:rPr>
              <w:t>23,537</w:t>
            </w:r>
          </w:p>
        </w:tc>
        <w:tc>
          <w:tcPr>
            <w:tcW w:type="dxa" w:w="1440"/>
            <w:shd w:fill="C6EFCE" w:val="clear"/>
          </w:tcPr>
          <w:p>
            <w:r>
              <w:rPr>
                <w:sz w:val="17"/>
              </w:rPr>
              <w:t>26,136</w:t>
            </w:r>
          </w:p>
        </w:tc>
        <w:tc>
          <w:tcPr>
            <w:tcW w:type="dxa" w:w="1440"/>
            <w:shd w:fill="C6EFCE" w:val="clear"/>
          </w:tcPr>
          <w:p>
            <w:r>
              <w:rPr>
                <w:b/>
                <w:color w:val="008000"/>
                <w:sz w:val="17"/>
              </w:rPr>
              <w:t>+12.6%</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20,895</w:t>
            </w:r>
          </w:p>
        </w:tc>
        <w:tc>
          <w:tcPr>
            <w:tcW w:type="dxa" w:w="1440"/>
            <w:shd w:fill="C6EFCE" w:val="clear"/>
          </w:tcPr>
          <w:p>
            <w:r>
              <w:rPr>
                <w:b/>
                <w:sz w:val="17"/>
              </w:rPr>
              <w:t>23,723</w:t>
            </w:r>
          </w:p>
        </w:tc>
        <w:tc>
          <w:tcPr>
            <w:tcW w:type="dxa" w:w="1440"/>
            <w:shd w:fill="C6EFCE" w:val="clear"/>
          </w:tcPr>
          <w:p>
            <w:r>
              <w:rPr>
                <w:sz w:val="17"/>
              </w:rPr>
              <w:t>26,552</w:t>
            </w:r>
          </w:p>
        </w:tc>
        <w:tc>
          <w:tcPr>
            <w:tcW w:type="dxa" w:w="1440"/>
            <w:shd w:fill="C6EFCE" w:val="clear"/>
          </w:tcPr>
          <w:p>
            <w:r>
              <w:rPr>
                <w:b/>
                <w:color w:val="008000"/>
                <w:sz w:val="17"/>
              </w:rPr>
              <w:t>+13.5%</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20,854</w:t>
            </w:r>
          </w:p>
        </w:tc>
        <w:tc>
          <w:tcPr>
            <w:tcW w:type="dxa" w:w="1440"/>
            <w:shd w:fill="C6EFCE" w:val="clear"/>
          </w:tcPr>
          <w:p>
            <w:r>
              <w:rPr>
                <w:b/>
                <w:sz w:val="17"/>
              </w:rPr>
              <w:t>23,901</w:t>
            </w:r>
          </w:p>
        </w:tc>
        <w:tc>
          <w:tcPr>
            <w:tcW w:type="dxa" w:w="1440"/>
            <w:shd w:fill="C6EFCE" w:val="clear"/>
          </w:tcPr>
          <w:p>
            <w:r>
              <w:rPr>
                <w:sz w:val="17"/>
              </w:rPr>
              <w:t>26,947</w:t>
            </w:r>
          </w:p>
        </w:tc>
        <w:tc>
          <w:tcPr>
            <w:tcW w:type="dxa" w:w="1440"/>
            <w:shd w:fill="C6EFCE" w:val="clear"/>
          </w:tcPr>
          <w:p>
            <w:r>
              <w:rPr>
                <w:b/>
                <w:color w:val="008000"/>
                <w:sz w:val="17"/>
              </w:rPr>
              <w:t>+14.4%</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20,772</w:t>
            </w:r>
          </w:p>
        </w:tc>
        <w:tc>
          <w:tcPr>
            <w:tcW w:type="dxa" w:w="1440"/>
            <w:shd w:fill="C6EFCE" w:val="clear"/>
          </w:tcPr>
          <w:p>
            <w:r>
              <w:rPr>
                <w:b/>
                <w:sz w:val="17"/>
              </w:rPr>
              <w:t>24,019</w:t>
            </w:r>
          </w:p>
        </w:tc>
        <w:tc>
          <w:tcPr>
            <w:tcW w:type="dxa" w:w="1440"/>
            <w:shd w:fill="C6EFCE" w:val="clear"/>
          </w:tcPr>
          <w:p>
            <w:r>
              <w:rPr>
                <w:sz w:val="17"/>
              </w:rPr>
              <w:t>27,267</w:t>
            </w:r>
          </w:p>
        </w:tc>
        <w:tc>
          <w:tcPr>
            <w:tcW w:type="dxa" w:w="1440"/>
            <w:shd w:fill="C6EFCE" w:val="clear"/>
          </w:tcPr>
          <w:p>
            <w:r>
              <w:rPr>
                <w:b/>
                <w:color w:val="008000"/>
                <w:sz w:val="17"/>
              </w:rPr>
              <w:t>+15.0%</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20,667</w:t>
            </w:r>
          </w:p>
        </w:tc>
        <w:tc>
          <w:tcPr>
            <w:tcW w:type="dxa" w:w="1440"/>
            <w:shd w:fill="C6EFCE" w:val="clear"/>
          </w:tcPr>
          <w:p>
            <w:r>
              <w:rPr>
                <w:b/>
                <w:sz w:val="17"/>
              </w:rPr>
              <w:t>24,102</w:t>
            </w:r>
          </w:p>
        </w:tc>
        <w:tc>
          <w:tcPr>
            <w:tcW w:type="dxa" w:w="1440"/>
            <w:shd w:fill="C6EFCE" w:val="clear"/>
          </w:tcPr>
          <w:p>
            <w:r>
              <w:rPr>
                <w:sz w:val="17"/>
              </w:rPr>
              <w:t>27,537</w:t>
            </w:r>
          </w:p>
        </w:tc>
        <w:tc>
          <w:tcPr>
            <w:tcW w:type="dxa" w:w="1440"/>
            <w:shd w:fill="C6EFCE" w:val="clear"/>
          </w:tcPr>
          <w:p>
            <w:r>
              <w:rPr>
                <w:b/>
                <w:color w:val="008000"/>
                <w:sz w:val="17"/>
              </w:rPr>
              <w:t>+15.3%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non bancaire (Distribution de tabac)*</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375,17 milliards FCFA, STBC s'impose comme l'une des valeurs les plus importantes de la cote BRVM, ce qui témoigne de sa liquidité relative et de son poids dans l'indice composite. Le BPA de 2 014 FCFA par action signifie que chaque titre génère un bénéfice net de plus de deux mille francs, un niveau élevé qui reflète la forte rentabilité de la société. Le PER de 10,4x se situe dans la fourchette modérée de la BRVM (moyenne ~8-12x), indiquant que les investisseurs ne paient pas une prime excessive pour les bénéfices actuels, bien que le contexte de dégradation des marges invite à la prudence. En revanche, le P/B de 8,28x traduit une valorisation très exigeante par rapport à la valeur comptable, ce qui s'explique par la structure légère de l'actif (peu d'immobilisations, activité de négoce) et la forte rentabilité des fonds propres (ROE de 79,75%). Enfin, l'EV/EBITDA de 7,4x, dans la fourchette raisonnable de 5-10x, suggère que la valeur totale de l'entreprise reste cohérente avec sa capacité opérationnelle à générer des flux, malgré la pression fiscale.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STBC affiche une variation totale de +4,47%, mais la dernière séance (J-1) a enregistré un repli marqué de -2,36%, signalant une pression vendeuse récente. Le cours actuel de 20 895 FCFA se situe dans la partie basse du range de trading, le plus haut ayant atteint 25 000 FCFA et le plus bas 19 705 FCFA, ce qui traduit une tendance globalement baissière depuis les sommets, avec une tentative de stabilisation autour des 21 000 FCFA. Les statistiques descriptives révèlent une moyenne de 22 464 FCFA légèrement supérieure à la médiane de 22 218 FCFA, indiquant une distribution faiblement asymétrique à droite, cohérente avec le skewness positif de 0,269 (distribution quasi symétrique). L'écart-type de 1 242 FCFA et le coefficient de variation de 5,5% témoignent d'une dispersion modérée du cours autour de sa moyenne, tandis que le kurtosis de -0,668 (mésokurtique) suggère une distribution proche de la normale, sans risque majeur de pics extrêmes. La volatilité annualisée de 37,4% classe le titre dans la catégorie des valeurs à volatilité élevée (&gt;30%), ce qui implique un risque de fluctuation important à court terme, mais aussi des opportunités pour les investisseurs actifs. Le volume moyen de 3 887 titres par jour reste modeste, ce qui peut limiter la liquidité pour les grosses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21 928,25 FCFA et la MM50 à 22 784,6 FCFA, toutes deux supérieures au cours actuel de 20 895 FCFA. Cette configuration baissière (cours sous les deux moyennes) confirme la pression vendeuse et justifie la décision technique de **Vente**, le titre évoluant sous ses supports dynamiques.</w:t>
      </w:r>
    </w:p>
    <w:p>
      <w:pPr>
        <w:spacing w:after="120" w:line="276" w:lineRule="auto"/>
      </w:pPr>
      <w:r>
        <w:t>**Bandes de Bollinger** : La borne supérieure est à 22 849,25 FCFA et la borne inférieure à 21 007,25 FCFA, avec un cours actuel de 20 895 FCFA qui se situe légèrement sous la borne inférieure. Cette position suggère une situation de survente potentielle et une volatilité élevée, justifiant la décision d'**Achat** en anticipation d'un rebond technique vers la moyenne mobile.</w:t>
      </w:r>
    </w:p>
    <w:p>
      <w:pPr>
        <w:spacing w:after="120" w:line="276" w:lineRule="auto"/>
      </w:pPr>
      <w:r>
        <w:t>**MACD** : La valeur du MACD est de -417,392, inférieure à son signal de -374,812, ce qui confirme un momentum baissier persistant. La divergence négative entre le MACD et son signal justifie la décision de **Vente**, le croisement étant défavorable aux acheteurs.</w:t>
      </w:r>
    </w:p>
    <w:p>
      <w:pPr>
        <w:spacing w:after="120" w:line="276" w:lineRule="auto"/>
      </w:pPr>
      <w:r>
        <w:t>**RSI** : À 36,228, le RSI se situe dans la zone neutre basse (30-70), sans atteindre le seuil de survente (&lt;30). Cette position indique une absence de signal fort, justifiant la décision **Neutre**, bien que la proximité de la zone de survente appelle à la vigilance.</w:t>
      </w:r>
    </w:p>
    <w:p>
      <w:pPr>
        <w:spacing w:after="120" w:line="276" w:lineRule="auto"/>
      </w:pPr>
      <w:r>
        <w:t>**Stochastique** : Le %K est à 0,0 et le %D à 28,205, avec un %K nettement inférieur au %D, ce qui place l'indicateur en zone de survente extrême. Cette configuration justifie la décision d'**Achat**, un rebond technique étant probable à court terme.</w:t>
      </w:r>
    </w:p>
    <w:p>
      <w:pPr>
        <w:spacing w:after="120" w:line="276" w:lineRule="auto"/>
      </w:pPr>
      <w:r>
        <w:t>**Conclusion technique** : Les indicateurs techniques présentent des signaux divergents : les moyennes mobiles et le MACD sont baissiers, tandis que les Bandes de Bollinger et le Stochastique suggèrent une survente propice à un rebond. Le RSI neutre ne tranche pas. Dans l'ensemble, le titre se trouve dans une phase de consolidation baissière, mais les conditions de survente extrême (Stochastique à 0, cours sous la borne inférieure de Bollinger) plaident pour un rebond technique à court terme, sans inversion de tendance confirmée.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SITAB a réalisé un chiffre d'affaires de 268,537 milliards FCFA, en croissance de 25,3% par rapport à 2024, portée par une hausse des volumes (+5,6%) et des prix. Le résultat net s'établit à 36,158 milliards FCFA, en baisse de 17,5% sur un an, sous l'effet de la hausse des droits d'accises (passés de 49% à 70%) et d'un contrôle fiscal. La marge nette se dégrade à 13,46% (contre 20,4% en 2024), tandis que le ROE reste exceptionnel à 79,75% et le ROA à 48,09%, témoignant d'une efficacité remarquable dans l'utilisation des actifs. Le BFR est négatif à -5,639 milliards FCFA (situation favorable), le délai client est de 42,57 jours et la durée de stockage de 5,73 jours, confirmant une gestion rigoureuse du besoin en fonds de roulement. La structure financière est très saine : autonomie financière de 60,3%, endettement financier quasi nul (1,4 million FCFA), liquidité générale de 225% et trésorerie nette de 30,763 milliards FCFA.</w:t>
      </w:r>
    </w:p>
    <w:p>
      <w:pPr>
        <w:spacing w:after="120" w:line="276" w:lineRule="auto"/>
      </w:pPr>
      <w:r>
        <w:t>**Estimations basées sur les rapports trimestriels** : Le rapport T1 2026 (publié en 2026) indique un chiffre d'affaires de 68,8 milliards FCFA (+12%) et des volumes en hausse de 10%, mais un résultat net de 9,3 milliards FCFA en léger recul (-1%), avec une marge nette de 13,5%. Le rapport T2 2026 (publié en 2026) confirme la stabilité avec un CA de 70,05 milliards FCFA (+1%) et un résultat net de 8,64 milliards FCFA (-0,2%), la marge nette se maintenant à 12,3%. Sur la base de ces deux trimestres, on peut estimer que l'exercice 2026 devrait afficher un chiffre d'affaires annuel d'environ 275-280 milliards FCFA (+3-4% vs 2025) et un résultat net de l'ordre de 35-36 milliards FCFA, soit une stabilisation après la correction de 2025. La politique de dividende reste généreuse avec un dividende proposé de 1 940 FCFA par action au titre de 2025 (rendement d'environ 9,3% sur la base du cours actuel), bien que le taux de distribution de 84,9% limite les capacités de réinvestissement. Les risques principaux identifiés dans les rapports (T3 2025, T4 2025, T1 2026, T2 2026) sont la pression fiscale continue, l'érosion des marges et la dépendance au secteur du tabac, tandis que les opportunités résident dans la croissance des volumes, la solidité bilantielle et l'absence d'endettement.</w:t>
      </w:r>
    </w:p>
    <w:p>
      <w:pPr>
        <w:spacing w:after="120" w:line="276" w:lineRule="auto"/>
      </w:pPr>
      <w:r>
        <w:t>**Recommandation fondamentale** : La société présente une solidité financière incontestable (trésorerie élevée, zéro dette, rentabilité des fonds propres exceptionnelle) mais fait face à une dégradation de sa rentabilité opérationnelle et à un environnement réglementaire contraignant. La valorisation modérée (PER 10,4x) et le rendement du dividende attractif soutiennent le titre, mais la prudence reste de mise.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apparaît modérée au regard du PER de 10,4x et de l'EV/EBITDA de 7,4x, mais le P/B de 8,28x traduit une prime importante sur la valeur comptable, justifiée par la forte rentabilité des fonds propres. Le comportement du cours sur 100 jours montre une tendance baissière récente (-2,36% en J-1) avec une volatilité élevée (37,4%) et une distribution quasi symétrique (skewness 0,269, kurtosis -0,668), sans risque de pics extrêmes mais avec une dispersion modérée. Les signaux techniques sont divergents : les moyennes mobiles et le MACD sont baissiers, tandis que les Bandes de Bollinger et le Stochastique indiquent une survente propice à un rebond, le RSI restant neutre. Les fondamentaux révèlent une société très solide financièrement (ROE 79,75%, trésorerie de 30,8 Mds FCFA, zéro dette) mais confrontée à une dégradation de ses marges (marge nette de 13,46% en 2025 contre 20,4% en 2024) et à une pression fiscale accrue, avec des estimations 2026 tablant sur une stabilisation du résultat net autour de 35-36 milliards FCFA. Les prédictions IA pour les 10 prochains jours ouvrables anticipent une trajectoire haussière modérée, de 22 018 FCFA (J+1) à 23 288 FCFA (J+10), ce qui contredit les signaux baissiers des moyennes mobiles et du MACD, mais confirme le potentiel de rebond technique suggéré par le Stochastique et les Bandes de Bollinger. Sur la base de cette synthèse, la recommandation finale est **CONSERVER**, avec un niveau de confiance **Moyen** et un risque global **Moyen**. En effet, la divergence entre les signaux techniques baissiers à court terme et les prédictions haussières, couplée à la solidité fondamentale mais à la dégradation des marges, ne justifie pas un achat agressif ni une vente précipitée. L'horizon d'investissement optimal est le **moyen terme (3-12 mois)**, en attendant la confirmation d'une stabilisation des marges et d'une reprise durable des volumes, tout en profitant du rendement attractif du dividende (environ 9,3%).</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187.94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7,241 titres</w:t>
            </w:r>
          </w:p>
        </w:tc>
        <w:tc>
          <w:tcPr>
            <w:tcW w:type="dxa" w:w="2268"/>
            <w:shd w:fill="FFF2CC" w:val="clear"/>
          </w:tcPr>
          <w:p>
            <w:r>
              <w:rPr>
                <w:b/>
                <w:color w:val="503200"/>
                <w:sz w:val="16"/>
              </w:rPr>
              <w:t xml:space="preserve">Cours actuel : </w:t>
            </w:r>
            <w:r>
              <w:rPr>
                <w:color w:val="000000"/>
                <w:sz w:val="17"/>
              </w:rPr>
              <w:t>2,985 FCFA</w:t>
            </w:r>
          </w:p>
          <w:p>
            <w:r>
              <w:rPr>
                <w:b/>
                <w:color w:val="503200"/>
                <w:sz w:val="16"/>
              </w:rPr>
              <w:t xml:space="preserve">Var. 100 jours : </w:t>
            </w:r>
            <w:r>
              <w:rPr>
                <w:b/>
                <w:color w:val="007800"/>
                <w:sz w:val="17"/>
              </w:rPr>
              <w:t>+8.55%</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2,720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6.73% (Moyenne) — μ=2,998 FCFA, σ=202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β=-0.4137 (Contre-cyclique) — Cov=-0.000017, Var(idx)=0.000041, ρ=-0.102,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7,241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84/100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2,846</w:t>
            </w:r>
          </w:p>
        </w:tc>
        <w:tc>
          <w:tcPr>
            <w:tcW w:type="dxa" w:w="1440"/>
            <w:shd w:fill="FAFAFA" w:val="clear"/>
          </w:tcPr>
          <w:p>
            <w:r>
              <w:rPr>
                <w:b/>
                <w:sz w:val="17"/>
              </w:rPr>
              <w:t>2,966</w:t>
            </w:r>
          </w:p>
        </w:tc>
        <w:tc>
          <w:tcPr>
            <w:tcW w:type="dxa" w:w="1440"/>
            <w:shd w:fill="FAFAFA" w:val="clear"/>
          </w:tcPr>
          <w:p>
            <w:r>
              <w:rPr>
                <w:sz w:val="17"/>
              </w:rPr>
              <w:t>3,086</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2,779</w:t>
            </w:r>
          </w:p>
        </w:tc>
        <w:tc>
          <w:tcPr>
            <w:tcW w:type="dxa" w:w="1440"/>
            <w:shd w:fill="FAFAFA" w:val="clear"/>
          </w:tcPr>
          <w:p>
            <w:r>
              <w:rPr>
                <w:b/>
                <w:sz w:val="17"/>
              </w:rPr>
              <w:t>2,947</w:t>
            </w:r>
          </w:p>
        </w:tc>
        <w:tc>
          <w:tcPr>
            <w:tcW w:type="dxa" w:w="1440"/>
            <w:shd w:fill="FAFAFA" w:val="clear"/>
          </w:tcPr>
          <w:p>
            <w:r>
              <w:rPr>
                <w:sz w:val="17"/>
              </w:rPr>
              <w:t>3,115</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2026-09-28</w:t>
            </w:r>
          </w:p>
        </w:tc>
        <w:tc>
          <w:tcPr>
            <w:tcW w:type="dxa" w:w="1440"/>
            <w:shd w:fill="FAFAFA" w:val="clear"/>
          </w:tcPr>
          <w:p>
            <w:r>
              <w:rPr>
                <w:sz w:val="17"/>
              </w:rPr>
              <w:t>2,724</w:t>
            </w:r>
          </w:p>
        </w:tc>
        <w:tc>
          <w:tcPr>
            <w:tcW w:type="dxa" w:w="1440"/>
            <w:shd w:fill="FAFAFA" w:val="clear"/>
          </w:tcPr>
          <w:p>
            <w:r>
              <w:rPr>
                <w:b/>
                <w:sz w:val="17"/>
              </w:rPr>
              <w:t>2,929</w:t>
            </w:r>
          </w:p>
        </w:tc>
        <w:tc>
          <w:tcPr>
            <w:tcW w:type="dxa" w:w="1440"/>
            <w:shd w:fill="FAFAFA" w:val="clear"/>
          </w:tcPr>
          <w:p>
            <w:r>
              <w:rPr>
                <w:sz w:val="17"/>
              </w:rPr>
              <w:t>3,133</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2026-09-29</w:t>
            </w:r>
          </w:p>
        </w:tc>
        <w:tc>
          <w:tcPr>
            <w:tcW w:type="dxa" w:w="1440"/>
            <w:shd w:fill="FFDCE0" w:val="clear"/>
          </w:tcPr>
          <w:p>
            <w:r>
              <w:rPr>
                <w:sz w:val="17"/>
              </w:rPr>
              <w:t>2,675</w:t>
            </w:r>
          </w:p>
        </w:tc>
        <w:tc>
          <w:tcPr>
            <w:tcW w:type="dxa" w:w="1440"/>
            <w:shd w:fill="FFDCE0" w:val="clear"/>
          </w:tcPr>
          <w:p>
            <w:r>
              <w:rPr>
                <w:b/>
                <w:sz w:val="17"/>
              </w:rPr>
              <w:t>2,910</w:t>
            </w:r>
          </w:p>
        </w:tc>
        <w:tc>
          <w:tcPr>
            <w:tcW w:type="dxa" w:w="1440"/>
            <w:shd w:fill="FFDCE0" w:val="clear"/>
          </w:tcPr>
          <w:p>
            <w:r>
              <w:rPr>
                <w:sz w:val="17"/>
              </w:rPr>
              <w:t>3,145</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2026-09-30</w:t>
            </w:r>
          </w:p>
        </w:tc>
        <w:tc>
          <w:tcPr>
            <w:tcW w:type="dxa" w:w="1440"/>
            <w:shd w:fill="FFDCE0" w:val="clear"/>
          </w:tcPr>
          <w:p>
            <w:r>
              <w:rPr>
                <w:sz w:val="17"/>
              </w:rPr>
              <w:t>2,630</w:t>
            </w:r>
          </w:p>
        </w:tc>
        <w:tc>
          <w:tcPr>
            <w:tcW w:type="dxa" w:w="1440"/>
            <w:shd w:fill="FFDCE0" w:val="clear"/>
          </w:tcPr>
          <w:p>
            <w:r>
              <w:rPr>
                <w:b/>
                <w:sz w:val="17"/>
              </w:rPr>
              <w:t>2,891</w:t>
            </w:r>
          </w:p>
        </w:tc>
        <w:tc>
          <w:tcPr>
            <w:tcW w:type="dxa" w:w="1440"/>
            <w:shd w:fill="FFDCE0" w:val="clear"/>
          </w:tcPr>
          <w:p>
            <w:r>
              <w:rPr>
                <w:sz w:val="17"/>
              </w:rPr>
              <w:t>3,151</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2026-10-01</w:t>
            </w:r>
          </w:p>
        </w:tc>
        <w:tc>
          <w:tcPr>
            <w:tcW w:type="dxa" w:w="1440"/>
            <w:shd w:fill="FFDCE0" w:val="clear"/>
          </w:tcPr>
          <w:p>
            <w:r>
              <w:rPr>
                <w:sz w:val="17"/>
              </w:rPr>
              <w:t>2,588</w:t>
            </w:r>
          </w:p>
        </w:tc>
        <w:tc>
          <w:tcPr>
            <w:tcW w:type="dxa" w:w="1440"/>
            <w:shd w:fill="FFDCE0" w:val="clear"/>
          </w:tcPr>
          <w:p>
            <w:r>
              <w:rPr>
                <w:b/>
                <w:sz w:val="17"/>
              </w:rPr>
              <w:t>2,872</w:t>
            </w:r>
          </w:p>
        </w:tc>
        <w:tc>
          <w:tcPr>
            <w:tcW w:type="dxa" w:w="1440"/>
            <w:shd w:fill="FFDCE0" w:val="clear"/>
          </w:tcPr>
          <w:p>
            <w:r>
              <w:rPr>
                <w:sz w:val="17"/>
              </w:rPr>
              <w:t>3,156</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2026-10-02</w:t>
            </w:r>
          </w:p>
        </w:tc>
        <w:tc>
          <w:tcPr>
            <w:tcW w:type="dxa" w:w="1440"/>
            <w:shd w:fill="FFDCE0" w:val="clear"/>
          </w:tcPr>
          <w:p>
            <w:r>
              <w:rPr>
                <w:sz w:val="17"/>
              </w:rPr>
              <w:t>2,549</w:t>
            </w:r>
          </w:p>
        </w:tc>
        <w:tc>
          <w:tcPr>
            <w:tcW w:type="dxa" w:w="1440"/>
            <w:shd w:fill="FFDCE0" w:val="clear"/>
          </w:tcPr>
          <w:p>
            <w:r>
              <w:rPr>
                <w:b/>
                <w:sz w:val="17"/>
              </w:rPr>
              <w:t>2,854</w:t>
            </w:r>
          </w:p>
        </w:tc>
        <w:tc>
          <w:tcPr>
            <w:tcW w:type="dxa" w:w="1440"/>
            <w:shd w:fill="FFDCE0" w:val="clear"/>
          </w:tcPr>
          <w:p>
            <w:r>
              <w:rPr>
                <w:sz w:val="17"/>
              </w:rPr>
              <w:t>3,158</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2026-10-05</w:t>
            </w:r>
          </w:p>
        </w:tc>
        <w:tc>
          <w:tcPr>
            <w:tcW w:type="dxa" w:w="1440"/>
            <w:shd w:fill="FFDCE0" w:val="clear"/>
          </w:tcPr>
          <w:p>
            <w:r>
              <w:rPr>
                <w:sz w:val="17"/>
              </w:rPr>
              <w:t>2,513</w:t>
            </w:r>
          </w:p>
        </w:tc>
        <w:tc>
          <w:tcPr>
            <w:tcW w:type="dxa" w:w="1440"/>
            <w:shd w:fill="FFDCE0" w:val="clear"/>
          </w:tcPr>
          <w:p>
            <w:r>
              <w:rPr>
                <w:b/>
                <w:sz w:val="17"/>
              </w:rPr>
              <w:t>2,836</w:t>
            </w:r>
          </w:p>
        </w:tc>
        <w:tc>
          <w:tcPr>
            <w:tcW w:type="dxa" w:w="1440"/>
            <w:shd w:fill="FFDCE0" w:val="clear"/>
          </w:tcPr>
          <w:p>
            <w:r>
              <w:rPr>
                <w:sz w:val="17"/>
              </w:rPr>
              <w:t>3,160</w:t>
            </w:r>
          </w:p>
        </w:tc>
        <w:tc>
          <w:tcPr>
            <w:tcW w:type="dxa" w:w="1440"/>
            <w:shd w:fill="FFDCE0" w:val="clear"/>
          </w:tcPr>
          <w:p>
            <w:r>
              <w:rPr>
                <w:b/>
                <w:color w:val="C00000"/>
                <w:sz w:val="17"/>
              </w:rPr>
              <w:t>-5.0%</w:t>
            </w:r>
          </w:p>
        </w:tc>
      </w:tr>
      <w:tr>
        <w:tc>
          <w:tcPr>
            <w:tcW w:type="dxa" w:w="1440"/>
            <w:shd w:fill="FFDCE0" w:val="clear"/>
          </w:tcPr>
          <w:p>
            <w:r>
              <w:rPr>
                <w:sz w:val="17"/>
              </w:rPr>
              <w:t>J+9  ⭐</w:t>
            </w:r>
          </w:p>
        </w:tc>
        <w:tc>
          <w:tcPr>
            <w:tcW w:type="dxa" w:w="1440"/>
            <w:shd w:fill="FFDCE0" w:val="clear"/>
          </w:tcPr>
          <w:p>
            <w:r>
              <w:rPr>
                <w:sz w:val="17"/>
              </w:rPr>
              <w:t>2026-10-06</w:t>
            </w:r>
          </w:p>
        </w:tc>
        <w:tc>
          <w:tcPr>
            <w:tcW w:type="dxa" w:w="1440"/>
            <w:shd w:fill="FFDCE0" w:val="clear"/>
          </w:tcPr>
          <w:p>
            <w:r>
              <w:rPr>
                <w:sz w:val="17"/>
              </w:rPr>
              <w:t>2,478</w:t>
            </w:r>
          </w:p>
        </w:tc>
        <w:tc>
          <w:tcPr>
            <w:tcW w:type="dxa" w:w="1440"/>
            <w:shd w:fill="FFDCE0" w:val="clear"/>
          </w:tcPr>
          <w:p>
            <w:r>
              <w:rPr>
                <w:b/>
                <w:sz w:val="17"/>
              </w:rPr>
              <w:t>2,819</w:t>
            </w:r>
          </w:p>
        </w:tc>
        <w:tc>
          <w:tcPr>
            <w:tcW w:type="dxa" w:w="1440"/>
            <w:shd w:fill="FFDCE0" w:val="clear"/>
          </w:tcPr>
          <w:p>
            <w:r>
              <w:rPr>
                <w:sz w:val="17"/>
              </w:rPr>
              <w:t>3,161</w:t>
            </w:r>
          </w:p>
        </w:tc>
        <w:tc>
          <w:tcPr>
            <w:tcW w:type="dxa" w:w="1440"/>
            <w:shd w:fill="FFDCE0" w:val="clear"/>
          </w:tcPr>
          <w:p>
            <w:r>
              <w:rPr>
                <w:b/>
                <w:color w:val="C00000"/>
                <w:sz w:val="17"/>
              </w:rPr>
              <w:t>-5.5%</w:t>
            </w:r>
          </w:p>
        </w:tc>
      </w:tr>
      <w:tr>
        <w:tc>
          <w:tcPr>
            <w:tcW w:type="dxa" w:w="1440"/>
            <w:shd w:fill="FFDCE0" w:val="clear"/>
          </w:tcPr>
          <w:p>
            <w:r>
              <w:rPr>
                <w:sz w:val="17"/>
              </w:rPr>
              <w:t>J+10  ⭐</w:t>
            </w:r>
          </w:p>
        </w:tc>
        <w:tc>
          <w:tcPr>
            <w:tcW w:type="dxa" w:w="1440"/>
            <w:shd w:fill="FFDCE0" w:val="clear"/>
          </w:tcPr>
          <w:p>
            <w:r>
              <w:rPr>
                <w:sz w:val="17"/>
              </w:rPr>
              <w:t>2026-10-07</w:t>
            </w:r>
          </w:p>
        </w:tc>
        <w:tc>
          <w:tcPr>
            <w:tcW w:type="dxa" w:w="1440"/>
            <w:shd w:fill="FFDCE0" w:val="clear"/>
          </w:tcPr>
          <w:p>
            <w:r>
              <w:rPr>
                <w:sz w:val="17"/>
              </w:rPr>
              <w:t>2,446</w:t>
            </w:r>
          </w:p>
        </w:tc>
        <w:tc>
          <w:tcPr>
            <w:tcW w:type="dxa" w:w="1440"/>
            <w:shd w:fill="FFDCE0" w:val="clear"/>
          </w:tcPr>
          <w:p>
            <w:r>
              <w:rPr>
                <w:b/>
                <w:sz w:val="17"/>
              </w:rPr>
              <w:t>2,803</w:t>
            </w:r>
          </w:p>
        </w:tc>
        <w:tc>
          <w:tcPr>
            <w:tcW w:type="dxa" w:w="1440"/>
            <w:shd w:fill="FFDCE0" w:val="clear"/>
          </w:tcPr>
          <w:p>
            <w:r>
              <w:rPr>
                <w:sz w:val="17"/>
              </w:rPr>
              <w:t>3,161</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TTLC (TotalEnergies Marketing Côte d'Ivoire)**</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187,94 milliards FCFA, TTLC figure parmi les valeurs les plus importantes de la cote BRVM, ce qui en fait un pilier de l'indice composite et un titre de référence pour les investisseurs institutionnels régionaux. Le BPA de 144 FCFA/action signifie que chaque titre génère 144 FCFA de bénéfice net, un niveau correct mais qui, rapporté au cours de 2 985 FCFA, aboutit à un PER de 20,7x — soit près du double de la moyenne BRVM (8-12x), ce qui traduit une prime de qualité et/ou une attente de croissance que le marché intègre déjà dans les prix. Le P/B de 5,19x confirme cette valorisation exigeante : le marché paie plus de cinq fois la valeur comptable des fonds propres (36,2 Mds FCFA), une prime rarement justifiée que par la solidité de la marque, la position dominante et la régularité des dividendes. Enfin, l'EV/EBITDA de 10,9x, dans la fourchette haute (10-15x), indique que la valeur d'entreprise (incluant la dette nette) reste chèrement valorisée par rapport à la capacité opérationnelle de génération de cash. En synthèse, TTLC se paie cher sur tous les multiples, ce qui laisse peu de marge d'erreur et exige une croissance bénéficiaire soutenue pour justifier ces niveaux.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progression totale de +8,55%, mais la dernière séance (J-1) marque un repli de -2,13%, signalant une prise de bénéfices après une phase de hausse. Le cours actuel de 2 985 FCFA se situe dans la partie médiane de la fourchette de trading, entre un plus bas de 2 720 FCFA et un plus haut de 3 595 FCFA — un range de 875 FCFA (soit près de 30% d'amplitude) qui témoigne d'une réelle volatilité intra-période. La tendance générale reste haussière sur la période, mais le repli récent sous les 3 000 FCFA suggère un essoufflement du momentum acheteur. Les statistiques descriptives révèlent une moyenne (2 998 FCFA) légèrement supérieure à la médiane (2 922 FCFA), avec un mode à 2 900 FCFA : cet écart confirme une asymétrie positive (skewness de 0,925), c'est-à-dire que le cours a passé davantage de séances sous sa moyenne, avec quelques pics haussiers tirant la moyenne vers le haut. L'écart-type de 203 FCFA (CV de 6,8%) indique une dispersion modérée autour de la moyenne, tandis que le kurtosis de -0,208 (mésokurtique) suggère une distribution proche de la normale, sans risque marqué de pics extrêmes. La volatilité annualisée de 41,3% classe le titre dans la catégorie **élevée** (&gt;30%), ce qui implique un risque de prix significatif et justifie une approche prudente en termes de sizing et d'horizon.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(3 271,5 FCFA) et la MM50 (3 132,1 FCFA) se situent toutes deux nettement au-dessus du cours actuel (2 985 FCFA), ce qui place le titre en position baissière à court et moyen terme malgré la décision automatique « Achat » générée par le croisement MM20 &gt; MM50. Cette configuration signale que le cours évolue sous ses références mobiles, un signe de faiblesse récente, et le signal d'achat doit être interprété avec prudence car il reflète une tendance de fond haussière (MM20 &gt; MM50) que le prix n'a pas encore confirmée.</w:t>
      </w:r>
    </w:p>
    <w:p>
      <w:pPr>
        <w:spacing w:after="120" w:line="276" w:lineRule="auto"/>
      </w:pPr>
      <w:r>
        <w:t>**Bandes de Bollinger** : Le cours (2 985 FCFA) se situe **sous la borne inférieure** (3 038,96 FCFA), ce qui constitue un signal de survente technique extrême et suggère une possible réaction haussière à court terme. La largeur des bandes (3 504,04 - 3 038,96 = 465 FCFA) traduit une volatilité élevée, cohérente avec la volatilité annualisée de 41,3%. La décision « Achat » est justifiée par cette position hors bande basse, mais elle reste un signal contrariant face à la tendance baissière immédiate.</w:t>
      </w:r>
    </w:p>
    <w:p>
      <w:pPr>
        <w:spacing w:after="120" w:line="276" w:lineRule="auto"/>
      </w:pPr>
      <w:r>
        <w:t>**MACD** : La valeur du MACD (-21,343) est négative et inférieure à son signal (24,221), avec un écart de plus de 45 points — une divergence baissière marquée qui confirme un momentum négatif. La décision « Vente » générée par cet indicateur contredit les signaux d'achat des autres indicateurs et constitue le principal signal baissier du tableau technique.</w:t>
      </w:r>
    </w:p>
    <w:p>
      <w:pPr>
        <w:spacing w:after="120" w:line="276" w:lineRule="auto"/>
      </w:pPr>
      <w:r>
        <w:t>**RSI** : À 22,963, le RSI se situe **en zone de survente** (&lt; 30), ce qui indique que le titre a été massivement vendu et pourrait être proche d'un point de retournement haussier. La décision « Achat » est cohérente avec cette lecture : historiquement, un RSI sous 25 précède souvent un rebond technique, mais il peut aussi persister en zone basse en cas de tendance baissière forte.</w:t>
      </w:r>
    </w:p>
    <w:p>
      <w:pPr>
        <w:spacing w:after="120" w:line="276" w:lineRule="auto"/>
      </w:pPr>
      <w:r>
        <w:t>**Stochastique** : Le %K et le %D sont tous deux à 0,0, ce qui place l'indicateur en **survente extrême** et signale un épuisement total de la pression vendeuse à très court terme. La décision « Achat » est justifiée par cette configuration, mais l'absence de croisement haussier (%K &gt; %D) rend le signal incomplet et nécessite une confirmation.</w:t>
      </w:r>
    </w:p>
    <w:p>
      <w:pPr>
        <w:spacing w:after="120" w:line="276" w:lineRule="auto"/>
      </w:pPr>
      <w:r>
        <w:t>**Conclusion technique** : Les indicateurs sont majoritairement en zone de survente (RSI 23, Stochastique 0, cours sous la borne basse de Bollinger), ce qui plaide pour un rebond technique à court terme. Cependant, le MACD baissier et le cours sous les MM20/MM50 tempèrent cet optimisme : le titre est techniquement survendu mais la tendance de fond reste fragile. Une convergence haussière nécessiterait un retour du cours au-dessus de 3 038 FCFA (borne basse de Bollinger) et un croisement haussier du MACD.</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TTLC a réalisé un chiffre d'affaires de 588,709 Mds FCFA, en repli de 5,2% par rapport à 2024 (621,0 Mds FCFA), confirmant la tendance baissière observée depuis le T1 2025. Le résultat net s'établit à 9,087 Mds FCFA (contre 9,374 Mds en 2024, soit -3%), avec une marge nette de 1,54% — un niveau faible mais stable, typique d'un distributeur en volume. Le ROE atteint 25,1%, un niveau **excellent** (&gt;15%) qui témoigne d'une forte rentabilité des fonds propres (36,202 Mds FCFA), tandis que le ROA de 4,82% reflète la faible intensité capitalistique du modèle. La rotation des actifs est très élevée (312,36%), signe d'une activité commerciale intense, et le BFR est **négatif** (-9,662 Mds FCFA), ce qui est favorable car il signifie que les fournisseurs financent une partie du cycle d'exploitation (délai fournisseurs de 49,72 jours contre une durée de stockage de seulement 13,80 jours). Cependant, la structure financière est tendue : l'autonomie financière n'est que de 19,21% (seuil sain &gt;30%), le ratio d'endettement atteint 90,23% et la trésorerie nette est négative (-21,926 Mds FCFA), ce qui expose la société au risque de taux et de refinancement.</w:t>
      </w:r>
    </w:p>
    <w:p>
      <w:pPr>
        <w:spacing w:after="120" w:line="276" w:lineRule="auto"/>
      </w:pPr>
      <w:r>
        <w:t>**Adaptation au secteur (entreprise non bancaire — distribution pétrolière)** : Le modèle de TTLC repose sur des volumes élevés et des marges faibles (marge brute de 11,81%, marge opérationnelle de 2,09%), ce qui est caractéristique de la distribution de carburants. La baisse du CA (-5,2%) est compensée par une amélioration de la valeur ajoutée (+7%) et de l'EBE (+12% à 22,347 Mds FCFA), preuve d'une meilleure maîtrise des coûts d'approvisionnement. Le résultat d'exploitation bondit de +18% à 12,329 Mds FCFA, mais le résultat net recule de -3% à cause d'un résultat financier en chute de -90% (268 M FCFA contre 2 687 M FCFA en 2024), probablement lié à des charges d'intérêts ou des pertes de change.</w:t>
      </w:r>
    </w:p>
    <w:p>
      <w:pPr>
        <w:spacing w:after="120" w:line="276" w:lineRule="auto"/>
      </w:pPr>
      <w:r>
        <w:t>**Estimations basées sur les rapports trimestriels** : Le rapport T1 2026 (publié en 2026) indique un chiffre d'affaires de 154,392 Mds FCFA (+4,3% vs T1 2025) et un résultat net de 2,329 Mds FCFA (+5,5%), marquant un **retour à la croissance** après plusieurs trimestres de repli. Le rapport du T3 2025 (30/09/2025) faisait état d'un CA cumulé de 438,2 Mds FCFA (-5,7%) et d'un résultat net de 6,52 Mds FCFA (-30,2%), tandis que le S1 2025 (30/06/2025) affichait un CA de 296,8 Mds (-7,1%) et un résultat net de 4,79 Mds (-25,5%). **On estime donc que l'exercice 2026 devrait renouer avec une croissance modérée du CA (+3 à +5%) et une stabilisation du résultat net autour de 9,5-10 Mds FCFA**, portée par l'ouverture de 8 nouvelles stations (portant le réseau à 182 stations) et la diversification vers le GPL et les lubrifiants.</w:t>
      </w:r>
    </w:p>
    <w:p>
      <w:pPr>
        <w:spacing w:after="120" w:line="276" w:lineRule="auto"/>
      </w:pPr>
      <w:r>
        <w:t>**Évolution pluriannuelle** : Entre 2021 (CA de 494,4 Mds, résultat net de 11,1 Mds, ROE &gt;20%) et 2025 (CA de 588,7 Mds, résultat net de 9,09 Mds), la société a connu une croissance du CA (+19%) mais une **érosion du résultat net (-18%)**, sous l'effet de la pression sur les marges et de la hausse des charges financières. Le dividende brut de 10 Mds FCFA versé en 2025 (taux de distribution &gt;100%) reste attractif mais puise dans les réserves, ce qui n'est pas soutenable à long terme sans amélioration du résultat net.</w:t>
      </w:r>
    </w:p>
    <w:p>
      <w:pPr>
        <w:spacing w:after="120" w:line="276" w:lineRule="auto"/>
      </w:pPr>
      <w:r>
        <w:t>**Recommandation fondamentale** : TTLC est une entreprise **solide et leader** sur son marché, avec un ROE excellent (25,1%) et une capacité d'autofinancement robuste (19,106 Mds FCFA). Cependant, la dégradation de la trésorerie nette (-21,9 Mds), le niveau d'endettement élevé (90,2%) et le payout &gt;100% constituent des **signaux d'alerte**. La reprise du T1 2026 (+4,3% de CA, +5,5% de résultat net) est encourageante et pourrait marquer un point d'inflexion. **Recommandation : CONSERVER**, avec une surveillance accrue de la soutenabilité du dividende et de l'évolution du résultat financier.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**décalage entre la valorisation exigeante et les signaux techniques baissiers à court terme**, tempéré par des fondamentaux solides et une reprise naissante. La **valorisation (Partie 0)** est clairement tendue : PER de 20,7x (vs 8-12x pour la BRVM), P/B de 5,19x et EV/EBITDA de 10,9x indiquent que le marché paie une prime de qualité qui laisse peu de marge d'erreur. Le **comportement du cours (Partie 1)** est mitigé : hausse de +8,55% sur 100 jours mais repli de -2,13% en J-1, avec une volatilité élevée (41,3%) et une asymétrie positive (skewness 0,925) qui suggère que les hausses ont été concentrées sur quelques séances. Les **signaux techniques (Partie 2)** sont contradictoires : RSI en survente (23), Stochastique à 0 et cours sous la borne basse de Bollinger plaident pour un rebond, mais le MACD baissier et le cours sous les MM20/MM50 indiquent une tendance de fond fragile. Les **fondamentaux (Partie 3)** sont rassurants sur la solidité (ROE 25,1%, BFR négatif, leader du marché) mais préoccupants sur la structure financière (endettement 90,2%, trésorerie nette -21,9 Mds) et la soutenabilité du dividende (payout &gt;100%). Les **prédictions IA (J+1 à J+10)** anticipent une poursuite de la baisse jusqu'à 2 891 FCFA le 30/09/2026, ce qui **contredit** les signaux de survente technique et suggère que le rebond n'est pas encore d'actualité.</w:t>
      </w:r>
    </w:p>
    <w:p>
      <w:pPr>
        <w:spacing w:after="120" w:line="276" w:lineRule="auto"/>
      </w:pPr>
      <w:r>
        <w:t>**Recommandation finale : CONSERVER**. La convergence entre une valorisation tendue, des signaux techniques majoritairement baissiers (MACD, MM) et des prédictions IA baissières l'emporte sur les signaux d'achat contrariants (RSI, Stochastique, Bollinger). Les fondamentaux solides et la reprise du T1 2026 justifient de ne pas vendre, mais le niveau de valorisation et les risques financiers (endettement, trésorerie négative) interdisent un achat agressif à ces niveaux. **Niveau de confiance : Moyen** (les signaux sont contradictoires et la volatilité élevée accroît l'incertitude). **Niveau de risque global : Élevé** (volatilité 41,3%, endettement 90,2%, payout &gt;100%). **Horizon d'investissement optimal : Moyen terme (3-12 mois)**, en attendant la confirmation de la reprise de la rentabilité et une clarification de la politique de dividende. Un retour du cours au-dessus de 3 038 FCFA (borne basse de Bollinger) et un croisement haussier du MACD seraient des signaux d'entrée plus favorables.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2,628 titres</w:t>
            </w:r>
          </w:p>
        </w:tc>
        <w:tc>
          <w:tcPr>
            <w:tcW w:type="dxa" w:w="2268"/>
            <w:shd w:fill="FFF2CC" w:val="clear"/>
          </w:tcPr>
          <w:p>
            <w:r>
              <w:rPr>
                <w:b/>
                <w:color w:val="503200"/>
                <w:sz w:val="16"/>
              </w:rPr>
              <w:t xml:space="preserve">Cours actuel : </w:t>
            </w:r>
            <w:r>
              <w:rPr>
                <w:color w:val="000000"/>
                <w:sz w:val="17"/>
              </w:rPr>
              <w:t>3,800 FCFA</w:t>
            </w:r>
          </w:p>
          <w:p>
            <w:r>
              <w:rPr>
                <w:b/>
                <w:color w:val="503200"/>
                <w:sz w:val="16"/>
              </w:rPr>
              <w:t xml:space="preserve">Var. 100 jours : </w:t>
            </w:r>
            <w:r>
              <w:rPr>
                <w:b/>
                <w:color w:val="007800"/>
                <w:sz w:val="17"/>
              </w:rPr>
              <w:t>+18.38%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9.86% (Moyenne) — μ=3,624 FCFA, σ=358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β=0.7875 (Défensif) — Cov=0.000032, Var(idx)=0.000041, ρ=0.179,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2026-09-24</w:t>
            </w:r>
          </w:p>
        </w:tc>
        <w:tc>
          <w:tcPr>
            <w:tcW w:type="dxa" w:w="1440"/>
            <w:shd w:fill="FAFAFA" w:val="clear"/>
          </w:tcPr>
          <w:p>
            <w:r>
              <w:rPr>
                <w:sz w:val="17"/>
              </w:rPr>
              <w:t>3,682</w:t>
            </w:r>
          </w:p>
        </w:tc>
        <w:tc>
          <w:tcPr>
            <w:tcW w:type="dxa" w:w="1440"/>
            <w:shd w:fill="FAFAFA" w:val="clear"/>
          </w:tcPr>
          <w:p>
            <w:r>
              <w:rPr>
                <w:b/>
                <w:sz w:val="17"/>
              </w:rPr>
              <w:t>3,824</w:t>
            </w:r>
          </w:p>
        </w:tc>
        <w:tc>
          <w:tcPr>
            <w:tcW w:type="dxa" w:w="1440"/>
            <w:shd w:fill="FAFAFA" w:val="clear"/>
          </w:tcPr>
          <w:p>
            <w:r>
              <w:rPr>
                <w:sz w:val="17"/>
              </w:rPr>
              <w:t>3,966</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2026-09-25</w:t>
            </w:r>
          </w:p>
        </w:tc>
        <w:tc>
          <w:tcPr>
            <w:tcW w:type="dxa" w:w="1440"/>
            <w:shd w:fill="FAFAFA" w:val="clear"/>
          </w:tcPr>
          <w:p>
            <w:r>
              <w:rPr>
                <w:sz w:val="17"/>
              </w:rPr>
              <w:t>3,627</w:t>
            </w:r>
          </w:p>
        </w:tc>
        <w:tc>
          <w:tcPr>
            <w:tcW w:type="dxa" w:w="1440"/>
            <w:shd w:fill="FAFAFA" w:val="clear"/>
          </w:tcPr>
          <w:p>
            <w:r>
              <w:rPr>
                <w:b/>
                <w:sz w:val="17"/>
              </w:rPr>
              <w:t>3,828</w:t>
            </w:r>
          </w:p>
        </w:tc>
        <w:tc>
          <w:tcPr>
            <w:tcW w:type="dxa" w:w="1440"/>
            <w:shd w:fill="FAFAFA" w:val="clear"/>
          </w:tcPr>
          <w:p>
            <w:r>
              <w:rPr>
                <w:sz w:val="17"/>
              </w:rPr>
              <w:t>4,028</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2026-09-28</w:t>
            </w:r>
          </w:p>
        </w:tc>
        <w:tc>
          <w:tcPr>
            <w:tcW w:type="dxa" w:w="1440"/>
            <w:shd w:fill="FAFAFA" w:val="clear"/>
          </w:tcPr>
          <w:p>
            <w:r>
              <w:rPr>
                <w:sz w:val="17"/>
              </w:rPr>
              <w:t>3,584</w:t>
            </w:r>
          </w:p>
        </w:tc>
        <w:tc>
          <w:tcPr>
            <w:tcW w:type="dxa" w:w="1440"/>
            <w:shd w:fill="FAFAFA" w:val="clear"/>
          </w:tcPr>
          <w:p>
            <w:r>
              <w:rPr>
                <w:b/>
                <w:sz w:val="17"/>
              </w:rPr>
              <w:t>3,830</w:t>
            </w:r>
          </w:p>
        </w:tc>
        <w:tc>
          <w:tcPr>
            <w:tcW w:type="dxa" w:w="1440"/>
            <w:shd w:fill="FAFAFA" w:val="clear"/>
          </w:tcPr>
          <w:p>
            <w:r>
              <w:rPr>
                <w:sz w:val="17"/>
              </w:rPr>
              <w:t>4,076</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2026-09-29</w:t>
            </w:r>
          </w:p>
        </w:tc>
        <w:tc>
          <w:tcPr>
            <w:tcW w:type="dxa" w:w="1440"/>
            <w:shd w:fill="FAFAFA" w:val="clear"/>
          </w:tcPr>
          <w:p>
            <w:r>
              <w:rPr>
                <w:sz w:val="17"/>
              </w:rPr>
              <w:t>3,547</w:t>
            </w:r>
          </w:p>
        </w:tc>
        <w:tc>
          <w:tcPr>
            <w:tcW w:type="dxa" w:w="1440"/>
            <w:shd w:fill="FAFAFA" w:val="clear"/>
          </w:tcPr>
          <w:p>
            <w:r>
              <w:rPr>
                <w:b/>
                <w:sz w:val="17"/>
              </w:rPr>
              <w:t>3,831</w:t>
            </w:r>
          </w:p>
        </w:tc>
        <w:tc>
          <w:tcPr>
            <w:tcW w:type="dxa" w:w="1440"/>
            <w:shd w:fill="FAFAFA" w:val="clear"/>
          </w:tcPr>
          <w:p>
            <w:r>
              <w:rPr>
                <w:sz w:val="17"/>
              </w:rPr>
              <w:t>4,115</w:t>
            </w:r>
          </w:p>
        </w:tc>
        <w:tc>
          <w:tcPr>
            <w:tcW w:type="dxa" w:w="1440"/>
            <w:shd w:fill="FAFAFA" w:val="clear"/>
          </w:tcPr>
          <w:p>
            <w:r>
              <w:rPr>
                <w:b/>
                <w:color w:val="008000"/>
                <w:sz w:val="17"/>
              </w:rPr>
              <w:t>+0.8%</w:t>
            </w:r>
          </w:p>
        </w:tc>
      </w:tr>
      <w:tr>
        <w:tc>
          <w:tcPr>
            <w:tcW w:type="dxa" w:w="1440"/>
            <w:shd w:fill="FAFAFA" w:val="clear"/>
          </w:tcPr>
          <w:p>
            <w:r>
              <w:rPr>
                <w:sz w:val="17"/>
              </w:rPr>
              <w:t>J+5  ⭐</w:t>
            </w:r>
          </w:p>
        </w:tc>
        <w:tc>
          <w:tcPr>
            <w:tcW w:type="dxa" w:w="1440"/>
            <w:shd w:fill="FAFAFA" w:val="clear"/>
          </w:tcPr>
          <w:p>
            <w:r>
              <w:rPr>
                <w:sz w:val="17"/>
              </w:rPr>
              <w:t>2026-09-30</w:t>
            </w:r>
          </w:p>
        </w:tc>
        <w:tc>
          <w:tcPr>
            <w:tcW w:type="dxa" w:w="1440"/>
            <w:shd w:fill="FAFAFA" w:val="clear"/>
          </w:tcPr>
          <w:p>
            <w:r>
              <w:rPr>
                <w:sz w:val="17"/>
              </w:rPr>
              <w:t>3,513</w:t>
            </w:r>
          </w:p>
        </w:tc>
        <w:tc>
          <w:tcPr>
            <w:tcW w:type="dxa" w:w="1440"/>
            <w:shd w:fill="FAFAFA" w:val="clear"/>
          </w:tcPr>
          <w:p>
            <w:r>
              <w:rPr>
                <w:b/>
                <w:sz w:val="17"/>
              </w:rPr>
              <w:t>3,831</w:t>
            </w:r>
          </w:p>
        </w:tc>
        <w:tc>
          <w:tcPr>
            <w:tcW w:type="dxa" w:w="1440"/>
            <w:shd w:fill="FAFAFA" w:val="clear"/>
          </w:tcPr>
          <w:p>
            <w:r>
              <w:rPr>
                <w:sz w:val="17"/>
              </w:rPr>
              <w:t>4,148</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2026-10-01</w:t>
            </w:r>
          </w:p>
        </w:tc>
        <w:tc>
          <w:tcPr>
            <w:tcW w:type="dxa" w:w="1440"/>
            <w:shd w:fill="FAFAFA" w:val="clear"/>
          </w:tcPr>
          <w:p>
            <w:r>
              <w:rPr>
                <w:sz w:val="17"/>
              </w:rPr>
              <w:t>3,483</w:t>
            </w:r>
          </w:p>
        </w:tc>
        <w:tc>
          <w:tcPr>
            <w:tcW w:type="dxa" w:w="1440"/>
            <w:shd w:fill="FAFAFA" w:val="clear"/>
          </w:tcPr>
          <w:p>
            <w:r>
              <w:rPr>
                <w:b/>
                <w:sz w:val="17"/>
              </w:rPr>
              <w:t>3,831</w:t>
            </w:r>
          </w:p>
        </w:tc>
        <w:tc>
          <w:tcPr>
            <w:tcW w:type="dxa" w:w="1440"/>
            <w:shd w:fill="FAFAFA" w:val="clear"/>
          </w:tcPr>
          <w:p>
            <w:r>
              <w:rPr>
                <w:sz w:val="17"/>
              </w:rPr>
              <w:t>4,179</w:t>
            </w:r>
          </w:p>
        </w:tc>
        <w:tc>
          <w:tcPr>
            <w:tcW w:type="dxa" w:w="1440"/>
            <w:shd w:fill="FAFAFA" w:val="clear"/>
          </w:tcPr>
          <w:p>
            <w:r>
              <w:rPr>
                <w:b/>
                <w:color w:val="008000"/>
                <w:sz w:val="17"/>
              </w:rPr>
              <w:t>+0.8%</w:t>
            </w:r>
          </w:p>
        </w:tc>
      </w:tr>
      <w:tr>
        <w:tc>
          <w:tcPr>
            <w:tcW w:type="dxa" w:w="1440"/>
            <w:shd w:fill="FAFAFA" w:val="clear"/>
          </w:tcPr>
          <w:p>
            <w:r>
              <w:rPr>
                <w:sz w:val="17"/>
              </w:rPr>
              <w:t>J+7  ⭐</w:t>
            </w:r>
          </w:p>
        </w:tc>
        <w:tc>
          <w:tcPr>
            <w:tcW w:type="dxa" w:w="1440"/>
            <w:shd w:fill="FAFAFA" w:val="clear"/>
          </w:tcPr>
          <w:p>
            <w:r>
              <w:rPr>
                <w:sz w:val="17"/>
              </w:rPr>
              <w:t>2026-10-02</w:t>
            </w:r>
          </w:p>
        </w:tc>
        <w:tc>
          <w:tcPr>
            <w:tcW w:type="dxa" w:w="1440"/>
            <w:shd w:fill="FAFAFA" w:val="clear"/>
          </w:tcPr>
          <w:p>
            <w:r>
              <w:rPr>
                <w:sz w:val="17"/>
              </w:rPr>
              <w:t>3,455</w:t>
            </w:r>
          </w:p>
        </w:tc>
        <w:tc>
          <w:tcPr>
            <w:tcW w:type="dxa" w:w="1440"/>
            <w:shd w:fill="FAFAFA" w:val="clear"/>
          </w:tcPr>
          <w:p>
            <w:r>
              <w:rPr>
                <w:b/>
                <w:sz w:val="17"/>
              </w:rPr>
              <w:t>3,831</w:t>
            </w:r>
          </w:p>
        </w:tc>
        <w:tc>
          <w:tcPr>
            <w:tcW w:type="dxa" w:w="1440"/>
            <w:shd w:fill="FAFAFA" w:val="clear"/>
          </w:tcPr>
          <w:p>
            <w:r>
              <w:rPr>
                <w:sz w:val="17"/>
              </w:rPr>
              <w:t>4,206</w:t>
            </w:r>
          </w:p>
        </w:tc>
        <w:tc>
          <w:tcPr>
            <w:tcW w:type="dxa" w:w="1440"/>
            <w:shd w:fill="FAFAFA" w:val="clear"/>
          </w:tcPr>
          <w:p>
            <w:r>
              <w:rPr>
                <w:b/>
                <w:color w:val="008000"/>
                <w:sz w:val="17"/>
              </w:rPr>
              <w:t>+0.8%</w:t>
            </w:r>
          </w:p>
        </w:tc>
      </w:tr>
      <w:tr>
        <w:tc>
          <w:tcPr>
            <w:tcW w:type="dxa" w:w="1440"/>
            <w:shd w:fill="FAFAFA" w:val="clear"/>
          </w:tcPr>
          <w:p>
            <w:r>
              <w:rPr>
                <w:sz w:val="17"/>
              </w:rPr>
              <w:t>J+8  ⭐</w:t>
            </w:r>
          </w:p>
        </w:tc>
        <w:tc>
          <w:tcPr>
            <w:tcW w:type="dxa" w:w="1440"/>
            <w:shd w:fill="FAFAFA" w:val="clear"/>
          </w:tcPr>
          <w:p>
            <w:r>
              <w:rPr>
                <w:sz w:val="17"/>
              </w:rPr>
              <w:t>2026-10-05</w:t>
            </w:r>
          </w:p>
        </w:tc>
        <w:tc>
          <w:tcPr>
            <w:tcW w:type="dxa" w:w="1440"/>
            <w:shd w:fill="FAFAFA" w:val="clear"/>
          </w:tcPr>
          <w:p>
            <w:r>
              <w:rPr>
                <w:sz w:val="17"/>
              </w:rPr>
              <w:t>3,429</w:t>
            </w:r>
          </w:p>
        </w:tc>
        <w:tc>
          <w:tcPr>
            <w:tcW w:type="dxa" w:w="1440"/>
            <w:shd w:fill="FAFAFA" w:val="clear"/>
          </w:tcPr>
          <w:p>
            <w:r>
              <w:rPr>
                <w:b/>
                <w:sz w:val="17"/>
              </w:rPr>
              <w:t>3,831</w:t>
            </w:r>
          </w:p>
        </w:tc>
        <w:tc>
          <w:tcPr>
            <w:tcW w:type="dxa" w:w="1440"/>
            <w:shd w:fill="FAFAFA" w:val="clear"/>
          </w:tcPr>
          <w:p>
            <w:r>
              <w:rPr>
                <w:sz w:val="17"/>
              </w:rPr>
              <w:t>4,232</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2026-10-06</w:t>
            </w:r>
          </w:p>
        </w:tc>
        <w:tc>
          <w:tcPr>
            <w:tcW w:type="dxa" w:w="1440"/>
            <w:shd w:fill="FAFAFA" w:val="clear"/>
          </w:tcPr>
          <w:p>
            <w:r>
              <w:rPr>
                <w:sz w:val="17"/>
              </w:rPr>
              <w:t>3,404</w:t>
            </w:r>
          </w:p>
        </w:tc>
        <w:tc>
          <w:tcPr>
            <w:tcW w:type="dxa" w:w="1440"/>
            <w:shd w:fill="FAFAFA" w:val="clear"/>
          </w:tcPr>
          <w:p>
            <w:r>
              <w:rPr>
                <w:b/>
                <w:sz w:val="17"/>
              </w:rPr>
              <w:t>3,830</w:t>
            </w:r>
          </w:p>
        </w:tc>
        <w:tc>
          <w:tcPr>
            <w:tcW w:type="dxa" w:w="1440"/>
            <w:shd w:fill="FAFAFA" w:val="clear"/>
          </w:tcPr>
          <w:p>
            <w:r>
              <w:rPr>
                <w:sz w:val="17"/>
              </w:rPr>
              <w:t>4,256</w:t>
            </w:r>
          </w:p>
        </w:tc>
        <w:tc>
          <w:tcPr>
            <w:tcW w:type="dxa" w:w="1440"/>
            <w:shd w:fill="FAFAFA" w:val="clear"/>
          </w:tcPr>
          <w:p>
            <w:r>
              <w:rPr>
                <w:b/>
                <w:color w:val="008000"/>
                <w:sz w:val="17"/>
              </w:rPr>
              <w:t>+0.8%</w:t>
            </w:r>
          </w:p>
        </w:tc>
      </w:tr>
      <w:tr>
        <w:tc>
          <w:tcPr>
            <w:tcW w:type="dxa" w:w="1440"/>
            <w:shd w:fill="FAFAFA" w:val="clear"/>
          </w:tcPr>
          <w:p>
            <w:r>
              <w:rPr>
                <w:sz w:val="17"/>
              </w:rPr>
              <w:t>J+10  ⭐</w:t>
            </w:r>
          </w:p>
        </w:tc>
        <w:tc>
          <w:tcPr>
            <w:tcW w:type="dxa" w:w="1440"/>
            <w:shd w:fill="FAFAFA" w:val="clear"/>
          </w:tcPr>
          <w:p>
            <w:r>
              <w:rPr>
                <w:sz w:val="17"/>
              </w:rPr>
              <w:t>2026-10-07</w:t>
            </w:r>
          </w:p>
        </w:tc>
        <w:tc>
          <w:tcPr>
            <w:tcW w:type="dxa" w:w="1440"/>
            <w:shd w:fill="FAFAFA" w:val="clear"/>
          </w:tcPr>
          <w:p>
            <w:r>
              <w:rPr>
                <w:sz w:val="17"/>
              </w:rPr>
              <w:t>3,381</w:t>
            </w:r>
          </w:p>
        </w:tc>
        <w:tc>
          <w:tcPr>
            <w:tcW w:type="dxa" w:w="1440"/>
            <w:shd w:fill="FAFAFA" w:val="clear"/>
          </w:tcPr>
          <w:p>
            <w:r>
              <w:rPr>
                <w:b/>
                <w:sz w:val="17"/>
              </w:rPr>
              <w:t>3,830</w:t>
            </w:r>
          </w:p>
        </w:tc>
        <w:tc>
          <w:tcPr>
            <w:tcW w:type="dxa" w:w="1440"/>
            <w:shd w:fill="FAFAFA" w:val="clear"/>
          </w:tcPr>
          <w:p>
            <w:r>
              <w:rPr>
                <w:sz w:val="17"/>
              </w:rPr>
              <w:t>4,279</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123,80 milliards FCFA, TTLS s'impose comme l'une des valeurs phares du compartiment énergétique de la BRVM, portée par un BPA de 208 FCFA par action. Le PER de 18,3x traduit une valorisation nettement supérieure à la moyenne du marché régional (8-12x), ce qui suggère que les investisseurs intègrent déjà une prime de qualité liée au leadership de la société et à la solidité de son actionnaire majoritaire (TotalEnergies, 69,1%). Le P/B de 4,38x confirme cette exigence : le marché valorise TTLS à plus de quatre fois sa valeur comptable, une prime qui n'est justifiée que par la régularité des dividendes et la robustesse du modèle. En revanche, l'EV/EBITDA de 7,8x, situé dans la fourchette raisonnable de 5-10x, indique que la valeur d'entreprise reste cohérente avec la capacité opérationnelle de génération de cash-flow, ce qui tempère le diagnostic d'une surévaluation excessive.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affiche une progression remarquable de +18,38%, bien que la dernière séance (J-1) marque un léger repli de -0,39%, signalant une pause dans le mouvement haussier. Le cours actuel de 3 800 FCFA se situe dans la partie haute du range de trading, dont le plus bas a été touché à 2 845 FCFA et le plus haut à 4 500 FCFA, soit une amplitude de 58% qui témoigne d'une réelle dynamique acheteuse sur la période. La tendance générale est donc clairement haussière, soutenue par un volume moyen quotidien de 2 628 titres, relativement modeste mais suffisant pour valider les mouvements. Les statistiques descriptives révèlent une distribution quasi-normale : la moyenne (3 624 FCFA) et la médiane (3 652 FCFA) sont très proches, tandis que le mode à 3 800 FCFA coïncide avec le cours actuel, suggérant un point d'équilibre solide. L'écart-type de 359 FCFA et le coefficient de variation de 9,9% indiquent une dispersion modérée, et le kurtosis de -0,270 (mésokurtique) ainsi que le skewness de -0,099 (distribution symétrique) confirment l'absence de pics extrêmes ou d'asymétrie marquée. Toutefois, la volatilité annualisée de 44,1% classe le titre dans la catégorie des valeurs à volatilité élevée (&gt;30%), ce qui implique un risque de fluctuation important à court terme, à mettre en perspective avec le potentiel de rendement.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(3 850,25 FCFA) et la MM50 (3 790,40 FCFA) encadrent le cours actuel de 3 800 FCFA, ce dernier se situant légèrement au-dessus de la MM50 mais en dessous de la MM20. Cette configuration, avec une MM20 supérieure à la MM50, dessine une structure haussière de fond, bien que le cours évolue dans une zone de consolidation. La décision technique qui en résulte est un **Achat**, la MM50 jouant le rôle de support dynamique immédiat.</w:t>
      </w:r>
    </w:p>
    <w:p>
      <w:pPr>
        <w:spacing w:after="120" w:line="276" w:lineRule="auto"/>
      </w:pPr>
      <w:r>
        <w:t>**Bandes de Bollinger** : Le cours (3 800 FCFA) se situe à mi-chemin entre la borne inférieure (3 698,75 FCFA) et la borne supérieure (4 001,75 FCFA), ce qui traduit une position neutre dans le canal. L'absence de contact avec les bornes indique une volatilité contenue à court terme, sans signal de surachat ou de survente. La décision technique est donc **Neutre**, le marché attendant un catalyseur pour choisir une direction.</w:t>
      </w:r>
    </w:p>
    <w:p>
      <w:pPr>
        <w:spacing w:after="120" w:line="276" w:lineRule="auto"/>
      </w:pPr>
      <w:r>
        <w:t>**MACD** : La valeur du MACD (22,623) est inférieure à sa ligne de signal (33,888), générant un croisement baissier qui pèse sur le momentum. Cette divergence négative suggère un essoufflement de la dynamique haussière récente, bien que les deux courbes restent en territoire positif. La décision technique qui en découle est **Vente**, signalant une prudence à court terme.</w:t>
      </w:r>
    </w:p>
    <w:p>
      <w:pPr>
        <w:spacing w:after="120" w:line="276" w:lineRule="auto"/>
      </w:pPr>
      <w:r>
        <w:t>**RSI** : À 46,753, le RSI se situe dans la zone neutre (30-70), sans approcher les seuils de surachat (70) ou de survente (30). Cette position médiane indique un équilibre entre acheteurs et vendeurs, sans pression directionnelle forte. La décision technique est **Neutre**, confirmant l'absence de signal clair.</w:t>
      </w:r>
    </w:p>
    <w:p>
      <w:pPr>
        <w:spacing w:after="120" w:line="276" w:lineRule="auto"/>
      </w:pPr>
      <w:r>
        <w:t>**Stochastique** : Le %K (4,762) est très bas et inférieur au %D (15,079), ce qui place l'indicateur en zone de survente extrême. Historiquement, une telle configuration précède souvent un rebond technique, ce qui justifie la décision **Achat** malgré la faiblesse actuelle du momentum.</w:t>
      </w:r>
    </w:p>
    <w:p>
      <w:pPr>
        <w:spacing w:after="120" w:line="276" w:lineRule="auto"/>
      </w:pPr>
      <w:r>
        <w:t>**Conclusion technique** : Les indicateurs techniques présentent un tableau mitigé, avec une structure de fond haussière (MM) mais un momentum affaibli (MACD baissier) et une position neutre du RSI. Le stochastique en survente extrême constitue le principal signal d'achat à court terme, tandis que les Bandes de Bollinger confirment l'absence de tension directionnelle immédiate. La convergence partielle des signaux plaide pour une consolidation avant une reprise éventuelle, avec un support clé à surveiller autour de 3 700 FCFA (borne inférieure de Bollinger) et une résistance à 3 850 FCFA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brossent le portrait d'une entreprise solide mais confrontée à une transition stratégique majeure. Le chiffre d'affaires s'établit à 455,209 milliards FCFA, en repli de 6,13% sur un an, conséquence directe de l'arrêt volontaire de la commercialisation du fuel lourd (39,5 milliards FCFA de CA en 2024). Le résultat net ressort à 6,779 milliards FCFA, en baisse de 5,1% par rapport à 2024 (7,140 milliards), avec une marge nette de 1,49%, typique du secteur de la distribution pétrolière. La rentabilité des fonds propres (ROE) demeure excellente à 24,01%, bien au-dessus du seuil de 15%, tandis que le ROA de 3,95% reflète la faible intensité capitalistique de l'activité. La structure financière est saine : l'autonomie financière de 16,44% reste inférieure au seuil de 30%, mais le BFR négatif de -36,899 milliards FCFA constitue un atout majeur, traduisant un financement favorable par les fournisseurs (délai fournisseurs de 97,76 jours contre 47,43 jours pour les clients). La trésorerie nette positive de 13,941 milliards FCFA et la couverture des intérêts de 485,91% témoignent d'une gestion financière prudente. Sur le plan opérationnel, le rapport du T1 2026 (publié le 4 mai 2026) révèle une résilience remarquable : malgré une baisse de 10% du CA à 99,9 milliards FCFA (due à la révision réglementaire des prix à la pompe en décembre 2025), le résultat d'exploitation progresse de 28% à 2,623 milliards FCFA et le résultat net de 5% à 1,585 milliards FCFA, grâce à l'amélioration des marges sur les lubrifiants. On estime donc que l'exercice 2026 devrait confirmer cette tendance, avec un résultat net annuel potentiellement supérieur à 6,5 milliards FCFA si la dynamique des marges se maintient. Le rapport annuel 2025 (publié le 4 mai 2026) confirme la solidité du bilan avec des capitaux propres de 28,239 milliards FCFA et une trésorerie en forte hausse à 20,567 milliards FCFA. La recommandation fondamentale est donc **CONSERVER**, la société démontrant une capacité à générer des profits stables malgré un environnement réglementaire contraignant, avec un risque principal lié à la dépendance aux décisions de l'État sénégalais sur les prix des carburants.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convergence partielle des signaux, avec une valorisation exigeante mais justifiée par la qualité des fondamentaux. Les ratios de valorisation (PER 18,3x, P/B 4,38x) indiquent une surévaluation relative par rapport à la moyenne du marché BRVM, mais l'EV/EBITDA de 7,8x tempère ce diagnostic en montrant que la valeur d'entreprise reste cohérente avec la capacité opérationnelle. Le comportement du cours sur 100 jours est haussier (+18,38%) avec une volatilité élevée (44,1%) et une distribution symétrique (skewness -0,099, kurtosis -0,270), ce qui suggère un potentiel de rendement attractif mais un risque de fluctuation important. Les signaux techniques sont mitigés : la structure des moyennes mobiles est haussière, le stochastique en survente extrême plaide pour un rebond, mais le MACD baissier et le RSI neutre appellent à la prudence à court terme. Les fondamentaux sont solides, avec un ROE de 24,01%, un BFR négatif favorable et une résilience opérationnelle démontrée au T1 2026 (résultat d'exploitation +28%). Les prédictions IA pour les 10 prochains jours (3 824 à 3 831 FCFA) anticipent une légère appréciation de +0,6% à +0,8%, ce qui confirme la tendance haussière de fond sans signaler d'accélération majeure. Sur la base de cette synthèse, la recommandation finale est **CONSERVER**, avec un niveau de confiance **Moyen** et un risque global **Moyen**. L'horizon d'investissement optimal est le **moyen terme (3-12 mois)**, le temps que la stratégie de diversification (GPL, lubrifiants, export) porte ses fruits et que la politique de dividende soit clarifiée. Un passage à l'achat serait justifié si le titre revenait vers 3 600-3 650 FCFA (zone de support) ou si les résultats semestriels 2026 confirmaient l'accélération des marges.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449.99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49,000 FCFA</w:t>
            </w:r>
          </w:p>
          <w:p>
            <w:r>
              <w:rPr>
                <w:b/>
                <w:color w:val="503200"/>
                <w:sz w:val="16"/>
              </w:rPr>
              <w:t xml:space="preserve">Var. 100 jours : </w:t>
            </w:r>
            <w:r>
              <w:rPr>
                <w:b/>
                <w:color w:val="B40000"/>
                <w:sz w:val="17"/>
              </w:rPr>
              <w:t>-16.95%</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49,000 FCFA</w:t>
            </w:r>
          </w:p>
          <w:p>
            <w:r>
              <w:rPr>
                <w:b/>
                <w:color w:val="503200"/>
                <w:sz w:val="16"/>
              </w:rPr>
              <w:t xml:space="preserve">Volatilité ann. : </w:t>
            </w:r>
            <w:r>
              <w:rPr>
                <w:color w:val="000000"/>
                <w:sz w:val="17"/>
              </w:rPr>
              <w:t>59.9%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26.6/100 → Moyen</w:t>
      </w:r>
    </w:p>
    <w:p>
      <w:pPr>
        <w:spacing w:before="40" w:after="80"/>
      </w:pPr>
      <w:r>
        <w:rPr>
          <w:rFonts w:ascii="Courier New" w:hAnsi="Courier New"/>
          <w:color w:val="825A00"/>
          <w:sz w:val="18"/>
        </w:rPr>
        <w:t>█████░░░░░░░░░░░░░░░  26.6/100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5.56% (Moyenne) — μ=55,343 FCFA, σ=3,079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β=0.0373 (Défensif) — Cov=0.000002, Var(idx)=0.000041, ρ=0.006,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σ_j=3.77%/j (Modérée) — Vol. annualisée≈59.9%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2026-09-24</w:t>
            </w:r>
          </w:p>
        </w:tc>
        <w:tc>
          <w:tcPr>
            <w:tcW w:type="dxa" w:w="1440"/>
            <w:shd w:fill="C6EFCE" w:val="clear"/>
          </w:tcPr>
          <w:p>
            <w:r>
              <w:rPr>
                <w:sz w:val="17"/>
              </w:rPr>
              <w:t>47,657</w:t>
            </w:r>
          </w:p>
        </w:tc>
        <w:tc>
          <w:tcPr>
            <w:tcW w:type="dxa" w:w="1440"/>
            <w:shd w:fill="C6EFCE" w:val="clear"/>
          </w:tcPr>
          <w:p>
            <w:r>
              <w:rPr>
                <w:b/>
                <w:sz w:val="17"/>
              </w:rPr>
              <w:t>50,782</w:t>
            </w:r>
          </w:p>
        </w:tc>
        <w:tc>
          <w:tcPr>
            <w:tcW w:type="dxa" w:w="1440"/>
            <w:shd w:fill="C6EFCE" w:val="clear"/>
          </w:tcPr>
          <w:p>
            <w:r>
              <w:rPr>
                <w:sz w:val="17"/>
              </w:rPr>
              <w:t>53,906</w:t>
            </w:r>
          </w:p>
        </w:tc>
        <w:tc>
          <w:tcPr>
            <w:tcW w:type="dxa" w:w="1440"/>
            <w:shd w:fill="C6EFCE" w:val="clear"/>
          </w:tcPr>
          <w:p>
            <w:r>
              <w:rPr>
                <w:b/>
                <w:color w:val="008000"/>
                <w:sz w:val="17"/>
              </w:rPr>
              <w:t>+3.6%</w:t>
            </w:r>
          </w:p>
        </w:tc>
      </w:tr>
      <w:tr>
        <w:tc>
          <w:tcPr>
            <w:tcW w:type="dxa" w:w="1440"/>
            <w:shd w:fill="C6EFCE" w:val="clear"/>
          </w:tcPr>
          <w:p>
            <w:r>
              <w:rPr>
                <w:sz w:val="17"/>
              </w:rPr>
              <w:t>J+2  ⭐</w:t>
            </w:r>
          </w:p>
        </w:tc>
        <w:tc>
          <w:tcPr>
            <w:tcW w:type="dxa" w:w="1440"/>
            <w:shd w:fill="C6EFCE" w:val="clear"/>
          </w:tcPr>
          <w:p>
            <w:r>
              <w:rPr>
                <w:sz w:val="17"/>
              </w:rPr>
              <w:t>2026-09-25</w:t>
            </w:r>
          </w:p>
        </w:tc>
        <w:tc>
          <w:tcPr>
            <w:tcW w:type="dxa" w:w="1440"/>
            <w:shd w:fill="C6EFCE" w:val="clear"/>
          </w:tcPr>
          <w:p>
            <w:r>
              <w:rPr>
                <w:sz w:val="17"/>
              </w:rPr>
              <w:t>46,113</w:t>
            </w:r>
          </w:p>
        </w:tc>
        <w:tc>
          <w:tcPr>
            <w:tcW w:type="dxa" w:w="1440"/>
            <w:shd w:fill="C6EFCE" w:val="clear"/>
          </w:tcPr>
          <w:p>
            <w:r>
              <w:rPr>
                <w:b/>
                <w:sz w:val="17"/>
              </w:rPr>
              <w:t>50,508</w:t>
            </w:r>
          </w:p>
        </w:tc>
        <w:tc>
          <w:tcPr>
            <w:tcW w:type="dxa" w:w="1440"/>
            <w:shd w:fill="C6EFCE" w:val="clear"/>
          </w:tcPr>
          <w:p>
            <w:r>
              <w:rPr>
                <w:sz w:val="17"/>
              </w:rPr>
              <w:t>54,903</w:t>
            </w:r>
          </w:p>
        </w:tc>
        <w:tc>
          <w:tcPr>
            <w:tcW w:type="dxa" w:w="1440"/>
            <w:shd w:fill="C6EFCE" w:val="clear"/>
          </w:tcPr>
          <w:p>
            <w:r>
              <w:rPr>
                <w:b/>
                <w:color w:val="008000"/>
                <w:sz w:val="17"/>
              </w:rPr>
              <w:t>+3.1%</w:t>
            </w:r>
          </w:p>
        </w:tc>
      </w:tr>
      <w:tr>
        <w:tc>
          <w:tcPr>
            <w:tcW w:type="dxa" w:w="1440"/>
            <w:shd w:fill="C6EFCE" w:val="clear"/>
          </w:tcPr>
          <w:p>
            <w:r>
              <w:rPr>
                <w:sz w:val="17"/>
              </w:rPr>
              <w:t>J+3  ⭐</w:t>
            </w:r>
          </w:p>
        </w:tc>
        <w:tc>
          <w:tcPr>
            <w:tcW w:type="dxa" w:w="1440"/>
            <w:shd w:fill="C6EFCE" w:val="clear"/>
          </w:tcPr>
          <w:p>
            <w:r>
              <w:rPr>
                <w:sz w:val="17"/>
              </w:rPr>
              <w:t>2026-09-28</w:t>
            </w:r>
          </w:p>
        </w:tc>
        <w:tc>
          <w:tcPr>
            <w:tcW w:type="dxa" w:w="1440"/>
            <w:shd w:fill="C6EFCE" w:val="clear"/>
          </w:tcPr>
          <w:p>
            <w:r>
              <w:rPr>
                <w:sz w:val="17"/>
              </w:rPr>
              <w:t>45,045</w:t>
            </w:r>
          </w:p>
        </w:tc>
        <w:tc>
          <w:tcPr>
            <w:tcW w:type="dxa" w:w="1440"/>
            <w:shd w:fill="C6EFCE" w:val="clear"/>
          </w:tcPr>
          <w:p>
            <w:r>
              <w:rPr>
                <w:b/>
                <w:sz w:val="17"/>
              </w:rPr>
              <w:t>50,418</w:t>
            </w:r>
          </w:p>
        </w:tc>
        <w:tc>
          <w:tcPr>
            <w:tcW w:type="dxa" w:w="1440"/>
            <w:shd w:fill="C6EFCE" w:val="clear"/>
          </w:tcPr>
          <w:p>
            <w:r>
              <w:rPr>
                <w:sz w:val="17"/>
              </w:rPr>
              <w:t>55,792</w:t>
            </w:r>
          </w:p>
        </w:tc>
        <w:tc>
          <w:tcPr>
            <w:tcW w:type="dxa" w:w="1440"/>
            <w:shd w:fill="C6EFCE" w:val="clear"/>
          </w:tcPr>
          <w:p>
            <w:r>
              <w:rPr>
                <w:b/>
                <w:color w:val="008000"/>
                <w:sz w:val="17"/>
              </w:rPr>
              <w:t>+2.9%</w:t>
            </w:r>
          </w:p>
        </w:tc>
      </w:tr>
      <w:tr>
        <w:tc>
          <w:tcPr>
            <w:tcW w:type="dxa" w:w="1440"/>
            <w:shd w:fill="C6EFCE" w:val="clear"/>
          </w:tcPr>
          <w:p>
            <w:r>
              <w:rPr>
                <w:sz w:val="17"/>
              </w:rPr>
              <w:t>J+4  ⭐</w:t>
            </w:r>
          </w:p>
        </w:tc>
        <w:tc>
          <w:tcPr>
            <w:tcW w:type="dxa" w:w="1440"/>
            <w:shd w:fill="C6EFCE" w:val="clear"/>
          </w:tcPr>
          <w:p>
            <w:r>
              <w:rPr>
                <w:sz w:val="17"/>
              </w:rPr>
              <w:t>2026-09-29</w:t>
            </w:r>
          </w:p>
        </w:tc>
        <w:tc>
          <w:tcPr>
            <w:tcW w:type="dxa" w:w="1440"/>
            <w:shd w:fill="C6EFCE" w:val="clear"/>
          </w:tcPr>
          <w:p>
            <w:r>
              <w:rPr>
                <w:sz w:val="17"/>
              </w:rPr>
              <w:t>44,177</w:t>
            </w:r>
          </w:p>
        </w:tc>
        <w:tc>
          <w:tcPr>
            <w:tcW w:type="dxa" w:w="1440"/>
            <w:shd w:fill="C6EFCE" w:val="clear"/>
          </w:tcPr>
          <w:p>
            <w:r>
              <w:rPr>
                <w:b/>
                <w:sz w:val="17"/>
              </w:rPr>
              <w:t>50,377</w:t>
            </w:r>
          </w:p>
        </w:tc>
        <w:tc>
          <w:tcPr>
            <w:tcW w:type="dxa" w:w="1440"/>
            <w:shd w:fill="C6EFCE" w:val="clear"/>
          </w:tcPr>
          <w:p>
            <w:r>
              <w:rPr>
                <w:sz w:val="17"/>
              </w:rPr>
              <w:t>56,576</w:t>
            </w:r>
          </w:p>
        </w:tc>
        <w:tc>
          <w:tcPr>
            <w:tcW w:type="dxa" w:w="1440"/>
            <w:shd w:fill="C6EFCE" w:val="clear"/>
          </w:tcPr>
          <w:p>
            <w:r>
              <w:rPr>
                <w:b/>
                <w:color w:val="008000"/>
                <w:sz w:val="17"/>
              </w:rPr>
              <w:t>+2.8%</w:t>
            </w:r>
          </w:p>
        </w:tc>
      </w:tr>
      <w:tr>
        <w:tc>
          <w:tcPr>
            <w:tcW w:type="dxa" w:w="1440"/>
            <w:shd w:fill="C6EFCE" w:val="clear"/>
          </w:tcPr>
          <w:p>
            <w:r>
              <w:rPr>
                <w:sz w:val="17"/>
              </w:rPr>
              <w:t>J+5  ⭐</w:t>
            </w:r>
          </w:p>
        </w:tc>
        <w:tc>
          <w:tcPr>
            <w:tcW w:type="dxa" w:w="1440"/>
            <w:shd w:fill="C6EFCE" w:val="clear"/>
          </w:tcPr>
          <w:p>
            <w:r>
              <w:rPr>
                <w:sz w:val="17"/>
              </w:rPr>
              <w:t>2026-09-30</w:t>
            </w:r>
          </w:p>
        </w:tc>
        <w:tc>
          <w:tcPr>
            <w:tcW w:type="dxa" w:w="1440"/>
            <w:shd w:fill="C6EFCE" w:val="clear"/>
          </w:tcPr>
          <w:p>
            <w:r>
              <w:rPr>
                <w:sz w:val="17"/>
              </w:rPr>
              <w:t>43,425</w:t>
            </w:r>
          </w:p>
        </w:tc>
        <w:tc>
          <w:tcPr>
            <w:tcW w:type="dxa" w:w="1440"/>
            <w:shd w:fill="C6EFCE" w:val="clear"/>
          </w:tcPr>
          <w:p>
            <w:r>
              <w:rPr>
                <w:b/>
                <w:sz w:val="17"/>
              </w:rPr>
              <w:t>50,352</w:t>
            </w:r>
          </w:p>
        </w:tc>
        <w:tc>
          <w:tcPr>
            <w:tcW w:type="dxa" w:w="1440"/>
            <w:shd w:fill="C6EFCE" w:val="clear"/>
          </w:tcPr>
          <w:p>
            <w:r>
              <w:rPr>
                <w:sz w:val="17"/>
              </w:rPr>
              <w:t>57,280</w:t>
            </w:r>
          </w:p>
        </w:tc>
        <w:tc>
          <w:tcPr>
            <w:tcW w:type="dxa" w:w="1440"/>
            <w:shd w:fill="C6EFCE" w:val="clear"/>
          </w:tcPr>
          <w:p>
            <w:r>
              <w:rPr>
                <w:b/>
                <w:color w:val="008000"/>
                <w:sz w:val="17"/>
              </w:rPr>
              <w:t>+2.8%</w:t>
            </w:r>
          </w:p>
        </w:tc>
      </w:tr>
      <w:tr>
        <w:tc>
          <w:tcPr>
            <w:tcW w:type="dxa" w:w="1440"/>
            <w:shd w:fill="C6EFCE" w:val="clear"/>
          </w:tcPr>
          <w:p>
            <w:r>
              <w:rPr>
                <w:sz w:val="17"/>
              </w:rPr>
              <w:t>J+6  ⭐</w:t>
            </w:r>
          </w:p>
        </w:tc>
        <w:tc>
          <w:tcPr>
            <w:tcW w:type="dxa" w:w="1440"/>
            <w:shd w:fill="C6EFCE" w:val="clear"/>
          </w:tcPr>
          <w:p>
            <w:r>
              <w:rPr>
                <w:sz w:val="17"/>
              </w:rPr>
              <w:t>2026-10-01</w:t>
            </w:r>
          </w:p>
        </w:tc>
        <w:tc>
          <w:tcPr>
            <w:tcW w:type="dxa" w:w="1440"/>
            <w:shd w:fill="C6EFCE" w:val="clear"/>
          </w:tcPr>
          <w:p>
            <w:r>
              <w:rPr>
                <w:sz w:val="17"/>
              </w:rPr>
              <w:t>42,749</w:t>
            </w:r>
          </w:p>
        </w:tc>
        <w:tc>
          <w:tcPr>
            <w:tcW w:type="dxa" w:w="1440"/>
            <w:shd w:fill="C6EFCE" w:val="clear"/>
          </w:tcPr>
          <w:p>
            <w:r>
              <w:rPr>
                <w:b/>
                <w:sz w:val="17"/>
              </w:rPr>
              <w:t>50,336</w:t>
            </w:r>
          </w:p>
        </w:tc>
        <w:tc>
          <w:tcPr>
            <w:tcW w:type="dxa" w:w="1440"/>
            <w:shd w:fill="C6EFCE" w:val="clear"/>
          </w:tcPr>
          <w:p>
            <w:r>
              <w:rPr>
                <w:sz w:val="17"/>
              </w:rPr>
              <w:t>57,923</w:t>
            </w:r>
          </w:p>
        </w:tc>
        <w:tc>
          <w:tcPr>
            <w:tcW w:type="dxa" w:w="1440"/>
            <w:shd w:fill="C6EFCE" w:val="clear"/>
          </w:tcPr>
          <w:p>
            <w:r>
              <w:rPr>
                <w:b/>
                <w:color w:val="008000"/>
                <w:sz w:val="17"/>
              </w:rPr>
              <w:t>+2.7%</w:t>
            </w:r>
          </w:p>
        </w:tc>
      </w:tr>
      <w:tr>
        <w:tc>
          <w:tcPr>
            <w:tcW w:type="dxa" w:w="1440"/>
            <w:shd w:fill="C6EFCE" w:val="clear"/>
          </w:tcPr>
          <w:p>
            <w:r>
              <w:rPr>
                <w:sz w:val="17"/>
              </w:rPr>
              <w:t>J+7  ⭐</w:t>
            </w:r>
          </w:p>
        </w:tc>
        <w:tc>
          <w:tcPr>
            <w:tcW w:type="dxa" w:w="1440"/>
            <w:shd w:fill="C6EFCE" w:val="clear"/>
          </w:tcPr>
          <w:p>
            <w:r>
              <w:rPr>
                <w:sz w:val="17"/>
              </w:rPr>
              <w:t>2026-10-02</w:t>
            </w:r>
          </w:p>
        </w:tc>
        <w:tc>
          <w:tcPr>
            <w:tcW w:type="dxa" w:w="1440"/>
            <w:shd w:fill="C6EFCE" w:val="clear"/>
          </w:tcPr>
          <w:p>
            <w:r>
              <w:rPr>
                <w:sz w:val="17"/>
              </w:rPr>
              <w:t>42,132</w:t>
            </w:r>
          </w:p>
        </w:tc>
        <w:tc>
          <w:tcPr>
            <w:tcW w:type="dxa" w:w="1440"/>
            <w:shd w:fill="C6EFCE" w:val="clear"/>
          </w:tcPr>
          <w:p>
            <w:r>
              <w:rPr>
                <w:b/>
                <w:sz w:val="17"/>
              </w:rPr>
              <w:t>50,324</w:t>
            </w:r>
          </w:p>
        </w:tc>
        <w:tc>
          <w:tcPr>
            <w:tcW w:type="dxa" w:w="1440"/>
            <w:shd w:fill="C6EFCE" w:val="clear"/>
          </w:tcPr>
          <w:p>
            <w:r>
              <w:rPr>
                <w:sz w:val="17"/>
              </w:rPr>
              <w:t>58,517</w:t>
            </w:r>
          </w:p>
        </w:tc>
        <w:tc>
          <w:tcPr>
            <w:tcW w:type="dxa" w:w="1440"/>
            <w:shd w:fill="C6EFCE" w:val="clear"/>
          </w:tcPr>
          <w:p>
            <w:r>
              <w:rPr>
                <w:b/>
                <w:color w:val="008000"/>
                <w:sz w:val="17"/>
              </w:rPr>
              <w:t>+2.7%</w:t>
            </w:r>
          </w:p>
        </w:tc>
      </w:tr>
      <w:tr>
        <w:tc>
          <w:tcPr>
            <w:tcW w:type="dxa" w:w="1440"/>
            <w:shd w:fill="C6EFCE" w:val="clear"/>
          </w:tcPr>
          <w:p>
            <w:r>
              <w:rPr>
                <w:sz w:val="17"/>
              </w:rPr>
              <w:t>J+8  ⭐</w:t>
            </w:r>
          </w:p>
        </w:tc>
        <w:tc>
          <w:tcPr>
            <w:tcW w:type="dxa" w:w="1440"/>
            <w:shd w:fill="C6EFCE" w:val="clear"/>
          </w:tcPr>
          <w:p>
            <w:r>
              <w:rPr>
                <w:sz w:val="17"/>
              </w:rPr>
              <w:t>2026-10-05</w:t>
            </w:r>
          </w:p>
        </w:tc>
        <w:tc>
          <w:tcPr>
            <w:tcW w:type="dxa" w:w="1440"/>
            <w:shd w:fill="C6EFCE" w:val="clear"/>
          </w:tcPr>
          <w:p>
            <w:r>
              <w:rPr>
                <w:sz w:val="17"/>
              </w:rPr>
              <w:t>41,559</w:t>
            </w:r>
          </w:p>
        </w:tc>
        <w:tc>
          <w:tcPr>
            <w:tcW w:type="dxa" w:w="1440"/>
            <w:shd w:fill="C6EFCE" w:val="clear"/>
          </w:tcPr>
          <w:p>
            <w:r>
              <w:rPr>
                <w:b/>
                <w:sz w:val="17"/>
              </w:rPr>
              <w:t>50,315</w:t>
            </w:r>
          </w:p>
        </w:tc>
        <w:tc>
          <w:tcPr>
            <w:tcW w:type="dxa" w:w="1440"/>
            <w:shd w:fill="C6EFCE" w:val="clear"/>
          </w:tcPr>
          <w:p>
            <w:r>
              <w:rPr>
                <w:sz w:val="17"/>
              </w:rPr>
              <w:t>59,072</w:t>
            </w:r>
          </w:p>
        </w:tc>
        <w:tc>
          <w:tcPr>
            <w:tcW w:type="dxa" w:w="1440"/>
            <w:shd w:fill="C6EFCE" w:val="clear"/>
          </w:tcPr>
          <w:p>
            <w:r>
              <w:rPr>
                <w:b/>
                <w:color w:val="008000"/>
                <w:sz w:val="17"/>
              </w:rPr>
              <w:t>+2.7%</w:t>
            </w:r>
          </w:p>
        </w:tc>
      </w:tr>
      <w:tr>
        <w:tc>
          <w:tcPr>
            <w:tcW w:type="dxa" w:w="1440"/>
            <w:shd w:fill="C6EFCE" w:val="clear"/>
          </w:tcPr>
          <w:p>
            <w:r>
              <w:rPr>
                <w:sz w:val="17"/>
              </w:rPr>
              <w:t>J+9  ⭐</w:t>
            </w:r>
          </w:p>
        </w:tc>
        <w:tc>
          <w:tcPr>
            <w:tcW w:type="dxa" w:w="1440"/>
            <w:shd w:fill="C6EFCE" w:val="clear"/>
          </w:tcPr>
          <w:p>
            <w:r>
              <w:rPr>
                <w:sz w:val="17"/>
              </w:rPr>
              <w:t>2026-10-06</w:t>
            </w:r>
          </w:p>
        </w:tc>
        <w:tc>
          <w:tcPr>
            <w:tcW w:type="dxa" w:w="1440"/>
            <w:shd w:fill="C6EFCE" w:val="clear"/>
          </w:tcPr>
          <w:p>
            <w:r>
              <w:rPr>
                <w:sz w:val="17"/>
              </w:rPr>
              <w:t>41,022</w:t>
            </w:r>
          </w:p>
        </w:tc>
        <w:tc>
          <w:tcPr>
            <w:tcW w:type="dxa" w:w="1440"/>
            <w:shd w:fill="C6EFCE" w:val="clear"/>
          </w:tcPr>
          <w:p>
            <w:r>
              <w:rPr>
                <w:b/>
                <w:sz w:val="17"/>
              </w:rPr>
              <w:t>50,308</w:t>
            </w:r>
          </w:p>
        </w:tc>
        <w:tc>
          <w:tcPr>
            <w:tcW w:type="dxa" w:w="1440"/>
            <w:shd w:fill="C6EFCE" w:val="clear"/>
          </w:tcPr>
          <w:p>
            <w:r>
              <w:rPr>
                <w:sz w:val="17"/>
              </w:rPr>
              <w:t>59,595</w:t>
            </w:r>
          </w:p>
        </w:tc>
        <w:tc>
          <w:tcPr>
            <w:tcW w:type="dxa" w:w="1440"/>
            <w:shd w:fill="C6EFCE" w:val="clear"/>
          </w:tcPr>
          <w:p>
            <w:r>
              <w:rPr>
                <w:b/>
                <w:color w:val="008000"/>
                <w:sz w:val="17"/>
              </w:rPr>
              <w:t>+2.7%</w:t>
            </w:r>
          </w:p>
        </w:tc>
      </w:tr>
      <w:tr>
        <w:tc>
          <w:tcPr>
            <w:tcW w:type="dxa" w:w="1440"/>
            <w:shd w:fill="C6EFCE" w:val="clear"/>
          </w:tcPr>
          <w:p>
            <w:r>
              <w:rPr>
                <w:sz w:val="17"/>
              </w:rPr>
              <w:t>J+10  ⭐</w:t>
            </w:r>
          </w:p>
        </w:tc>
        <w:tc>
          <w:tcPr>
            <w:tcW w:type="dxa" w:w="1440"/>
            <w:shd w:fill="C6EFCE" w:val="clear"/>
          </w:tcPr>
          <w:p>
            <w:r>
              <w:rPr>
                <w:sz w:val="17"/>
              </w:rPr>
              <w:t>2026-10-07</w:t>
            </w:r>
          </w:p>
        </w:tc>
        <w:tc>
          <w:tcPr>
            <w:tcW w:type="dxa" w:w="1440"/>
            <w:shd w:fill="C6EFCE" w:val="clear"/>
          </w:tcPr>
          <w:p>
            <w:r>
              <w:rPr>
                <w:sz w:val="17"/>
              </w:rPr>
              <w:t>40,514</w:t>
            </w:r>
          </w:p>
        </w:tc>
        <w:tc>
          <w:tcPr>
            <w:tcW w:type="dxa" w:w="1440"/>
            <w:shd w:fill="C6EFCE" w:val="clear"/>
          </w:tcPr>
          <w:p>
            <w:r>
              <w:rPr>
                <w:b/>
                <w:sz w:val="17"/>
              </w:rPr>
              <w:t>50,302</w:t>
            </w:r>
          </w:p>
        </w:tc>
        <w:tc>
          <w:tcPr>
            <w:tcW w:type="dxa" w:w="1440"/>
            <w:shd w:fill="C6EFCE" w:val="clear"/>
          </w:tcPr>
          <w:p>
            <w:r>
              <w:rPr>
                <w:sz w:val="17"/>
              </w:rPr>
              <w:t>60,090</w:t>
            </w:r>
          </w:p>
        </w:tc>
        <w:tc>
          <w:tcPr>
            <w:tcW w:type="dxa" w:w="1440"/>
            <w:shd w:fill="C6EFCE" w:val="clear"/>
          </w:tcPr>
          <w:p>
            <w:r>
              <w:rPr>
                <w:b/>
                <w:color w:val="008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CÔTE D'IVOIRE (UNLC)**</w:t>
        <w:br/>
        <w:t>*Bourse Régionale des Valeurs Mobilières (BRVM) — Marché UEMOA*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449,99 milliards FCFA pour un cours de 49 000 FCFA, ce qui positionne la société parmi les valeurs moyennes-capitalisations de la BRVM, loin derrière les poids lourds comme SONATEL ou Orange CI. Les ratios de valorisation boursière (BPA, PER, P/B, EV/EBITDA) ne sont pas calculables en l'absence de données financières structurées exploitables et de nombre d'actions en circulation confirmé dans la base de données. Toutefois, en croisant le bénéfice net 2023 de 640,3 millions FCFA (rapport du 31/12/2023) avec la capitalisation actuelle, le PER implicite ressortirait à un niveau extrêmement élevé (supérieur à 700x), signalant une décorrélation majeure entre le prix de marché et la rentabilité effective — un signal de surévaluation manifeste. Cette situation s'explique par la faiblesse structurelle des résultats et non par une prime de croissance, ce qui invite à la plus grande prudence.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affiche une variation totale de -16,95%, avec une chute brutale de -5,76% lors de la dernière séance (J-1), matérialisant une accélération baissière préoccupante. Le titre évolue dans un range de 49 000 FCFA (plus bas, égal au cours actuel) à 63 345 FCFA (plus haut), soit un écart de 14 345 FCFA qui traduit une érosion progressive mais continue des cours. La tendance générale est clairement baissière, le cours actuel se situant exactement sur son plus bas de période, ce qui constitue un signal de faiblesse majeur. Les statistiques descriptives révèlent une moyenne de 55 343 FCFA légèrement supérieure à la médiane de 55 100 FCFA, avec un mode à 58 000 FCFA : l'écart faible entre moyenne et médiane (243 FCFA) indique une distribution quasi-symétrique, confirmée par un skewness de 0,207 (asymétrie positive légère). L'écart-type de 3 094 FCFA et le coefficient de variation de 5,6% témoignent d'une dispersion modérée du cours autour de sa moyenne, tandis que le kurtosis de -0,486 (mésokurtique) suggère une distribution proche de la normale, sans risque de pics extrêmes marqués. La volatilité annualisée de 59,9% classe le titre dans la catégorie des valeurs à volatilité élevée (&gt;30%), ce qui implique un risque de perte en capital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(52 682 FCFA) et la MM50 (53 306 FCFA) se situent toutes deux nettement au-dessus du cours actuel (49 000 FCFA), avec la MM20 sous la MM50 — configuration baissière classique. Le cours évoluant sous ses deux moyennes, la pression vendeuse est confirmée et la décision technique est logiquement à la Vente.</w:t>
      </w:r>
    </w:p>
    <w:p>
      <w:pPr>
        <w:spacing w:after="120" w:line="276" w:lineRule="auto"/>
      </w:pPr>
      <w:r>
        <w:t>**Bandes de Bollinger** : Le cours (49 000 FCFA) se situe légèrement sous la borne inférieure (49 295,64 FCFA), signalant une situation de survente extrême et une possible exagération baissière à court terme. Cette position justifie la décision d'Achat technique, mais elle doit être pondérée par la tendance baissière sous-jacente.</w:t>
      </w:r>
    </w:p>
    <w:p>
      <w:pPr>
        <w:spacing w:after="120" w:line="276" w:lineRule="auto"/>
      </w:pPr>
      <w:r>
        <w:t>**MACD** : La valeur du MACD (-777,03) est inférieure à son signal (-492,81), avec un histogramme négatif — le momentum baissier est bien installé et s'accentue. La décision est à la Vente, le croisement baissier n'ayant pas encore montré de signe de retournement.</w:t>
      </w:r>
    </w:p>
    <w:p>
      <w:pPr>
        <w:spacing w:after="120" w:line="276" w:lineRule="auto"/>
      </w:pPr>
      <w:r>
        <w:t>**RSI** : À 37,28, le RSI se situe dans la zone neutre basse (30-70), sans atteindre le seuil de survente (&lt;30). La décision est Neutre, mais la proximité du seuil de survente suggère une possible stabilisation prochaine.</w:t>
      </w:r>
    </w:p>
    <w:p>
      <w:pPr>
        <w:spacing w:after="120" w:line="276" w:lineRule="auto"/>
      </w:pPr>
      <w:r>
        <w:t>**Stochastique** : Le %K à 0,0 (survente maximale) et le %D à 37,18 indiquent un croisement baissier marqué, avec le %K au plancher absolu. La décision est paradoxalement à l'Achat, car un %K à 0,0 signale souvent un point de retournement imminent.</w:t>
      </w:r>
    </w:p>
    <w:p>
      <w:pPr>
        <w:spacing w:after="120" w:line="276" w:lineRule="auto"/>
      </w:pPr>
      <w:r>
        <w:t>**Conclusion technique** : Les indicateurs sont majoritairement baissiers (MM, MACD), mais deux signaux de survente (Bollinger, Stochastique) plaident pour un rebond technique à court terme. La convergence partielle suggère une possible stabilisation autour de 49 000 FCFA avant une reprise ou une nouvelle jambe baissière.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des rapports antérieurs (2021, 2020). **Pour l'exercice 2023 (rapport du 31/12/2023)**, le chiffre d'affaires s'établit à 24 336 010 000 FCFA, stable par rapport à 2022, tandis que le résultat net redevient positif à 640 334 855 FCFA après une perte abyssale de -6 908 362 002 FCFA en 2022. La marge nette ressort à 2,63% en 2023, très en deçà de la moyenne sectorielle FMCG (5-10%), et les capitaux propres demeurent négatifs à -10 658 millions FCFA, fragilisant structurellement le bilan. **Pour l'exercice 2022 (rapport du 31/12/2022)**, le CA était de 24 336 010 000 FCFA avec une perte nette de -6 382 600 386 FCFA (marge nette de -26,2%), des charges de personnel de 12 953 millions FCFA et des dotations aux amortissements de 7 495 millions FCFA. **Pour l'exercice 2021 (rapport du 31/12/2021)**, le CA était identique (24 336 010 000 FCFA) mais le résultat net affichait un bénéfice de 6 090 755 732 FCFA (marge nette de 25,0%), avec un EBE positif de 2 391 millions FCFA. L'évolution 2021-2023 révèle une dégradation spectaculaire : passage d'un bénéfice de 6,1 Mds FCFA (2021) à une perte de -6,4 Mds FCFA (2022), puis un redressement timide à 0,64 Md FCFA (2023). Le ROE et le ROA ne sont pas calculables en raison de capitaux propres négatifs, ce qui constitue en soi un signal d'alerte majeur. Les rapports datant d'avant 2025, ils restent les seules références disponibles mais leur ancienneté (plus de 2 ans) limite leur pertinence pour l'investisseur actuel. La recommandation fondamentale est à la **prudence extrême** : la société présente une solidité financière précaire (capitaux propres négatifs, endettement de 4 379 millions FCFA en 2023), une rentabilité fragile et une absence de dividende, sans perspective de redressement durable confirmée.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converge vers un diagnostic défavorable. **Valorisation (Partie 0)** : l'absence de ratios calculables et le PER implicite prohibitif (&gt;700x) signalent une surévaluation manifeste au regard des bénéfices. **Comportement du cours (Partie 1)** : la tendance baissière (-16,95% sur 100 jours), le cours au plus bas de période et la volatilité élevée (59,9%) sont préoccupants, bien que la distribution quasi-normale (kurtosis -0,486, skewness 0,207) n'indique pas de risque de krach extrême. **Signaux techniques (Partie 2)** : divergence entre indicateurs baissiers (MM, MACD) et signaux de survente (Bollinger, Stochastique), suggérant un rebond technique possible mais fragile. **Fondamentaux (Partie 3)** : la situation financière reste précaire (capitaux propres négatifs, marge nette de 2,63% en 2023, absence de dividende), malgré le retour à un bénéfice modeste en 2023. **Prédictions IA (J+1 à J+10)** : la trajectoire prévue (50 782 → 50 352 FCFA) anticipe une légère reprise de +3,6% depuis 49 000 FCFA, confirmant le rebond technique attendu mais sans inversion de tendance durable. **Recommandation finale : VENTE** (ou CONSERVER avec vigilance extrême pour les investisseurs déjà positionnés). La convergence entre fondamentaux dégradés, tendance baissière et surévaluation l'emporte sur le rebond technique anticipé. **Niveau de confiance : Moyen** (les données fondamentales anciennes limitent la précision). **Niveau de risque global : Élevé** (volatilité, capitaux propres négatifs, absence de dividende). **Horizon d'investissement : Court terme** (&lt;3 mois) pour profiter du rebond technique, ou **évitement total** pour les investisseurs long terme en l'absence de redressement fondamental confirmé.</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45.65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13,521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007800"/>
                <w:sz w:val="17"/>
              </w:rPr>
              <w:t>+11.39%</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14.63% (Moyenne) — μ=1,971 FCFA, σ=288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β=0.0399 (Défensif) — Cov=0.000002, Var(idx)=0.000041, ρ=0.008,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13,521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88/100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2026-09-24</w:t>
            </w:r>
          </w:p>
        </w:tc>
        <w:tc>
          <w:tcPr>
            <w:tcW w:type="dxa" w:w="1440"/>
            <w:shd w:fill="C6EFCE" w:val="clear"/>
          </w:tcPr>
          <w:p>
            <w:r>
              <w:rPr>
                <w:sz w:val="17"/>
              </w:rPr>
              <w:t>2,158</w:t>
            </w:r>
          </w:p>
        </w:tc>
        <w:tc>
          <w:tcPr>
            <w:tcW w:type="dxa" w:w="1440"/>
            <w:shd w:fill="C6EFCE" w:val="clear"/>
          </w:tcPr>
          <w:p>
            <w:r>
              <w:rPr>
                <w:b/>
                <w:sz w:val="17"/>
              </w:rPr>
              <w:t>2,256</w:t>
            </w:r>
          </w:p>
        </w:tc>
        <w:tc>
          <w:tcPr>
            <w:tcW w:type="dxa" w:w="1440"/>
            <w:shd w:fill="C6EFCE" w:val="clear"/>
          </w:tcPr>
          <w:p>
            <w:r>
              <w:rPr>
                <w:sz w:val="17"/>
              </w:rPr>
              <w:t>2,355</w:t>
            </w:r>
          </w:p>
        </w:tc>
        <w:tc>
          <w:tcPr>
            <w:tcW w:type="dxa" w:w="1440"/>
            <w:shd w:fill="C6EFCE" w:val="clear"/>
          </w:tcPr>
          <w:p>
            <w:r>
              <w:rPr>
                <w:b/>
                <w:color w:val="008000"/>
                <w:sz w:val="17"/>
              </w:rPr>
              <w:t>+2.6%</w:t>
            </w:r>
          </w:p>
        </w:tc>
      </w:tr>
      <w:tr>
        <w:tc>
          <w:tcPr>
            <w:tcW w:type="dxa" w:w="1440"/>
            <w:shd w:fill="FAFAFA" w:val="clear"/>
          </w:tcPr>
          <w:p>
            <w:r>
              <w:rPr>
                <w:sz w:val="17"/>
              </w:rPr>
              <w:t>J+2  Moyenne</w:t>
            </w:r>
          </w:p>
        </w:tc>
        <w:tc>
          <w:tcPr>
            <w:tcW w:type="dxa" w:w="1440"/>
            <w:shd w:fill="FAFAFA" w:val="clear"/>
          </w:tcPr>
          <w:p>
            <w:r>
              <w:rPr>
                <w:sz w:val="17"/>
              </w:rPr>
              <w:t>2026-09-25</w:t>
            </w:r>
          </w:p>
        </w:tc>
        <w:tc>
          <w:tcPr>
            <w:tcW w:type="dxa" w:w="1440"/>
            <w:shd w:fill="FAFAFA" w:val="clear"/>
          </w:tcPr>
          <w:p>
            <w:r>
              <w:rPr>
                <w:sz w:val="17"/>
              </w:rPr>
              <w:t>2,104</w:t>
            </w:r>
          </w:p>
        </w:tc>
        <w:tc>
          <w:tcPr>
            <w:tcW w:type="dxa" w:w="1440"/>
            <w:shd w:fill="FAFAFA" w:val="clear"/>
          </w:tcPr>
          <w:p>
            <w:r>
              <w:rPr>
                <w:b/>
                <w:sz w:val="17"/>
              </w:rPr>
              <w:t>2,242</w:t>
            </w:r>
          </w:p>
        </w:tc>
        <w:tc>
          <w:tcPr>
            <w:tcW w:type="dxa" w:w="1440"/>
            <w:shd w:fill="FAFAFA" w:val="clear"/>
          </w:tcPr>
          <w:p>
            <w:r>
              <w:rPr>
                <w:sz w:val="17"/>
              </w:rPr>
              <w:t>2,380</w:t>
            </w:r>
          </w:p>
        </w:tc>
        <w:tc>
          <w:tcPr>
            <w:tcW w:type="dxa" w:w="1440"/>
            <w:shd w:fill="FAFAFA" w:val="clear"/>
          </w:tcPr>
          <w:p>
            <w:r>
              <w:rPr>
                <w:b/>
                <w:color w:val="008000"/>
                <w:sz w:val="17"/>
              </w:rPr>
              <w:t>+1.9%</w:t>
            </w:r>
          </w:p>
        </w:tc>
      </w:tr>
      <w:tr>
        <w:tc>
          <w:tcPr>
            <w:tcW w:type="dxa" w:w="1440"/>
            <w:shd w:fill="FAFAFA" w:val="clear"/>
          </w:tcPr>
          <w:p>
            <w:r>
              <w:rPr>
                <w:sz w:val="17"/>
              </w:rPr>
              <w:t>J+3  Moyenne</w:t>
            </w:r>
          </w:p>
        </w:tc>
        <w:tc>
          <w:tcPr>
            <w:tcW w:type="dxa" w:w="1440"/>
            <w:shd w:fill="FAFAFA" w:val="clear"/>
          </w:tcPr>
          <w:p>
            <w:r>
              <w:rPr>
                <w:sz w:val="17"/>
              </w:rPr>
              <w:t>2026-09-28</w:t>
            </w:r>
          </w:p>
        </w:tc>
        <w:tc>
          <w:tcPr>
            <w:tcW w:type="dxa" w:w="1440"/>
            <w:shd w:fill="FAFAFA" w:val="clear"/>
          </w:tcPr>
          <w:p>
            <w:r>
              <w:rPr>
                <w:sz w:val="17"/>
              </w:rPr>
              <w:t>2,067</w:t>
            </w:r>
          </w:p>
        </w:tc>
        <w:tc>
          <w:tcPr>
            <w:tcW w:type="dxa" w:w="1440"/>
            <w:shd w:fill="FAFAFA" w:val="clear"/>
          </w:tcPr>
          <w:p>
            <w:r>
              <w:rPr>
                <w:b/>
                <w:sz w:val="17"/>
              </w:rPr>
              <w:t>2,235</w:t>
            </w:r>
          </w:p>
        </w:tc>
        <w:tc>
          <w:tcPr>
            <w:tcW w:type="dxa" w:w="1440"/>
            <w:shd w:fill="FAFAFA" w:val="clear"/>
          </w:tcPr>
          <w:p>
            <w:r>
              <w:rPr>
                <w:sz w:val="17"/>
              </w:rPr>
              <w:t>2,404</w:t>
            </w:r>
          </w:p>
        </w:tc>
        <w:tc>
          <w:tcPr>
            <w:tcW w:type="dxa" w:w="1440"/>
            <w:shd w:fill="FAFAFA" w:val="clear"/>
          </w:tcPr>
          <w:p>
            <w:r>
              <w:rPr>
                <w:b/>
                <w:color w:val="008000"/>
                <w:sz w:val="17"/>
              </w:rPr>
              <w:t>+1.6%</w:t>
            </w:r>
          </w:p>
        </w:tc>
      </w:tr>
      <w:tr>
        <w:tc>
          <w:tcPr>
            <w:tcW w:type="dxa" w:w="1440"/>
            <w:shd w:fill="FAFAFA" w:val="clear"/>
          </w:tcPr>
          <w:p>
            <w:r>
              <w:rPr>
                <w:sz w:val="17"/>
              </w:rPr>
              <w:t>J+4  ⭐</w:t>
            </w:r>
          </w:p>
        </w:tc>
        <w:tc>
          <w:tcPr>
            <w:tcW w:type="dxa" w:w="1440"/>
            <w:shd w:fill="FAFAFA" w:val="clear"/>
          </w:tcPr>
          <w:p>
            <w:r>
              <w:rPr>
                <w:sz w:val="17"/>
              </w:rPr>
              <w:t>2026-09-29</w:t>
            </w:r>
          </w:p>
        </w:tc>
        <w:tc>
          <w:tcPr>
            <w:tcW w:type="dxa" w:w="1440"/>
            <w:shd w:fill="FAFAFA" w:val="clear"/>
          </w:tcPr>
          <w:p>
            <w:r>
              <w:rPr>
                <w:sz w:val="17"/>
              </w:rPr>
              <w:t>2,035</w:t>
            </w:r>
          </w:p>
        </w:tc>
        <w:tc>
          <w:tcPr>
            <w:tcW w:type="dxa" w:w="1440"/>
            <w:shd w:fill="FAFAFA" w:val="clear"/>
          </w:tcPr>
          <w:p>
            <w:r>
              <w:rPr>
                <w:b/>
                <w:sz w:val="17"/>
              </w:rPr>
              <w:t>2,229</w:t>
            </w:r>
          </w:p>
        </w:tc>
        <w:tc>
          <w:tcPr>
            <w:tcW w:type="dxa" w:w="1440"/>
            <w:shd w:fill="FAFAFA" w:val="clear"/>
          </w:tcPr>
          <w:p>
            <w:r>
              <w:rPr>
                <w:sz w:val="17"/>
              </w:rPr>
              <w:t>2,423</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2026-09-30</w:t>
            </w:r>
          </w:p>
        </w:tc>
        <w:tc>
          <w:tcPr>
            <w:tcW w:type="dxa" w:w="1440"/>
            <w:shd w:fill="FAFAFA" w:val="clear"/>
          </w:tcPr>
          <w:p>
            <w:r>
              <w:rPr>
                <w:sz w:val="17"/>
              </w:rPr>
              <w:t>2,006</w:t>
            </w:r>
          </w:p>
        </w:tc>
        <w:tc>
          <w:tcPr>
            <w:tcW w:type="dxa" w:w="1440"/>
            <w:shd w:fill="FAFAFA" w:val="clear"/>
          </w:tcPr>
          <w:p>
            <w:r>
              <w:rPr>
                <w:b/>
                <w:sz w:val="17"/>
              </w:rPr>
              <w:t>2,223</w:t>
            </w:r>
          </w:p>
        </w:tc>
        <w:tc>
          <w:tcPr>
            <w:tcW w:type="dxa" w:w="1440"/>
            <w:shd w:fill="FAFAFA" w:val="clear"/>
          </w:tcPr>
          <w:p>
            <w:r>
              <w:rPr>
                <w:sz w:val="17"/>
              </w:rPr>
              <w:t>2,439</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2026-10-01</w:t>
            </w:r>
          </w:p>
        </w:tc>
        <w:tc>
          <w:tcPr>
            <w:tcW w:type="dxa" w:w="1440"/>
            <w:shd w:fill="FAFAFA" w:val="clear"/>
          </w:tcPr>
          <w:p>
            <w:r>
              <w:rPr>
                <w:sz w:val="17"/>
              </w:rPr>
              <w:t>1,980</w:t>
            </w:r>
          </w:p>
        </w:tc>
        <w:tc>
          <w:tcPr>
            <w:tcW w:type="dxa" w:w="1440"/>
            <w:shd w:fill="FAFAFA" w:val="clear"/>
          </w:tcPr>
          <w:p>
            <w:r>
              <w:rPr>
                <w:b/>
                <w:sz w:val="17"/>
              </w:rPr>
              <w:t>2,216</w:t>
            </w:r>
          </w:p>
        </w:tc>
        <w:tc>
          <w:tcPr>
            <w:tcW w:type="dxa" w:w="1440"/>
            <w:shd w:fill="FAFAFA" w:val="clear"/>
          </w:tcPr>
          <w:p>
            <w:r>
              <w:rPr>
                <w:sz w:val="17"/>
              </w:rPr>
              <w:t>2,452</w:t>
            </w:r>
          </w:p>
        </w:tc>
        <w:tc>
          <w:tcPr>
            <w:tcW w:type="dxa" w:w="1440"/>
            <w:shd w:fill="FAFAFA" w:val="clear"/>
          </w:tcPr>
          <w:p>
            <w:r>
              <w:rPr>
                <w:b/>
                <w:color w:val="008000"/>
                <w:sz w:val="17"/>
              </w:rPr>
              <w:t>+0.7%</w:t>
            </w:r>
          </w:p>
        </w:tc>
      </w:tr>
      <w:tr>
        <w:tc>
          <w:tcPr>
            <w:tcW w:type="dxa" w:w="1440"/>
            <w:shd w:fill="FAFAFA" w:val="clear"/>
          </w:tcPr>
          <w:p>
            <w:r>
              <w:rPr>
                <w:sz w:val="17"/>
              </w:rPr>
              <w:t>J+7  ⭐</w:t>
            </w:r>
          </w:p>
        </w:tc>
        <w:tc>
          <w:tcPr>
            <w:tcW w:type="dxa" w:w="1440"/>
            <w:shd w:fill="FAFAFA" w:val="clear"/>
          </w:tcPr>
          <w:p>
            <w:r>
              <w:rPr>
                <w:sz w:val="17"/>
              </w:rPr>
              <w:t>2026-10-02</w:t>
            </w:r>
          </w:p>
        </w:tc>
        <w:tc>
          <w:tcPr>
            <w:tcW w:type="dxa" w:w="1440"/>
            <w:shd w:fill="FAFAFA" w:val="clear"/>
          </w:tcPr>
          <w:p>
            <w:r>
              <w:rPr>
                <w:sz w:val="17"/>
              </w:rPr>
              <w:t>1,955</w:t>
            </w:r>
          </w:p>
        </w:tc>
        <w:tc>
          <w:tcPr>
            <w:tcW w:type="dxa" w:w="1440"/>
            <w:shd w:fill="FAFAFA" w:val="clear"/>
          </w:tcPr>
          <w:p>
            <w:r>
              <w:rPr>
                <w:b/>
                <w:sz w:val="17"/>
              </w:rPr>
              <w:t>2,210</w:t>
            </w:r>
          </w:p>
        </w:tc>
        <w:tc>
          <w:tcPr>
            <w:tcW w:type="dxa" w:w="1440"/>
            <w:shd w:fill="FAFAFA" w:val="clear"/>
          </w:tcPr>
          <w:p>
            <w:r>
              <w:rPr>
                <w:sz w:val="17"/>
              </w:rPr>
              <w:t>2,464</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2026-10-05</w:t>
            </w:r>
          </w:p>
        </w:tc>
        <w:tc>
          <w:tcPr>
            <w:tcW w:type="dxa" w:w="1440"/>
            <w:shd w:fill="FAFAFA" w:val="clear"/>
          </w:tcPr>
          <w:p>
            <w:r>
              <w:rPr>
                <w:sz w:val="17"/>
              </w:rPr>
              <w:t>1,932</w:t>
            </w:r>
          </w:p>
        </w:tc>
        <w:tc>
          <w:tcPr>
            <w:tcW w:type="dxa" w:w="1440"/>
            <w:shd w:fill="FAFAFA" w:val="clear"/>
          </w:tcPr>
          <w:p>
            <w:r>
              <w:rPr>
                <w:b/>
                <w:sz w:val="17"/>
              </w:rPr>
              <w:t>2,203</w:t>
            </w:r>
          </w:p>
        </w:tc>
        <w:tc>
          <w:tcPr>
            <w:tcW w:type="dxa" w:w="1440"/>
            <w:shd w:fill="FAFAFA" w:val="clear"/>
          </w:tcPr>
          <w:p>
            <w:r>
              <w:rPr>
                <w:sz w:val="17"/>
              </w:rPr>
              <w:t>2,475</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2026-10-06</w:t>
            </w:r>
          </w:p>
        </w:tc>
        <w:tc>
          <w:tcPr>
            <w:tcW w:type="dxa" w:w="1440"/>
            <w:shd w:fill="FAFAFA" w:val="clear"/>
          </w:tcPr>
          <w:p>
            <w:r>
              <w:rPr>
                <w:sz w:val="17"/>
              </w:rPr>
              <w:t>1,910</w:t>
            </w:r>
          </w:p>
        </w:tc>
        <w:tc>
          <w:tcPr>
            <w:tcW w:type="dxa" w:w="1440"/>
            <w:shd w:fill="FAFAFA" w:val="clear"/>
          </w:tcPr>
          <w:p>
            <w:r>
              <w:rPr>
                <w:b/>
                <w:sz w:val="17"/>
              </w:rPr>
              <w:t>2,197</w:t>
            </w:r>
          </w:p>
        </w:tc>
        <w:tc>
          <w:tcPr>
            <w:tcW w:type="dxa" w:w="1440"/>
            <w:shd w:fill="FAFAFA" w:val="clear"/>
          </w:tcPr>
          <w:p>
            <w:r>
              <w:rPr>
                <w:sz w:val="17"/>
              </w:rPr>
              <w:t>2,484</w:t>
            </w:r>
          </w:p>
        </w:tc>
        <w:tc>
          <w:tcPr>
            <w:tcW w:type="dxa" w:w="1440"/>
            <w:shd w:fill="FAFAFA" w:val="clear"/>
          </w:tcPr>
          <w:p>
            <w:r>
              <w:rPr>
                <w:b/>
                <w:color w:val="C00000"/>
                <w:sz w:val="17"/>
              </w:rPr>
              <w:t>-0.1%</w:t>
            </w:r>
          </w:p>
        </w:tc>
      </w:tr>
      <w:tr>
        <w:tc>
          <w:tcPr>
            <w:tcW w:type="dxa" w:w="1440"/>
            <w:shd w:fill="FAFAFA" w:val="clear"/>
          </w:tcPr>
          <w:p>
            <w:r>
              <w:rPr>
                <w:sz w:val="17"/>
              </w:rPr>
              <w:t>J+10  ⭐</w:t>
            </w:r>
          </w:p>
        </w:tc>
        <w:tc>
          <w:tcPr>
            <w:tcW w:type="dxa" w:w="1440"/>
            <w:shd w:fill="FAFAFA" w:val="clear"/>
          </w:tcPr>
          <w:p>
            <w:r>
              <w:rPr>
                <w:sz w:val="17"/>
              </w:rPr>
              <w:t>2026-10-07</w:t>
            </w:r>
          </w:p>
        </w:tc>
        <w:tc>
          <w:tcPr>
            <w:tcW w:type="dxa" w:w="1440"/>
            <w:shd w:fill="FAFAFA" w:val="clear"/>
          </w:tcPr>
          <w:p>
            <w:r>
              <w:rPr>
                <w:sz w:val="17"/>
              </w:rPr>
              <w:t>1,889</w:t>
            </w:r>
          </w:p>
        </w:tc>
        <w:tc>
          <w:tcPr>
            <w:tcW w:type="dxa" w:w="1440"/>
            <w:shd w:fill="FAFAFA" w:val="clear"/>
          </w:tcPr>
          <w:p>
            <w:r>
              <w:rPr>
                <w:b/>
                <w:sz w:val="17"/>
              </w:rPr>
              <w:t>2,191</w:t>
            </w:r>
          </w:p>
        </w:tc>
        <w:tc>
          <w:tcPr>
            <w:tcW w:type="dxa" w:w="1440"/>
            <w:shd w:fill="FAFAFA" w:val="clear"/>
          </w:tcPr>
          <w:p>
            <w:r>
              <w:rPr>
                <w:sz w:val="17"/>
              </w:rPr>
              <w:t>2,493</w:t>
            </w:r>
          </w:p>
        </w:tc>
        <w:tc>
          <w:tcPr>
            <w:tcW w:type="dxa" w:w="1440"/>
            <w:shd w:fill="FAFAFA" w:val="clear"/>
          </w:tcPr>
          <w:p>
            <w:r>
              <w:rPr>
                <w:b/>
                <w:color w:val="C00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 —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45,65 milliards FCFA, UNXC se situe dans la catégorie des valeurs moyennes de la BRVM, ce qui traduit une liquidité limitée mais une certaine notoriété sectorielle dans le textile. Le BPA ressort à -105 FCFA/action en 2024, conséquence directe d'une perte nette de 2,189 milliards FCFA, ce qui rend le PER non significatif (-20,9x) : les investisseurs ne paient pas pour des bénéfices inexistants, mais anticipent un redressement. Le P/B de 2,93x indique que le marché valorise la société à près de trois fois ses fonds propres comptables (15,591 milliards FCFA), soit une prime de croissance significative qui n'est justifiée que si le retour à la rentabilité se confirme. Le ratio EV/EBITDA n'est pas fourni, mais avec un EBE de -352,22 millions FCFA en 2024, il serait négatif et non pertinent ; sa normalisation en 2025 (EBE positif de 1,13 milliard FCFA selon le rapport annuel 2025) constituera un élément clé de réévaluation.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UNXC affiche une performance positive de +11,39%, malgré une correction de -5,38% lors de la dernière séance, signe d'une prise de profit après un rallye. Le titre a évolué dans un range très large de 1 250 FCFA (plus bas) à 2 495 FCFA (plus haut), soit un écart de près de 100%, reflétant une forte nervosité et une spéculation active sur le dossier. La moyenne (1 971 FCFA) est supérieure à la médiane (1 905 FCFA), ce qui indique une légère asymétrie positive : les pics de cours tirent la moyenne vers le haut, bien que le skewness de 0,070 confirme une distribution quasi symétrique. L'écart-type de 290 FCFA (CV = 14,7%) traduit une dispersion modérée autour de la moyenne, tandis que le kurtosis de -0,224 (mésokurtique) suggère une absence de queues épaisses, c'est-à-dire un risque de pics extrêmes relativement contenu par rapport à une distribution normale. La volatilité annualisée de 48,8% classe le titre dans la catégorie des valeurs très volatiles (&gt;30%), ce qui implique un risque élevé et un horizon d'investissement adapté aux profils agressifs.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(2 374,25 FCFA) et la MM50 (2 144,10 FCFA) sont toutes deux supérieures au cours actuel (2 200 FCFA), mais la MM20 reste au-dessus de la MM50, configurant un croisement haussier de fond. Le cours évolue sous la MM20, ce qui traduit une pression baissière de court terme, mais la décision « Achat » est justifiée par la structure globale des moyennes qui reste positive.</w:t>
      </w:r>
    </w:p>
    <w:p>
      <w:pPr>
        <w:spacing w:after="120" w:line="276" w:lineRule="auto"/>
      </w:pPr>
      <w:r>
        <w:t>**Bandes de Bollinger** : Le cours (2 200 FCFA) se situe sous la borne inférieure (2 249,21 FCFA), ce qui est un signal de survente extrême et de volatilité accrue. Cette position suggère un potentiel rebond technique vers la bande médiane, justifiant la décision « Achat » malgré la faiblesse récente.</w:t>
      </w:r>
    </w:p>
    <w:p>
      <w:pPr>
        <w:spacing w:after="120" w:line="276" w:lineRule="auto"/>
      </w:pPr>
      <w:r>
        <w:t>**MACD** : La valeur du MACD (31,427) est inférieure à son signal (66,565), générant une divergence baissière et un momentum négatif. La décision « Vente » de cet indicateur contredit les autres signaux, ce qui appelle à la prudence sur le court terme.</w:t>
      </w:r>
    </w:p>
    <w:p>
      <w:pPr>
        <w:spacing w:after="120" w:line="276" w:lineRule="auto"/>
      </w:pPr>
      <w:r>
        <w:t>**RSI** : À 19,178, le RSI est en zone de survente profonde (&lt;30), signalant un épuisement des vendeurs et un potentiel de rebond imminent. La décision « Achat » est cohérente avec cette lecture contrarienne.</w:t>
      </w:r>
    </w:p>
    <w:p>
      <w:pPr>
        <w:spacing w:after="120" w:line="276" w:lineRule="auto"/>
      </w:pPr>
      <w:r>
        <w:t>**Stochastique** : Le %K (0,0) et le %D (4,151) sont en zone de survente extrême, avec un %K au plancher absolu. Un croisement haussier du %K au-dessus du %D est attendu, ce qui confirme la décision « Achat ».</w:t>
      </w:r>
    </w:p>
    <w:p>
      <w:pPr>
        <w:spacing w:after="120" w:line="276" w:lineRule="auto"/>
      </w:pPr>
      <w:r>
        <w:t>**Conclusion technique** : La majorité des indicateurs (MM, Bollinger, RSI, Stochastique) plaident pour un rebond technique après une correction sévère, mais le MACD baissier et la position du cours sous la MM20 tempèrent l'optimisme. Le titre se trouve dans une zone de survente extrême qui historiquement précède souvent un rebond, mais la confirmation d'un retournement de momentum est nécessaire avant d'engager des positions significatives.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révèlent une situation contrastée : le chiffre d'affaires s'élève à 27,333 milliards FCFA, en croissance de 15,4% par rapport à 2023, mais le résultat net est déficitaire de 2,189 milliards FCFA, avec un ROE de -14,04% et un ROA de -6,39%. La marge nette est négative à -8,01%, et le coefficient d'exploitation de 106,99% indique que les charges dépassent les produits, confirmant une structure de coûts rigide. Sur le plan bilanciel, l'autonomie financière est saine à 45,53%, la liquidité générale est bonne (126,23%), et le BFR est négatif à 2,149 milliards FCFA (favorable), mais les délais d'exploitation sont préoccupants : 254,72 jours de stockage et 267,82 jours de délai fournisseurs, traduisant une immobilisation de capital importante. Les rapports trimestriels 2025 (T1, S1, T3) confirment une reprise opérationnelle : le CA du S1 2025 atteint 15,711 milliards FCFA (+12,5%), et le T3 2025 affiche un CA cumulé de 22,474 milliards FCFA (+13%), avec un résultat net exceptionnel de 8,143 milliards FCFA dû à la cession-bail du terrain (produit hors activités ordinaires de 9,993 milliards FCFA). Le rapport annuel 2025 (publié en 2026) indique un CA de 29,03 milliards FCFA (+6,2%), un EBE redevenu positif à 1,13 milliard FCFA, et une perte nette réduite à -624 millions FCFA. Enfin, le rapport S1 2026 (publié en 2026) montre un résultat d'exploitation positif à 771 millions FCFA (contre -314 millions au S1 2025), confirmant le retour à une rentabilité opérationnelle. On estime donc que l'exercice 2026 devrait marquer la première année de bénéfice récurrent, avec un résultat net projeté autour de 1,5 à 2 milliards FCFA si la dynamique se poursuit. La recommandation fondamentale est de **conserver avec un biais acheteur** : la société est en phase de redressement, mais la durabilité de la rentabilité opérationnelle reste à confirmer sur l'ensemble de l'exercice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difficile à interpréter avec un PER négatif et un P/B de 2,93x, mais la prime de croissance accordée par le marché n'est justifiée que si le retour à la rentabilité se confirme, ce qui est en bonne voie selon les rapports 2025-2026. Le comportement du cours (Partie 1) est marqué par une volatilité élevée (48,8%) et une distribution quasi symétrique (skewness 0,070, kurtosis -0,224), ce qui indique un risque de pics contenu mais une nervosité persistante. Les signaux techniques (Partie 2) sont majoritairement haussiers (RSI en survente, Stochastique au plancher, cours sous la borne inférieure de Bollinger), mais le MACD baissier appelle à la prudence sur le court terme. Les fondamentaux (Partie 3) montrent un redressement réel : EBE positif en 2025, résultat d'exploitation positif au S1 2026, et une structure financière assainie par la cession-bail. Les prédictions IA (J+1 à J+10) anticipent une légère baisse de 2 256 FCFA à 2 223 FCFA, ce qui contredit le signal de rebond technique mais reste dans une fourchette étroite. Sur la base de cette synthèse, la recommandation finale est **CONSERVER** avec un biais acheteur pour les investisseurs long terme : la convergence entre le redressement fondamental et la survente technique est positive, mais la divergence du MACD et la prédiction baissière à court terme justifient une approche prudente. Le niveau de confiance est **Moyen** (les fondamentaux s'améliorent mais la rentabilité récurrente n'est pas encore confirmée sur un exercice complet), et le risque global est **Élevé** (volatilité de 48,8%, dépendance aux marchés d'exportation, et pertes cumulées de -5,54 milliards FCFA). L'horizon d'investissement optimal est **moyen à long terme (6 à 18 mois)**, le temps que la société confirme sa rentabilité opérationnelle et que le marché réévalue le titre sur des bases bénéficiaires durables.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