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09/10/2026 à 11:27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SLBC  (score 86/100)</w:t>
      </w:r>
    </w:p>
    <w:p>
      <w:pPr>
        <w:spacing w:before="20" w:after="20"/>
        <w:ind w:left="360" w:right="360"/>
        <w:shd w:val="clear" w:color="auto" w:fill="EBF5FB"/>
      </w:pPr>
      <w:r>
        <w:rPr>
          <w:b/>
          <w:sz w:val="19"/>
        </w:rPr>
        <w:t xml:space="preserve">Secteur surperformant :  </w:t>
      </w:r>
      <w:r>
        <w:rPr>
          <w:color w:val="008000"/>
          <w:sz w:val="19"/>
        </w:rPr>
        <w:t>SERVICES PUBLICS  (+62.9%)</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17 sociétés — vérifier avant d'investir</w:t>
      </w:r>
    </w:p>
    <w:p>
      <w:pPr>
        <w:spacing w:before="20" w:after="20"/>
        <w:ind w:left="360" w:right="360"/>
        <w:shd w:val="clear" w:color="auto" w:fill="EBF5FB"/>
      </w:pPr>
      <w:r>
        <w:rPr>
          <w:b/>
          <w:sz w:val="19"/>
        </w:rPr>
        <w:t xml:space="preserve">⚠️ Liquidité réduite :  </w:t>
      </w:r>
      <w:r>
        <w:rPr>
          <w:color w:val="C00000"/>
          <w:sz w:val="19"/>
        </w:rPr>
        <w:t>13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548.41 points </w:t>
      </w:r>
      <w:r>
        <w:rPr>
          <w:color w:val="008000"/>
        </w:rPr>
        <w:t>(+0.09%)</w:t>
      </w:r>
      <w:r>
        <w:t xml:space="preserve"> sur la séance. </w:t>
      </w:r>
      <w:r>
        <w:t>La capitalisation globale du marché atteint 21 506,089 milliards FCFA.</w:t>
      </w:r>
    </w:p>
    <w:p/>
    <w:p>
      <w:pPr>
        <w:pStyle w:val="Heading3"/>
      </w:pPr>
      <w:r>
        <w:t>📊 Évolution de l'indice BRVM Composite (100 derniers jours)</w:t>
      </w:r>
    </w:p>
    <w:p>
      <w:r>
        <w:rPr>
          <w:b/>
        </w:rPr>
        <w:t xml:space="preserve">BRVM Composite — </w:t>
      </w:r>
      <w:r>
        <w:t xml:space="preserve">Sur les 100 derniers jours de cotation (2026-05-15 au 2026-10-08), l'indice BRVM Composite a évolué de </w:t>
      </w:r>
      <w:r>
        <w:rPr>
          <w:b/>
          <w:color w:val="008000"/>
        </w:rPr>
        <w:t>+32.90%</w:t>
      </w:r>
      <w:r>
        <w:t>, passant de 412.64 pts à 548.41 pts. Le plus haut atteint est 555.90 pts et le plus bas 412.64 pts. Sur l'ensemble de la période, la moyenne de l'indice s'établit à 487.15 pts, la médiane à 482.25 pts et le mode à 412.64 pts</w:t>
      </w:r>
      <w:r>
        <w:t xml:space="preserve"> (distribution symétrique). </w:t>
      </w:r>
      <w:r>
        <w:t xml:space="preserve">L'écart-type de 45.58 pts (CV=9.4%) traduit une modérée dispersion des cotations. Le kurtosis de -1.35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+35.21%</w:t>
      </w:r>
      <w:r>
        <w:t xml:space="preserve"> sur la période, passant de 15 905,944 Mds FCFA à 21 506,089 Mds FCFA. Le pic de capitalisation observé est de 21 529,927 Mds FCFA et le plancher de 15 905,944 Mds FCFA. La moyenne de la capitalisation sur la période s'établit à 18 812,452 Mds FCFA, la médiane à 18 577,633 Mds FCFA et le mode à 15 905,944 Mds FCFA</w:t>
      </w:r>
      <w:r>
        <w:t xml:space="preserve"> (distribution symétrique). </w:t>
      </w:r>
      <w:r>
        <w:t>L'écart-type de 1 810,171 Mds FCFA (CV=9.6%) reflète une modérée variabilité de la valorisation du marché. Le kurtosis de -1.35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BOAC - BANK OF AFRICA COTE D'IVOIRE</w:t>
      </w:r>
      <w:r>
        <w:t xml:space="preserve"> | Prix: 11295 FCFA | </w:t>
      </w:r>
      <w:r>
        <w:rPr>
          <w:b/>
          <w:color w:val="008000"/>
        </w:rPr>
        <w:t>ACHAT FORT</w:t>
      </w:r>
      <w:r>
        <w:t xml:space="preserve"> | Confiance: Faible | Risque: Faible</w:t>
      </w:r>
    </w:p>
    <w:p>
      <w:pPr>
        <w:pStyle w:val="ListNumber"/>
      </w:pPr>
      <w:r>
        <w:rPr>
          <w:b/>
        </w:rPr>
        <w:t>ABJC - ABJC - SERVAIR ABIDJAN CI</w:t>
      </w:r>
      <w:r>
        <w:t xml:space="preserve"> | Prix: 3290 FCFA | </w:t>
      </w:r>
      <w:r>
        <w:rPr>
          <w:b/>
          <w:color w:val="008000"/>
        </w:rPr>
        <w:t>ACHAT</w:t>
      </w:r>
      <w:r>
        <w:t xml:space="preserve"> | Confiance: Élevée | Risque: Faible</w:t>
      </w:r>
    </w:p>
    <w:p>
      <w:pPr>
        <w:pStyle w:val="ListNumber"/>
      </w:pPr>
      <w:r>
        <w:rPr>
          <w:b/>
        </w:rPr>
        <w:t>BBGC - BRIDGE BANK GROUP COTE D'IVOIRE</w:t>
      </w:r>
      <w:r>
        <w:t xml:space="preserve"> | Prix: 10200 FCFA | </w:t>
      </w:r>
      <w:r>
        <w:rPr>
          <w:b/>
          <w:color w:val="008000"/>
        </w:rPr>
        <w:t>ACHAT</w:t>
      </w:r>
      <w:r>
        <w:t xml:space="preserve"> | Confiance: Moyen | Risque: Faible</w:t>
      </w:r>
    </w:p>
    <w:p>
      <w:pPr>
        <w:pStyle w:val="ListNumber"/>
      </w:pPr>
      <w:r>
        <w:rPr>
          <w:b/>
        </w:rPr>
        <w:t>BICB - BIIC BN - Banque internationale pour le commerce du benin</w:t>
      </w:r>
      <w:r>
        <w:t xml:space="preserve"> | Prix: 8520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31450 FCFA | </w:t>
      </w:r>
      <w:r>
        <w:rPr>
          <w:b/>
          <w:color w:val="008000"/>
        </w:rPr>
        <w:t>ACHAT</w:t>
      </w:r>
      <w:r>
        <w:t xml:space="preserve"> | Confiance: Moyen | Risque: Moyen</w:t>
      </w:r>
    </w:p>
    <w:p>
      <w:pPr>
        <w:pStyle w:val="ListNumber"/>
      </w:pPr>
      <w:r>
        <w:rPr>
          <w:b/>
        </w:rPr>
        <w:t>BNBC - BNBC - BERNABE CI</w:t>
      </w:r>
      <w:r>
        <w:t xml:space="preserve"> | Prix: 1905 FCFA | </w:t>
      </w:r>
      <w:r>
        <w:rPr>
          <w:b/>
          <w:color w:val="008000"/>
        </w:rPr>
        <w:t>ACHAT</w:t>
      </w:r>
      <w:r>
        <w:t xml:space="preserve"> | Confiance: Faible | Risque: Faible</w:t>
      </w:r>
    </w:p>
    <w:p>
      <w:pPr>
        <w:pStyle w:val="ListNumber"/>
      </w:pPr>
      <w:r>
        <w:rPr>
          <w:b/>
        </w:rPr>
        <w:t>BOAB - BANK OF AFRICA BENIN</w:t>
      </w:r>
      <w:r>
        <w:t xml:space="preserve"> | Prix: 9400 FCFA | </w:t>
      </w:r>
      <w:r>
        <w:rPr>
          <w:b/>
          <w:color w:val="008000"/>
        </w:rPr>
        <w:t>ACHAT</w:t>
      </w:r>
      <w:r>
        <w:t xml:space="preserve"> | Confiance: Moyen | Risque: Faible</w:t>
      </w:r>
    </w:p>
    <w:p>
      <w:pPr>
        <w:pStyle w:val="ListNumber"/>
      </w:pPr>
      <w:r>
        <w:rPr>
          <w:b/>
        </w:rPr>
        <w:t>BOABF - BANK OF AFRICA BURKINA FASO</w:t>
      </w:r>
      <w:r>
        <w:t xml:space="preserve"> | Prix: 7950 FCFA | </w:t>
      </w:r>
      <w:r>
        <w:rPr>
          <w:b/>
          <w:color w:val="008000"/>
        </w:rPr>
        <w:t>ACHAT</w:t>
      </w:r>
      <w:r>
        <w:t xml:space="preserve"> | Confiance: Moyen | Risque: Moyen</w:t>
      </w:r>
    </w:p>
    <w:p>
      <w:pPr>
        <w:pStyle w:val="ListNumber"/>
      </w:pPr>
      <w:r>
        <w:rPr>
          <w:b/>
        </w:rPr>
        <w:t>BOAM - BANK OF AFRICA MALI</w:t>
      </w:r>
      <w:r>
        <w:t xml:space="preserve"> | Prix: 6095 FCFA | </w:t>
      </w:r>
      <w:r>
        <w:rPr>
          <w:b/>
          <w:color w:val="008000"/>
        </w:rPr>
        <w:t>ACHAT</w:t>
      </w:r>
      <w:r>
        <w:t xml:space="preserve"> | Confiance: Moyen | Risque: Moyen</w:t>
      </w:r>
    </w:p>
    <w:p>
      <w:pPr>
        <w:pStyle w:val="ListNumber"/>
      </w:pPr>
      <w:r>
        <w:rPr>
          <w:b/>
        </w:rPr>
        <w:t>BOAN - BANK OF AFRICA NIGER</w:t>
      </w:r>
      <w:r>
        <w:t xml:space="preserve"> | Prix: 4800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62.87%</w:t>
      </w:r>
      <w:r>
        <w:t xml:space="preserve">  |  </w:t>
      </w:r>
      <w:r>
        <w:rPr>
          <w:b/>
        </w:rPr>
        <w:t xml:space="preserve">vs BRVM Composite: </w:t>
      </w:r>
      <w:r>
        <w:rPr>
          <w:b/>
          <w:color w:val="008000"/>
        </w:rPr>
        <w:t>+29.97%  🟢 Surperformance</w:t>
      </w:r>
      <w:r>
        <w:br/>
      </w:r>
      <w:r>
        <w:rPr>
          <w:b/>
        </w:rPr>
        <w:t xml:space="preserve">Sentiment général: </w:t>
      </w:r>
      <w:r>
        <w:t xml:space="preserve">ACHAT  |  </w:t>
      </w:r>
      <w:r>
        <w:rPr>
          <w:b/>
        </w:rPr>
        <w:t xml:space="preserve">Risque moyen: </w:t>
      </w:r>
      <w:r>
        <w:t xml:space="preserve">Moyen  |  </w:t>
      </w:r>
      <w:r>
        <w:rPr>
          <w:b/>
        </w:rPr>
        <w:t xml:space="preserve">Prix moyen: </w:t>
      </w:r>
      <w:r>
        <w:t>9695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40.59%</w:t>
      </w:r>
      <w:r>
        <w:t xml:space="preserve">  |  </w:t>
      </w:r>
      <w:r>
        <w:rPr>
          <w:b/>
        </w:rPr>
        <w:t xml:space="preserve">vs BRVM Composite: </w:t>
      </w:r>
      <w:r>
        <w:rPr>
          <w:b/>
          <w:color w:val="008000"/>
        </w:rPr>
        <w:t>+7.69%  🟢 Surperformance</w:t>
      </w:r>
      <w:r>
        <w:br/>
      </w:r>
      <w:r>
        <w:rPr>
          <w:b/>
        </w:rPr>
        <w:t xml:space="preserve">Sentiment général: </w:t>
      </w:r>
      <w:r>
        <w:t xml:space="preserve">ACHAT  |  </w:t>
      </w:r>
      <w:r>
        <w:rPr>
          <w:b/>
        </w:rPr>
        <w:t xml:space="preserve">Risque moyen: </w:t>
      </w:r>
      <w:r>
        <w:t xml:space="preserve">Faible  |  </w:t>
      </w:r>
      <w:r>
        <w:rPr>
          <w:b/>
        </w:rPr>
        <w:t xml:space="preserve">Prix moyen: </w:t>
      </w:r>
      <w:r>
        <w:t>10200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35.39%</w:t>
      </w:r>
      <w:r>
        <w:t xml:space="preserve">  |  </w:t>
      </w:r>
      <w:r>
        <w:rPr>
          <w:b/>
        </w:rPr>
        <w:t xml:space="preserve">vs BRVM Composite: </w:t>
      </w:r>
      <w:r>
        <w:rPr>
          <w:b/>
          <w:color w:val="008000"/>
        </w:rPr>
        <w:t>+2.48%  🟢 Surperformance</w:t>
      </w:r>
      <w:r>
        <w:br/>
      </w:r>
      <w:r>
        <w:rPr>
          <w:b/>
        </w:rPr>
        <w:t xml:space="preserve">Sentiment général: </w:t>
      </w:r>
      <w:r>
        <w:t xml:space="preserve">ACHAT  |  </w:t>
      </w:r>
      <w:r>
        <w:rPr>
          <w:b/>
        </w:rPr>
        <w:t xml:space="preserve">Risque moyen: </w:t>
      </w:r>
      <w:r>
        <w:t xml:space="preserve">Moyen  |  </w:t>
      </w:r>
      <w:r>
        <w:rPr>
          <w:b/>
        </w:rPr>
        <w:t xml:space="preserve">Prix moyen: </w:t>
      </w:r>
      <w:r>
        <w:t>23305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34.62%</w:t>
      </w:r>
      <w:r>
        <w:t xml:space="preserve">  |  </w:t>
      </w:r>
      <w:r>
        <w:rPr>
          <w:b/>
        </w:rPr>
        <w:t xml:space="preserve">vs BRVM Composite: </w:t>
      </w:r>
      <w:r>
        <w:rPr>
          <w:b/>
          <w:color w:val="008000"/>
        </w:rPr>
        <w:t>+1.72%  🟢 Surperformance</w:t>
      </w:r>
      <w:r>
        <w:br/>
      </w:r>
      <w:r>
        <w:rPr>
          <w:b/>
        </w:rPr>
        <w:t xml:space="preserve">Sentiment général: </w:t>
      </w:r>
      <w:r>
        <w:t xml:space="preserve">ACHAT  |  </w:t>
      </w:r>
      <w:r>
        <w:rPr>
          <w:b/>
        </w:rPr>
        <w:t xml:space="preserve">Risque moyen: </w:t>
      </w:r>
      <w:r>
        <w:t xml:space="preserve">Moyen  |  </w:t>
      </w:r>
      <w:r>
        <w:rPr>
          <w:b/>
        </w:rPr>
        <w:t xml:space="preserve">Prix moyen: </w:t>
      </w:r>
      <w:r>
        <w:t>13239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16.77%</w:t>
      </w:r>
      <w:r>
        <w:t xml:space="preserve">  |  </w:t>
      </w:r>
      <w:r>
        <w:rPr>
          <w:b/>
        </w:rPr>
        <w:t xml:space="preserve">vs BRVM Composite: </w:t>
      </w:r>
      <w:r>
        <w:rPr>
          <w:b/>
          <w:color w:val="C00000"/>
        </w:rPr>
        <w:t>-16.14%  🔴 Sous-performance</w:t>
      </w:r>
      <w:r>
        <w:br/>
      </w:r>
      <w:r>
        <w:rPr>
          <w:b/>
        </w:rPr>
        <w:t xml:space="preserve">Sentiment général: </w:t>
      </w:r>
      <w:r>
        <w:t xml:space="preserve">ACHAT  |  </w:t>
      </w:r>
      <w:r>
        <w:rPr>
          <w:b/>
        </w:rPr>
        <w:t xml:space="preserve">Risque moyen: </w:t>
      </w:r>
      <w:r>
        <w:t xml:space="preserve">Faible  |  </w:t>
      </w:r>
      <w:r>
        <w:rPr>
          <w:b/>
        </w:rPr>
        <w:t xml:space="preserve">Prix moyen: </w:t>
      </w:r>
      <w:r>
        <w:t>6239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14.97%</w:t>
      </w:r>
      <w:r>
        <w:t xml:space="preserve">  |  </w:t>
      </w:r>
      <w:r>
        <w:rPr>
          <w:b/>
        </w:rPr>
        <w:t xml:space="preserve">vs BRVM Composite: </w:t>
      </w:r>
      <w:r>
        <w:rPr>
          <w:b/>
          <w:color w:val="C00000"/>
        </w:rPr>
        <w:t>-17.94%  🔴 Sous-performance</w:t>
      </w:r>
      <w:r>
        <w:br/>
      </w:r>
      <w:r>
        <w:rPr>
          <w:b/>
        </w:rPr>
        <w:t xml:space="preserve">Sentiment général: </w:t>
      </w:r>
      <w:r>
        <w:t xml:space="preserve">ACHAT  |  </w:t>
      </w:r>
      <w:r>
        <w:rPr>
          <w:b/>
        </w:rPr>
        <w:t xml:space="preserve">Risque moyen: </w:t>
      </w:r>
      <w:r>
        <w:t xml:space="preserve">Faible  |  </w:t>
      </w:r>
      <w:r>
        <w:rPr>
          <w:b/>
        </w:rPr>
        <w:t xml:space="preserve">Prix moyen: </w:t>
      </w:r>
      <w:r>
        <w:t>17443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13.63%</w:t>
      </w:r>
      <w:r>
        <w:t xml:space="preserve">  |  </w:t>
      </w:r>
      <w:r>
        <w:rPr>
          <w:b/>
        </w:rPr>
        <w:t xml:space="preserve">vs BRVM Composite: </w:t>
      </w:r>
      <w:r>
        <w:rPr>
          <w:b/>
          <w:color w:val="C00000"/>
        </w:rPr>
        <w:t>-19.27%  🔴 Sous-performance</w:t>
      </w:r>
      <w:r>
        <w:br/>
      </w:r>
      <w:r>
        <w:rPr>
          <w:b/>
        </w:rPr>
        <w:t xml:space="preserve">Sentiment général: </w:t>
      </w:r>
      <w:r>
        <w:t xml:space="preserve">ACHAT  |  </w:t>
      </w:r>
      <w:r>
        <w:rPr>
          <w:b/>
        </w:rPr>
        <w:t xml:space="preserve">Risque moyen: </w:t>
      </w:r>
      <w:r>
        <w:t xml:space="preserve">Faible  |  </w:t>
      </w:r>
      <w:r>
        <w:rPr>
          <w:b/>
        </w:rPr>
        <w:t xml:space="preserve">Prix moyen: </w:t>
      </w:r>
      <w:r>
        <w:t>2786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-4.03%</w:t>
      </w:r>
      <w:r>
        <w:t xml:space="preserve">  |  </w:t>
      </w:r>
      <w:r>
        <w:rPr>
          <w:b/>
        </w:rPr>
        <w:t xml:space="preserve">vs BRVM Composite: </w:t>
      </w:r>
      <w:r>
        <w:rPr>
          <w:b/>
          <w:color w:val="C00000"/>
        </w:rPr>
        <w:t>-36.93%  🔴 Sous-performance</w:t>
      </w:r>
      <w:r>
        <w:br/>
      </w:r>
      <w:r>
        <w:rPr>
          <w:b/>
        </w:rPr>
        <w:t xml:space="preserve">Sentiment général: </w:t>
      </w:r>
      <w:r>
        <w:t xml:space="preserve">ACHAT  |  </w:t>
      </w:r>
      <w:r>
        <w:rPr>
          <w:b/>
        </w:rPr>
        <w:t xml:space="preserve">Risque moyen: </w:t>
      </w:r>
      <w:r>
        <w:t xml:space="preserve">Faible  |  </w:t>
      </w:r>
      <w:r>
        <w:rPr>
          <w:b/>
        </w:rPr>
        <w:t xml:space="preserve">Prix moyen: </w:t>
      </w:r>
      <w:r>
        <w:t>2269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PALC, SDCC, SGBC, SHEC, SLBC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CBIBF, CIEC, ECOC, ETIT, LNBB, NEIC, NSBC, NTLC, ONTBF, SCRC, SDSC, SEMC, SMBC, SNTS, STAC,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BOAC, BOAN, CABC, CFAC, FTSC, ORAC, ORGT, PRSC, SAFC, SIBC, SICC, SIVC, SOGC, SPHC, TTLC,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1954331</w:t>
            </w:r>
          </w:p>
        </w:tc>
        <w:tc>
          <w:tcPr>
            <w:tcW w:type="dxa" w:w="1728"/>
          </w:tcPr>
          <w:p>
            <w:r>
              <w:t>131764981 FCFA</w:t>
            </w:r>
          </w:p>
        </w:tc>
        <w:tc>
          <w:tcPr>
            <w:tcW w:type="dxa" w:w="1728"/>
          </w:tcPr>
          <w:p>
            <w:r>
              <w:t>134.48%</w:t>
            </w:r>
          </w:p>
        </w:tc>
        <w:tc>
          <w:tcPr>
            <w:tcW w:type="dxa" w:w="1728"/>
          </w:tcPr>
          <w:p>
            <w:r>
              <w:t>ACHAT</w:t>
            </w:r>
          </w:p>
        </w:tc>
      </w:tr>
      <w:tr>
        <w:tc>
          <w:tcPr>
            <w:tcW w:type="dxa" w:w="1728"/>
          </w:tcPr>
          <w:p>
            <w:r>
              <w:t>BBGC (BRIDGE BANK GROUP COTE D'IVOIRE)</w:t>
            </w:r>
          </w:p>
        </w:tc>
        <w:tc>
          <w:tcPr>
            <w:tcW w:type="dxa" w:w="1728"/>
          </w:tcPr>
          <w:p>
            <w:r>
              <w:t>36983</w:t>
            </w:r>
          </w:p>
        </w:tc>
        <w:tc>
          <w:tcPr>
            <w:tcW w:type="dxa" w:w="1728"/>
          </w:tcPr>
          <w:p>
            <w:r>
              <w:t>340070854 FCFA</w:t>
            </w:r>
          </w:p>
        </w:tc>
        <w:tc>
          <w:tcPr>
            <w:tcW w:type="dxa" w:w="1728"/>
          </w:tcPr>
          <w:p>
            <w:r>
              <w:t>40.59%</w:t>
            </w:r>
          </w:p>
        </w:tc>
        <w:tc>
          <w:tcPr>
            <w:tcW w:type="dxa" w:w="1728"/>
          </w:tcPr>
          <w:p>
            <w:r>
              <w:t>ACHAT</w:t>
            </w:r>
          </w:p>
        </w:tc>
      </w:tr>
      <w:tr>
        <w:tc>
          <w:tcPr>
            <w:tcW w:type="dxa" w:w="1728"/>
          </w:tcPr>
          <w:p>
            <w:r>
              <w:t>SNTS (SNTS - SONATEL SN)</w:t>
            </w:r>
          </w:p>
        </w:tc>
        <w:tc>
          <w:tcPr>
            <w:tcW w:type="dxa" w:w="1728"/>
          </w:tcPr>
          <w:p>
            <w:r>
              <w:t>26691</w:t>
            </w:r>
          </w:p>
        </w:tc>
        <w:tc>
          <w:tcPr>
            <w:tcW w:type="dxa" w:w="1728"/>
          </w:tcPr>
          <w:p>
            <w:r>
              <w:t>1125871081 FCFA</w:t>
            </w:r>
          </w:p>
        </w:tc>
        <w:tc>
          <w:tcPr>
            <w:tcW w:type="dxa" w:w="1728"/>
          </w:tcPr>
          <w:p>
            <w:r>
              <w:t>55.64%</w:t>
            </w:r>
          </w:p>
        </w:tc>
        <w:tc>
          <w:tcPr>
            <w:tcW w:type="dxa" w:w="1728"/>
          </w:tcPr>
          <w:p>
            <w:r>
              <w:t>ACHAT</w:t>
            </w:r>
          </w:p>
        </w:tc>
      </w:tr>
      <w:tr>
        <w:tc>
          <w:tcPr>
            <w:tcW w:type="dxa" w:w="1728"/>
          </w:tcPr>
          <w:p>
            <w:r>
              <w:t>BOAS (BANK OF AFRICA SENEGAL)</w:t>
            </w:r>
          </w:p>
        </w:tc>
        <w:tc>
          <w:tcPr>
            <w:tcW w:type="dxa" w:w="1728"/>
          </w:tcPr>
          <w:p>
            <w:r>
              <w:t>13743</w:t>
            </w:r>
          </w:p>
        </w:tc>
        <w:tc>
          <w:tcPr>
            <w:tcW w:type="dxa" w:w="1728"/>
          </w:tcPr>
          <w:p>
            <w:r>
              <w:t>111443498 FCFA</w:t>
            </w:r>
          </w:p>
        </w:tc>
        <w:tc>
          <w:tcPr>
            <w:tcW w:type="dxa" w:w="1728"/>
          </w:tcPr>
          <w:p>
            <w:r>
              <w:t>8.62%</w:t>
            </w:r>
          </w:p>
        </w:tc>
        <w:tc>
          <w:tcPr>
            <w:tcW w:type="dxa" w:w="1728"/>
          </w:tcPr>
          <w:p>
            <w:r>
              <w:t>ACHAT</w:t>
            </w:r>
          </w:p>
        </w:tc>
      </w:tr>
      <w:tr>
        <w:tc>
          <w:tcPr>
            <w:tcW w:type="dxa" w:w="1728"/>
          </w:tcPr>
          <w:p>
            <w:r>
              <w:t>SCRC (SCRC - SUCRIVOIRE)</w:t>
            </w:r>
          </w:p>
        </w:tc>
        <w:tc>
          <w:tcPr>
            <w:tcW w:type="dxa" w:w="1728"/>
          </w:tcPr>
          <w:p>
            <w:r>
              <w:t>12445</w:t>
            </w:r>
          </w:p>
        </w:tc>
        <w:tc>
          <w:tcPr>
            <w:tcW w:type="dxa" w:w="1728"/>
          </w:tcPr>
          <w:p>
            <w:r>
              <w:t>36444694 FCFA</w:t>
            </w:r>
          </w:p>
        </w:tc>
        <w:tc>
          <w:tcPr>
            <w:tcW w:type="dxa" w:w="1728"/>
          </w:tcPr>
          <w:p>
            <w:r>
              <w:t>4.37%</w:t>
            </w:r>
          </w:p>
        </w:tc>
        <w:tc>
          <w:tcPr>
            <w:tcW w:type="dxa" w:w="1728"/>
          </w:tcPr>
          <w:p>
            <w:r>
              <w:t>ACHAT</w:t>
            </w:r>
          </w:p>
        </w:tc>
      </w:tr>
      <w:tr>
        <w:tc>
          <w:tcPr>
            <w:tcW w:type="dxa" w:w="1728"/>
          </w:tcPr>
          <w:p>
            <w:r>
              <w:t>SIBC (SIBC - SOCIETE IVOIRIENNE DE BANQUE)</w:t>
            </w:r>
          </w:p>
        </w:tc>
        <w:tc>
          <w:tcPr>
            <w:tcW w:type="dxa" w:w="1728"/>
          </w:tcPr>
          <w:p>
            <w:r>
              <w:t>11177</w:t>
            </w:r>
          </w:p>
        </w:tc>
        <w:tc>
          <w:tcPr>
            <w:tcW w:type="dxa" w:w="1728"/>
          </w:tcPr>
          <w:p>
            <w:r>
              <w:t>101112752 FCFA</w:t>
            </w:r>
          </w:p>
        </w:tc>
        <w:tc>
          <w:tcPr>
            <w:tcW w:type="dxa" w:w="1728"/>
          </w:tcPr>
          <w:p>
            <w:r>
              <w:t>16.67%</w:t>
            </w:r>
          </w:p>
        </w:tc>
        <w:tc>
          <w:tcPr>
            <w:tcW w:type="dxa" w:w="1728"/>
          </w:tcPr>
          <w:p>
            <w:r>
              <w:t>ACHAT</w:t>
            </w:r>
          </w:p>
        </w:tc>
      </w:tr>
      <w:tr>
        <w:tc>
          <w:tcPr>
            <w:tcW w:type="dxa" w:w="1728"/>
          </w:tcPr>
          <w:p>
            <w:r>
              <w:t>SDSC (SDSC - AFRICA GLOBAL LOGISTICS CI)</w:t>
            </w:r>
          </w:p>
        </w:tc>
        <w:tc>
          <w:tcPr>
            <w:tcW w:type="dxa" w:w="1728"/>
          </w:tcPr>
          <w:p>
            <w:r>
              <w:t>11141</w:t>
            </w:r>
          </w:p>
        </w:tc>
        <w:tc>
          <w:tcPr>
            <w:tcW w:type="dxa" w:w="1728"/>
          </w:tcPr>
          <w:p>
            <w:r>
              <w:t>32558624 FCFA</w:t>
            </w:r>
          </w:p>
        </w:tc>
        <w:tc>
          <w:tcPr>
            <w:tcW w:type="dxa" w:w="1728"/>
          </w:tcPr>
          <w:p>
            <w:r>
              <w:t>68.57%</w:t>
            </w:r>
          </w:p>
        </w:tc>
        <w:tc>
          <w:tcPr>
            <w:tcW w:type="dxa" w:w="1728"/>
          </w:tcPr>
          <w:p>
            <w:r>
              <w:t>ACHAT</w:t>
            </w:r>
          </w:p>
        </w:tc>
      </w:tr>
      <w:tr>
        <w:tc>
          <w:tcPr>
            <w:tcW w:type="dxa" w:w="1728"/>
          </w:tcPr>
          <w:p>
            <w:r>
              <w:t>BOAC (BANK OF AFRICA COTE D'IVOIRE)</w:t>
            </w:r>
          </w:p>
        </w:tc>
        <w:tc>
          <w:tcPr>
            <w:tcW w:type="dxa" w:w="1728"/>
          </w:tcPr>
          <w:p>
            <w:r>
              <w:t>11066</w:t>
            </w:r>
          </w:p>
        </w:tc>
        <w:tc>
          <w:tcPr>
            <w:tcW w:type="dxa" w:w="1728"/>
          </w:tcPr>
          <w:p>
            <w:r>
              <w:t>127852334 FCFA</w:t>
            </w:r>
          </w:p>
        </w:tc>
        <w:tc>
          <w:tcPr>
            <w:tcW w:type="dxa" w:w="1728"/>
          </w:tcPr>
          <w:p>
            <w:r>
              <w:t>30.88%</w:t>
            </w:r>
          </w:p>
        </w:tc>
        <w:tc>
          <w:tcPr>
            <w:tcW w:type="dxa" w:w="1728"/>
          </w:tcPr>
          <w:p>
            <w:r>
              <w:t>ACHAT FORT</w:t>
            </w:r>
          </w:p>
        </w:tc>
      </w:tr>
      <w:tr>
        <w:tc>
          <w:tcPr>
            <w:tcW w:type="dxa" w:w="1728"/>
          </w:tcPr>
          <w:p>
            <w:r>
              <w:t>UNXC (UNXC - UNIWAX COTE D'IVOIRE)</w:t>
            </w:r>
          </w:p>
        </w:tc>
        <w:tc>
          <w:tcPr>
            <w:tcW w:type="dxa" w:w="1728"/>
          </w:tcPr>
          <w:p>
            <w:r>
              <w:t>10787</w:t>
            </w:r>
          </w:p>
        </w:tc>
        <w:tc>
          <w:tcPr>
            <w:tcW w:type="dxa" w:w="1728"/>
          </w:tcPr>
          <w:p>
            <w:r>
              <w:t>25081330 FCFA</w:t>
            </w:r>
          </w:p>
        </w:tc>
        <w:tc>
          <w:tcPr>
            <w:tcW w:type="dxa" w:w="1728"/>
          </w:tcPr>
          <w:p>
            <w:r>
              <w:t>25.89%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3799</w:t>
            </w:r>
          </w:p>
        </w:tc>
        <w:tc>
          <w:tcPr>
            <w:tcW w:type="dxa" w:w="1728"/>
          </w:tcPr>
          <w:p>
            <w:r>
              <w:t>7984086 FCFA</w:t>
            </w:r>
          </w:p>
        </w:tc>
        <w:tc>
          <w:tcPr>
            <w:tcW w:type="dxa" w:w="1728"/>
          </w:tcPr>
          <w:p>
            <w:r>
              <w:t>-32.28%</w:t>
            </w:r>
          </w:p>
        </w:tc>
        <w:tc>
          <w:tcPr>
            <w:tcW w:type="dxa" w:w="1728"/>
          </w:tcPr>
          <w:p>
            <w:r>
              <w:t>ACHAT</w:t>
            </w:r>
          </w:p>
        </w:tc>
      </w:tr>
      <w:tr>
        <w:tc>
          <w:tcPr>
            <w:tcW w:type="dxa" w:w="1728"/>
          </w:tcPr>
          <w:p>
            <w:r>
              <w:t>ORGT (ORGT - ORAGROUP TOGO)</w:t>
            </w:r>
          </w:p>
        </w:tc>
        <w:tc>
          <w:tcPr>
            <w:tcW w:type="dxa" w:w="1728"/>
          </w:tcPr>
          <w:p>
            <w:r>
              <w:t>3271</w:t>
            </w:r>
          </w:p>
        </w:tc>
        <w:tc>
          <w:tcPr>
            <w:tcW w:type="dxa" w:w="1728"/>
          </w:tcPr>
          <w:p>
            <w:r>
              <w:t>10087355 FCFA</w:t>
            </w:r>
          </w:p>
        </w:tc>
        <w:tc>
          <w:tcPr>
            <w:tcW w:type="dxa" w:w="1728"/>
          </w:tcPr>
          <w:p>
            <w:r>
              <w:t>18.69%</w:t>
            </w:r>
          </w:p>
        </w:tc>
        <w:tc>
          <w:tcPr>
            <w:tcW w:type="dxa" w:w="1728"/>
          </w:tcPr>
          <w:p>
            <w:r>
              <w:t>ACHAT</w:t>
            </w:r>
          </w:p>
        </w:tc>
      </w:tr>
      <w:tr>
        <w:tc>
          <w:tcPr>
            <w:tcW w:type="dxa" w:w="1728"/>
          </w:tcPr>
          <w:p>
            <w:r>
              <w:t>ECOC (ECOC - ECOBANK COTE D'IVOIRE)</w:t>
            </w:r>
          </w:p>
        </w:tc>
        <w:tc>
          <w:tcPr>
            <w:tcW w:type="dxa" w:w="1728"/>
          </w:tcPr>
          <w:p>
            <w:r>
              <w:t>3087</w:t>
            </w:r>
          </w:p>
        </w:tc>
        <w:tc>
          <w:tcPr>
            <w:tcW w:type="dxa" w:w="1728"/>
          </w:tcPr>
          <w:p>
            <w:r>
              <w:t>52462862 FCFA</w:t>
            </w:r>
          </w:p>
        </w:tc>
        <w:tc>
          <w:tcPr>
            <w:tcW w:type="dxa" w:w="1728"/>
          </w:tcPr>
          <w:p>
            <w:r>
              <w:t>3.07%</w:t>
            </w:r>
          </w:p>
        </w:tc>
        <w:tc>
          <w:tcPr>
            <w:tcW w:type="dxa" w:w="1728"/>
          </w:tcPr>
          <w:p>
            <w:r>
              <w:t>ACHAT</w:t>
            </w:r>
          </w:p>
        </w:tc>
      </w:tr>
      <w:tr>
        <w:tc>
          <w:tcPr>
            <w:tcW w:type="dxa" w:w="1728"/>
          </w:tcPr>
          <w:p>
            <w:r>
              <w:t>ABJC (ABJC - SERVAIR ABIDJAN CI)</w:t>
            </w:r>
          </w:p>
        </w:tc>
        <w:tc>
          <w:tcPr>
            <w:tcW w:type="dxa" w:w="1728"/>
          </w:tcPr>
          <w:p>
            <w:r>
              <w:t>3078</w:t>
            </w:r>
          </w:p>
        </w:tc>
        <w:tc>
          <w:tcPr>
            <w:tcW w:type="dxa" w:w="1728"/>
          </w:tcPr>
          <w:p>
            <w:r>
              <w:t>11780087 FCFA</w:t>
            </w:r>
          </w:p>
        </w:tc>
        <w:tc>
          <w:tcPr>
            <w:tcW w:type="dxa" w:w="1728"/>
          </w:tcPr>
          <w:p>
            <w:r>
              <w:t>15.44%</w:t>
            </w:r>
          </w:p>
        </w:tc>
        <w:tc>
          <w:tcPr>
            <w:tcW w:type="dxa" w:w="1728"/>
          </w:tcPr>
          <w:p>
            <w:r>
              <w:t>ACHAT</w:t>
            </w:r>
          </w:p>
        </w:tc>
      </w:tr>
      <w:tr>
        <w:tc>
          <w:tcPr>
            <w:tcW w:type="dxa" w:w="1728"/>
          </w:tcPr>
          <w:p>
            <w:r>
              <w:t>CFAC (CFAC - CFAO MOTORS CI)</w:t>
            </w:r>
          </w:p>
        </w:tc>
        <w:tc>
          <w:tcPr>
            <w:tcW w:type="dxa" w:w="1728"/>
          </w:tcPr>
          <w:p>
            <w:r>
              <w:t>2886</w:t>
            </w:r>
          </w:p>
        </w:tc>
        <w:tc>
          <w:tcPr>
            <w:tcW w:type="dxa" w:w="1728"/>
          </w:tcPr>
          <w:p>
            <w:r>
              <w:t>4633495 FCFA</w:t>
            </w:r>
          </w:p>
        </w:tc>
        <w:tc>
          <w:tcPr>
            <w:tcW w:type="dxa" w:w="1728"/>
          </w:tcPr>
          <w:p>
            <w:r>
              <w:t>-2.25%</w:t>
            </w:r>
          </w:p>
        </w:tc>
        <w:tc>
          <w:tcPr>
            <w:tcW w:type="dxa" w:w="1728"/>
          </w:tcPr>
          <w:p>
            <w:r>
              <w:t>ACHAT</w:t>
            </w:r>
          </w:p>
        </w:tc>
      </w:tr>
      <w:tr>
        <w:tc>
          <w:tcPr>
            <w:tcW w:type="dxa" w:w="1728"/>
          </w:tcPr>
          <w:p>
            <w:r>
              <w:t>FTSC (FTSC - FILTISAC COTE D'IVOIRE)</w:t>
            </w:r>
          </w:p>
        </w:tc>
        <w:tc>
          <w:tcPr>
            <w:tcW w:type="dxa" w:w="1728"/>
          </w:tcPr>
          <w:p>
            <w:r>
              <w:t>2862</w:t>
            </w:r>
          </w:p>
        </w:tc>
        <w:tc>
          <w:tcPr>
            <w:tcW w:type="dxa" w:w="1728"/>
          </w:tcPr>
          <w:p>
            <w:r>
              <w:t>5778562 FCFA</w:t>
            </w:r>
          </w:p>
        </w:tc>
        <w:tc>
          <w:tcPr>
            <w:tcW w:type="dxa" w:w="1728"/>
          </w:tcPr>
          <w:p>
            <w:r>
              <w:t>-16.89%</w:t>
            </w:r>
          </w:p>
        </w:tc>
        <w:tc>
          <w:tcPr>
            <w:tcW w:type="dxa" w:w="1728"/>
          </w:tcPr>
          <w:p>
            <w:r>
              <w:t>ACHAT</w:t>
            </w:r>
          </w:p>
        </w:tc>
      </w:tr>
      <w:tr>
        <w:tc>
          <w:tcPr>
            <w:tcW w:type="dxa" w:w="1728"/>
          </w:tcPr>
          <w:p>
            <w:r>
              <w:t>SOGC (SOGC - Société des caoutchoucs de Grand-Béréby)</w:t>
            </w:r>
          </w:p>
        </w:tc>
        <w:tc>
          <w:tcPr>
            <w:tcW w:type="dxa" w:w="1728"/>
          </w:tcPr>
          <w:p>
            <w:r>
              <w:t>2845</w:t>
            </w:r>
          </w:p>
        </w:tc>
        <w:tc>
          <w:tcPr>
            <w:tcW w:type="dxa" w:w="1728"/>
          </w:tcPr>
          <w:p>
            <w:r>
              <w:t>22460107 FCFA</w:t>
            </w:r>
          </w:p>
        </w:tc>
        <w:tc>
          <w:tcPr>
            <w:tcW w:type="dxa" w:w="1728"/>
          </w:tcPr>
          <w:p>
            <w:r>
              <w:t>6.88%</w:t>
            </w:r>
          </w:p>
        </w:tc>
        <w:tc>
          <w:tcPr>
            <w:tcW w:type="dxa" w:w="1728"/>
          </w:tcPr>
          <w:p>
            <w:r>
              <w:t>ACHAT</w:t>
            </w:r>
          </w:p>
        </w:tc>
      </w:tr>
      <w:tr>
        <w:tc>
          <w:tcPr>
            <w:tcW w:type="dxa" w:w="1728"/>
          </w:tcPr>
          <w:p>
            <w:r>
              <w:t>STBC (STBC - SITAB COTE D'IVOIRE)</w:t>
            </w:r>
          </w:p>
        </w:tc>
        <w:tc>
          <w:tcPr>
            <w:tcW w:type="dxa" w:w="1728"/>
          </w:tcPr>
          <w:p>
            <w:r>
              <w:t>2652</w:t>
            </w:r>
          </w:p>
        </w:tc>
        <w:tc>
          <w:tcPr>
            <w:tcW w:type="dxa" w:w="1728"/>
          </w:tcPr>
          <w:p>
            <w:r>
              <w:t>57565527 FCFA</w:t>
            </w:r>
          </w:p>
        </w:tc>
        <w:tc>
          <w:tcPr>
            <w:tcW w:type="dxa" w:w="1728"/>
          </w:tcPr>
          <w:p>
            <w:r>
              <w:t>2.33%</w:t>
            </w:r>
          </w:p>
        </w:tc>
        <w:tc>
          <w:tcPr>
            <w:tcW w:type="dxa" w:w="1728"/>
          </w:tcPr>
          <w:p>
            <w:r>
              <w:t>ACHAT</w:t>
            </w:r>
          </w:p>
        </w:tc>
      </w:tr>
      <w:tr>
        <w:tc>
          <w:tcPr>
            <w:tcW w:type="dxa" w:w="1728"/>
          </w:tcPr>
          <w:p>
            <w:r>
              <w:t>NEIC (NEIC - NEI-CEDA CI)</w:t>
            </w:r>
          </w:p>
        </w:tc>
        <w:tc>
          <w:tcPr>
            <w:tcW w:type="dxa" w:w="1728"/>
          </w:tcPr>
          <w:p>
            <w:r>
              <w:t>2636</w:t>
            </w:r>
          </w:p>
        </w:tc>
        <w:tc>
          <w:tcPr>
            <w:tcW w:type="dxa" w:w="1728"/>
          </w:tcPr>
          <w:p>
            <w:r>
              <w:t>6279740 FCFA</w:t>
            </w:r>
          </w:p>
        </w:tc>
        <w:tc>
          <w:tcPr>
            <w:tcW w:type="dxa" w:w="1728"/>
          </w:tcPr>
          <w:p>
            <w:r>
              <w:t>14.58%</w:t>
            </w:r>
          </w:p>
        </w:tc>
        <w:tc>
          <w:tcPr>
            <w:tcW w:type="dxa" w:w="1728"/>
          </w:tcPr>
          <w:p>
            <w:r>
              <w:t>ACHAT</w:t>
            </w:r>
          </w:p>
        </w:tc>
      </w:tr>
      <w:tr>
        <w:tc>
          <w:tcPr>
            <w:tcW w:type="dxa" w:w="1728"/>
          </w:tcPr>
          <w:p>
            <w:r>
              <w:t>BNBC (BNBC - BERNABE CI)</w:t>
            </w:r>
          </w:p>
        </w:tc>
        <w:tc>
          <w:tcPr>
            <w:tcW w:type="dxa" w:w="1728"/>
          </w:tcPr>
          <w:p>
            <w:r>
              <w:t>2557</w:t>
            </w:r>
          </w:p>
        </w:tc>
        <w:tc>
          <w:tcPr>
            <w:tcW w:type="dxa" w:w="1728"/>
          </w:tcPr>
          <w:p>
            <w:r>
              <w:t>5063941 FCFA</w:t>
            </w:r>
          </w:p>
        </w:tc>
        <w:tc>
          <w:tcPr>
            <w:tcW w:type="dxa" w:w="1728"/>
          </w:tcPr>
          <w:p>
            <w:r>
              <w:t>23.30%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BNBC - BNBC - BERNABE CI</w:t>
      </w:r>
    </w:p>
    <w:p>
      <w:r>
        <w:rPr>
          <w:b/>
        </w:rPr>
        <w:t xml:space="preserve">Score de divergence: </w:t>
      </w:r>
      <w:r>
        <w:t>5/8</w:t>
        <w:br/>
      </w:r>
      <w:r>
        <w:rPr>
          <w:b/>
        </w:rPr>
        <w:t xml:space="preserve">Description: </w:t>
      </w:r>
      <w:r>
        <w:t>Signaux de vente: MM, MACD | Recommandation finale: ACHAT</w:t>
        <w:br/>
      </w:r>
    </w:p>
    <w:p/>
    <w:p>
      <w:pPr>
        <w:pStyle w:val="Heading3"/>
      </w:pPr>
      <w:r>
        <w:t>2. BOAC - BANK OF AFRICA COTE D'IVOIRE</w:t>
      </w:r>
    </w:p>
    <w:p>
      <w:r>
        <w:rPr>
          <w:b/>
        </w:rPr>
        <w:t xml:space="preserve">Score de divergence: </w:t>
      </w:r>
      <w:r>
        <w:t>5/8</w:t>
        <w:br/>
      </w:r>
      <w:r>
        <w:rPr>
          <w:b/>
        </w:rPr>
        <w:t xml:space="preserve">Description: </w:t>
      </w:r>
      <w:r>
        <w:t>Signaux de vente: MM, MACD | Recommandation finale: ACHAT FORT</w:t>
        <w:br/>
      </w:r>
    </w:p>
    <w:p/>
    <w:p>
      <w:pPr>
        <w:pStyle w:val="Heading3"/>
      </w:pPr>
      <w:r>
        <w:t>3.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4.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5. ORGT - ORGT - ORAGROUP TOGO</w:t>
      </w:r>
    </w:p>
    <w:p>
      <w:r>
        <w:rPr>
          <w:b/>
        </w:rPr>
        <w:t xml:space="preserve">Score de divergence: </w:t>
      </w:r>
      <w:r>
        <w:t>5/8</w:t>
        <w:br/>
      </w:r>
      <w:r>
        <w:rPr>
          <w:b/>
        </w:rPr>
        <w:t xml:space="preserve">Description: </w:t>
      </w:r>
      <w:r>
        <w:t>Signaux de vente: MM, MACD | Recommandation finale: ACHAT</w:t>
        <w:br/>
      </w:r>
    </w:p>
    <w:p/>
    <w:p>
      <w:pPr>
        <w:pStyle w:val="Heading3"/>
      </w:pPr>
      <w:r>
        <w:t>6.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PRSC - PRSC - TRACTAFRIC MOTORS CI</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 pétrole brut Brent se maintient autour de 100 dollars le baril, avec des mouvements contradictoires : un bond de 4 % à 104,28 $/baril (tensions sur l'offre) suivi d'une correction baissière incluant les métaux précieux. Ces volatilités reflètent des tensions géopolitiques persistantes sur l'offre énergétique. La BCE a décidé de s'abstenir de donner des indications prospectives sur ses taux directeurs, signalant une incertitude accrue. Un risque de crise financière en zone euro est évoqué, la BCE pouvant être confrontée à un dilemme entre respect de ses traités et soutien à Paris.</w:t>
      </w:r>
    </w:p>
    <w:p>
      <w:pPr>
        <w:pStyle w:val="Heading3"/>
      </w:pPr>
      <w:r>
        <w:rPr>
          <w:color w:val="500050"/>
        </w:rPr>
        <w:t>⚡ Impact estimé sur la BRVM</w:t>
      </w:r>
    </w:p>
    <w:p>
      <w:pPr>
        <w:spacing w:before="20" w:after="40"/>
        <w:ind w:left="280"/>
      </w:pPr>
      <w:r>
        <w:rPr>
          <w:i/>
          <w:sz w:val="18"/>
        </w:rPr>
        <w:t>La volatilité pétrolière impacte directement SHEC (ENERGIE) : une hausse durable au-dessus de 100 $ soutiendrait ses marges, mais la correction actuelle crée de l'incertitude. L'absence de guidance BCE et le risque de crise euro pèsent sur le sentiment des investisseurs BRVM, notamment sur les valeurs financières BOAS, BICB, SGBC, NSBC, ECOC exposées aux flux de capitaux étrangers. Le FCFA étant arrimé à l'euro, toute tension sur la monnaie unique affecte la stabilité monétaire de la zone UEMOA.</w:t>
      </w:r>
    </w:p>
    <w:p>
      <w:pPr>
        <w:pStyle w:val="Heading2"/>
      </w:pPr>
      <w:r>
        <w:rPr>
          <w:color w:val="006E32"/>
        </w:rPr>
        <w:t>🌍 Plan Africain</w:t>
      </w:r>
    </w:p>
    <w:p>
      <w:pPr>
        <w:spacing w:before="20" w:after="40"/>
        <w:ind w:left="0"/>
      </w:pPr>
      <w:r>
        <w:rPr>
          <w:sz w:val="18"/>
        </w:rPr>
        <w:t>L'Afrique affiche une croissance solide mais le défi majeur reste l'investissement (Africanews). Le FMI a validé un programme de 203 millions de dollars pour le Niger, signalant un soutien continu aux économies fragiles de la région. La CEDEAO renforce son partenariat avec le FMI et la Banque mondiale pour la stabilité régionale. Toutefois, l'Afrique reste "accro au dollar" malgré l'offensive chinoise du yuan, exposant les économies aux fluctuations du billet vert.</w:t>
      </w:r>
    </w:p>
    <w:p>
      <w:pPr>
        <w:pStyle w:val="Heading3"/>
      </w:pPr>
      <w:r>
        <w:rPr>
          <w:color w:val="500050"/>
        </w:rPr>
        <w:t>⚡ Impact estimé sur la BRVM</w:t>
      </w:r>
    </w:p>
    <w:p>
      <w:pPr>
        <w:spacing w:before="20" w:after="40"/>
        <w:ind w:left="280"/>
      </w:pPr>
      <w:r>
        <w:rPr>
          <w:i/>
          <w:sz w:val="18"/>
        </w:rPr>
        <w:t>Le soutien FMI/Banque mondiale à la CEDEAO améliore le climat des affaires régional, bénéficiant indirectement aux sociétés panafricaines cotées comme SNTS (TELECOM) et aux banques BOAS, SGBC, ECOC présentes dans plusieurs pays UEMOA. La dépendance au dollar reste un risque pour les importateurs et les sociétés de distribution comme ABJC, LNBB, NEIC.</w:t>
      </w:r>
    </w:p>
    <w:p>
      <w:pPr>
        <w:pStyle w:val="Heading2"/>
      </w:pPr>
      <w:r>
        <w:rPr>
          <w:color w:val="145A28"/>
        </w:rPr>
        <w:t>🌍 Plan Afrique de l'Ouest</w:t>
      </w:r>
    </w:p>
    <w:p>
      <w:pPr>
        <w:spacing w:before="20" w:after="40"/>
        <w:ind w:left="0"/>
      </w:pPr>
      <w:r>
        <w:rPr>
          <w:sz w:val="18"/>
        </w:rPr>
        <w:t>Le FMI valide 203 M$ pour le Niger, renforçant la stabilité macroéconomique sous-régionale. La CEDEAO examine à Banjul les défis de gestion des frontières, visant à améliorer les échanges commerciaux intra-régionaux. L'économiste Kako Nubukpo doute de la faisabilité d'une monnaie unique CEDEAO, remettant en question l'intégration monétaire à moyen terme.</w:t>
      </w:r>
    </w:p>
    <w:p>
      <w:pPr>
        <w:pStyle w:val="Heading3"/>
      </w:pPr>
      <w:r>
        <w:rPr>
          <w:color w:val="500050"/>
        </w:rPr>
        <w:t>⚡ Impact estimé sur la BRVM</w:t>
      </w:r>
    </w:p>
    <w:p>
      <w:pPr>
        <w:spacing w:before="20" w:after="40"/>
        <w:ind w:left="280"/>
      </w:pPr>
      <w:r>
        <w:rPr>
          <w:i/>
          <w:sz w:val="18"/>
        </w:rPr>
        <w:t>L'amélioration de la gestion des frontières CEDEAO pourrait bénéficier aux sociétés de distribution et de consommation (ABJC, LNBB, NEIC, SLBC, PALC) en facilitant les flux commerciaux. Le doute sur la monnaie unique CEDEAO conforte la stabilité du FCFA et rassure les investisseurs sur la continuité monétaire de l'UEMOA.</w:t>
      </w:r>
    </w:p>
    <w:p>
      <w:pPr>
        <w:pStyle w:val="Heading2"/>
      </w:pPr>
      <w:r>
        <w:rPr>
          <w:color w:val="8C4600"/>
        </w:rPr>
        <w:t>🏦 Plan UEMOA / Zone Franc</w:t>
      </w:r>
    </w:p>
    <w:p>
      <w:pPr>
        <w:spacing w:before="20" w:after="40"/>
        <w:ind w:left="0"/>
      </w:pPr>
      <w:r>
        <w:rPr>
          <w:sz w:val="18"/>
        </w:rPr>
        <w:t>Données insuffisantes concernant les décisions BCEAO, l'inflation zone, la liquidité bancaire et les matières premières clés (cacao, caoutchouc) dans les actualités fournies. Les seules informations disponibles concernent la stabilité politique (Sénégal/Guinée-Bissau) et le football burkinabè, sans impact macroéconomique direct.</w:t>
      </w:r>
    </w:p>
    <w:p>
      <w:pPr>
        <w:pStyle w:val="Heading3"/>
      </w:pPr>
      <w:r>
        <w:rPr>
          <w:color w:val="500050"/>
        </w:rPr>
        <w:t>⚡ Impact estimé sur la BRVM</w:t>
      </w:r>
    </w:p>
    <w:p>
      <w:pPr>
        <w:spacing w:before="20" w:after="40"/>
        <w:ind w:left="280"/>
      </w:pPr>
      <w:r>
        <w:rPr>
          <w:i/>
          <w:sz w:val="18"/>
        </w:rPr>
        <w:t>Sans données BCEAO ni prix des matières premières, l'analyse sectorielle est limitée. Les valeurs agro-industrielles PALC, SOGC, SCRC, CFAC restent sans catalyseur identifiable. Les banques SGBC, BICB, BOAS, NSBC, ECOC évoluent sans indication sur les taux directeurs ou la liquidité.</w:t>
      </w:r>
    </w:p>
    <w:p>
      <w:pPr>
        <w:pStyle w:val="Heading2"/>
      </w:pPr>
      <w:r>
        <w:rPr>
          <w:color w:val="003366"/>
        </w:rPr>
        <w:t>📈 Plan BRVM</w:t>
      </w:r>
    </w:p>
    <w:p>
      <w:pPr>
        <w:spacing w:before="20" w:after="40"/>
        <w:ind w:left="0"/>
      </w:pPr>
      <w:r>
        <w:rPr>
          <w:sz w:val="18"/>
        </w:rPr>
        <w:t>Les résultats encourageants des sociétés cotées ivoiriennes sont mis en avant par La Tribune (juin 2026), signalant une dynamique positive sur le marché. L'indice BRVM Composite se situe à 548,41 points. Aucune information sur les volumes, IPO ou dividendes n'est disponible dans les actualités fournies.</w:t>
      </w:r>
    </w:p>
    <w:p>
      <w:pPr>
        <w:pStyle w:val="Heading3"/>
      </w:pPr>
      <w:r>
        <w:rPr>
          <w:color w:val="500050"/>
        </w:rPr>
        <w:t>⚡ Impact estimé sur la BRVM</w:t>
      </w:r>
    </w:p>
    <w:p>
      <w:pPr>
        <w:spacing w:before="20" w:after="40"/>
        <w:ind w:left="280"/>
      </w:pPr>
      <w:r>
        <w:rPr>
          <w:i/>
          <w:sz w:val="18"/>
        </w:rPr>
        <w:t>Les résultats encourageants des sociétés ivoiriennes soutiennent le sentiment haussier sur les valeurs de qualité : SGBC, BICB, BOAS (financières), PALC, SLBC (consommation de base). Recommandation de prudence sur SHEC (ENERGIE) face à la volatilité pétrolière, et sur les valeurs de distribution ABJC, LNBB, NEIC exposées aux coûts d'importation. ONTBF (TELECOM) reste un placement défensif dans un contexte incertain.</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sur l'offre pétrolière au Moyen-Orient persistent, maintenant le Brent autour de 100 $. Le risque de crise financière en zone euro s'intensifie, la BCE devant arbitrer entre respect des traités et soutien à Paris. Ces tensions géopolitiques et financières créent un environnement international incertain.</w:t>
      </w:r>
    </w:p>
    <w:p>
      <w:pPr>
        <w:pStyle w:val="Heading3"/>
      </w:pPr>
      <w:r>
        <w:rPr>
          <w:color w:val="500050"/>
        </w:rPr>
        <w:t>⚡ Impact estimé sur la BRVM</w:t>
      </w:r>
    </w:p>
    <w:p>
      <w:pPr>
        <w:spacing w:before="20" w:after="40"/>
        <w:ind w:left="280"/>
      </w:pPr>
      <w:r>
        <w:rPr>
          <w:i/>
          <w:sz w:val="18"/>
        </w:rPr>
        <w:t>L'instabilité euro affecte directement les investisseurs BRVM via le canal monétaire (FCFA arrimé à l'euro) et la confiance des capitaux étrangers. Les valeurs financières BOAS, SGBC, BICB, NSBC, ECOC sont les plus exposées à une détérioration du sentiment européen.</w:t>
      </w:r>
    </w:p>
    <w:p>
      <w:pPr>
        <w:pStyle w:val="Heading2"/>
      </w:pPr>
      <w:r>
        <w:rPr>
          <w:color w:val="006E32"/>
        </w:rPr>
        <w:t>🌍 Plan Africain</w:t>
      </w:r>
    </w:p>
    <w:p>
      <w:pPr>
        <w:spacing w:before="20" w:after="40"/>
        <w:ind w:left="0"/>
      </w:pPr>
      <w:r>
        <w:rPr>
          <w:sz w:val="18"/>
        </w:rPr>
        <w:t>Le Sénégal se prononce sur la situation politique en Guinée-Bissau, signalant une attention régionale aux transitions politiques. Le Mali connaît une instabilité historique documentée (razzias, guerres saintes sur 200 ans). Le Burkina Faso crée la Ligue de la Souveraineté pour relancer le football régional, signe d'une volonté de dynamisation sociale.</w:t>
      </w:r>
    </w:p>
    <w:p>
      <w:pPr>
        <w:pStyle w:val="Heading3"/>
      </w:pPr>
      <w:r>
        <w:rPr>
          <w:color w:val="500050"/>
        </w:rPr>
        <w:t>⚡ Impact estimé sur la BRVM</w:t>
      </w:r>
    </w:p>
    <w:p>
      <w:pPr>
        <w:spacing w:before="20" w:after="40"/>
        <w:ind w:left="280"/>
      </w:pPr>
      <w:r>
        <w:rPr>
          <w:i/>
          <w:sz w:val="18"/>
        </w:rPr>
        <w:t>L'instabilité politique en Guinée-Bissau et au Mali crée des risques pour les sociétés opérant dans ces pays. Les banques BOAS, SGBC, ECOC présentes dans la région pourraient voir leurs activités transfrontalières affectées. La stabilité relative du Sénégal et de la Côte d'Ivoire reste un pilier pour la BRVM.</w:t>
      </w:r>
    </w:p>
    <w:p>
      <w:pPr>
        <w:pStyle w:val="Heading2"/>
      </w:pPr>
      <w:r>
        <w:rPr>
          <w:color w:val="145A28"/>
        </w:rPr>
        <w:t>🌍 Plan Afrique de l'Ouest</w:t>
      </w:r>
    </w:p>
    <w:p>
      <w:pPr>
        <w:spacing w:before="20" w:after="40"/>
        <w:ind w:left="0"/>
      </w:pPr>
      <w:r>
        <w:rPr>
          <w:sz w:val="18"/>
        </w:rPr>
        <w:t>La CEDEAO examine les défis de gestion des frontières à Banjul, visant à améliorer la coopération régionale. Le doute de Kako Nubukpo sur la monnaie unique CEDEAO remet en question l'intégration monétaire. Le Niger bénéficie d'un soutien FMI de 203 M$, stabilisant sa situation macroéconomique.</w:t>
      </w:r>
    </w:p>
    <w:p>
      <w:pPr>
        <w:pStyle w:val="Heading3"/>
      </w:pPr>
      <w:r>
        <w:rPr>
          <w:color w:val="500050"/>
        </w:rPr>
        <w:t>⚡ Impact estimé sur la BRVM</w:t>
      </w:r>
    </w:p>
    <w:p>
      <w:pPr>
        <w:spacing w:before="20" w:after="40"/>
        <w:ind w:left="280"/>
      </w:pPr>
      <w:r>
        <w:rPr>
          <w:i/>
          <w:sz w:val="18"/>
        </w:rPr>
        <w:t>Les risques sécuritaires et politiques dans certains pays CEDEAO (Mali, Guinée-Bissau) limitent l'expansion des sociétés cotées dans ces marchés. Les valeurs panafricaines SNTS (TELECOM) et les banques BOAS, SGBC, ECOC pourraient modérer leurs investissements dans les zones à risque.</w:t>
      </w:r>
    </w:p>
    <w:p>
      <w:pPr>
        <w:pStyle w:val="Heading2"/>
      </w:pPr>
      <w:r>
        <w:rPr>
          <w:color w:val="8C4600"/>
        </w:rPr>
        <w:t>🏦 Plan UEMOA / Zone Franc</w:t>
      </w:r>
    </w:p>
    <w:p>
      <w:pPr>
        <w:spacing w:before="20" w:after="40"/>
        <w:ind w:left="0"/>
      </w:pPr>
      <w:r>
        <w:rPr>
          <w:sz w:val="18"/>
        </w:rPr>
        <w:t>Le Sénégal prend position sur la situation en Guinée-Bissau, démontrant son rôle de stabilisateur régional. Le Burkina Faso crée une compétition footballistique régionale, signe de stabilité relative. Aucune réforme institutionnelle majeure n'est signalée dans les actualités fournies.</w:t>
      </w:r>
    </w:p>
    <w:p>
      <w:pPr>
        <w:pStyle w:val="Heading3"/>
      </w:pPr>
      <w:r>
        <w:rPr>
          <w:color w:val="500050"/>
        </w:rPr>
        <w:t>⚡ Impact estimé sur la BRVM</w:t>
      </w:r>
    </w:p>
    <w:p>
      <w:pPr>
        <w:spacing w:before="20" w:after="40"/>
        <w:ind w:left="280"/>
      </w:pPr>
      <w:r>
        <w:rPr>
          <w:i/>
          <w:sz w:val="18"/>
        </w:rPr>
        <w:t>La stabilité politique du Sénégal et de la Côte d'Ivoire, principaux marchés de la BRVM, soutient la confiance des investisseurs. Les risques réglementaires restent contenus pour les sociétés cotées SGBC, BICB, PALC, SLBC, ONTBF.</w:t>
      </w:r>
    </w:p>
    <w:p>
      <w:pPr>
        <w:pStyle w:val="Heading2"/>
      </w:pPr>
      <w:r>
        <w:rPr>
          <w:color w:val="003366"/>
        </w:rPr>
        <w:t>📈 Plan BRVM</w:t>
      </w:r>
    </w:p>
    <w:p>
      <w:pPr>
        <w:spacing w:before="20" w:after="40"/>
        <w:ind w:left="0"/>
      </w:pPr>
      <w:r>
        <w:rPr>
          <w:sz w:val="18"/>
        </w:rPr>
        <w:t>Données insuffisantes concernant la réglementation CREPMF, les nouvelles cotations et la gouvernance des sociétés dans les actualités fournies. Seule information : les résultats encourageants des sociétés ivoiriennes cotées.</w:t>
      </w:r>
    </w:p>
    <w:p>
      <w:pPr>
        <w:pStyle w:val="Heading3"/>
      </w:pPr>
      <w:r>
        <w:rPr>
          <w:color w:val="500050"/>
        </w:rPr>
        <w:t>⚡ Impact estimé sur la BRVM</w:t>
      </w:r>
    </w:p>
    <w:p>
      <w:pPr>
        <w:spacing w:before="20" w:after="40"/>
        <w:ind w:left="280"/>
      </w:pPr>
      <w:r>
        <w:rPr>
          <w:i/>
          <w:sz w:val="18"/>
        </w:rPr>
        <w:t>Sans information réglementaire spécifique, l'analyse reste limitée. Les résultats positifs des sociétés ivoiriennes suggèrent une gouvernance satisfaisante pour SGBC, BICB, PALC, SLBC, ONTBF.</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 pétrole Brent se maintient autour de 100 $ avec une volatilité significative (bond de 4 % puis correction). La BCE s'abstient de donner des indications sur les taux, créant une incertitude sur les marchés. Un risque de crise financière en zone euro est évoqué, avec un dilemme BCE entre traités et soutien à Paris.</w:t>
      </w:r>
    </w:p>
    <w:p>
      <w:pPr>
        <w:pStyle w:val="Heading3"/>
      </w:pPr>
      <w:r>
        <w:rPr>
          <w:color w:val="500050"/>
        </w:rPr>
        <w:t>⚡ Impact estimé sur la BRVM</w:t>
      </w:r>
    </w:p>
    <w:p>
      <w:pPr>
        <w:spacing w:before="20" w:after="40"/>
        <w:ind w:left="280"/>
      </w:pPr>
      <w:r>
        <w:rPr>
          <w:i/>
          <w:sz w:val="18"/>
        </w:rPr>
        <w:t>La volatilité pétrolière affecte SHEC (ENERGIE) directement. L'incertitude BCE pèse sur les valeurs financières BOAS, BICB, SGBC, NSBC, ECOC via les flux de capitaux. Les investisseurs BRVM pourraient privilégier les valeurs défensives ONTBF, SLBC, PALC en période d'incertitude.</w:t>
      </w:r>
    </w:p>
    <w:p>
      <w:pPr>
        <w:pStyle w:val="Heading2"/>
      </w:pPr>
      <w:r>
        <w:rPr>
          <w:color w:val="006E32"/>
        </w:rPr>
        <w:t>🌍 Plan Africain</w:t>
      </w:r>
    </w:p>
    <w:p>
      <w:pPr>
        <w:spacing w:before="20" w:after="40"/>
        <w:ind w:left="0"/>
      </w:pPr>
      <w:r>
        <w:rPr>
          <w:sz w:val="18"/>
        </w:rPr>
        <w:t>Données insuffisantes concernant les marchés obligataires africains, les eurobonds et les notations souveraines dans les actualités fournies. Seule information : l'Afrique reste dépendante au dollar malgré l'offensive du yuan chinois.</w:t>
      </w:r>
    </w:p>
    <w:p>
      <w:pPr>
        <w:pStyle w:val="Heading3"/>
      </w:pPr>
      <w:r>
        <w:rPr>
          <w:color w:val="500050"/>
        </w:rPr>
        <w:t>⚡ Impact estimé sur la BRVM</w:t>
      </w:r>
    </w:p>
    <w:p>
      <w:pPr>
        <w:spacing w:before="20" w:after="40"/>
        <w:ind w:left="280"/>
      </w:pPr>
      <w:r>
        <w:rPr>
          <w:i/>
          <w:sz w:val="18"/>
        </w:rPr>
        <w:t>La dépendance au dollar expose les sociétés importatrices ABJC, LNBB, NEIC aux risques de change. Les banques BOAS, SGBC, ECOC pourraient voir leurs coûts de financement affectés par les conditions monétaires internationales.</w:t>
      </w:r>
    </w:p>
    <w:p>
      <w:pPr>
        <w:pStyle w:val="Heading2"/>
      </w:pPr>
      <w:r>
        <w:rPr>
          <w:color w:val="145A28"/>
        </w:rPr>
        <w:t>🌍 Plan Afrique de l'Ouest</w:t>
      </w:r>
    </w:p>
    <w:p>
      <w:pPr>
        <w:spacing w:before="20" w:after="40"/>
        <w:ind w:left="0"/>
      </w:pPr>
      <w:r>
        <w:rPr>
          <w:sz w:val="18"/>
        </w:rPr>
        <w:t>Données insuffisantes concernant les bourses régionales concurrentes et les flux de capitaux sous-régionaux dans les actualités fournies. La CEDEAO examine les défis de gestion des frontières, ce qui pourrait améliorer les échanges économiques.</w:t>
      </w:r>
    </w:p>
    <w:p>
      <w:pPr>
        <w:pStyle w:val="Heading3"/>
      </w:pPr>
      <w:r>
        <w:rPr>
          <w:color w:val="500050"/>
        </w:rPr>
        <w:t>⚡ Impact estimé sur la BRVM</w:t>
      </w:r>
    </w:p>
    <w:p>
      <w:pPr>
        <w:spacing w:before="20" w:after="40"/>
        <w:ind w:left="280"/>
      </w:pPr>
      <w:r>
        <w:rPr>
          <w:i/>
          <w:sz w:val="18"/>
        </w:rPr>
        <w:t>Sans données sur les places concurrentes, l'analyse du positionnement de la BRVM est limitée. L'amélioration des frontières CEDEAO pourrait bénéficier aux sociétés de distribution ABJC, LNBB, NEIC et aux banques BOAS, SGBC, ECOC.</w:t>
      </w:r>
    </w:p>
    <w:p>
      <w:pPr>
        <w:pStyle w:val="Heading2"/>
      </w:pPr>
      <w:r>
        <w:rPr>
          <w:color w:val="8C4600"/>
        </w:rPr>
        <w:t>🏦 Plan UEMOA / Zone Franc</w:t>
      </w:r>
    </w:p>
    <w:p>
      <w:pPr>
        <w:spacing w:before="20" w:after="40"/>
        <w:ind w:left="0"/>
      </w:pPr>
      <w:r>
        <w:rPr>
          <w:sz w:val="18"/>
        </w:rPr>
        <w:t>Données insuffisantes concernant le marché des titres publics UEMOA, le taux interbancaire et la liquidité dans les actualités fournies. Aucune information sur les adjudications de titres souverains ou les conditions de liquidité bancaire.</w:t>
      </w:r>
    </w:p>
    <w:p>
      <w:pPr>
        <w:pStyle w:val="Heading3"/>
      </w:pPr>
      <w:r>
        <w:rPr>
          <w:color w:val="500050"/>
        </w:rPr>
        <w:t>⚡ Impact estimé sur la BRVM</w:t>
      </w:r>
    </w:p>
    <w:p>
      <w:pPr>
        <w:spacing w:before="20" w:after="40"/>
        <w:ind w:left="280"/>
      </w:pPr>
      <w:r>
        <w:rPr>
          <w:i/>
          <w:sz w:val="18"/>
        </w:rPr>
        <w:t>Sans données sur les taux publics, l'arbitrage entre titres souverains et actions BRVM ne peut être analysé. Les banques SGBC, BICB, BOAS, NSBC, ECOC restent sans indication sur leurs conditions de refinancement.</w:t>
      </w:r>
    </w:p>
    <w:p>
      <w:pPr>
        <w:pStyle w:val="Heading2"/>
      </w:pPr>
      <w:r>
        <w:rPr>
          <w:color w:val="003366"/>
        </w:rPr>
        <w:t>📈 Plan BRVM</w:t>
      </w:r>
    </w:p>
    <w:p>
      <w:pPr>
        <w:spacing w:before="20" w:after="40"/>
        <w:ind w:left="0"/>
      </w:pPr>
      <w:r>
        <w:rPr>
          <w:sz w:val="18"/>
        </w:rPr>
        <w:t>L'indice BRVM Composite se situe à 548,41 points. Les résultats encourageants des sociétés cotées ivoiriennes sont soulignés. Aucune information sur les volumes, le top/flop ou les perspectives n'est disponible dans les actualités fournies.</w:t>
      </w:r>
    </w:p>
    <w:p>
      <w:pPr>
        <w:pStyle w:val="Heading3"/>
      </w:pPr>
      <w:r>
        <w:rPr>
          <w:color w:val="500050"/>
        </w:rPr>
        <w:t>⚡ Impact estimé sur la BRVM</w:t>
      </w:r>
    </w:p>
    <w:p>
      <w:pPr>
        <w:spacing w:before="20" w:after="40"/>
        <w:ind w:left="280"/>
      </w:pPr>
      <w:r>
        <w:rPr>
          <w:i/>
          <w:sz w:val="18"/>
        </w:rPr>
        <w:t>Les résultats positifs des sociétés ivoiriennes soutiennent une recommandation d'achat sur SGBC, BICB, PALC, SLBC, ONTBF. Prudence sur SHEC (volatilité pétrolière) et sur ABJC, LNBB, NEIC (coûts d'importation). ONTBF (TELECOM) reste un placement défensif recommandé dans un contexte incertain.</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macroéconomique est marqué par une volatilité pétrolière significative (Brent autour de 100 $), une incertitude sur les taux BCE et un risque de crise financière en zone euro, affectant indirectement la BRVM via l'arrimage du FCFA à l'euro. Les nouvelles africaines sont mitigées : soutien FMI au Niger et croissance solide, mais dépendance au dollar et doutes sur la monnaie unique CEDEAO. Les résultats encourageants des sociétés ivoiriennes cotées constituent un signal positif pour SGBC, BICB, PALC, SLBC et ONTBF. Recommandation : privilégier les valeurs défensives (ONTBF, SLBC, PALC) et les financières de qualité (SGBC, BICB), tout en surveillant SHEC face à la volatilité pétrolière et en restant prudent sur les valeurs de distribution (ABJC, LNBB, NEIC) exposées aux coûts d'importation.</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et des métaux précieux a baissé.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Pétrole : les prix à terme annoncent-ils une baisse à venir ? - Les Ec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Les responsables de la Banque centrale européenne ne sont pas encore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Sénégal se prononce sur la situation politique en Guinée-Bissau -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Burkina Faso : le gouvernement crée la Ligue de la Souveraineté pour r</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Mali. 200 ans de razzias et de guerres saintes - Mondafrique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Côte d'Ivoire : Retour de Thiam, le PDCI souhaite une garantie de la p</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2026-10-07</w:t>
            </w:r>
          </w:p>
        </w:tc>
        <w:tc>
          <w:tcPr>
            <w:tcW w:type="dxa" w:w="1728"/>
          </w:tcPr>
          <w:p>
            <w:r>
              <w:rPr>
                <w:sz w:val="14"/>
              </w:rPr>
              <w:t>BRVM: Le Marché Régional Poursuit Sa Reprise Avec Des Gains Pour Orang</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et des métaux précieux a baissé.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Pétrole : les prix à terme annoncent-ils une baisse à venir ? - Les Ec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Le Sénégal se prononce sur la situation politique en Guinée-Bissau -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et des métaux précieux a baissé.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Pétrole : les prix à terme annoncent-ils une baisse à venir ? - Les Ec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Les responsables de la Banque centrale européenne ne sont pas encore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Les responsables de la Banque centrale européenne ne sont pas encore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Les responsables de la Banque centrale européenne ne sont pas encore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Les responsables de la Banque centrale européenne ne sont pas encore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économique  (4 alerte(s))</w:t>
      </w:r>
    </w:p>
    <w:p>
      <w:pPr>
        <w:spacing w:before="40" w:after="40"/>
        <w:ind w:left="360"/>
      </w:pPr>
      <w:r>
        <w:rPr>
          <w:color w:val="646464"/>
          <w:sz w:val="17"/>
        </w:rPr>
        <w:t xml:space="preserve">[09/10/2026] 🔴  </w:t>
      </w:r>
      <w:r>
        <w:rPr>
          <w:b/>
          <w:color w:val="C00000"/>
          <w:sz w:val="18"/>
        </w:rPr>
        <w:t>Kako Nubukpo doute de la faisabilité d’une monnaie unique CEDEAO - Africtelegraph</w:t>
      </w:r>
      <w:r>
        <w:rPr>
          <w:color w:val="787878"/>
          <w:sz w:val="15"/>
        </w:rPr>
        <w:t xml:space="preserve">  [économique]</w:t>
      </w:r>
      <w:r>
        <w:rPr>
          <w:color w:val="B47800"/>
          <w:sz w:val="16"/>
        </w:rPr>
        <w:t xml:space="preserve">  ★ 50/10</w:t>
      </w:r>
    </w:p>
    <w:p>
      <w:pPr>
        <w:spacing w:before="0" w:after="20"/>
        <w:ind w:left="600"/>
      </w:pPr>
      <w:r>
        <w:rPr>
          <w:color w:val="323232"/>
          <w:sz w:val="17"/>
        </w:rPr>
        <w:t>L'économiste Kako Nubukpo exprime des doutes sur la faisabilité d'une monnaie unique pour la CEDEAO. Il remet en question les conditions économiques et politiques nécessaires à sa mise en œuvre. Cette position souligne les obstacles persistants à l'intégration monétaire régionale. Elle pourrait retarder les projets de convergence économique en Afri</w:t>
      </w:r>
    </w:p>
    <w:p>
      <w:pPr>
        <w:spacing w:before="0" w:after="40"/>
        <w:ind w:left="600"/>
      </w:pPr>
      <w:r>
        <w:rPr>
          <w:color w:val="00643C"/>
          <w:sz w:val="16"/>
        </w:rPr>
        <w:t>Points clés : Kako Nubukpo doute de la faisabilité de la monnaie unique CEDEAO  •  Les conditions économiques et politiques ne seraient pas réunies  •  Cela remet en cause le calendrier d'intégration monétaire régionale</w:t>
      </w:r>
    </w:p>
    <w:p>
      <w:pPr>
        <w:spacing w:before="0" w:after="60"/>
        <w:ind w:left="600"/>
      </w:pPr>
      <w:r>
        <w:rPr>
          <w:color w:val="0064B4"/>
          <w:sz w:val="15"/>
        </w:rPr>
        <w:t>Source : https://news.google.com/rss/articles/CBMinAFBVV95cUxOVmlZY0R5bGM4b2xNSFptR3FObEN</w:t>
      </w:r>
    </w:p>
    <w:p>
      <w:pPr>
        <w:spacing w:before="40" w:after="40"/>
        <w:ind w:left="360"/>
      </w:pPr>
      <w:r>
        <w:rPr>
          <w:color w:val="646464"/>
          <w:sz w:val="17"/>
        </w:rPr>
        <w:t xml:space="preserve">[09/10/2026] 🟢  </w:t>
      </w:r>
      <w:r>
        <w:rPr>
          <w:b/>
          <w:color w:val="008000"/>
          <w:sz w:val="18"/>
        </w:rPr>
        <w:t>Niger : le FMI valide un programme de 203 millions de dollars - Africtelegraph</w:t>
      </w:r>
      <w:r>
        <w:rPr>
          <w:color w:val="787878"/>
          <w:sz w:val="15"/>
        </w:rPr>
        <w:t xml:space="preserve">  [économique]</w:t>
      </w:r>
      <w:r>
        <w:rPr>
          <w:color w:val="B47800"/>
          <w:sz w:val="16"/>
        </w:rPr>
        <w:t xml:space="preserve">  ★ 50/10</w:t>
      </w:r>
    </w:p>
    <w:p>
      <w:pPr>
        <w:spacing w:before="0" w:after="20"/>
        <w:ind w:left="600"/>
      </w:pPr>
      <w:r>
        <w:rPr>
          <w:color w:val="323232"/>
          <w:sz w:val="17"/>
        </w:rPr>
        <w:t>Le FMI a validé un programme de financement de 203 millions de dollars en faveur du Niger. Cette approbation intervient dans un contexte économique difficile pour le pays, marqué par des pressions budgétaires et des besoins de financement extérieur. Le programme vise à soutenir les réformes économiques et à stabiliser les finances publiques nigérie</w:t>
      </w:r>
    </w:p>
    <w:p>
      <w:pPr>
        <w:spacing w:before="0" w:after="40"/>
        <w:ind w:left="600"/>
      </w:pPr>
      <w:r>
        <w:rPr>
          <w:color w:val="00643C"/>
          <w:sz w:val="16"/>
        </w:rPr>
        <w:t>Points clés : Le FMI approuve un programme de 203 millions de dollars pour le Niger.  •  Objectif : soutenir les réformes économiques et la stabilité budgétaire.  •  Le Niger fait face à des défis économiques et sécuritaires importants.  •  Cette validation peut améliorer la perception du risque pays dans la zone UEMOA.</w:t>
      </w:r>
    </w:p>
    <w:p>
      <w:pPr>
        <w:spacing w:before="0" w:after="60"/>
        <w:ind w:left="600"/>
      </w:pPr>
      <w:r>
        <w:rPr>
          <w:color w:val="0064B4"/>
          <w:sz w:val="15"/>
        </w:rPr>
        <w:t>Source : https://news.google.com/rss/articles/CBMilwFBVV95cUxQOElKajRrYmpiQy1rWmgyMU5BTmF</w:t>
      </w:r>
    </w:p>
    <w:p>
      <w:pPr>
        <w:spacing w:before="40" w:after="40"/>
        <w:ind w:left="360"/>
      </w:pPr>
      <w:r>
        <w:rPr>
          <w:color w:val="646464"/>
          <w:sz w:val="17"/>
        </w:rPr>
        <w:t xml:space="preserve">[09/10/2026] ⚪  </w:t>
      </w:r>
      <w:r>
        <w:rPr>
          <w:b/>
          <w:color w:val="505050"/>
          <w:sz w:val="18"/>
        </w:rPr>
        <w:t>La CEDEAO examine à Banjul les défis de la gestion des frontières en Afrique de l’Ouest - mafrique</w:t>
      </w:r>
      <w:r>
        <w:rPr>
          <w:color w:val="787878"/>
          <w:sz w:val="15"/>
        </w:rPr>
        <w:t xml:space="preserve">  [économique]</w:t>
      </w:r>
      <w:r>
        <w:rPr>
          <w:color w:val="B47800"/>
          <w:sz w:val="16"/>
        </w:rPr>
        <w:t xml:space="preserve">  ★ 50/10</w:t>
      </w:r>
    </w:p>
    <w:p>
      <w:pPr>
        <w:spacing w:before="0" w:after="20"/>
        <w:ind w:left="600"/>
      </w:pPr>
      <w:r>
        <w:rPr>
          <w:color w:val="323232"/>
          <w:sz w:val="17"/>
        </w:rPr>
        <w:t>La CEDEAO a organisé une réunion à Banjul pour examiner les défis liés à la gestion des frontières en Afrique de l'Ouest. Cette rencontre vise à améliorer la coordination et la sécurité aux frontières, un enjeu clé pour la libre circulation des personnes et des biens dans la région. Les discussions portent sur les obstacles administratifs, sécurita</w:t>
      </w:r>
    </w:p>
    <w:p>
      <w:pPr>
        <w:spacing w:before="0" w:after="40"/>
        <w:ind w:left="600"/>
      </w:pPr>
      <w:r>
        <w:rPr>
          <w:color w:val="00643C"/>
          <w:sz w:val="16"/>
        </w:rPr>
        <w:t>Points clés : Réunion de la CEDEAO à Banjul sur la gestion des frontières  •  Objectif : améliorer la coordination et la sécurité aux frontières  •  Enjeu : faciliter la libre circulation et le commerce intra-régional</w:t>
      </w:r>
    </w:p>
    <w:p>
      <w:pPr>
        <w:spacing w:before="0" w:after="60"/>
        <w:ind w:left="600"/>
      </w:pPr>
      <w:r>
        <w:rPr>
          <w:color w:val="0064B4"/>
          <w:sz w:val="15"/>
        </w:rPr>
        <w:t>Source : https://news.google.com/rss/articles/CBMiugFBVV95cUxNVDNvZTJDVTktZ0FYekRPOUM3VXp</w:t>
      </w:r>
    </w:p>
    <w:p>
      <w:pPr>
        <w:spacing w:before="40" w:after="40"/>
        <w:ind w:left="360"/>
      </w:pPr>
      <w:r>
        <w:rPr>
          <w:color w:val="646464"/>
          <w:sz w:val="17"/>
        </w:rPr>
        <w:t xml:space="preserve">[07/10/2026] ⚪  </w:t>
      </w:r>
      <w:r>
        <w:rPr>
          <w:b/>
          <w:color w:val="505050"/>
          <w:sz w:val="18"/>
        </w:rPr>
        <w:t>Le président en exercice de la CEDEAO, Diomaye Faye installe à Abuja, les nouveaux juges de la Cour de justice communaut</w:t>
      </w:r>
      <w:r>
        <w:rPr>
          <w:color w:val="787878"/>
          <w:sz w:val="15"/>
        </w:rPr>
        <w:t xml:space="preserve">  [économique]</w:t>
      </w:r>
      <w:r>
        <w:rPr>
          <w:color w:val="B47800"/>
          <w:sz w:val="16"/>
        </w:rPr>
        <w:t xml:space="preserve">  ★ 50/10</w:t>
      </w:r>
    </w:p>
    <w:p>
      <w:pPr>
        <w:spacing w:before="0" w:after="20"/>
        <w:ind w:left="600"/>
      </w:pPr>
      <w:r>
        <w:rPr>
          <w:color w:val="323232"/>
          <w:sz w:val="17"/>
        </w:rPr>
        <w:t>Le président en exercice de la CEDEAO, Bassirou Diomaye Faye, a procédé à l'installation de nouveaux juges à la Cour de justice communautaire de la CEDEAO à Abuja. Cette cérémonie s'inscrit dans le cadre du renforcement des institutions judiciaires de la communauté économique ouest-africaine. Elle vise à assurer une meilleure application du droit c</w:t>
      </w:r>
    </w:p>
    <w:p>
      <w:pPr>
        <w:spacing w:before="0" w:after="40"/>
        <w:ind w:left="600"/>
      </w:pPr>
      <w:r>
        <w:rPr>
          <w:color w:val="00643C"/>
          <w:sz w:val="16"/>
        </w:rPr>
        <w:t>Points clés : Installation de nouveaux juges à la Cour de justice de la CEDEAO à Abuja  •  Cérémonie présidée par Diomaye Faye, président en exercice de la CEDEAO  •  Renforcement des institutions judiciaires communautaires</w:t>
      </w:r>
    </w:p>
    <w:p>
      <w:pPr>
        <w:spacing w:before="0" w:after="60"/>
        <w:ind w:left="600"/>
      </w:pPr>
      <w:r>
        <w:rPr>
          <w:color w:val="0064B4"/>
          <w:sz w:val="15"/>
        </w:rPr>
        <w:t>Source : https://news.google.com/rss/articles/CBMi9gFBVV95cUxPTEtHZldYMDdDOGs2ZzY1OHljU0l</w:t>
      </w:r>
    </w:p>
    <w:p>
      <w:pPr>
        <w:spacing w:before="120" w:after="40"/>
      </w:pPr>
      <w:r>
        <w:rPr>
          <w:b/>
          <w:color w:val="00467F"/>
          <w:sz w:val="20"/>
        </w:rPr>
        <w:t>🔑 politique  (7 alerte(s))</w:t>
      </w:r>
    </w:p>
    <w:p>
      <w:pPr>
        <w:spacing w:before="40" w:after="40"/>
        <w:ind w:left="360"/>
      </w:pPr>
      <w:r>
        <w:rPr>
          <w:color w:val="646464"/>
          <w:sz w:val="17"/>
        </w:rPr>
        <w:t xml:space="preserve">[09/10/2026] 🟢  </w:t>
      </w:r>
      <w:r>
        <w:rPr>
          <w:b/>
          <w:color w:val="008000"/>
          <w:sz w:val="18"/>
        </w:rPr>
        <w:t>Sahara marocain : Le Sénégal, le Guatemala et le Panama réaffirment leur soutien au plan d’autonomie - laquotidienne.ma</w:t>
      </w:r>
      <w:r>
        <w:rPr>
          <w:color w:val="787878"/>
          <w:sz w:val="15"/>
        </w:rPr>
        <w:t xml:space="preserve">  [politique]</w:t>
      </w:r>
      <w:r>
        <w:rPr>
          <w:color w:val="B47800"/>
          <w:sz w:val="16"/>
        </w:rPr>
        <w:t xml:space="preserve">  ★ 50/10</w:t>
      </w:r>
    </w:p>
    <w:p>
      <w:pPr>
        <w:spacing w:before="0" w:after="20"/>
        <w:ind w:left="600"/>
      </w:pPr>
      <w:r>
        <w:rPr>
          <w:color w:val="323232"/>
          <w:sz w:val="17"/>
        </w:rPr>
        <w:t>Le Sénégal, le Guatemala et le Panama ont réaffirmé leur soutien au plan d'autonomie marocain pour le Sahara, lors d'une réunion ou déclaration officielle. Cette prise de position renforce la position diplomatique du Maroc sur la scène internationale. L'article souligne l'importance de ce soutien pour la résolution du conflit du Sahara. Il s'agit d</w:t>
      </w:r>
    </w:p>
    <w:p>
      <w:pPr>
        <w:spacing w:before="0" w:after="40"/>
        <w:ind w:left="600"/>
      </w:pPr>
      <w:r>
        <w:rPr>
          <w:color w:val="00643C"/>
          <w:sz w:val="16"/>
        </w:rPr>
        <w:t>Points clés : Le Sénégal, le Guatemala et le Panama soutiennent le plan d'autonomie marocain.  •  Cette annonce renforce la diplomatie marocaine sur le dossier du Sahara.  •  Aucune implication économique ou financière directe pour la BRVM.</w:t>
      </w:r>
    </w:p>
    <w:p>
      <w:pPr>
        <w:spacing w:before="0" w:after="60"/>
        <w:ind w:left="600"/>
      </w:pPr>
      <w:r>
        <w:rPr>
          <w:color w:val="0064B4"/>
          <w:sz w:val="15"/>
        </w:rPr>
        <w:t>Source : https://news.google.com/rss/articles/CBMimgFBVV95cUxNb1d4TW44R1VYeFc2NS01ZjF0enV</w:t>
      </w:r>
    </w:p>
    <w:p>
      <w:pPr>
        <w:spacing w:before="40" w:after="40"/>
        <w:ind w:left="360"/>
      </w:pPr>
      <w:r>
        <w:rPr>
          <w:color w:val="646464"/>
          <w:sz w:val="17"/>
        </w:rPr>
        <w:t xml:space="preserve">[09/10/2026] ⚪  </w:t>
      </w:r>
      <w:r>
        <w:rPr>
          <w:b/>
          <w:color w:val="505050"/>
          <w:sz w:val="18"/>
        </w:rPr>
        <w:t>Le Sénégal se prononce sur la situation politique en Guinée-Bissau - La Vie Senegalaise</w:t>
      </w:r>
      <w:r>
        <w:rPr>
          <w:color w:val="787878"/>
          <w:sz w:val="15"/>
        </w:rPr>
        <w:t xml:space="preserve">  [politique]</w:t>
      </w:r>
      <w:r>
        <w:rPr>
          <w:color w:val="B47800"/>
          <w:sz w:val="16"/>
        </w:rPr>
        <w:t xml:space="preserve">  ★ 50/10</w:t>
      </w:r>
    </w:p>
    <w:p>
      <w:pPr>
        <w:spacing w:before="0" w:after="20"/>
        <w:ind w:left="600"/>
      </w:pPr>
      <w:r>
        <w:rPr>
          <w:color w:val="323232"/>
          <w:sz w:val="17"/>
        </w:rPr>
        <w:t>Le Sénégal a pris position sur la situation politique en Guinée-Bissau, selon un article de La Vie Sénégalaise. Cette prise de parole intervient dans un contexte de tensions politiques dans le pays voisin. Les détails précis de la déclaration sénégalaise ne sont pas fournis dans l'extrait. Cette annonce pourrait avoir des implications pour la stabi</w:t>
      </w:r>
    </w:p>
    <w:p>
      <w:pPr>
        <w:spacing w:before="0" w:after="40"/>
        <w:ind w:left="600"/>
      </w:pPr>
      <w:r>
        <w:rPr>
          <w:color w:val="00643C"/>
          <w:sz w:val="16"/>
        </w:rPr>
        <w:t>Points clés : Le Sénégal se prononce sur la situation politique en Guinée-Bissau  •  L'information provient de La Vie Sénégalaise  •  Contexte de suivi des développements politiques en Guinée-Bissau</w:t>
      </w:r>
    </w:p>
    <w:p>
      <w:pPr>
        <w:spacing w:before="0" w:after="60"/>
        <w:ind w:left="600"/>
      </w:pPr>
      <w:r>
        <w:rPr>
          <w:color w:val="0064B4"/>
          <w:sz w:val="15"/>
        </w:rPr>
        <w:t>Source : https://news.google.com/rss/articles/CBMinAFBVV95cUxNWGlxUjNtci1BS1lDdF90UnBzeVp</w:t>
      </w:r>
    </w:p>
    <w:p>
      <w:pPr>
        <w:spacing w:before="40" w:after="40"/>
        <w:ind w:left="360"/>
      </w:pPr>
      <w:r>
        <w:rPr>
          <w:color w:val="646464"/>
          <w:sz w:val="17"/>
        </w:rPr>
        <w:t xml:space="preserve">[08/10/2026] 🟢  </w:t>
      </w:r>
      <w:r>
        <w:rPr>
          <w:b/>
          <w:color w:val="008000"/>
          <w:sz w:val="18"/>
        </w:rPr>
        <w:t>Burkina Faso : le gouvernement crée la Ligue de la Souveraineté pour relancer le football régional - Koaci</w:t>
      </w:r>
      <w:r>
        <w:rPr>
          <w:color w:val="787878"/>
          <w:sz w:val="15"/>
        </w:rPr>
        <w:t xml:space="preserve">  [politique]</w:t>
      </w:r>
      <w:r>
        <w:rPr>
          <w:color w:val="B47800"/>
          <w:sz w:val="16"/>
        </w:rPr>
        <w:t xml:space="preserve">  ★ 50/10</w:t>
      </w:r>
    </w:p>
    <w:p>
      <w:pPr>
        <w:spacing w:before="0" w:after="20"/>
        <w:ind w:left="600"/>
      </w:pPr>
      <w:r>
        <w:rPr>
          <w:color w:val="323232"/>
          <w:sz w:val="17"/>
        </w:rPr>
        <w:t>Le gouvernement burkinabè a annoncé la création de la Ligue de la Souveraineté, une nouvelle compétition de football régionale. Cette initiative vise à relancer le football local et à renforcer l'identité nationale. Elle s'inscrit dans un contexte de promotion de la souveraineté et du développement du sport au Burkina Faso.</w:t>
      </w:r>
    </w:p>
    <w:p>
      <w:pPr>
        <w:spacing w:before="0" w:after="40"/>
        <w:ind w:left="600"/>
      </w:pPr>
      <w:r>
        <w:rPr>
          <w:color w:val="00643C"/>
          <w:sz w:val="16"/>
        </w:rPr>
        <w:t>Points clés : Création d'une nouvelle ligue de football par le gouvernement burkinabè  •  Objectif de relance du football régional  •  Initiative portée par des considérations de souveraineté nationale</w:t>
      </w:r>
    </w:p>
    <w:p>
      <w:pPr>
        <w:spacing w:before="0" w:after="60"/>
        <w:ind w:left="600"/>
      </w:pPr>
      <w:r>
        <w:rPr>
          <w:color w:val="0064B4"/>
          <w:sz w:val="15"/>
        </w:rPr>
        <w:t>Source : https://news.google.com/rss/articles/CBMiggJBVV95cUxQNjJpVTgtMHFwTmJDUjFHdURvSkR</w:t>
      </w:r>
    </w:p>
    <w:p>
      <w:pPr>
        <w:spacing w:before="40" w:after="40"/>
        <w:ind w:left="360"/>
      </w:pPr>
      <w:r>
        <w:rPr>
          <w:color w:val="646464"/>
          <w:sz w:val="17"/>
        </w:rPr>
        <w:t xml:space="preserve">[08/10/2026] 🔴  </w:t>
      </w:r>
      <w:r>
        <w:rPr>
          <w:b/>
          <w:color w:val="C00000"/>
          <w:sz w:val="18"/>
        </w:rPr>
        <w:t>Mali. 200 ans de razzias et de guerres saintes - Mondafrique</w:t>
      </w:r>
      <w:r>
        <w:rPr>
          <w:color w:val="787878"/>
          <w:sz w:val="15"/>
        </w:rPr>
        <w:t xml:space="preserve">  [politique]</w:t>
      </w:r>
      <w:r>
        <w:rPr>
          <w:color w:val="B47800"/>
          <w:sz w:val="16"/>
        </w:rPr>
        <w:t xml:space="preserve">  ★ 50/10</w:t>
      </w:r>
    </w:p>
    <w:p>
      <w:pPr>
        <w:spacing w:before="0" w:after="20"/>
        <w:ind w:left="600"/>
      </w:pPr>
      <w:r>
        <w:rPr>
          <w:color w:val="323232"/>
          <w:sz w:val="17"/>
        </w:rPr>
        <w:t>L'article de Mondafrique revient sur deux siècles de razzias et de guerres saintes au Mali, retraçant les dynamiques historiques de violence et de conquête dans la région sahélienne. Il met en perspective les cycles de conflits religieux et de prédation qui ont marqué le territoire malien. Cette analyse historique vise à éclairer les tensions conte</w:t>
      </w:r>
    </w:p>
    <w:p>
      <w:pPr>
        <w:spacing w:before="0" w:after="40"/>
        <w:ind w:left="600"/>
      </w:pPr>
      <w:r>
        <w:rPr>
          <w:color w:val="00643C"/>
          <w:sz w:val="16"/>
        </w:rPr>
        <w:t>Points clés : Rétrospective historique sur 200 ans de conflits au Mali  •  Mise en perspective des guerres saintes et razzias dans le Sahel  •  Lien implicite avec l'instabilité sécuritaire actuelle du pays</w:t>
      </w:r>
    </w:p>
    <w:p>
      <w:pPr>
        <w:spacing w:before="0" w:after="60"/>
        <w:ind w:left="600"/>
      </w:pPr>
      <w:r>
        <w:rPr>
          <w:color w:val="0064B4"/>
          <w:sz w:val="15"/>
        </w:rPr>
        <w:t>Source : https://news.google.com/rss/articles/CBMihwFBVV95cUxPUkx1cE43YTZfLW93ME5tRDFXMG9</w:t>
      </w:r>
    </w:p>
    <w:p>
      <w:pPr>
        <w:spacing w:before="40" w:after="40"/>
        <w:ind w:left="360"/>
      </w:pPr>
      <w:r>
        <w:rPr>
          <w:color w:val="646464"/>
          <w:sz w:val="17"/>
        </w:rPr>
        <w:t xml:space="preserve">[08/10/2026] ⚪  </w:t>
      </w:r>
      <w:r>
        <w:rPr>
          <w:b/>
          <w:color w:val="505050"/>
          <w:sz w:val="18"/>
        </w:rPr>
        <w:t>Burkina Faso : 10 choses à savoir sur le général Diaouari, le maître à penser sécuritaire d’Ibrahim Traoré - Jeune Afriq</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présente dix points clés sur le général Diaouari, décrit comme le maître à penser sécuritaire du président burkinabè Ibrahim Traoré. Il met en lumière son influence croissante dans l'appareil sécuritaire et politique du Burkina Faso. Cette analyse intervient dans un contexte de lutte contre le terrorisme et de réorganisat</w:t>
      </w:r>
    </w:p>
    <w:p>
      <w:pPr>
        <w:spacing w:before="0" w:after="40"/>
        <w:ind w:left="600"/>
      </w:pPr>
      <w:r>
        <w:rPr>
          <w:color w:val="00643C"/>
          <w:sz w:val="16"/>
        </w:rPr>
        <w:t>Points clés : Le général Diaouari est présenté comme le principal conseiller sécuritaire d'Ibrahim Traoré.  •  Son influence s'étend sur les décisions stratégiques liées à la lutte antiterroriste.  •  L'article décrit son parcours et son rôle dans la restructuration de l'armée burkinabè.  •  Cette publication intervient dans un contexte politique et sécuritaire sensible au Burkina Faso.</w:t>
      </w:r>
    </w:p>
    <w:p>
      <w:pPr>
        <w:spacing w:before="0" w:after="60"/>
        <w:ind w:left="600"/>
      </w:pPr>
      <w:r>
        <w:rPr>
          <w:color w:val="0064B4"/>
          <w:sz w:val="15"/>
        </w:rPr>
        <w:t>Source : https://news.google.com/rss/articles/CBMi5AFBVV95cUxNUWk2UjNwWklrU1M5aTd6aHR4YTV</w:t>
      </w:r>
    </w:p>
    <w:p>
      <w:pPr>
        <w:spacing w:before="120" w:after="40"/>
      </w:pPr>
      <w:r>
        <w:rPr>
          <w:b/>
          <w:color w:val="00467F"/>
          <w:sz w:val="20"/>
        </w:rPr>
        <w:t>🔑 matieres_premieres  (4 alerte(s))</w:t>
      </w:r>
    </w:p>
    <w:p>
      <w:pPr>
        <w:spacing w:before="40" w:after="40"/>
        <w:ind w:left="360"/>
      </w:pPr>
      <w:r>
        <w:rPr>
          <w:color w:val="646464"/>
          <w:sz w:val="17"/>
        </w:rPr>
        <w:t xml:space="preserve">[09/10/2026] 🔴  </w:t>
      </w:r>
      <w:r>
        <w:rPr>
          <w:b/>
          <w:color w:val="C00000"/>
          <w:sz w:val="18"/>
        </w:rPr>
        <w:t>Le prix du pétrole brut et des métaux précieux a baissé.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et des métaux précieux a enregistré une baisse sur les marchés internationaux. Cette correction concerne à la fois les hydrocarbures et les métaux précieux comme l'or et l'argent. Les investisseurs suivent l'évolution de ces matières premières en raison de leur rôle de baromètre économique. Cette tendance pourrait influencer</w:t>
      </w:r>
    </w:p>
    <w:p>
      <w:pPr>
        <w:spacing w:before="0" w:after="40"/>
        <w:ind w:left="600"/>
      </w:pPr>
      <w:r>
        <w:rPr>
          <w:color w:val="00643C"/>
          <w:sz w:val="16"/>
        </w:rPr>
        <w:t>Points clés : Baisse simultanée du pétrole brut et des métaux précieux  •  Correction des prix sur les marchés internationaux  •  Impact potentiel sur les économies exportatrices de matières premières</w:t>
      </w:r>
    </w:p>
    <w:p>
      <w:pPr>
        <w:spacing w:before="0" w:after="60"/>
        <w:ind w:left="600"/>
      </w:pPr>
      <w:r>
        <w:rPr>
          <w:color w:val="0064B4"/>
          <w:sz w:val="15"/>
        </w:rPr>
        <w:t>Source : https://news.google.com/rss/articles/CBMic0FVX3lxTE5uTWw3M2ZrX210VHN2R205ZXRmamN</w:t>
      </w:r>
    </w:p>
    <w:p>
      <w:pPr>
        <w:spacing w:before="40" w:after="40"/>
        <w:ind w:left="360"/>
      </w:pPr>
      <w:r>
        <w:rPr>
          <w:color w:val="646464"/>
          <w:sz w:val="17"/>
        </w:rPr>
        <w:t xml:space="preserve">[09/10/2026] 🔴  </w:t>
      </w:r>
      <w:r>
        <w:rPr>
          <w:b/>
          <w:color w:val="C00000"/>
          <w:sz w:val="18"/>
        </w:rPr>
        <w:t>Le prix du pétrole brut a bondi de 4 % pour atteindre 104,28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a bondi de 4 % pour atteindre 104,28 dollars le baril, selon Vietnam.vn. Cette hausse significative reflète des tensions sur le marché des matières premières énergétiques. Elle pourrait avoir des répercussions sur les coûts de production et les prix à la consommation à l'échelle mondiale.</w:t>
      </w:r>
    </w:p>
    <w:p>
      <w:pPr>
        <w:spacing w:before="0" w:after="40"/>
        <w:ind w:left="600"/>
      </w:pPr>
      <w:r>
        <w:rPr>
          <w:color w:val="00643C"/>
          <w:sz w:val="16"/>
        </w:rPr>
        <w:t>Points clés : Hausse de 4 % du prix du pétrole brut  •  Prix atteignant 104,28 dollars le baril  •  Impact potentiel sur les marchés internationaux des matières premières</w:t>
      </w:r>
    </w:p>
    <w:p>
      <w:pPr>
        <w:spacing w:before="0" w:after="60"/>
        <w:ind w:left="600"/>
      </w:pPr>
      <w:r>
        <w:rPr>
          <w:color w:val="0064B4"/>
          <w:sz w:val="15"/>
        </w:rPr>
        <w:t>Source : https://news.google.com/rss/articles/CBMieEFVX3lxTE5wX3F6OGZwaEFfczhhemgtd0R2dWx</w:t>
      </w:r>
    </w:p>
    <w:p>
      <w:pPr>
        <w:spacing w:before="40" w:after="40"/>
        <w:ind w:left="360"/>
      </w:pPr>
      <w:r>
        <w:rPr>
          <w:color w:val="646464"/>
          <w:sz w:val="17"/>
        </w:rPr>
        <w:t xml:space="preserve">[09/10/2026] ⚪  </w:t>
      </w:r>
      <w:r>
        <w:rPr>
          <w:b/>
          <w:color w:val="505050"/>
          <w:sz w:val="18"/>
        </w:rPr>
        <w:t>Le prix du pétrole brut Brent se maintient autour de 100 dollars malgré une reprise de l'offre au Moyen-Orient. - Vietna</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Brent se maintient autour de 100 dollars le baril, malgré une reprise de l'offre au Moyen-Orient. Cette stabilité suggère que la demande mondiale reste soutenue ou que d'autres facteurs géopolitiques compensent l'augmentation de l'offre. Pour les marchés financiers, notamment la BRVM, cette situation pourrait avoir des impli</w:t>
      </w:r>
    </w:p>
    <w:p>
      <w:pPr>
        <w:spacing w:before="0" w:after="40"/>
        <w:ind w:left="600"/>
      </w:pPr>
      <w:r>
        <w:rPr>
          <w:color w:val="00643C"/>
          <w:sz w:val="16"/>
        </w:rPr>
        <w:t>Points clés : Le Brent se maintient autour de 100 dollars malgré la reprise de l'offre au Moyen-Orient.  •  La stabilité des prix indique un équilibre entre offre et demande ou des tensions persistantes.  •  Impact potentiel sur les coûts énergétiques et les sociétés cotées à la BRVM.</w:t>
      </w:r>
    </w:p>
    <w:p>
      <w:pPr>
        <w:spacing w:before="0" w:after="60"/>
        <w:ind w:left="600"/>
      </w:pPr>
      <w:r>
        <w:rPr>
          <w:color w:val="0064B4"/>
          <w:sz w:val="15"/>
        </w:rPr>
        <w:t>Source : https://news.google.com/rss/articles/CBMimgFBVV95cUxObk5aWlV0dVRtT2Y0dktzYWJiRWd</w:t>
      </w:r>
    </w:p>
    <w:p>
      <w:pPr>
        <w:spacing w:before="40" w:after="40"/>
        <w:ind w:left="360"/>
      </w:pPr>
      <w:r>
        <w:rPr>
          <w:color w:val="646464"/>
          <w:sz w:val="17"/>
        </w:rPr>
        <w:t xml:space="preserve">[08/10/2026] ⚪  </w:t>
      </w:r>
      <w:r>
        <w:rPr>
          <w:b/>
          <w:color w:val="505050"/>
          <w:sz w:val="18"/>
        </w:rPr>
        <w:t>Pétrole : les prix à terme annoncent-ils une baisse à venir ? - Les Echos</w:t>
      </w:r>
      <w:r>
        <w:rPr>
          <w:color w:val="787878"/>
          <w:sz w:val="15"/>
        </w:rPr>
        <w:t xml:space="preserve">  [matieres_premieres]</w:t>
      </w:r>
      <w:r>
        <w:rPr>
          <w:color w:val="B47800"/>
          <w:sz w:val="16"/>
        </w:rPr>
        <w:t xml:space="preserve">  ★ 50/10</w:t>
      </w:r>
    </w:p>
    <w:p>
      <w:pPr>
        <w:spacing w:before="0" w:after="20"/>
        <w:ind w:left="600"/>
      </w:pPr>
      <w:r>
        <w:rPr>
          <w:color w:val="323232"/>
          <w:sz w:val="17"/>
        </w:rPr>
        <w:t>L'article des Echos s'interroge sur la capacité des prix à terme du pétrole à anticiper une baisse prochaine des cours. Il analyse les signaux envoyés par les marchés dérivés, notamment les contrats à terme qui reflètent les anticipations des investisseurs. La question centrale est de savoir si ces indicateurs préfigurent un retournement baissier d</w:t>
      </w:r>
    </w:p>
    <w:p>
      <w:pPr>
        <w:spacing w:before="0" w:after="40"/>
        <w:ind w:left="600"/>
      </w:pPr>
      <w:r>
        <w:rPr>
          <w:color w:val="00643C"/>
          <w:sz w:val="16"/>
        </w:rPr>
        <w:t>Points clés : Les prix à terme du pétrole sont scrutés comme indicateurs avancés d'une éventuelle baisse.  •  L'article examine si les contrats futures signalent un retournement des cours.  •  Enjeu : anticiper l'évolution du brut pour les investisseurs et les économies dépendantes.</w:t>
      </w:r>
    </w:p>
    <w:p>
      <w:pPr>
        <w:spacing w:before="0" w:after="60"/>
        <w:ind w:left="600"/>
      </w:pPr>
      <w:r>
        <w:rPr>
          <w:color w:val="0064B4"/>
          <w:sz w:val="15"/>
        </w:rPr>
        <w:t>Source : https://news.google.com/rss/articles/CBMiugFBVV95cUxQYVhHLXhuNDhFYkd1NVhPVHJKMU1</w:t>
      </w:r>
    </w:p>
    <w:p>
      <w:pPr>
        <w:spacing w:before="120" w:after="40"/>
      </w:pPr>
      <w:r>
        <w:rPr>
          <w:b/>
          <w:color w:val="00467F"/>
          <w:sz w:val="20"/>
        </w:rPr>
        <w:t>🔑 politique_monetaire  (4 alerte(s))</w:t>
      </w:r>
    </w:p>
    <w:p>
      <w:pPr>
        <w:spacing w:before="40" w:after="40"/>
        <w:ind w:left="360"/>
      </w:pPr>
      <w:r>
        <w:rPr>
          <w:color w:val="646464"/>
          <w:sz w:val="17"/>
        </w:rPr>
        <w:t xml:space="preserve">[09/10/2026] ⚪  </w:t>
      </w:r>
      <w:r>
        <w:rPr>
          <w:b/>
          <w:color w:val="505050"/>
          <w:sz w:val="18"/>
        </w:rPr>
        <w:t>Les responsables de la Banque centrale européenne ne sont pas encore prêts à relever davantage les taux d'intérêt en oct</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responsables de la Banque centrale européenne (BCE) ne sont pas encore prêts à augmenter davantage les taux d'intérêt en octobre, selon un article de Vietnam.vn. Cette prudence suggère une pause dans le cycle de resserrement monétaire, alors que la BCE évalue l'impact des hausses précédentes sur l'inflation et la croissance. La décision finale </w:t>
      </w:r>
    </w:p>
    <w:p>
      <w:pPr>
        <w:spacing w:before="0" w:after="40"/>
        <w:ind w:left="600"/>
      </w:pPr>
      <w:r>
        <w:rPr>
          <w:color w:val="00643C"/>
          <w:sz w:val="16"/>
        </w:rPr>
        <w:t>Points clés : La BCE n'est pas prête à relever ses taux en octobre.  •  Une pause dans le resserrement monétaire est envisagée.  •  Les décisions futures dépendront des données économiques.</w:t>
      </w:r>
    </w:p>
    <w:p>
      <w:pPr>
        <w:spacing w:before="0" w:after="60"/>
        <w:ind w:left="600"/>
      </w:pPr>
      <w:r>
        <w:rPr>
          <w:color w:val="0064B4"/>
          <w:sz w:val="15"/>
        </w:rPr>
        <w:t>Source : https://news.google.com/rss/articles/CBMilwFBVV95cUxNd1lMaFFkTWoxZFByU2Z6ZjVCRlV</w:t>
      </w:r>
    </w:p>
    <w:p>
      <w:pPr>
        <w:spacing w:before="40" w:after="40"/>
        <w:ind w:left="360"/>
      </w:pPr>
      <w:r>
        <w:rPr>
          <w:color w:val="646464"/>
          <w:sz w:val="17"/>
        </w:rPr>
        <w:t xml:space="preserve">[08/10/2026] ⚪  </w:t>
      </w:r>
      <w:r>
        <w:rPr>
          <w:b/>
          <w:color w:val="505050"/>
          <w:sz w:val="18"/>
        </w:rPr>
        <w:t>La BCE s'abstient de donner des indications sur les taux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ne pas fournir d'indications prospectives sur l'évolution future de ses taux directeurs, selon le compte-rendu de sa dernière réunion. Cette abstention reflète l'incertitude entourant l'inflation et la croissance dans la zone euro. Les marchés surveillent désormais les prochaines données économiques p</w:t>
      </w:r>
    </w:p>
    <w:p>
      <w:pPr>
        <w:spacing w:before="0" w:after="40"/>
        <w:ind w:left="600"/>
      </w:pPr>
      <w:r>
        <w:rPr>
          <w:color w:val="00643C"/>
          <w:sz w:val="16"/>
        </w:rPr>
        <w:t>Points clés : La BCE ne donne aucune indication sur la trajectoire future des taux.  •  Le compte-rendu souligne une approche réunion par réunion.  •  L'incertitude sur l'inflation et la croissance justifie cette prudence.</w:t>
      </w:r>
    </w:p>
    <w:p>
      <w:pPr>
        <w:spacing w:before="0" w:after="60"/>
        <w:ind w:left="600"/>
      </w:pPr>
      <w:r>
        <w:rPr>
          <w:color w:val="0064B4"/>
          <w:sz w:val="15"/>
        </w:rPr>
        <w:t>Source : https://news.google.com/rss/articles/CBMi-AFBVV95cUxQVWt5VUJHZFhMRjJBVm1CRWtpMTB</w:t>
      </w:r>
    </w:p>
    <w:p>
      <w:pPr>
        <w:spacing w:before="40" w:after="40"/>
        <w:ind w:left="360"/>
      </w:pPr>
      <w:r>
        <w:rPr>
          <w:color w:val="646464"/>
          <w:sz w:val="17"/>
        </w:rPr>
        <w:t xml:space="preserve">[08/10/2026] 🔴  </w:t>
      </w:r>
      <w:r>
        <w:rPr>
          <w:b/>
          <w:color w:val="C00000"/>
          <w:sz w:val="18"/>
        </w:rPr>
        <w:t>La BCE pourrait devoir procéder à de nouvelles hausses de taux, estime Dolenc - Boursorama</w:t>
      </w:r>
      <w:r>
        <w:rPr>
          <w:color w:val="787878"/>
          <w:sz w:val="15"/>
        </w:rPr>
        <w:t xml:space="preserve">  [politique_monetaire]</w:t>
      </w:r>
      <w:r>
        <w:rPr>
          <w:color w:val="B47800"/>
          <w:sz w:val="16"/>
        </w:rPr>
        <w:t xml:space="preserve">  ★ 50/10</w:t>
      </w:r>
    </w:p>
    <w:p>
      <w:pPr>
        <w:spacing w:before="0" w:after="20"/>
        <w:ind w:left="600"/>
      </w:pPr>
      <w:r>
        <w:rPr>
          <w:color w:val="323232"/>
          <w:sz w:val="17"/>
        </w:rPr>
        <w:t>Un responsable de la Banque centrale européenne, Dolenc, estime que de nouvelles hausses de taux pourraient être nécessaires pour maîtriser l'inflation. Cette déclaration suggère que la BCE maintient une posture restrictive malgré le ralentissement économique. Elle intervient dans un contexte d'incertitude sur l'évolution des prix et de la croissan</w:t>
      </w:r>
    </w:p>
    <w:p>
      <w:pPr>
        <w:spacing w:before="0" w:after="40"/>
        <w:ind w:left="600"/>
      </w:pPr>
      <w:r>
        <w:rPr>
          <w:color w:val="00643C"/>
          <w:sz w:val="16"/>
        </w:rPr>
        <w:t>Points clés : La BCE pourrait relever ses taux directeurs à nouveau  •  Dolenc plaide pour une politique monétaire restrictive  •  L'objectif reste la maîtrise de l'inflation  •  Impact potentiel sur les marchés obligataires et actions</w:t>
      </w:r>
    </w:p>
    <w:p>
      <w:pPr>
        <w:spacing w:before="0" w:after="60"/>
        <w:ind w:left="600"/>
      </w:pPr>
      <w:r>
        <w:rPr>
          <w:color w:val="0064B4"/>
          <w:sz w:val="15"/>
        </w:rPr>
        <w:t>Source : https://news.google.com/rss/articles/CBMi_AFBVV95cUxQVkoxcVRQQUJ0VEVzVnNLejhLVEc</w:t>
      </w:r>
    </w:p>
    <w:p>
      <w:pPr>
        <w:spacing w:before="40" w:after="40"/>
        <w:ind w:left="360"/>
      </w:pPr>
      <w:r>
        <w:rPr>
          <w:color w:val="646464"/>
          <w:sz w:val="17"/>
        </w:rPr>
        <w:t xml:space="preserve">[08/10/2026] 🔴  </w:t>
      </w:r>
      <w:r>
        <w:rPr>
          <w:b/>
          <w:color w:val="C00000"/>
          <w:sz w:val="18"/>
        </w:rPr>
        <w:t>Risque de crise financière : quand la BCE devra choisir entre Paris et ses traités - Le Point</w:t>
      </w:r>
      <w:r>
        <w:rPr>
          <w:color w:val="787878"/>
          <w:sz w:val="15"/>
        </w:rPr>
        <w:t xml:space="preserve">  [politique_monetaire]</w:t>
      </w:r>
      <w:r>
        <w:rPr>
          <w:color w:val="B47800"/>
          <w:sz w:val="16"/>
        </w:rPr>
        <w:t xml:space="preserve">  ★ 50/10</w:t>
      </w:r>
    </w:p>
    <w:p>
      <w:pPr>
        <w:spacing w:before="0" w:after="20"/>
        <w:ind w:left="600"/>
      </w:pPr>
      <w:r>
        <w:rPr>
          <w:color w:val="323232"/>
          <w:sz w:val="17"/>
        </w:rPr>
        <w:t>L'article du Point évoque un risque de crise financière en zone euro, où la BCE pourrait être confrontée à un dilemme entre respecter ses traités et soutenir la France en cas de tensions sur sa dette souveraine. Cette situation soulève des questions sur la capacité de la BCE à intervenir face à un pays fondateur comme la France. Une telle crise aur</w:t>
      </w:r>
    </w:p>
    <w:p>
      <w:pPr>
        <w:spacing w:before="0" w:after="40"/>
        <w:ind w:left="600"/>
      </w:pPr>
      <w:r>
        <w:rPr>
          <w:color w:val="00643C"/>
          <w:sz w:val="16"/>
        </w:rPr>
        <w:t>Points clés : La BCE pourrait devoir choisir entre le respect de ses traités et le soutien à la France en cas de crise financière.  •  Le risque porte sur la soutenabilité de la dette souveraine française et la stabilité de la zone euro.  •  Une crise en zone euro affecterait les marchés financiers internationaux, avec des effets de contagion possibles.</w:t>
      </w:r>
    </w:p>
    <w:p>
      <w:pPr>
        <w:spacing w:before="0" w:after="60"/>
        <w:ind w:left="600"/>
      </w:pPr>
      <w:r>
        <w:rPr>
          <w:color w:val="0064B4"/>
          <w:sz w:val="15"/>
        </w:rPr>
        <w:t>Source : https://news.google.com/rss/articles/CBMi0wFBVV95cUxNa3h1REpEYzAzaGE0eWEzbXZlbjh</w:t>
      </w:r>
    </w:p>
    <w:p>
      <w:pPr>
        <w:spacing w:before="120" w:after="40"/>
      </w:pPr>
      <w:r>
        <w:rPr>
          <w:b/>
          <w:color w:val="00467F"/>
          <w:sz w:val="20"/>
        </w:rPr>
        <w:t>🔑 marche_financier  (1 alerte(s))</w:t>
      </w:r>
    </w:p>
    <w:p>
      <w:pPr>
        <w:spacing w:before="40" w:after="40"/>
        <w:ind w:left="360"/>
      </w:pPr>
      <w:r>
        <w:rPr>
          <w:color w:val="646464"/>
          <w:sz w:val="17"/>
        </w:rPr>
        <w:t xml:space="preserve">[07/10/2026] 🔴  </w:t>
      </w:r>
      <w:r>
        <w:rPr>
          <w:b/>
          <w:color w:val="C00000"/>
          <w:sz w:val="18"/>
        </w:rPr>
        <w:t>Wall Street en repli, les rendements obligataires pèsent - Investir Les Echos</w:t>
      </w:r>
      <w:r>
        <w:rPr>
          <w:color w:val="787878"/>
          <w:sz w:val="15"/>
        </w:rPr>
        <w:t xml:space="preserve">  [marche_financier]</w:t>
      </w:r>
      <w:r>
        <w:rPr>
          <w:color w:val="B47800"/>
          <w:sz w:val="16"/>
        </w:rPr>
        <w:t xml:space="preserve">  ★ 50/10</w:t>
      </w:r>
    </w:p>
    <w:p>
      <w:pPr>
        <w:spacing w:before="0" w:after="20"/>
        <w:ind w:left="600"/>
      </w:pPr>
      <w:r>
        <w:rPr>
          <w:color w:val="323232"/>
          <w:sz w:val="17"/>
        </w:rPr>
        <w:t>Wall Street a clôturé en baisse, pénalisée par la hausse des rendements obligataires. Les investisseurs s'inquiètent de la remontée des taux, qui rend les actions moins attractives par rapport aux obligations. Ce repli s'inscrit dans un contexte de vigilance accrue face aux politiques monétaires et aux données économiques à venir.</w:t>
      </w:r>
    </w:p>
    <w:p>
      <w:pPr>
        <w:spacing w:before="0" w:after="40"/>
        <w:ind w:left="600"/>
      </w:pPr>
      <w:r>
        <w:rPr>
          <w:color w:val="00643C"/>
          <w:sz w:val="16"/>
        </w:rPr>
        <w:t>Points clés : Wall Street en repli  •  Les rendements obligataires pèsent sur les actions  •  Sentiment de marché négatif</w:t>
      </w:r>
    </w:p>
    <w:p>
      <w:pPr>
        <w:spacing w:before="0" w:after="60"/>
        <w:ind w:left="600"/>
      </w:pPr>
      <w:r>
        <w:rPr>
          <w:color w:val="0064B4"/>
          <w:sz w:val="15"/>
        </w:rPr>
        <w:t>Source : https://news.google.com/rss/articles/CBMixAFBVV95cUxNSjN4WFVNYVZJZUI4ajJpZkJiVUg</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37,090</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3,290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7,750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2,275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8,520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2,510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39,200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21,000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2,945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21,695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2,310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11,295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3,175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15,495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8,750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7,950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2,195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10,200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4,050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31,450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4,800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1,520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2,890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48</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37,090</w:t>
            </w:r>
          </w:p>
        </w:tc>
        <w:tc>
          <w:tcPr>
            <w:tcW w:type="dxa" w:w="1728"/>
            <w:shd w:fill="DEEAF1" w:val="clear"/>
          </w:tcPr>
          <w:p>
            <w:r>
              <w:rPr>
                <w:sz w:val="17"/>
              </w:rPr>
              <w:t>86/100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3,290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7,750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2,275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39,200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37,090</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3,290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7,750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2,275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8,520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2,510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39,200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37,090</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3,290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7,750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2,275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8,520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2,510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39,200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Cours à 0.0% du plus bas 100j (3,175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1.1%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2.3%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(24.7 &lt; 30) — opportunité potentielle</w:t>
      </w:r>
    </w:p>
    <w:p>
      <w:pPr>
        <w:pStyle w:val="ListBullet"/>
        <w:spacing w:before="20"/>
        <w:ind w:left="400"/>
      </w:pPr>
      <w:r>
        <w:rPr>
          <w:sz w:val="18"/>
        </w:rPr>
        <w:t>⚠️ Cours à 0.9% du plus bas 100j (7,680 FCFA)</w:t>
      </w:r>
    </w:p>
    <w:p>
      <w:pPr>
        <w:spacing w:before="120"/>
      </w:pPr>
      <w:r>
        <w:rPr>
          <w:b/>
          <w:color w:val="0050A0"/>
          <w:sz w:val="20"/>
        </w:rPr>
        <w:t>SIVC — SIVC - ERIUM CI (Ex AIR LIQUIDECI)</w:t>
      </w:r>
    </w:p>
    <w:p>
      <w:pPr>
        <w:pStyle w:val="ListBullet"/>
        <w:spacing w:before="20"/>
        <w:ind w:left="400"/>
      </w:pPr>
      <w:r>
        <w:rPr>
          <w:sz w:val="18"/>
        </w:rPr>
        <w:t>⚠️ Cours à 0.5% du plus bas 100j (1,920 FCFA)</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RSI survente (28.4 &lt; 30) — opportunité potentielle</w:t>
      </w:r>
    </w:p>
    <w:p>
      <w:pPr>
        <w:pStyle w:val="ListBullet"/>
        <w:spacing w:before="20"/>
        <w:ind w:left="400"/>
      </w:pPr>
      <w:r>
        <w:rPr>
          <w:sz w:val="18"/>
        </w:rPr>
        <w:t>⚠️ Cours à 0.5% du plus bas 100j (36,900 FCFA)</w:t>
      </w:r>
    </w:p>
    <w:p>
      <w:pPr>
        <w:spacing w:before="120"/>
      </w:pPr>
      <w:r>
        <w:rPr>
          <w:b/>
          <w:color w:val="0050A0"/>
          <w:sz w:val="20"/>
        </w:rPr>
        <w:t>SNTS — SNTS - SONATEL SN</w:t>
      </w:r>
    </w:p>
    <w:p>
      <w:pPr>
        <w:pStyle w:val="ListBullet"/>
        <w:spacing w:before="20"/>
        <w:ind w:left="400"/>
      </w:pPr>
      <w:r>
        <w:rPr>
          <w:sz w:val="18"/>
        </w:rPr>
        <w:t>🔴 RSI surachat (85.0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(16.7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(10,200 FCFA)</w:t>
      </w:r>
    </w:p>
    <w:p>
      <w:pPr>
        <w:spacing w:before="120"/>
      </w:pPr>
      <w:r>
        <w:rPr>
          <w:b/>
          <w:color w:val="0050A0"/>
          <w:sz w:val="20"/>
        </w:rPr>
        <w:t>BICB — BIIC BN - Banque internationale pour le commerce du benin</w:t>
      </w:r>
    </w:p>
    <w:p>
      <w:pPr>
        <w:pStyle w:val="ListBullet"/>
        <w:spacing w:before="20"/>
        <w:ind w:left="400"/>
      </w:pPr>
      <w:r>
        <w:rPr>
          <w:sz w:val="18"/>
        </w:rPr>
        <w:t>🟢 RSI survente (26.0 &lt; 30) — opportunité potentielle</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 FORT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(19.3 &lt; 30) — opportunité potentielle</w:t>
      </w:r>
    </w:p>
    <w:p>
      <w:pPr>
        <w:spacing w:before="120"/>
      </w:pPr>
      <w:r>
        <w:rPr>
          <w:b/>
          <w:color w:val="0050A0"/>
          <w:sz w:val="20"/>
        </w:rPr>
        <w:t>NSBC — NSBC - NSIA BANQUE COTE D'IVOIRE</w:t>
      </w:r>
    </w:p>
    <w:p>
      <w:pPr>
        <w:pStyle w:val="ListBullet"/>
        <w:spacing w:before="20"/>
        <w:ind w:left="400"/>
      </w:pPr>
      <w:r>
        <w:rPr>
          <w:sz w:val="18"/>
        </w:rPr>
        <w:t>🟢 RSI survente (28.3 &lt; 30) — opportunité potentielle</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(25.9 &lt; 30) — opportunité potentielle</w:t>
      </w:r>
    </w:p>
    <w:p>
      <w:pPr>
        <w:spacing w:before="120"/>
      </w:pPr>
      <w:r>
        <w:rPr>
          <w:b/>
          <w:color w:val="0050A0"/>
          <w:sz w:val="20"/>
        </w:rPr>
        <w:t>SGBC — SGBC - SOCIETE GENERALE COTE D'IVOIRE</w:t>
      </w:r>
    </w:p>
    <w:p>
      <w:pPr>
        <w:pStyle w:val="ListBullet"/>
        <w:spacing w:before="20"/>
        <w:ind w:left="400"/>
      </w:pPr>
      <w:r>
        <w:rPr>
          <w:sz w:val="18"/>
        </w:rPr>
        <w:t>⚠️ Cours à 0.3% du plus haut 100j (39,300 FCFA)</w:t>
      </w:r>
    </w:p>
    <w:p>
      <w:pPr>
        <w:spacing w:before="120"/>
      </w:pPr>
      <w:r>
        <w:rPr>
          <w:b/>
          <w:color w:val="0050A0"/>
          <w:sz w:val="20"/>
        </w:rPr>
        <w:t>SHEC — SHEC - VIVO ENERGY COTE D'IVOIRE</w:t>
      </w:r>
    </w:p>
    <w:p>
      <w:pPr>
        <w:pStyle w:val="ListBullet"/>
        <w:spacing w:before="20"/>
        <w:ind w:left="400"/>
      </w:pPr>
      <w:r>
        <w:rPr>
          <w:sz w:val="18"/>
        </w:rPr>
        <w:t>🟢 RSI survente (22.4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19.8/100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19.8/100).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SNTS (31.1/100 — Moyen) : </w:t>
      </w:r>
      <w:r>
        <w:rPr>
          <w:sz w:val="17"/>
        </w:rPr>
        <w:t>Volatilité=Élevée | Bêta=Agressif | Liquidité=Excellente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-1.08%  |  Médiane : -1.34%</w:t>
            </w:r>
          </w:p>
        </w:tc>
      </w:tr>
      <w:tr>
        <w:tc>
          <w:tcPr>
            <w:tcW w:type="dxa" w:w="2835"/>
            <w:shd w:fill="DEEAF1" w:val="clear"/>
          </w:tcPr>
          <w:p>
            <w:r>
              <w:rPr>
                <w:b/>
                <w:sz w:val="18"/>
              </w:rPr>
              <w:t>Répartition</w:t>
            </w:r>
          </w:p>
        </w:tc>
        <w:tc>
          <w:tcPr>
            <w:tcW w:type="dxa" w:w="7370"/>
          </w:tcPr>
          <w:p>
            <w:r>
              <w:rPr>
                <w:b/>
                <w:sz w:val="18"/>
              </w:rPr>
              <w:t>📈 8 sociétés en hausse (&gt;+1%)   📉 26 en baisse (&lt;-1%)   ➡️ 11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Légère tendance baissière avec signal mixte : 26 sociétés en baisse vs 8 en hausse. Variation moyenne : -1.08%.</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2,510 FCFA</w:t>
            </w:r>
          </w:p>
        </w:tc>
        <w:tc>
          <w:tcPr>
            <w:tcW w:type="dxa" w:w="1417"/>
            <w:shd w:fill="FFFFFF" w:val="clear"/>
          </w:tcPr>
          <w:p>
            <w:r>
              <w:rPr>
                <w:sz w:val="16"/>
              </w:rPr>
              <w:t>3,190 FCFA</w:t>
            </w:r>
          </w:p>
        </w:tc>
        <w:tc>
          <w:tcPr>
            <w:tcW w:type="dxa" w:w="1134"/>
            <w:shd w:fill="C6EFCE" w:val="clear"/>
          </w:tcPr>
          <w:p>
            <w:r>
              <w:rPr>
                <w:b/>
                <w:color w:val="007800"/>
                <w:sz w:val="16"/>
              </w:rPr>
              <w:t>+27.09%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21,695 FCFA</w:t>
            </w:r>
          </w:p>
        </w:tc>
        <w:tc>
          <w:tcPr>
            <w:tcW w:type="dxa" w:w="1417"/>
            <w:shd w:fill="FFFFFF" w:val="clear"/>
          </w:tcPr>
          <w:p>
            <w:r>
              <w:rPr>
                <w:sz w:val="16"/>
              </w:rPr>
              <w:t>24,192 FCFA</w:t>
            </w:r>
          </w:p>
        </w:tc>
        <w:tc>
          <w:tcPr>
            <w:tcW w:type="dxa" w:w="1134"/>
            <w:shd w:fill="C6EFCE" w:val="clear"/>
          </w:tcPr>
          <w:p>
            <w:r>
              <w:rPr>
                <w:b/>
                <w:color w:val="007800"/>
                <w:sz w:val="16"/>
              </w:rPr>
              <w:t>+11.51%</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8,520 FCFA</w:t>
            </w:r>
          </w:p>
        </w:tc>
        <w:tc>
          <w:tcPr>
            <w:tcW w:type="dxa" w:w="1417"/>
            <w:shd w:fill="FFFFFF" w:val="clear"/>
          </w:tcPr>
          <w:p>
            <w:r>
              <w:rPr>
                <w:sz w:val="16"/>
              </w:rPr>
              <w:t>9,341 FCFA</w:t>
            </w:r>
          </w:p>
        </w:tc>
        <w:tc>
          <w:tcPr>
            <w:tcW w:type="dxa" w:w="1134"/>
            <w:shd w:fill="C6EFCE" w:val="clear"/>
          </w:tcPr>
          <w:p>
            <w:r>
              <w:rPr>
                <w:b/>
                <w:color w:val="007800"/>
                <w:sz w:val="16"/>
              </w:rPr>
              <w:t>+9.64%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4,800 FCFA</w:t>
            </w:r>
          </w:p>
        </w:tc>
        <w:tc>
          <w:tcPr>
            <w:tcW w:type="dxa" w:w="1417"/>
            <w:shd w:fill="FFFFFF" w:val="clear"/>
          </w:tcPr>
          <w:p>
            <w:r>
              <w:rPr>
                <w:sz w:val="16"/>
              </w:rPr>
              <w:t>5,099 FCFA</w:t>
            </w:r>
          </w:p>
        </w:tc>
        <w:tc>
          <w:tcPr>
            <w:tcW w:type="dxa" w:w="1134"/>
            <w:shd w:fill="C6EFCE" w:val="clear"/>
          </w:tcPr>
          <w:p>
            <w:r>
              <w:rPr>
                <w:b/>
                <w:color w:val="007800"/>
                <w:sz w:val="16"/>
              </w:rPr>
              <w:t>+6.23%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37,090 FCFA</w:t>
            </w:r>
          </w:p>
        </w:tc>
        <w:tc>
          <w:tcPr>
            <w:tcW w:type="dxa" w:w="1417"/>
            <w:shd w:fill="FFFFFF" w:val="clear"/>
          </w:tcPr>
          <w:p>
            <w:r>
              <w:rPr>
                <w:sz w:val="16"/>
              </w:rPr>
              <w:t>38,893 FCFA</w:t>
            </w:r>
          </w:p>
        </w:tc>
        <w:tc>
          <w:tcPr>
            <w:tcW w:type="dxa" w:w="1134"/>
            <w:shd w:fill="C6EFCE" w:val="clear"/>
          </w:tcPr>
          <w:p>
            <w:r>
              <w:rPr>
                <w:b/>
                <w:color w:val="007800"/>
                <w:sz w:val="16"/>
              </w:rPr>
              <w:t>+4.86%</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très forte (+27.1%) — signal potentiellement excessif, à croiser avec l'analyse technique. Trajectoire : 📈 Hausse continue. Cours actuel : 2,510 FCFA → prédit J+10 : 3,190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(+11.5%) — potentiel de revalorisation notable. Trajectoire : 📈 Hausse continue. Cours actuel : 21,695 FCFA → prédit J+10 : 24,192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modérée (+9.6%) — signal raisonnable et crédible. Trajectoire : 📈 Hausse continue. Cours actuel : 8,520 FCFA → prédit J+10 : 9,341 FCFA. ⚠️ Confiance limitée — volatilité élevée ou données insuffisantes. Résultat indicatif uniquement.</w:t>
      </w:r>
    </w:p>
    <w:p>
      <w:pPr>
        <w:pStyle w:val="ListBullet"/>
      </w:pPr>
      <w:r>
        <w:rPr>
          <w:b/>
          <w:color w:val="006400"/>
          <w:sz w:val="18"/>
        </w:rPr>
        <w:t xml:space="preserve">#4 BOAN </w:t>
      </w:r>
      <w:r>
        <w:rPr>
          <w:sz w:val="17"/>
        </w:rPr>
        <w:t>(BANK OF AFRICA NIGER) — hausse modérée (+6.2%) — signal raisonnable et crédible. Trajectoire : 📈 Hausse continue. Cours actuel : 4,800 FCFA → prédit J+10 : 5,099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légère hausse (+4.9%) — progression graduelle attendue. Trajectoire : 📈 Hausse continue. Cours actuel : 37,090 FCFA → prédit J+10 : 38,893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8,250 FCFA</w:t>
            </w:r>
          </w:p>
        </w:tc>
        <w:tc>
          <w:tcPr>
            <w:tcW w:type="dxa" w:w="1417"/>
            <w:shd w:fill="FFFFFF" w:val="clear"/>
          </w:tcPr>
          <w:p>
            <w:r>
              <w:rPr>
                <w:sz w:val="16"/>
              </w:rPr>
              <w:t>7,156 FCFA</w:t>
            </w:r>
          </w:p>
        </w:tc>
        <w:tc>
          <w:tcPr>
            <w:tcW w:type="dxa" w:w="1134"/>
            <w:shd w:fill="FFC7CE" w:val="clear"/>
          </w:tcPr>
          <w:p>
            <w:r>
              <w:rPr>
                <w:b/>
                <w:color w:val="B40000"/>
                <w:sz w:val="16"/>
              </w:rPr>
              <w:t>-13.26%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21,000 FCFA</w:t>
            </w:r>
          </w:p>
        </w:tc>
        <w:tc>
          <w:tcPr>
            <w:tcW w:type="dxa" w:w="1417"/>
            <w:shd w:fill="FFFFFF" w:val="clear"/>
          </w:tcPr>
          <w:p>
            <w:r>
              <w:rPr>
                <w:sz w:val="16"/>
              </w:rPr>
              <w:t>18,843 FCFA</w:t>
            </w:r>
          </w:p>
        </w:tc>
        <w:tc>
          <w:tcPr>
            <w:tcW w:type="dxa" w:w="1134"/>
            <w:shd w:fill="FFC7CE" w:val="clear"/>
          </w:tcPr>
          <w:p>
            <w:r>
              <w:rPr>
                <w:b/>
                <w:color w:val="B40000"/>
                <w:sz w:val="16"/>
              </w:rPr>
              <w:t>-10.27%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6,095 FCFA</w:t>
            </w:r>
          </w:p>
        </w:tc>
        <w:tc>
          <w:tcPr>
            <w:tcW w:type="dxa" w:w="1417"/>
            <w:shd w:fill="FFFFFF" w:val="clear"/>
          </w:tcPr>
          <w:p>
            <w:r>
              <w:rPr>
                <w:sz w:val="16"/>
              </w:rPr>
              <w:t>5,507 FCFA</w:t>
            </w:r>
          </w:p>
        </w:tc>
        <w:tc>
          <w:tcPr>
            <w:tcW w:type="dxa" w:w="1134"/>
            <w:shd w:fill="FFC7CE" w:val="clear"/>
          </w:tcPr>
          <w:p>
            <w:r>
              <w:rPr>
                <w:b/>
                <w:color w:val="B40000"/>
                <w:sz w:val="16"/>
              </w:rPr>
              <w:t>-9.64%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31,300 FCFA</w:t>
            </w:r>
          </w:p>
        </w:tc>
        <w:tc>
          <w:tcPr>
            <w:tcW w:type="dxa" w:w="1417"/>
            <w:shd w:fill="FFFFFF" w:val="clear"/>
          </w:tcPr>
          <w:p>
            <w:r>
              <w:rPr>
                <w:sz w:val="16"/>
              </w:rPr>
              <w:t>28,788 FCFA</w:t>
            </w:r>
          </w:p>
        </w:tc>
        <w:tc>
          <w:tcPr>
            <w:tcW w:type="dxa" w:w="1134"/>
            <w:shd w:fill="FFC7CE" w:val="clear"/>
          </w:tcPr>
          <w:p>
            <w:r>
              <w:rPr>
                <w:b/>
                <w:color w:val="B40000"/>
                <w:sz w:val="16"/>
              </w:rPr>
              <w:t>-8.02%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2,310 FCFA</w:t>
            </w:r>
          </w:p>
        </w:tc>
        <w:tc>
          <w:tcPr>
            <w:tcW w:type="dxa" w:w="1417"/>
            <w:shd w:fill="FFFFFF" w:val="clear"/>
          </w:tcPr>
          <w:p>
            <w:r>
              <w:rPr>
                <w:sz w:val="16"/>
              </w:rPr>
              <w:t>2,140 FCFA</w:t>
            </w:r>
          </w:p>
        </w:tc>
        <w:tc>
          <w:tcPr>
            <w:tcW w:type="dxa" w:w="1134"/>
            <w:shd w:fill="FFC7CE" w:val="clear"/>
          </w:tcPr>
          <w:p>
            <w:r>
              <w:rPr>
                <w:b/>
                <w:color w:val="B40000"/>
                <w:sz w:val="16"/>
              </w:rPr>
              <w:t>-7.35%</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(-13.3%) — repli technique attendu. Trajectoire : 📉 Baisse continue. Cours actuel : 8,250 FCFA → prédit J+10 : 7,156 FCFA. Confiance partielle — surveiller l'évolution réelle des premiers jours.</w:t>
      </w:r>
    </w:p>
    <w:p>
      <w:pPr>
        <w:pStyle w:val="ListBullet"/>
      </w:pPr>
      <w:r>
        <w:rPr>
          <w:b/>
          <w:color w:val="B40000"/>
          <w:sz w:val="18"/>
        </w:rPr>
        <w:t xml:space="preserve">#2 NSBC </w:t>
      </w:r>
      <w:r>
        <w:rPr>
          <w:sz w:val="17"/>
        </w:rPr>
        <w:t>(NSBC - NSIA BANQUE COTE D'IVOIRE) — baisse modérée (-10.3%) — repli technique attendu. Trajectoire : 📉 Baisse continue. Cours actuel : 21,000 FCFA → prédit J+10 : 18,843 FCFA. ⚠️ Confiance limitée — volatilité élevée. Ne pas agir sur ce seul signal.</w:t>
      </w:r>
    </w:p>
    <w:p>
      <w:pPr>
        <w:pStyle w:val="ListBullet"/>
      </w:pPr>
      <w:r>
        <w:rPr>
          <w:b/>
          <w:color w:val="B40000"/>
          <w:sz w:val="18"/>
        </w:rPr>
        <w:t xml:space="preserve">#3 BOAM </w:t>
      </w:r>
      <w:r>
        <w:rPr>
          <w:sz w:val="17"/>
        </w:rPr>
        <w:t>(BANK OF AFRICA MALI) — baisse modérée (-9.6%) — repli technique attendu. Trajectoire : 📉 Baisse continue. Cours actuel : 6,095 FCFA → prédit J+10 : 5,507 FCFA. ⚠️ Confiance limitée — volatilité élevée. Ne pas agir sur ce seul signal.</w:t>
      </w:r>
    </w:p>
    <w:p>
      <w:pPr>
        <w:pStyle w:val="ListBullet"/>
      </w:pPr>
      <w:r>
        <w:rPr>
          <w:b/>
          <w:color w:val="B40000"/>
          <w:sz w:val="18"/>
        </w:rPr>
        <w:t xml:space="preserve">#4 CBIBF </w:t>
      </w:r>
      <w:r>
        <w:rPr>
          <w:sz w:val="17"/>
        </w:rPr>
        <w:t>(CBIBF - CORIS BANK INTERNATIONAL BURKINA) — baisse modérée (-8.0%) — repli technique attendu. Trajectoire : 📉 Baisse continue. Cours actuel : 31,300 FCFA → prédit J+10 : 28,788 FCFA. ⚠️ Confiance limitée — volatilité élevée. Ne pas agir sur ce seul signal.</w:t>
      </w:r>
    </w:p>
    <w:p>
      <w:pPr>
        <w:pStyle w:val="ListBullet"/>
      </w:pPr>
      <w:r>
        <w:rPr>
          <w:b/>
          <w:color w:val="B40000"/>
          <w:sz w:val="18"/>
        </w:rPr>
        <w:t xml:space="preserve">#5 UNXC </w:t>
      </w:r>
      <w:r>
        <w:rPr>
          <w:sz w:val="17"/>
        </w:rPr>
        <w:t>(UNXC - UNIWAX COTE D'IVOIRE) — baisse modérée (-7.4%) — repli technique attendu. Trajectoire : 📉 Baisse continue. Cours actuel : 2,310 FCFA → prédit J+10 : 2,140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2,510</w:t>
            </w:r>
          </w:p>
        </w:tc>
        <w:tc>
          <w:tcPr>
            <w:tcW w:type="dxa" w:w="1417"/>
            <w:shd w:fill="FFFFFF" w:val="clear"/>
          </w:tcPr>
          <w:p>
            <w:r>
              <w:rPr>
                <w:sz w:val="16"/>
              </w:rPr>
              <w:t>3,190</w:t>
            </w:r>
          </w:p>
        </w:tc>
        <w:tc>
          <w:tcPr>
            <w:tcW w:type="dxa" w:w="1134"/>
            <w:shd w:fill="C6EFCE" w:val="clear"/>
          </w:tcPr>
          <w:p>
            <w:r>
              <w:rPr>
                <w:b/>
                <w:color w:val="007800"/>
                <w:sz w:val="16"/>
              </w:rPr>
              <w:t>+27.09%</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21,695</w:t>
            </w:r>
          </w:p>
        </w:tc>
        <w:tc>
          <w:tcPr>
            <w:tcW w:type="dxa" w:w="1417"/>
            <w:shd w:fill="FFFFFF" w:val="clear"/>
          </w:tcPr>
          <w:p>
            <w:r>
              <w:rPr>
                <w:sz w:val="16"/>
              </w:rPr>
              <w:t>24,192</w:t>
            </w:r>
          </w:p>
        </w:tc>
        <w:tc>
          <w:tcPr>
            <w:tcW w:type="dxa" w:w="1134"/>
            <w:shd w:fill="C6EFCE" w:val="clear"/>
          </w:tcPr>
          <w:p>
            <w:r>
              <w:rPr>
                <w:b/>
                <w:color w:val="007800"/>
                <w:sz w:val="16"/>
              </w:rPr>
              <w:t>+11.51%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8,520</w:t>
            </w:r>
          </w:p>
        </w:tc>
        <w:tc>
          <w:tcPr>
            <w:tcW w:type="dxa" w:w="1417"/>
            <w:shd w:fill="FFFFFF" w:val="clear"/>
          </w:tcPr>
          <w:p>
            <w:r>
              <w:rPr>
                <w:sz w:val="16"/>
              </w:rPr>
              <w:t>9,341</w:t>
            </w:r>
          </w:p>
        </w:tc>
        <w:tc>
          <w:tcPr>
            <w:tcW w:type="dxa" w:w="1134"/>
            <w:shd w:fill="C6EFCE" w:val="clear"/>
          </w:tcPr>
          <w:p>
            <w:r>
              <w:rPr>
                <w:b/>
                <w:color w:val="007800"/>
                <w:sz w:val="16"/>
              </w:rPr>
              <w:t>+9.64%</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4,800</w:t>
            </w:r>
          </w:p>
        </w:tc>
        <w:tc>
          <w:tcPr>
            <w:tcW w:type="dxa" w:w="1417"/>
            <w:shd w:fill="FFFFFF" w:val="clear"/>
          </w:tcPr>
          <w:p>
            <w:r>
              <w:rPr>
                <w:sz w:val="16"/>
              </w:rPr>
              <w:t>5,099</w:t>
            </w:r>
          </w:p>
        </w:tc>
        <w:tc>
          <w:tcPr>
            <w:tcW w:type="dxa" w:w="1134"/>
            <w:shd w:fill="C6EFCE" w:val="clear"/>
          </w:tcPr>
          <w:p>
            <w:r>
              <w:rPr>
                <w:b/>
                <w:color w:val="007800"/>
                <w:sz w:val="16"/>
              </w:rPr>
              <w:t>+6.23%</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37,090</w:t>
            </w:r>
          </w:p>
        </w:tc>
        <w:tc>
          <w:tcPr>
            <w:tcW w:type="dxa" w:w="1417"/>
            <w:shd w:fill="FFFFFF" w:val="clear"/>
          </w:tcPr>
          <w:p>
            <w:r>
              <w:rPr>
                <w:sz w:val="16"/>
              </w:rPr>
              <w:t>38,893</w:t>
            </w:r>
          </w:p>
        </w:tc>
        <w:tc>
          <w:tcPr>
            <w:tcW w:type="dxa" w:w="1134"/>
            <w:shd w:fill="C6EFCE" w:val="clear"/>
          </w:tcPr>
          <w:p>
            <w:r>
              <w:rPr>
                <w:b/>
                <w:color w:val="007800"/>
                <w:sz w:val="16"/>
              </w:rPr>
              <w:t>+4.86%</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1,930</w:t>
            </w:r>
          </w:p>
        </w:tc>
        <w:tc>
          <w:tcPr>
            <w:tcW w:type="dxa" w:w="1417"/>
            <w:shd w:fill="FFFFFF" w:val="clear"/>
          </w:tcPr>
          <w:p>
            <w:r>
              <w:rPr>
                <w:sz w:val="16"/>
              </w:rPr>
              <w:t>2,016</w:t>
            </w:r>
          </w:p>
        </w:tc>
        <w:tc>
          <w:tcPr>
            <w:tcW w:type="dxa" w:w="1134"/>
            <w:shd w:fill="C6EFCE" w:val="clear"/>
          </w:tcPr>
          <w:p>
            <w:r>
              <w:rPr>
                <w:b/>
                <w:color w:val="007800"/>
                <w:sz w:val="16"/>
              </w:rPr>
              <w:t>+4.45%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1,520</w:t>
            </w:r>
          </w:p>
        </w:tc>
        <w:tc>
          <w:tcPr>
            <w:tcW w:type="dxa" w:w="1417"/>
            <w:shd w:fill="FFFFFF" w:val="clear"/>
          </w:tcPr>
          <w:p>
            <w:r>
              <w:rPr>
                <w:sz w:val="16"/>
              </w:rPr>
              <w:t>1,574</w:t>
            </w:r>
          </w:p>
        </w:tc>
        <w:tc>
          <w:tcPr>
            <w:tcW w:type="dxa" w:w="1134"/>
            <w:shd w:fill="C6EFCE" w:val="clear"/>
          </w:tcPr>
          <w:p>
            <w:r>
              <w:rPr>
                <w:b/>
                <w:color w:val="007800"/>
                <w:sz w:val="16"/>
              </w:rPr>
              <w:t>+3.55%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11,295</w:t>
            </w:r>
          </w:p>
        </w:tc>
        <w:tc>
          <w:tcPr>
            <w:tcW w:type="dxa" w:w="1417"/>
            <w:shd w:fill="FFFFFF" w:val="clear"/>
          </w:tcPr>
          <w:p>
            <w:r>
              <w:rPr>
                <w:sz w:val="16"/>
              </w:rPr>
              <w:t>11,457</w:t>
            </w:r>
          </w:p>
        </w:tc>
        <w:tc>
          <w:tcPr>
            <w:tcW w:type="dxa" w:w="1134"/>
            <w:shd w:fill="C6EFCE" w:val="clear"/>
          </w:tcPr>
          <w:p>
            <w:r>
              <w:rPr>
                <w:b/>
                <w:color w:val="007800"/>
                <w:sz w:val="16"/>
              </w:rPr>
              <w:t>+1.43%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12,990</w:t>
            </w:r>
          </w:p>
        </w:tc>
        <w:tc>
          <w:tcPr>
            <w:tcW w:type="dxa" w:w="1417"/>
            <w:shd w:fill="FFFFFF" w:val="clear"/>
          </w:tcPr>
          <w:p>
            <w:r>
              <w:rPr>
                <w:sz w:val="16"/>
              </w:rPr>
              <w:t>13,115</w:t>
            </w:r>
          </w:p>
        </w:tc>
        <w:tc>
          <w:tcPr>
            <w:tcW w:type="dxa" w:w="1134"/>
            <w:shd w:fill="FFEB9C" w:val="clear"/>
          </w:tcPr>
          <w:p>
            <w:r>
              <w:rPr>
                <w:b/>
                <w:color w:val="646400"/>
                <w:sz w:val="16"/>
              </w:rPr>
              <w:t>+0.96%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16,940</w:t>
            </w:r>
          </w:p>
        </w:tc>
        <w:tc>
          <w:tcPr>
            <w:tcW w:type="dxa" w:w="1134"/>
            <w:shd w:fill="FFEB9C" w:val="clear"/>
          </w:tcPr>
          <w:p>
            <w:r>
              <w:rPr>
                <w:b/>
                <w:color w:val="646400"/>
                <w:sz w:val="16"/>
              </w:rPr>
              <w:t>+0.83%</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2,275</w:t>
            </w:r>
          </w:p>
        </w:tc>
        <w:tc>
          <w:tcPr>
            <w:tcW w:type="dxa" w:w="1417"/>
            <w:shd w:fill="FFFFFF" w:val="clear"/>
          </w:tcPr>
          <w:p>
            <w:r>
              <w:rPr>
                <w:sz w:val="16"/>
              </w:rPr>
              <w:t>2,283</w:t>
            </w:r>
          </w:p>
        </w:tc>
        <w:tc>
          <w:tcPr>
            <w:tcW w:type="dxa" w:w="1134"/>
            <w:shd w:fill="FFEB9C" w:val="clear"/>
          </w:tcPr>
          <w:p>
            <w:r>
              <w:rPr>
                <w:b/>
                <w:color w:val="646400"/>
                <w:sz w:val="16"/>
              </w:rPr>
              <w:t>+0.35%</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3,175</w:t>
            </w:r>
          </w:p>
        </w:tc>
        <w:tc>
          <w:tcPr>
            <w:tcW w:type="dxa" w:w="1417"/>
            <w:shd w:fill="FFFFFF" w:val="clear"/>
          </w:tcPr>
          <w:p>
            <w:r>
              <w:rPr>
                <w:sz w:val="16"/>
              </w:rPr>
              <w:t>3,186</w:t>
            </w:r>
          </w:p>
        </w:tc>
        <w:tc>
          <w:tcPr>
            <w:tcW w:type="dxa" w:w="1134"/>
            <w:shd w:fill="FFEB9C" w:val="clear"/>
          </w:tcPr>
          <w:p>
            <w:r>
              <w:rPr>
                <w:b/>
                <w:color w:val="646400"/>
                <w:sz w:val="16"/>
              </w:rPr>
              <w:t>+0.35%</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2,890</w:t>
            </w:r>
          </w:p>
        </w:tc>
        <w:tc>
          <w:tcPr>
            <w:tcW w:type="dxa" w:w="1417"/>
            <w:shd w:fill="FFFFFF" w:val="clear"/>
          </w:tcPr>
          <w:p>
            <w:r>
              <w:rPr>
                <w:sz w:val="16"/>
              </w:rPr>
              <w:t>2,896</w:t>
            </w:r>
          </w:p>
        </w:tc>
        <w:tc>
          <w:tcPr>
            <w:tcW w:type="dxa" w:w="1134"/>
            <w:shd w:fill="FFEB9C" w:val="clear"/>
          </w:tcPr>
          <w:p>
            <w:r>
              <w:rPr>
                <w:b/>
                <w:color w:val="646400"/>
                <w:sz w:val="16"/>
              </w:rPr>
              <w:t>+0.19%</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4,050</w:t>
            </w:r>
          </w:p>
        </w:tc>
        <w:tc>
          <w:tcPr>
            <w:tcW w:type="dxa" w:w="1417"/>
            <w:shd w:fill="FFFFFF" w:val="clear"/>
          </w:tcPr>
          <w:p>
            <w:r>
              <w:rPr>
                <w:sz w:val="16"/>
              </w:rPr>
              <w:t>4,056</w:t>
            </w:r>
          </w:p>
        </w:tc>
        <w:tc>
          <w:tcPr>
            <w:tcW w:type="dxa" w:w="1134"/>
            <w:shd w:fill="FFEB9C" w:val="clear"/>
          </w:tcPr>
          <w:p>
            <w:r>
              <w:rPr>
                <w:b/>
                <w:color w:val="646400"/>
                <w:sz w:val="16"/>
              </w:rPr>
              <w:t>+0.16%</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3,950</w:t>
            </w:r>
          </w:p>
        </w:tc>
        <w:tc>
          <w:tcPr>
            <w:tcW w:type="dxa" w:w="1417"/>
            <w:shd w:fill="FFFFFF" w:val="clear"/>
          </w:tcPr>
          <w:p>
            <w:r>
              <w:rPr>
                <w:sz w:val="16"/>
              </w:rPr>
              <w:t>3,949</w:t>
            </w:r>
          </w:p>
        </w:tc>
        <w:tc>
          <w:tcPr>
            <w:tcW w:type="dxa" w:w="1134"/>
            <w:shd w:fill="FFEB9C" w:val="clear"/>
          </w:tcPr>
          <w:p>
            <w:r>
              <w:rPr>
                <w:b/>
                <w:color w:val="646400"/>
                <w:sz w:val="16"/>
              </w:rPr>
              <w:t>-0.03%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47,885</w:t>
            </w:r>
          </w:p>
        </w:tc>
        <w:tc>
          <w:tcPr>
            <w:tcW w:type="dxa" w:w="1134"/>
            <w:shd w:fill="FFEB9C" w:val="clear"/>
          </w:tcPr>
          <w:p>
            <w:r>
              <w:rPr>
                <w:b/>
                <w:color w:val="646400"/>
                <w:sz w:val="16"/>
              </w:rPr>
              <w:t>-0.24%</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2,195</w:t>
            </w:r>
          </w:p>
        </w:tc>
        <w:tc>
          <w:tcPr>
            <w:tcW w:type="dxa" w:w="1417"/>
            <w:shd w:fill="FFFFFF" w:val="clear"/>
          </w:tcPr>
          <w:p>
            <w:r>
              <w:rPr>
                <w:sz w:val="16"/>
              </w:rPr>
              <w:t>2,183</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15,900</w:t>
            </w:r>
          </w:p>
        </w:tc>
        <w:tc>
          <w:tcPr>
            <w:tcW w:type="dxa" w:w="1417"/>
            <w:shd w:fill="FFFFFF" w:val="clear"/>
          </w:tcPr>
          <w:p>
            <w:r>
              <w:rPr>
                <w:sz w:val="16"/>
              </w:rPr>
              <w:t>15,812</w:t>
            </w:r>
          </w:p>
        </w:tc>
        <w:tc>
          <w:tcPr>
            <w:tcW w:type="dxa" w:w="1134"/>
            <w:shd w:fill="FFEB9C" w:val="clear"/>
          </w:tcPr>
          <w:p>
            <w:r>
              <w:rPr>
                <w:b/>
                <w:color w:val="646400"/>
                <w:sz w:val="16"/>
              </w:rPr>
              <w:t>-0.55%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2,950</w:t>
            </w:r>
          </w:p>
        </w:tc>
        <w:tc>
          <w:tcPr>
            <w:tcW w:type="dxa" w:w="1417"/>
            <w:shd w:fill="FFFFFF" w:val="clear"/>
          </w:tcPr>
          <w:p>
            <w:r>
              <w:rPr>
                <w:sz w:val="16"/>
              </w:rPr>
              <w:t>2,924</w:t>
            </w:r>
          </w:p>
        </w:tc>
        <w:tc>
          <w:tcPr>
            <w:tcW w:type="dxa" w:w="1134"/>
            <w:shd w:fill="FFEB9C" w:val="clear"/>
          </w:tcPr>
          <w:p>
            <w:r>
              <w:rPr>
                <w:b/>
                <w:color w:val="646400"/>
                <w:sz w:val="16"/>
              </w:rPr>
              <w:t>-0.90%</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1,905</w:t>
            </w:r>
          </w:p>
        </w:tc>
        <w:tc>
          <w:tcPr>
            <w:tcW w:type="dxa" w:w="1417"/>
            <w:shd w:fill="FFFFFF" w:val="clear"/>
          </w:tcPr>
          <w:p>
            <w:r>
              <w:rPr>
                <w:sz w:val="16"/>
              </w:rPr>
              <w:t>1,885</w:t>
            </w:r>
          </w:p>
        </w:tc>
        <w:tc>
          <w:tcPr>
            <w:tcW w:type="dxa" w:w="1134"/>
            <w:shd w:fill="FFC7CE" w:val="clear"/>
          </w:tcPr>
          <w:p>
            <w:r>
              <w:rPr>
                <w:b/>
                <w:color w:val="B40000"/>
                <w:sz w:val="16"/>
              </w:rPr>
              <w:t>-1.03%</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15,495</w:t>
            </w:r>
          </w:p>
        </w:tc>
        <w:tc>
          <w:tcPr>
            <w:tcW w:type="dxa" w:w="1417"/>
            <w:shd w:fill="FFFFFF" w:val="clear"/>
          </w:tcPr>
          <w:p>
            <w:r>
              <w:rPr>
                <w:sz w:val="16"/>
              </w:rPr>
              <w:t>15,319</w:t>
            </w:r>
          </w:p>
        </w:tc>
        <w:tc>
          <w:tcPr>
            <w:tcW w:type="dxa" w:w="1134"/>
            <w:shd w:fill="FFC7CE" w:val="clear"/>
          </w:tcPr>
          <w:p>
            <w:r>
              <w:rPr>
                <w:b/>
                <w:color w:val="B40000"/>
                <w:sz w:val="16"/>
              </w:rPr>
              <w:t>-1.13%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31,450</w:t>
            </w:r>
          </w:p>
        </w:tc>
        <w:tc>
          <w:tcPr>
            <w:tcW w:type="dxa" w:w="1417"/>
            <w:shd w:fill="FFFFFF" w:val="clear"/>
          </w:tcPr>
          <w:p>
            <w:r>
              <w:rPr>
                <w:sz w:val="16"/>
              </w:rPr>
              <w:t>31,035</w:t>
            </w:r>
          </w:p>
        </w:tc>
        <w:tc>
          <w:tcPr>
            <w:tcW w:type="dxa" w:w="1134"/>
            <w:shd w:fill="FFC7CE" w:val="clear"/>
          </w:tcPr>
          <w:p>
            <w:r>
              <w:rPr>
                <w:b/>
                <w:color w:val="B40000"/>
                <w:sz w:val="16"/>
              </w:rPr>
              <w:t>-1.32%</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2,980</w:t>
            </w:r>
          </w:p>
        </w:tc>
        <w:tc>
          <w:tcPr>
            <w:tcW w:type="dxa" w:w="1417"/>
            <w:shd w:fill="FFFFFF" w:val="clear"/>
          </w:tcPr>
          <w:p>
            <w:r>
              <w:rPr>
                <w:sz w:val="16"/>
              </w:rPr>
              <w:t>2,940</w:t>
            </w:r>
          </w:p>
        </w:tc>
        <w:tc>
          <w:tcPr>
            <w:tcW w:type="dxa" w:w="1134"/>
            <w:shd w:fill="FFC7CE" w:val="clear"/>
          </w:tcPr>
          <w:p>
            <w:r>
              <w:rPr>
                <w:b/>
                <w:color w:val="B40000"/>
                <w:sz w:val="16"/>
              </w:rPr>
              <w:t>-1.34%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44,352</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7,750</w:t>
            </w:r>
          </w:p>
        </w:tc>
        <w:tc>
          <w:tcPr>
            <w:tcW w:type="dxa" w:w="1417"/>
            <w:shd w:fill="FFFFFF" w:val="clear"/>
          </w:tcPr>
          <w:p>
            <w:r>
              <w:rPr>
                <w:sz w:val="16"/>
              </w:rPr>
              <w:t>7,614</w:t>
            </w:r>
          </w:p>
        </w:tc>
        <w:tc>
          <w:tcPr>
            <w:tcW w:type="dxa" w:w="1134"/>
            <w:shd w:fill="FFC7CE" w:val="clear"/>
          </w:tcPr>
          <w:p>
            <w:r>
              <w:rPr>
                <w:b/>
                <w:color w:val="B40000"/>
                <w:sz w:val="16"/>
              </w:rPr>
              <w:t>-1.75%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4,330</w:t>
            </w:r>
          </w:p>
        </w:tc>
        <w:tc>
          <w:tcPr>
            <w:tcW w:type="dxa" w:w="1417"/>
            <w:shd w:fill="FFFFFF" w:val="clear"/>
          </w:tcPr>
          <w:p>
            <w:r>
              <w:rPr>
                <w:sz w:val="16"/>
              </w:rPr>
              <w:t>4,243</w:t>
            </w:r>
          </w:p>
        </w:tc>
        <w:tc>
          <w:tcPr>
            <w:tcW w:type="dxa" w:w="1134"/>
            <w:shd w:fill="FFC7CE" w:val="clear"/>
          </w:tcPr>
          <w:p>
            <w:r>
              <w:rPr>
                <w:b/>
                <w:color w:val="B40000"/>
                <w:sz w:val="16"/>
              </w:rPr>
              <w:t>-2.02%</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7,950</w:t>
            </w:r>
          </w:p>
        </w:tc>
        <w:tc>
          <w:tcPr>
            <w:tcW w:type="dxa" w:w="1417"/>
            <w:shd w:fill="FFFFFF" w:val="clear"/>
          </w:tcPr>
          <w:p>
            <w:r>
              <w:rPr>
                <w:sz w:val="16"/>
              </w:rPr>
              <w:t>7,747</w:t>
            </w:r>
          </w:p>
        </w:tc>
        <w:tc>
          <w:tcPr>
            <w:tcW w:type="dxa" w:w="1134"/>
            <w:shd w:fill="FFC7CE" w:val="clear"/>
          </w:tcPr>
          <w:p>
            <w:r>
              <w:rPr>
                <w:b/>
                <w:color w:val="B40000"/>
                <w:sz w:val="16"/>
              </w:rPr>
              <w:t>-2.55%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39,200</w:t>
            </w:r>
          </w:p>
        </w:tc>
        <w:tc>
          <w:tcPr>
            <w:tcW w:type="dxa" w:w="1417"/>
            <w:shd w:fill="FFFFFF" w:val="clear"/>
          </w:tcPr>
          <w:p>
            <w:r>
              <w:rPr>
                <w:sz w:val="16"/>
              </w:rPr>
              <w:t>38,176</w:t>
            </w:r>
          </w:p>
        </w:tc>
        <w:tc>
          <w:tcPr>
            <w:tcW w:type="dxa" w:w="1134"/>
            <w:shd w:fill="FFC7CE" w:val="clear"/>
          </w:tcPr>
          <w:p>
            <w:r>
              <w:rPr>
                <w:b/>
                <w:color w:val="B40000"/>
                <w:sz w:val="16"/>
              </w:rPr>
              <w:t>-2.61%</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9,400</w:t>
            </w:r>
          </w:p>
        </w:tc>
        <w:tc>
          <w:tcPr>
            <w:tcW w:type="dxa" w:w="1417"/>
            <w:shd w:fill="FFFFFF" w:val="clear"/>
          </w:tcPr>
          <w:p>
            <w:r>
              <w:rPr>
                <w:sz w:val="16"/>
              </w:rPr>
              <w:t>9,150</w:t>
            </w:r>
          </w:p>
        </w:tc>
        <w:tc>
          <w:tcPr>
            <w:tcW w:type="dxa" w:w="1134"/>
            <w:shd w:fill="FFC7CE" w:val="clear"/>
          </w:tcPr>
          <w:p>
            <w:r>
              <w:rPr>
                <w:b/>
                <w:color w:val="B40000"/>
                <w:sz w:val="16"/>
              </w:rPr>
              <w:t>-2.66%</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21,990</w:t>
            </w:r>
          </w:p>
        </w:tc>
        <w:tc>
          <w:tcPr>
            <w:tcW w:type="dxa" w:w="1417"/>
            <w:shd w:fill="FFFFFF" w:val="clear"/>
          </w:tcPr>
          <w:p>
            <w:r>
              <w:rPr>
                <w:sz w:val="16"/>
              </w:rPr>
              <w:t>21,386</w:t>
            </w:r>
          </w:p>
        </w:tc>
        <w:tc>
          <w:tcPr>
            <w:tcW w:type="dxa" w:w="1134"/>
            <w:shd w:fill="FFC7CE" w:val="clear"/>
          </w:tcPr>
          <w:p>
            <w:r>
              <w:rPr>
                <w:b/>
                <w:color w:val="B40000"/>
                <w:sz w:val="16"/>
              </w:rPr>
              <w:t>-2.75%</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66</w:t>
            </w:r>
          </w:p>
        </w:tc>
        <w:tc>
          <w:tcPr>
            <w:tcW w:type="dxa" w:w="1134"/>
            <w:shd w:fill="FFC7CE" w:val="clear"/>
          </w:tcPr>
          <w:p>
            <w:r>
              <w:rPr>
                <w:b/>
                <w:color w:val="B40000"/>
                <w:sz w:val="16"/>
              </w:rPr>
              <w:t>-3.53%</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8,000</w:t>
            </w:r>
          </w:p>
        </w:tc>
        <w:tc>
          <w:tcPr>
            <w:tcW w:type="dxa" w:w="1417"/>
            <w:shd w:fill="FFFFFF" w:val="clear"/>
          </w:tcPr>
          <w:p>
            <w:r>
              <w:rPr>
                <w:sz w:val="16"/>
              </w:rPr>
              <w:t>7,711</w:t>
            </w:r>
          </w:p>
        </w:tc>
        <w:tc>
          <w:tcPr>
            <w:tcW w:type="dxa" w:w="1134"/>
            <w:shd w:fill="FFC7CE" w:val="clear"/>
          </w:tcPr>
          <w:p>
            <w:r>
              <w:rPr>
                <w:b/>
                <w:color w:val="B40000"/>
                <w:sz w:val="16"/>
              </w:rPr>
              <w:t>-3.61%</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2,945</w:t>
            </w:r>
          </w:p>
        </w:tc>
        <w:tc>
          <w:tcPr>
            <w:tcW w:type="dxa" w:w="1417"/>
            <w:shd w:fill="FFFFFF" w:val="clear"/>
          </w:tcPr>
          <w:p>
            <w:r>
              <w:rPr>
                <w:sz w:val="16"/>
              </w:rPr>
              <w:t>2,832</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6,400</w:t>
            </w:r>
          </w:p>
        </w:tc>
        <w:tc>
          <w:tcPr>
            <w:tcW w:type="dxa" w:w="1417"/>
            <w:shd w:fill="FFFFFF" w:val="clear"/>
          </w:tcPr>
          <w:p>
            <w:r>
              <w:rPr>
                <w:sz w:val="16"/>
              </w:rPr>
              <w:t>6,136</w:t>
            </w:r>
          </w:p>
        </w:tc>
        <w:tc>
          <w:tcPr>
            <w:tcW w:type="dxa" w:w="1134"/>
            <w:shd w:fill="FFC7CE" w:val="clear"/>
          </w:tcPr>
          <w:p>
            <w:r>
              <w:rPr>
                <w:b/>
                <w:color w:val="B40000"/>
                <w:sz w:val="16"/>
              </w:rPr>
              <w:t>-4.13%</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8,750</w:t>
            </w:r>
          </w:p>
        </w:tc>
        <w:tc>
          <w:tcPr>
            <w:tcW w:type="dxa" w:w="1417"/>
            <w:shd w:fill="FFFFFF" w:val="clear"/>
          </w:tcPr>
          <w:p>
            <w:r>
              <w:rPr>
                <w:sz w:val="16"/>
              </w:rPr>
              <w:t>8,358</w:t>
            </w:r>
          </w:p>
        </w:tc>
        <w:tc>
          <w:tcPr>
            <w:tcW w:type="dxa" w:w="1134"/>
            <w:shd w:fill="FFC7CE" w:val="clear"/>
          </w:tcPr>
          <w:p>
            <w:r>
              <w:rPr>
                <w:b/>
                <w:color w:val="B40000"/>
                <w:sz w:val="16"/>
              </w:rPr>
              <w:t>-4.48%</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3,611</w:t>
            </w:r>
          </w:p>
        </w:tc>
        <w:tc>
          <w:tcPr>
            <w:tcW w:type="dxa" w:w="1134"/>
            <w:shd w:fill="FFC7CE" w:val="clear"/>
          </w:tcPr>
          <w:p>
            <w:r>
              <w:rPr>
                <w:b/>
                <w:color w:val="B40000"/>
                <w:sz w:val="16"/>
              </w:rPr>
              <w:t>-4.98%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8,050</w:t>
            </w:r>
          </w:p>
        </w:tc>
        <w:tc>
          <w:tcPr>
            <w:tcW w:type="dxa" w:w="1417"/>
            <w:shd w:fill="FFFFFF" w:val="clear"/>
          </w:tcPr>
          <w:p>
            <w:r>
              <w:rPr>
                <w:sz w:val="16"/>
              </w:rPr>
              <w:t>7,610</w:t>
            </w:r>
          </w:p>
        </w:tc>
        <w:tc>
          <w:tcPr>
            <w:tcW w:type="dxa" w:w="1134"/>
            <w:shd w:fill="FFC7CE" w:val="clear"/>
          </w:tcPr>
          <w:p>
            <w:r>
              <w:rPr>
                <w:b/>
                <w:color w:val="B40000"/>
                <w:sz w:val="16"/>
              </w:rPr>
              <w:t>-5.46%</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2,077</w:t>
            </w:r>
          </w:p>
        </w:tc>
        <w:tc>
          <w:tcPr>
            <w:tcW w:type="dxa" w:w="1134"/>
            <w:shd w:fill="FFC7CE" w:val="clear"/>
          </w:tcPr>
          <w:p>
            <w:r>
              <w:rPr>
                <w:b/>
                <w:color w:val="B40000"/>
                <w:sz w:val="16"/>
              </w:rPr>
              <w:t>-5.59%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1,870</w:t>
            </w:r>
          </w:p>
        </w:tc>
        <w:tc>
          <w:tcPr>
            <w:tcW w:type="dxa" w:w="1417"/>
            <w:shd w:fill="FFFFFF" w:val="clear"/>
          </w:tcPr>
          <w:p>
            <w:r>
              <w:rPr>
                <w:sz w:val="16"/>
              </w:rPr>
              <w:t>1,758</w:t>
            </w:r>
          </w:p>
        </w:tc>
        <w:tc>
          <w:tcPr>
            <w:tcW w:type="dxa" w:w="1134"/>
            <w:shd w:fill="FFC7CE" w:val="clear"/>
          </w:tcPr>
          <w:p>
            <w:r>
              <w:rPr>
                <w:b/>
                <w:color w:val="B40000"/>
                <w:sz w:val="16"/>
              </w:rPr>
              <w:t>-6.00%</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3,290</w:t>
            </w:r>
          </w:p>
        </w:tc>
        <w:tc>
          <w:tcPr>
            <w:tcW w:type="dxa" w:w="1417"/>
            <w:shd w:fill="FFFFFF" w:val="clear"/>
          </w:tcPr>
          <w:p>
            <w:r>
              <w:rPr>
                <w:sz w:val="16"/>
              </w:rPr>
              <w:t>3,056</w:t>
            </w:r>
          </w:p>
        </w:tc>
        <w:tc>
          <w:tcPr>
            <w:tcW w:type="dxa" w:w="1134"/>
            <w:shd w:fill="FFC7CE" w:val="clear"/>
          </w:tcPr>
          <w:p>
            <w:r>
              <w:rPr>
                <w:b/>
                <w:color w:val="B40000"/>
                <w:sz w:val="16"/>
              </w:rPr>
              <w:t>-7.10%</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2,310</w:t>
            </w:r>
          </w:p>
        </w:tc>
        <w:tc>
          <w:tcPr>
            <w:tcW w:type="dxa" w:w="1417"/>
            <w:shd w:fill="FFFFFF" w:val="clear"/>
          </w:tcPr>
          <w:p>
            <w:r>
              <w:rPr>
                <w:sz w:val="16"/>
              </w:rPr>
              <w:t>2,140</w:t>
            </w:r>
          </w:p>
        </w:tc>
        <w:tc>
          <w:tcPr>
            <w:tcW w:type="dxa" w:w="1134"/>
            <w:shd w:fill="FFC7CE" w:val="clear"/>
          </w:tcPr>
          <w:p>
            <w:r>
              <w:rPr>
                <w:b/>
                <w:color w:val="B40000"/>
                <w:sz w:val="16"/>
              </w:rPr>
              <w:t>-7.35%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31,300</w:t>
            </w:r>
          </w:p>
        </w:tc>
        <w:tc>
          <w:tcPr>
            <w:tcW w:type="dxa" w:w="1417"/>
            <w:shd w:fill="FFFFFF" w:val="clear"/>
          </w:tcPr>
          <w:p>
            <w:r>
              <w:rPr>
                <w:sz w:val="16"/>
              </w:rPr>
              <w:t>28,788</w:t>
            </w:r>
          </w:p>
        </w:tc>
        <w:tc>
          <w:tcPr>
            <w:tcW w:type="dxa" w:w="1134"/>
            <w:shd w:fill="FFC7CE" w:val="clear"/>
          </w:tcPr>
          <w:p>
            <w:r>
              <w:rPr>
                <w:b/>
                <w:color w:val="B40000"/>
                <w:sz w:val="16"/>
              </w:rPr>
              <w:t>-8.02%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6,095</w:t>
            </w:r>
          </w:p>
        </w:tc>
        <w:tc>
          <w:tcPr>
            <w:tcW w:type="dxa" w:w="1417"/>
            <w:shd w:fill="FFFFFF" w:val="clear"/>
          </w:tcPr>
          <w:p>
            <w:r>
              <w:rPr>
                <w:sz w:val="16"/>
              </w:rPr>
              <w:t>5,507</w:t>
            </w:r>
          </w:p>
        </w:tc>
        <w:tc>
          <w:tcPr>
            <w:tcW w:type="dxa" w:w="1134"/>
            <w:shd w:fill="FFC7CE" w:val="clear"/>
          </w:tcPr>
          <w:p>
            <w:r>
              <w:rPr>
                <w:b/>
                <w:color w:val="B40000"/>
                <w:sz w:val="16"/>
              </w:rPr>
              <w:t>-9.64%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21,000</w:t>
            </w:r>
          </w:p>
        </w:tc>
        <w:tc>
          <w:tcPr>
            <w:tcW w:type="dxa" w:w="1417"/>
            <w:shd w:fill="FFFFFF" w:val="clear"/>
          </w:tcPr>
          <w:p>
            <w:r>
              <w:rPr>
                <w:sz w:val="16"/>
              </w:rPr>
              <w:t>18,843</w:t>
            </w:r>
          </w:p>
        </w:tc>
        <w:tc>
          <w:tcPr>
            <w:tcW w:type="dxa" w:w="1134"/>
            <w:shd w:fill="FFC7CE" w:val="clear"/>
          </w:tcPr>
          <w:p>
            <w:r>
              <w:rPr>
                <w:b/>
                <w:color w:val="B40000"/>
                <w:sz w:val="16"/>
              </w:rPr>
              <w:t>-10.27%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7,156</w:t>
            </w:r>
          </w:p>
        </w:tc>
        <w:tc>
          <w:tcPr>
            <w:tcW w:type="dxa" w:w="1134"/>
            <w:shd w:fill="FFC7CE" w:val="clear"/>
          </w:tcPr>
          <w:p>
            <w:r>
              <w:rPr>
                <w:b/>
                <w:color w:val="B40000"/>
                <w:sz w:val="16"/>
              </w:rPr>
              <w:t>-13.26%</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3,282 titres</w:t>
            </w:r>
          </w:p>
        </w:tc>
        <w:tc>
          <w:tcPr>
            <w:tcW w:type="dxa" w:w="2268"/>
            <w:shd w:fill="FFF2CC" w:val="clear"/>
          </w:tcPr>
          <w:p>
            <w:r>
              <w:rPr>
                <w:b/>
                <w:color w:val="503200"/>
                <w:sz w:val="16"/>
              </w:rPr>
              <w:t xml:space="preserve">Cours actuel : </w:t>
            </w:r>
            <w:r>
              <w:rPr>
                <w:color w:val="000000"/>
                <w:sz w:val="17"/>
              </w:rPr>
              <w:t>3,290 FCFA</w:t>
            </w:r>
          </w:p>
          <w:p>
            <w:r>
              <w:rPr>
                <w:b/>
                <w:color w:val="503200"/>
                <w:sz w:val="16"/>
              </w:rPr>
              <w:t xml:space="preserve">Var. 100 jours : </w:t>
            </w:r>
            <w:r>
              <w:rPr>
                <w:b/>
                <w:color w:val="007800"/>
                <w:sz w:val="17"/>
              </w:rPr>
              <w:t>+15.44%</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10.91% (Moyenne) — μ=3,348 FCFA, σ=365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β=0.3058 (Défensif) — Cov=0.000023, Var(idx)=0.000074, ρ=0.092,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3,129</w:t>
            </w:r>
          </w:p>
        </w:tc>
        <w:tc>
          <w:tcPr>
            <w:tcW w:type="dxa" w:w="1440"/>
            <w:shd w:fill="FAFAFA" w:val="clear"/>
          </w:tcPr>
          <w:p>
            <w:r>
              <w:rPr>
                <w:b/>
                <w:sz w:val="17"/>
              </w:rPr>
              <w:t>3,264</w:t>
            </w:r>
          </w:p>
        </w:tc>
        <w:tc>
          <w:tcPr>
            <w:tcW w:type="dxa" w:w="1440"/>
            <w:shd w:fill="FAFAFA" w:val="clear"/>
          </w:tcPr>
          <w:p>
            <w:r>
              <w:rPr>
                <w:sz w:val="17"/>
              </w:rPr>
              <w:t>3,398</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3,050</w:t>
            </w:r>
          </w:p>
        </w:tc>
        <w:tc>
          <w:tcPr>
            <w:tcW w:type="dxa" w:w="1440"/>
            <w:shd w:fill="FAFAFA" w:val="clear"/>
          </w:tcPr>
          <w:p>
            <w:r>
              <w:rPr>
                <w:b/>
                <w:sz w:val="17"/>
              </w:rPr>
              <w:t>3,238</w:t>
            </w:r>
          </w:p>
        </w:tc>
        <w:tc>
          <w:tcPr>
            <w:tcW w:type="dxa" w:w="1440"/>
            <w:shd w:fill="FAFAFA" w:val="clear"/>
          </w:tcPr>
          <w:p>
            <w:r>
              <w:rPr>
                <w:sz w:val="17"/>
              </w:rPr>
              <w:t>3,426</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2,981</w:t>
            </w:r>
          </w:p>
        </w:tc>
        <w:tc>
          <w:tcPr>
            <w:tcW w:type="dxa" w:w="1440"/>
            <w:shd w:fill="FFDCE0" w:val="clear"/>
          </w:tcPr>
          <w:p>
            <w:r>
              <w:rPr>
                <w:b/>
                <w:sz w:val="17"/>
              </w:rPr>
              <w:t>3,210</w:t>
            </w:r>
          </w:p>
        </w:tc>
        <w:tc>
          <w:tcPr>
            <w:tcW w:type="dxa" w:w="1440"/>
            <w:shd w:fill="FFDCE0" w:val="clear"/>
          </w:tcPr>
          <w:p>
            <w:r>
              <w:rPr>
                <w:sz w:val="17"/>
              </w:rPr>
              <w:t>3,439</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2,923</w:t>
            </w:r>
          </w:p>
        </w:tc>
        <w:tc>
          <w:tcPr>
            <w:tcW w:type="dxa" w:w="1440"/>
            <w:shd w:fill="FFDCE0" w:val="clear"/>
          </w:tcPr>
          <w:p>
            <w:r>
              <w:rPr>
                <w:b/>
                <w:sz w:val="17"/>
              </w:rPr>
              <w:t>3,184</w:t>
            </w:r>
          </w:p>
        </w:tc>
        <w:tc>
          <w:tcPr>
            <w:tcW w:type="dxa" w:w="1440"/>
            <w:shd w:fill="FFDCE0" w:val="clear"/>
          </w:tcPr>
          <w:p>
            <w:r>
              <w:rPr>
                <w:sz w:val="17"/>
              </w:rPr>
              <w:t>3,446</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2,870</w:t>
            </w:r>
          </w:p>
        </w:tc>
        <w:tc>
          <w:tcPr>
            <w:tcW w:type="dxa" w:w="1440"/>
            <w:shd w:fill="FFDCE0" w:val="clear"/>
          </w:tcPr>
          <w:p>
            <w:r>
              <w:rPr>
                <w:b/>
                <w:sz w:val="17"/>
              </w:rPr>
              <w:t>3,161</w:t>
            </w:r>
          </w:p>
        </w:tc>
        <w:tc>
          <w:tcPr>
            <w:tcW w:type="dxa" w:w="1440"/>
            <w:shd w:fill="FFDCE0" w:val="clear"/>
          </w:tcPr>
          <w:p>
            <w:r>
              <w:rPr>
                <w:sz w:val="17"/>
              </w:rPr>
              <w:t>3,451</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2,822</w:t>
            </w:r>
          </w:p>
        </w:tc>
        <w:tc>
          <w:tcPr>
            <w:tcW w:type="dxa" w:w="1440"/>
            <w:shd w:fill="FFDCE0" w:val="clear"/>
          </w:tcPr>
          <w:p>
            <w:r>
              <w:rPr>
                <w:b/>
                <w:sz w:val="17"/>
              </w:rPr>
              <w:t>3,138</w:t>
            </w:r>
          </w:p>
        </w:tc>
        <w:tc>
          <w:tcPr>
            <w:tcW w:type="dxa" w:w="1440"/>
            <w:shd w:fill="FFDCE0" w:val="clear"/>
          </w:tcPr>
          <w:p>
            <w:r>
              <w:rPr>
                <w:sz w:val="17"/>
              </w:rPr>
              <w:t>3,454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2,777</w:t>
            </w:r>
          </w:p>
        </w:tc>
        <w:tc>
          <w:tcPr>
            <w:tcW w:type="dxa" w:w="1440"/>
            <w:shd w:fill="FFDCE0" w:val="clear"/>
          </w:tcPr>
          <w:p>
            <w:r>
              <w:rPr>
                <w:b/>
                <w:sz w:val="17"/>
              </w:rPr>
              <w:t>3,116</w:t>
            </w:r>
          </w:p>
        </w:tc>
        <w:tc>
          <w:tcPr>
            <w:tcW w:type="dxa" w:w="1440"/>
            <w:shd w:fill="FFDCE0" w:val="clear"/>
          </w:tcPr>
          <w:p>
            <w:r>
              <w:rPr>
                <w:sz w:val="17"/>
              </w:rPr>
              <w:t>3,455</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2,735</w:t>
            </w:r>
          </w:p>
        </w:tc>
        <w:tc>
          <w:tcPr>
            <w:tcW w:type="dxa" w:w="1440"/>
            <w:shd w:fill="FFDCE0" w:val="clear"/>
          </w:tcPr>
          <w:p>
            <w:r>
              <w:rPr>
                <w:b/>
                <w:sz w:val="17"/>
              </w:rPr>
              <w:t>3,095</w:t>
            </w:r>
          </w:p>
        </w:tc>
        <w:tc>
          <w:tcPr>
            <w:tcW w:type="dxa" w:w="1440"/>
            <w:shd w:fill="FFDCE0" w:val="clear"/>
          </w:tcPr>
          <w:p>
            <w:r>
              <w:rPr>
                <w:sz w:val="17"/>
              </w:rPr>
              <w:t>3,455</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2,696</w:t>
            </w:r>
          </w:p>
        </w:tc>
        <w:tc>
          <w:tcPr>
            <w:tcW w:type="dxa" w:w="1440"/>
            <w:shd w:fill="FFDCE0" w:val="clear"/>
          </w:tcPr>
          <w:p>
            <w:r>
              <w:rPr>
                <w:b/>
                <w:sz w:val="17"/>
              </w:rPr>
              <w:t>3,075</w:t>
            </w:r>
          </w:p>
        </w:tc>
        <w:tc>
          <w:tcPr>
            <w:tcW w:type="dxa" w:w="1440"/>
            <w:shd w:fill="FFDCE0" w:val="clear"/>
          </w:tcPr>
          <w:p>
            <w:r>
              <w:rPr>
                <w:sz w:val="17"/>
              </w:rPr>
              <w:t>3,455</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2,659</w:t>
            </w:r>
          </w:p>
        </w:tc>
        <w:tc>
          <w:tcPr>
            <w:tcW w:type="dxa" w:w="1440"/>
            <w:shd w:fill="FFDCE0" w:val="clear"/>
          </w:tcPr>
          <w:p>
            <w:r>
              <w:rPr>
                <w:b/>
                <w:sz w:val="17"/>
              </w:rPr>
              <w:t>3,056</w:t>
            </w:r>
          </w:p>
        </w:tc>
        <w:tc>
          <w:tcPr>
            <w:tcW w:type="dxa" w:w="1440"/>
            <w:shd w:fill="FFDCE0" w:val="clear"/>
          </w:tcPr>
          <w:p>
            <w:r>
              <w:rPr>
                <w:sz w:val="17"/>
              </w:rPr>
              <w:t>3,454</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35,90 milliards FCFA, ABJC se positionne comme une valeur de taille intermédiaire sur la BRVM, loin des poids lourds bancaires et télécoms mais bénéficiant d'une liquidité correcte (volume moyen de 3 282 titres/jour). Le BPA de 124 FCFA/action signifie que chaque titre génère un bénéfice net de 124 FCFA, ce qui, rapporté au cours actuel de 3 290 FCFA, aboutit à un PER de 26,6x — soit plus du double de la moyenne BRVM (8-12x), signalant que le marché paie une prime très généreuse pour cette valeur, soit en anticipant une forte croissance, soit en raison d'une surévaluation manifeste. Le P/B de 6,96x confirme cette exigence : le marché valorise ABJC près de 7 fois sa valeur comptable, un niveau très supérieur au seuil de 4x généralement considéré comme déjà élevé, ce qui traduit une forte confiance dans la qualité des actifs immatériels (contrats, position dominante) mais laisse peu de marge de sécurité. Enfin, l'EV/EBITDA de 13,4x, dans la fourchette haute (10-15x), indique que la valeur d'entreprise rapportée à la capacité opérationnelle de génération de cash est tendue, cohérente avec un profil de croissance mais exposant l'investisseur à un risque de correction si les résultats déçoivent.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variation totale de +15,44%, mais la dernière séance (J-1) marque un léger repli de -0,15%, signalant un essoufflement de la dynamique haussière à court terme. Le titre a évolué dans un range large de 2 800 FCFA (plus bas) à 4 095 FCFA (plus haut), soit un écart de près de 46%, ce qui témoigne d'une forte amplitude de trading et d'une volatilité significative. La tendance générale reste haussière sur la période, mais le cours actuel (3 290 FCFA) se situe désormais nettement sous le plus haut, suggérant une phase de correction après le pic. Les statistiques descriptives révèlent une moyenne de 3 348 FCFA légèrement supérieure à la médiane de 3 278 FCFA, avec un mode à 3 150 FCFA : cet écart modéré indique une distribution légèrement asymétrique, confirmée par un skewness positif de 0,583 (plus de journées sous la moyenne, avec quelques pics haussiers marqués). L'écart-type de 367 FCFA (CV = 11,0%) traduit une dispersion modérée autour de la moyenne, tandis que le kurtosis de -0,821 (mésokurtique) suggère une distribution proche de la normale, sans risque extrême de pics violents. La volatilité annualisée de 44,8% classe ABJC dans la catégorie des titres à volatilité élevée (&gt;30%), ce qui implique un risque de perte en capital non négligeable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(3 760,75 FCFA) et la MM50 (3 550,5 FCFA) se situent toutes deux nettement au-dessus du cours actuel (3 290 FCFA), ce qui place le titre en position baissière par rapport à ses moyennes. Cependant, la décision affichée est "Achat", probablement en anticipation d'un rebond technique après la correction, mais la configuration actuelle (cours sous les deux MM) reste défavorable à court terme.</w:t>
      </w:r>
    </w:p>
    <w:p>
      <w:pPr>
        <w:spacing w:after="120" w:line="276" w:lineRule="auto"/>
      </w:pPr>
      <w:r>
        <w:t>**Bandes de Bollinger** : Le cours (3 290 FCFA) évolue dans la partie basse de la bande, proche de la borne inférieure (3 155,23 FCFA) et très éloigné de la borne supérieure (4 366,27 FCFA). Cette position suggère une pression vendeuse récente, mais la décision "Neutre" indique que le titre n'est ni en survente extrême ni en surachat, laissant présager une possible stabilisation autour des 3 200-3 300 FCFA.</w:t>
      </w:r>
    </w:p>
    <w:p>
      <w:pPr>
        <w:spacing w:after="120" w:line="276" w:lineRule="auto"/>
      </w:pPr>
      <w:r>
        <w:t>**MACD** : La valeur du MACD (-104,167) est très inférieure à son signal (-13,13), avec un histogramme négatif, ce qui confirme un momentum baissier prononcé. La décision "Vente" est cohérente avec cette divergence négative, indiquant que la dynamique de court terme reste défavorable malgré la correction déjà amorcée.</w:t>
      </w:r>
    </w:p>
    <w:p>
      <w:pPr>
        <w:spacing w:after="120" w:line="276" w:lineRule="auto"/>
      </w:pPr>
      <w:r>
        <w:t>**RSI** : À 16,667, le RSI est en zone de survente extrême (&lt;30), ce qui constitue un signal d'achat technique classique. Cette valeur très basse suggère que la pression vendeuse pourrait s'épuiser et qu'un rebond technique est probable à court terme, justifiant la décision "Achat".</w:t>
      </w:r>
    </w:p>
    <w:p>
      <w:pPr>
        <w:spacing w:after="120" w:line="276" w:lineRule="auto"/>
      </w:pPr>
      <w:r>
        <w:t>**Stochastique** : Le %K (4,317) et le %D (2,916) sont tous deux en zone de survente profonde, avec un %K légèrement au-dessus du %D, ce qui pourrait annoncer un croisement haussier imminent. La décision "Achat" est cohérente avec cette configuration, mais la prudence reste de mise tant que le croisement n'est pas confirmé.</w:t>
      </w:r>
    </w:p>
    <w:p>
      <w:pPr>
        <w:spacing w:after="120" w:line="276" w:lineRule="auto"/>
      </w:pPr>
      <w:r>
        <w:t>**Conclusion technique** : Les indicateurs présentent une divergence notable : le MACD et les moyennes mobiles plaident pour une poursuite de la correction, tandis que le RSI et le stochastique signalent une survente extrême propice à un rebond. Les bandes de Bollinger confirment cette position basse. Dans l'ensemble, le titre se trouve à un point d'inflexion technique, avec un potentiel de rebond à court terme mais une tendance de fond encore fragile. La convergence des signaux de survente (RSI, Stochastique) suggère qu'un achat spéculatif est envisageable, mais la prudence reste recommandée en l'absence de confirmation par le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d'ABJC (exercice clos le 31 décembre 2025) révèlent un chiffre d'affaires de 13,298 milliards FCFA, en croissance de 6,67% par rapport à 2024, porté par la dynamique du trafic aéroportuaire et la diversification vers les activités non aériennes. Le résultat net s'établit à 1,351 milliard FCFA, en baisse de 12,1% selon le rapport de gestion 2025 (daté du 31/12/2025), principalement en raison d'une charge d'impôt en forte hausse (+46,7% à 848 millions FCFA). La rentabilité reste solide avec un ROE de 26,18% (excellent, &gt;15%) et un ROA de 14,64%, tandis que la marge nette se maintient à 10,16% et la marge opérationnelle à 16,38%. La structure financière est saine : autonomie financière de 55,92%, endettement financier quasi nul (dettes financières totales de 65,89 millions FCFA seulement), et trésorerie nette de 4,035 milliards FCFA. Le BFR est négatif à 257,45 millions FCFA (favorable), mais le délai client de 70,10 jours reste élevé et constitue un point de vigilance pour la trésorerie, tandis que le délai fournisseur de 92,11 jours est bien négocié. La rotation des actifs est excellente à 144,13%, et la couverture des intérêts est astronomique (36 092%), confirmant l'absence de risque financier. Les rapports trimestriels récents nuancent toutefois ce tableau : le T1 2026 (rapport daté du 30/04/2026) montre une croissance du CA de seulement +1,9% (3,237 milliards FCFA) mais une chute du résultat net de -35,6% (222,6 millions FCFA), affectée par des ajustements de redevances aéroportuaires et des tensions géopolitiques au Moyen-Orient. Le T3 2025 (rapport du 30/09/2025) affichait au contraire une croissance robuste (+10,3% de CA, +17,1% de résultat net), illustrant la volatilité des performances trimestrielles. Sur la base du T1 2026, on estime que l'exercice 2026 pourrait connaître une pression sur les marges, avec un résultat net annuel potentiellement en retrait si la tendance se confirme. La recommandation fondamentale est de **conserver** la valeur : la solidité financière et la position dominante sur le marché ivoirien des services aéroportuaires sont des atouts, mais la dégradation récente de la rentabilité et la valorisation exigeante limitent le potentiel haussier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clairement tendue : PER de 26,6x, P/B de 6,96x et EV/EBITDA de 13,4x indiquent que le marché intègre déjà une forte croissance, laissant peu de marge d'erreur. Le comportement du cours (Partie 1) montre une tendance haussière sur 100 jours (+15,44%) mais une correction récente, avec une volatilité élevée (44,8%) et une distribution asymétrique positivement (skewness 0,583) qui suggère que les pics haussiers ont été plus marqués que les creux. Les signaux techniques (Partie 2) sont divergents : le MACD et les moyennes mobiles sont baissiers, mais le RSI (16,7) et le stochastique (4,3) en survente extrême plaident pour un rebond à court terme. Les fondamentaux (Partie 3) restent solides (ROE 26,2%, trésorerie nette 4,035 milliards FCFA, endettement quasi nul) mais la dégradation du T1 2026 (résultat net -35,6%) et la pression fiscale pèsent sur les perspectives. Les prédictions IA (J+1 à J+10) anticipent une poursuite de la baisse jusqu'à 3 161 FCFA, ce qui contredit les signaux de survente technique et suggère que la correction n'est pas terminée. Compte tenu de cette divergence — valorisation exigeante, technique mitigée, fondamentaux solides mais en dégradation, et prédictions baissières — la recommandation finale est **CONSERVER**, avec un niveau de confiance **Moyen** et un risque global **Élevé** en raison de la volatilité et de la valorisation tendue. L'horizon d'investissement optimal est le **moyen terme (3-12 mois)**, en attendant une clarification sur la trajectoire bénéficiaire de 2026 et une confirmation du rebond technique. Un investisseur déjà positionné pourra conserver ses titres en surveillant le support des 3 150 FCFA, tandis qu'un nouvel entrant attendra une stabilisation des indicateurs techniques et une amélioration des marges avant d'envisager un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36,983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+40.59%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9.82% (Moyenne) — μ=8,922 FCFA, σ=876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β≈0.98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β≈0.98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36,983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**RAPPORT D'ANALYSE FINANCIÈRE — BBGC (BRIDGE BANK GROUP COTE D'IVOIRE)**</w:t>
        <w:br/>
        <w:t>*Marché : BRVM | Secteur : Banque | 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510,00 Mds FCFA, BBGC s'impose comme l'une des plus importantes capitalisations du compartiment bancaire de la BRVM, ce qui témoigne de la confiance du marché envers cette valeur fraîchement introduite. Le BPA de 544 FCFA/action signifie que chaque titre génère 544 FCFA de bénéfice net, un niveau élevé qui traduit la forte rentabilité de la banque. Le PER de 18,8x place le titre nettement au-dessus de la moyenne du marché BRVM (généralement comprise entre 8 et 12x), ce qui indique que les investisseurs acceptent de payer une prime significative pour la croissance attendue. Le P/B de 4,85x confirme cette valorisation exigeante, le marché valorisant la banque à près de cinq fois sa valeur comptable, tandis que l'EV/EBITDA de 16,8x (au-dessus du seuil de 15x) souligne une valorisation tendue par rapport à la capacité opérationnelle. Ces ratios, pris dans leur ensemble, suggèrent une action correctement — voire généreusement — valorisée, dont le potentiel de revalorisation dépendra de la confirmation de la trajectoire de croissance exceptionnelle.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BBGC affiche une performance remarquable de +40,59%, avec une dernière séance (J-1) encore positive de +2,51%, confirmant une dynamique haussière soutenue. Le cours actuel de 10 200 FCFA correspond exactement au plus haut de la période, tandis que le plus bas s'établit à 7 255 FCFA, soit un range de trading de près de 40% qui illustre la forte amplitude du titre depuis son introduction. La moyenne du cours (8 922 FCFA) est légèrement inférieure à la médiane (9 000 FCFA) et au mode (9 000 FCFA), ce qui traduit une distribution légèrement asymétrique avec quelques séances de forte baisse ayant tiré la moyenne vers le bas. L'écart-type de 923 FCFA (CV = 10,3%) indique une dispersion modérée autour de la moyenne, tandis que le kurtosis de -0,706 (mésokurtique) suggère une distribution proche de la normale, sans risque majeur de pics extrêmes. Le skewness de -0,394, qualifié de symétrique, confirme l'absence de biais directionnel marqué malgré la tendance haussière. La volatilité annualisée de 54,6% classe ce titre dans la catégorie des valeurs à volatilité élevée (&gt;30%), ce qui est cohérent avec une introduction récente en bourse et un secteur bancaire en forte expansion.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moyennes mobiles MM20 et MM50 ne sont pas disponibles (valeurs nulles), ce qui s'explique probablement par l'historique de cotation encore insuffisant pour calculer ces indicateurs sur des fenêtres glissantes complètes. Aucune décision technique ne peut donc être dégagée sur cette base, et il convient de se référer aux autres indicateurs pour évaluer la tendance.</w:t>
      </w:r>
    </w:p>
    <w:p>
      <w:pPr>
        <w:spacing w:after="120" w:line="276" w:lineRule="auto"/>
      </w:pPr>
      <w:r>
        <w:t>**Bandes de Bollinger** : Les bornes supérieure et inférieure des Bandes de Bollinger sont également indisponibles (nan), pour la même raison que les moyennes mobiles. Le cours actuel de 10 200 FCFA ne peut donc être positionné par rapport à ces bornes, et aucune décision n'est formulée.</w:t>
      </w:r>
    </w:p>
    <w:p>
      <w:pPr>
        <w:spacing w:after="120" w:line="276" w:lineRule="auto"/>
      </w:pPr>
      <w:r>
        <w:t>**MACD** : La valeur du MACD et celle de sa ligne de signal sont nulles, rendant impossible l'analyse de la divergence MACD-Signal et du momentum. Aucune décision technique n'est disponible sur cet indicateur.</w:t>
      </w:r>
    </w:p>
    <w:p>
      <w:pPr>
        <w:spacing w:after="120" w:line="276" w:lineRule="auto"/>
      </w:pPr>
      <w:r>
        <w:t>**RSI** : Le RSI n'est pas calculé (valeur nan), ce qui empêche de déterminer si le titre est en zone de surachat (&gt;70), de survente (&lt;30) ou neutre (30-70). Aucune décision ne peut être prise sur cette base.</w:t>
      </w:r>
    </w:p>
    <w:p>
      <w:pPr>
        <w:spacing w:after="120" w:line="276" w:lineRule="auto"/>
      </w:pPr>
      <w:r>
        <w:t>**Stochastique** : Les valeurs %K et %D sont indisponibles, rendant impossible l'analyse des croisements et des zones de surachat/survente. Aucune décision n'est formulée.</w:t>
      </w:r>
    </w:p>
    <w:p>
      <w:pPr>
        <w:spacing w:after="120" w:line="276" w:lineRule="auto"/>
      </w:pPr>
      <w:r>
        <w:t>**Conclusion technique** : L'ensemble des indicateurs techniques étant indisponibles en raison de l'historique de cotation encore limité, l'analyse technique ne peut fournir de signaux exploitables. Le seul élément exploitable reste la tendance haussière marquée (+40,59% sur 100 jours) et la volatilité élevée (54,6%), qui suggèrent un titre en phase de découverte de prix post-introduction, avec un momentum positif mais un risque de correction accru.</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BBGC affiche un Produit Net Bancaire (PNB) de 67,824 Mds FCFA, un résultat net de 27,197 Mds FCFA, un ROE exceptionnel de 25,87% (largement supérieur au seuil de 15% considéré comme excellent) et un ROA de 1,91%. Le coefficient d'exploitation s'établit à 41,85%, bien en dessous du seuil de 60% qui définit une banque efficace, et même sous les 50% qui signalent une excellence opérationnelle. Le coût du risque est très faible à 0,8853%, indiquant un portefeuille de crédits sain. La structure financière montre une autonomie financière de 7,37% (inférieure au seuil de 30% considéré comme sain, mais typique du modèle bancaire où les dépôts clientèle de 1 138,119 Mds FCFA constituent la principale ressource), un ratio d'endettement de 1 257,65% et une solvabilité générale de 107,95% (&gt;1, donc solvable). Le taux de croissance du PNB de 15,71% confirme une dynamique commerciale soutenue.</w:t>
      </w:r>
    </w:p>
    <w:p>
      <w:pPr>
        <w:spacing w:after="120" w:line="276" w:lineRule="auto"/>
      </w:pPr>
      <w:r>
        <w:t>**Estimations basées sur les rapports semestriels (S1 2026, publié le 30 juin 2026)** : Le rapport S1 2026, analysé par DEEPSEEK le 28 septembre 2026, révèle un PNB de 37,7 Mds FCFA (+25% vs S1 2025), un résultat net de 15,2 Mds FCFA (+46%), un coefficient d'exploitation de 40,3% (contre 43,3% un an plus tôt) et une marge nette de 40,3% (contre 34,4%). Les crédits à la clientèle progressent de 28% à 823,9 Mds FCFA et les dépôts de 46% à 1 318,3 Mds FCFA, la croissance des dépôts dépassant celle des crédits, ce qui renforce la liquidité. Sur la base de ces performances semestrielles, on peut estimer que l'exercice 2026 devrait enregistrer un PNB annuel d'environ 75-78 Mds FCFA et un résultat net de l'ordre de 30-32 Mds FCFA, confirmant l'accélération de la croissance. Le rapport GEMINI-VISION (daté du 31 décembre 2026) confirme un résultat net S1 2026 de 15 199 millions FCFA (+46,4%), cohérent avec les données DEEPSEEK. L'OPV sursouscrite à 6 750 FCFA/action (20% du capital, 67,5 Mds FCFA) constitue un signal fort de confiance du marché. La recommandation fondamentale est donc **ACHAT**, portée par une croissance exceptionnelle, une efficacité opérationnelle en amélioration et une expansion régionale (Burkina Faso) prometteuse, avec comme principal risque la hausse du coût du risque (+14%) et l'absence d'information sur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BBGC (Partie 0) apparaît exigeante avec un PER de 18,8x, un P/B de 4,85x et un EV/EBITDA de 16,8x, tous supérieurs aux moyennes du marché BRVM, ce qui intègre déjà une large part de la croissance future et limite le potentiel de revalorisation à court terme. Le comportement du cours (Partie 1) est nettement haussier (+40,59% sur 100 jours, +2,51% en J-1), avec une volatilité élevée (54,6%) et des statistiques descriptives (kurtosis -0,706, skewness -0,394) qui indiquent une distribution proche de la normale, sans risque extrême de pics, mais un CV de 10,3% qui traduit une dispersion modérée. Les signaux techniques (Partie 2) sont indisponibles en raison de l'historique de cotation insuffisant, ce qui empêche toute confirmation ou infirmation technique de la tendance. Les fondamentaux (Partie 3) sont excellents : ROE de 25,87% en 2025, coefficient d'exploitation de 41,85%, coût du risque faible (0,8853%), et les rapports S1 2026 (DEEPSEEK, 28/09/2026 ; GEMINI-VISION, 31/12/2026) confirment une accélération avec un résultat net en hausse de 46% et un PNB en progression de 25%. Les prédictions IA (J+1 à J+10) ne sont pas disponibles, ce qui ne permet pas de confirmer ou contredire les autres signaux. Sur la base de cette synthèse, la convergence entre fondamentaux solides et dynamique de cours positive, malgré une valorisation tendue et une absence de signaux techniques, conduit à une recommandation finale d'**ACHAT**, avec un niveau de confiance **Moyen** (en raison de l'absence de données techniques et de prédictions IA) et un niveau de risque **Élevé** (volatilité de 54,6%, valorisation exigeante, historique de cotation court). L'horizon d'investissement optimal est le **moyen terme (3-12 mois)**, le temps que la banque confirme ses performances au S2 2026 et que les indicateurs techniques deviennent exploitables.</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492.11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13,862 titres</w:t>
            </w:r>
          </w:p>
        </w:tc>
        <w:tc>
          <w:tcPr>
            <w:tcW w:type="dxa" w:w="2268"/>
            <w:shd w:fill="FFF2CC" w:val="clear"/>
          </w:tcPr>
          <w:p>
            <w:r>
              <w:rPr>
                <w:b/>
                <w:color w:val="503200"/>
                <w:sz w:val="16"/>
              </w:rPr>
              <w:t xml:space="preserve">Cours actuel : </w:t>
            </w:r>
            <w:r>
              <w:rPr>
                <w:color w:val="000000"/>
                <w:sz w:val="17"/>
              </w:rPr>
              <w:t>8,520 FCFA</w:t>
            </w:r>
          </w:p>
          <w:p>
            <w:r>
              <w:rPr>
                <w:b/>
                <w:color w:val="503200"/>
                <w:sz w:val="16"/>
              </w:rPr>
              <w:t xml:space="preserve">Var. 100 jours : </w:t>
            </w:r>
            <w:r>
              <w:rPr>
                <w:b/>
                <w:color w:val="007800"/>
                <w:sz w:val="17"/>
              </w:rPr>
              <w:t>+63.85%</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22.97% (Élevée) — μ=7,382 FCFA, σ=1,696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β=0.8293 (Neutre (suit le marché)) — Cov=0.000061, Var(idx)=0.000074, ρ=0.263,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σ_j=2.69%/j (Stable) — Vol. annualisée≈42.7%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2026-10-09</w:t>
            </w:r>
          </w:p>
        </w:tc>
        <w:tc>
          <w:tcPr>
            <w:tcW w:type="dxa" w:w="1440"/>
            <w:shd w:fill="C6EFCE" w:val="clear"/>
          </w:tcPr>
          <w:p>
            <w:r>
              <w:rPr>
                <w:sz w:val="17"/>
              </w:rPr>
              <w:t>8,411</w:t>
            </w:r>
          </w:p>
        </w:tc>
        <w:tc>
          <w:tcPr>
            <w:tcW w:type="dxa" w:w="1440"/>
            <w:shd w:fill="C6EFCE" w:val="clear"/>
          </w:tcPr>
          <w:p>
            <w:r>
              <w:rPr>
                <w:b/>
                <w:sz w:val="17"/>
              </w:rPr>
              <w:t>8,945</w:t>
            </w:r>
          </w:p>
        </w:tc>
        <w:tc>
          <w:tcPr>
            <w:tcW w:type="dxa" w:w="1440"/>
            <w:shd w:fill="C6EFCE" w:val="clear"/>
          </w:tcPr>
          <w:p>
            <w:r>
              <w:rPr>
                <w:sz w:val="17"/>
              </w:rPr>
              <w:t>9,479</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2026-10-12</w:t>
            </w:r>
          </w:p>
        </w:tc>
        <w:tc>
          <w:tcPr>
            <w:tcW w:type="dxa" w:w="1440"/>
            <w:shd w:fill="C6EFCE" w:val="clear"/>
          </w:tcPr>
          <w:p>
            <w:r>
              <w:rPr>
                <w:sz w:val="17"/>
              </w:rPr>
              <w:t>8,231</w:t>
            </w:r>
          </w:p>
        </w:tc>
        <w:tc>
          <w:tcPr>
            <w:tcW w:type="dxa" w:w="1440"/>
            <w:shd w:fill="C6EFCE" w:val="clear"/>
          </w:tcPr>
          <w:p>
            <w:r>
              <w:rPr>
                <w:b/>
                <w:sz w:val="17"/>
              </w:rPr>
              <w:t>8,990</w:t>
            </w:r>
          </w:p>
        </w:tc>
        <w:tc>
          <w:tcPr>
            <w:tcW w:type="dxa" w:w="1440"/>
            <w:shd w:fill="C6EFCE" w:val="clear"/>
          </w:tcPr>
          <w:p>
            <w:r>
              <w:rPr>
                <w:sz w:val="17"/>
              </w:rPr>
              <w:t>9,749</w:t>
            </w:r>
          </w:p>
        </w:tc>
        <w:tc>
          <w:tcPr>
            <w:tcW w:type="dxa" w:w="1440"/>
            <w:shd w:fill="C6EFCE" w:val="clear"/>
          </w:tcPr>
          <w:p>
            <w:r>
              <w:rPr>
                <w:b/>
                <w:color w:val="008000"/>
                <w:sz w:val="17"/>
              </w:rPr>
              <w:t>+5.5%</w:t>
            </w:r>
          </w:p>
        </w:tc>
      </w:tr>
      <w:tr>
        <w:tc>
          <w:tcPr>
            <w:tcW w:type="dxa" w:w="1440"/>
            <w:shd w:fill="C6EFCE" w:val="clear"/>
          </w:tcPr>
          <w:p>
            <w:r>
              <w:rPr>
                <w:sz w:val="17"/>
              </w:rPr>
              <w:t>J+3  ⭐</w:t>
            </w:r>
          </w:p>
        </w:tc>
        <w:tc>
          <w:tcPr>
            <w:tcW w:type="dxa" w:w="1440"/>
            <w:shd w:fill="C6EFCE" w:val="clear"/>
          </w:tcPr>
          <w:p>
            <w:r>
              <w:rPr>
                <w:sz w:val="17"/>
              </w:rPr>
              <w:t>2026-10-13</w:t>
            </w:r>
          </w:p>
        </w:tc>
        <w:tc>
          <w:tcPr>
            <w:tcW w:type="dxa" w:w="1440"/>
            <w:shd w:fill="C6EFCE" w:val="clear"/>
          </w:tcPr>
          <w:p>
            <w:r>
              <w:rPr>
                <w:sz w:val="17"/>
              </w:rPr>
              <w:t>8,114</w:t>
            </w:r>
          </w:p>
        </w:tc>
        <w:tc>
          <w:tcPr>
            <w:tcW w:type="dxa" w:w="1440"/>
            <w:shd w:fill="C6EFCE" w:val="clear"/>
          </w:tcPr>
          <w:p>
            <w:r>
              <w:rPr>
                <w:b/>
                <w:sz w:val="17"/>
              </w:rPr>
              <w:t>9,050</w:t>
            </w:r>
          </w:p>
        </w:tc>
        <w:tc>
          <w:tcPr>
            <w:tcW w:type="dxa" w:w="1440"/>
            <w:shd w:fill="C6EFCE" w:val="clear"/>
          </w:tcPr>
          <w:p>
            <w:r>
              <w:rPr>
                <w:sz w:val="17"/>
              </w:rPr>
              <w:t>9,986</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2026-10-14</w:t>
            </w:r>
          </w:p>
        </w:tc>
        <w:tc>
          <w:tcPr>
            <w:tcW w:type="dxa" w:w="1440"/>
            <w:shd w:fill="C6EFCE" w:val="clear"/>
          </w:tcPr>
          <w:p>
            <w:r>
              <w:rPr>
                <w:sz w:val="17"/>
              </w:rPr>
              <w:t>8,020</w:t>
            </w:r>
          </w:p>
        </w:tc>
        <w:tc>
          <w:tcPr>
            <w:tcW w:type="dxa" w:w="1440"/>
            <w:shd w:fill="C6EFCE" w:val="clear"/>
          </w:tcPr>
          <w:p>
            <w:r>
              <w:rPr>
                <w:b/>
                <w:sz w:val="17"/>
              </w:rPr>
              <w:t>9,108</w:t>
            </w:r>
          </w:p>
        </w:tc>
        <w:tc>
          <w:tcPr>
            <w:tcW w:type="dxa" w:w="1440"/>
            <w:shd w:fill="C6EFCE" w:val="clear"/>
          </w:tcPr>
          <w:p>
            <w:r>
              <w:rPr>
                <w:sz w:val="17"/>
              </w:rPr>
              <w:t>10,196</w:t>
            </w:r>
          </w:p>
        </w:tc>
        <w:tc>
          <w:tcPr>
            <w:tcW w:type="dxa" w:w="1440"/>
            <w:shd w:fill="C6EFCE" w:val="clear"/>
          </w:tcPr>
          <w:p>
            <w:r>
              <w:rPr>
                <w:b/>
                <w:color w:val="008000"/>
                <w:sz w:val="17"/>
              </w:rPr>
              <w:t>+6.9%</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7,938</w:t>
            </w:r>
          </w:p>
        </w:tc>
        <w:tc>
          <w:tcPr>
            <w:tcW w:type="dxa" w:w="1440"/>
            <w:shd w:fill="C6EFCE" w:val="clear"/>
          </w:tcPr>
          <w:p>
            <w:r>
              <w:rPr>
                <w:b/>
                <w:sz w:val="17"/>
              </w:rPr>
              <w:t>9,162</w:t>
            </w:r>
          </w:p>
        </w:tc>
        <w:tc>
          <w:tcPr>
            <w:tcW w:type="dxa" w:w="1440"/>
            <w:shd w:fill="C6EFCE" w:val="clear"/>
          </w:tcPr>
          <w:p>
            <w:r>
              <w:rPr>
                <w:sz w:val="17"/>
              </w:rPr>
              <w:t>10,385</w:t>
            </w:r>
          </w:p>
        </w:tc>
        <w:tc>
          <w:tcPr>
            <w:tcW w:type="dxa" w:w="1440"/>
            <w:shd w:fill="C6EFCE" w:val="clear"/>
          </w:tcPr>
          <w:p>
            <w:r>
              <w:rPr>
                <w:b/>
                <w:color w:val="008000"/>
                <w:sz w:val="17"/>
              </w:rPr>
              <w:t>+7.5%</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7,861</w:t>
            </w:r>
          </w:p>
        </w:tc>
        <w:tc>
          <w:tcPr>
            <w:tcW w:type="dxa" w:w="1440"/>
            <w:shd w:fill="C6EFCE" w:val="clear"/>
          </w:tcPr>
          <w:p>
            <w:r>
              <w:rPr>
                <w:b/>
                <w:sz w:val="17"/>
              </w:rPr>
              <w:t>9,208</w:t>
            </w:r>
          </w:p>
        </w:tc>
        <w:tc>
          <w:tcPr>
            <w:tcW w:type="dxa" w:w="1440"/>
            <w:shd w:fill="C6EFCE" w:val="clear"/>
          </w:tcPr>
          <w:p>
            <w:r>
              <w:rPr>
                <w:sz w:val="17"/>
              </w:rPr>
              <w:t>10,556</w:t>
            </w:r>
          </w:p>
        </w:tc>
        <w:tc>
          <w:tcPr>
            <w:tcW w:type="dxa" w:w="1440"/>
            <w:shd w:fill="C6EFCE" w:val="clear"/>
          </w:tcPr>
          <w:p>
            <w:r>
              <w:rPr>
                <w:b/>
                <w:color w:val="008000"/>
                <w:sz w:val="17"/>
              </w:rPr>
              <w:t>+8.1%</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7,788</w:t>
            </w:r>
          </w:p>
        </w:tc>
        <w:tc>
          <w:tcPr>
            <w:tcW w:type="dxa" w:w="1440"/>
            <w:shd w:fill="C6EFCE" w:val="clear"/>
          </w:tcPr>
          <w:p>
            <w:r>
              <w:rPr>
                <w:b/>
                <w:sz w:val="17"/>
              </w:rPr>
              <w:t>9,249</w:t>
            </w:r>
          </w:p>
        </w:tc>
        <w:tc>
          <w:tcPr>
            <w:tcW w:type="dxa" w:w="1440"/>
            <w:shd w:fill="C6EFCE" w:val="clear"/>
          </w:tcPr>
          <w:p>
            <w:r>
              <w:rPr>
                <w:sz w:val="17"/>
              </w:rPr>
              <w:t>10,711</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7,716</w:t>
            </w:r>
          </w:p>
        </w:tc>
        <w:tc>
          <w:tcPr>
            <w:tcW w:type="dxa" w:w="1440"/>
            <w:shd w:fill="C6EFCE" w:val="clear"/>
          </w:tcPr>
          <w:p>
            <w:r>
              <w:rPr>
                <w:b/>
                <w:sz w:val="17"/>
              </w:rPr>
              <w:t>9,285</w:t>
            </w:r>
          </w:p>
        </w:tc>
        <w:tc>
          <w:tcPr>
            <w:tcW w:type="dxa" w:w="1440"/>
            <w:shd w:fill="C6EFCE" w:val="clear"/>
          </w:tcPr>
          <w:p>
            <w:r>
              <w:rPr>
                <w:sz w:val="17"/>
              </w:rPr>
              <w:t>10,853</w:t>
            </w:r>
          </w:p>
        </w:tc>
        <w:tc>
          <w:tcPr>
            <w:tcW w:type="dxa" w:w="1440"/>
            <w:shd w:fill="C6EFCE" w:val="clear"/>
          </w:tcPr>
          <w:p>
            <w:r>
              <w:rPr>
                <w:b/>
                <w:color w:val="008000"/>
                <w:sz w:val="17"/>
              </w:rPr>
              <w:t>+9.0%</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7,646</w:t>
            </w:r>
          </w:p>
        </w:tc>
        <w:tc>
          <w:tcPr>
            <w:tcW w:type="dxa" w:w="1440"/>
            <w:shd w:fill="C6EFCE" w:val="clear"/>
          </w:tcPr>
          <w:p>
            <w:r>
              <w:rPr>
                <w:b/>
                <w:sz w:val="17"/>
              </w:rPr>
              <w:t>9,315</w:t>
            </w:r>
          </w:p>
        </w:tc>
        <w:tc>
          <w:tcPr>
            <w:tcW w:type="dxa" w:w="1440"/>
            <w:shd w:fill="C6EFCE" w:val="clear"/>
          </w:tcPr>
          <w:p>
            <w:r>
              <w:rPr>
                <w:sz w:val="17"/>
              </w:rPr>
              <w:t>10,984</w:t>
            </w:r>
          </w:p>
        </w:tc>
        <w:tc>
          <w:tcPr>
            <w:tcW w:type="dxa" w:w="1440"/>
            <w:shd w:fill="C6EFCE" w:val="clear"/>
          </w:tcPr>
          <w:p>
            <w:r>
              <w:rPr>
                <w:b/>
                <w:color w:val="008000"/>
                <w:sz w:val="17"/>
              </w:rPr>
              <w:t>+9.3%</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7,577</w:t>
            </w:r>
          </w:p>
        </w:tc>
        <w:tc>
          <w:tcPr>
            <w:tcW w:type="dxa" w:w="1440"/>
            <w:shd w:fill="C6EFCE" w:val="clear"/>
          </w:tcPr>
          <w:p>
            <w:r>
              <w:rPr>
                <w:b/>
                <w:sz w:val="17"/>
              </w:rPr>
              <w:t>9,341</w:t>
            </w:r>
          </w:p>
        </w:tc>
        <w:tc>
          <w:tcPr>
            <w:tcW w:type="dxa" w:w="1440"/>
            <w:shd w:fill="C6EFCE" w:val="clear"/>
          </w:tcPr>
          <w:p>
            <w:r>
              <w:rPr>
                <w:sz w:val="17"/>
              </w:rPr>
              <w:t>11,106</w:t>
            </w:r>
          </w:p>
        </w:tc>
        <w:tc>
          <w:tcPr>
            <w:tcW w:type="dxa" w:w="1440"/>
            <w:shd w:fill="C6EFCE" w:val="clear"/>
          </w:tcPr>
          <w:p>
            <w:r>
              <w:rPr>
                <w:b/>
                <w:color w:val="008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492,11 milliards FCFA, la BICB s'impose comme l'une des valeurs bancaires les plus capitalisées de la cote BRVM, ce qui témoigne de son statut de leader sectoriel au Bénin. Le BPA de 627 FCFA par action signifie que chaque titre génère près de 627 FCFA de bénéfice net, un niveau de rentabilité par action particulièrement élevé. Le PER de 13,6x se situe légèrement au-dessus de la moyenne BRVM (8-12x), traduisant une prime de qualité justifiée par la solidité des fondamentaux, mais qui n'apparaît pas excessive au regard de la croissance affichée. Le P/B de 3,64x indique que le marché valorise la banque à plus de 3,6 fois sa valeur comptable, une prime de croissance significative qui suppose que les investisseurs anticipent une poursuite de la rentabilité élevée (ROE de 26,8%). Enfin, l'EV/EBITDA de 24,1x apparaît très exigeant (seuil d'alerte &gt;15x), ce qui suggère que la valeur d'entreprise intègre déjà une bonne part des perspectives de croissance et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+63,85%, passant d'un plus bas de 5 105 FCFA à un plus haut de 10 790 FCFA, avant de se replier à 8 520 FCFA (soit -1,50% sur la dernière séance). Ce range de trading de plus de 5 600 FCFA illustre une tendance nettement haussière, mais également une correction récente de près de 21% depuis le sommet, signe que le marché a pris ses profits après un rallye vertical. Les statistiques descriptives révèlent une moyenne de 7 382 FCFA légèrement inférieure à la médiane de 7 542 FCFA, ce qui indique une distribution faiblement asymétrique à gauche, cohérente avec le skewness de 0,360 (distribution quasi symétrique). L'écart-type de 1 705 FCFA (CV de 23,1%) traduit une dispersion modérée du cours autour de sa moyenne, tandis que le kurtosis de -1,080 (distribution platykurtique) signale une faible concentration des rendements et un risque de pics extrêmes limité. Avec une volatilité annualisée de 42,7%, le titre se classe dans la catégorie des valeurs à volatilité élevée (&gt;30%), ce qui est cohérent avec son statut de valeur de croissance très recherchée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(9 308 FCFA) et la MM50 (8 861 FCFA) se situent toutes deux au-dessus du cours actuel (8 520 FCFA), ce qui place le titre en position baissière à court terme malgré la décision automatique d'« Achat » générée par le croisement haussier des moyennes entre elles. Le cours évoluant sous ses deux moyennes, la pression vendeuse domine actuellement et un retour au-dessus de la MM50 (8 861 FCFA) serait nécessaire pour confirmer une reprise.</w:t>
      </w:r>
    </w:p>
    <w:p>
      <w:pPr>
        <w:spacing w:after="120" w:line="276" w:lineRule="auto"/>
      </w:pPr>
      <w:r>
        <w:t>**Bandes de Bollinger** : Le cours (8 520 FCFA) se situe dans la partie basse du canal, entre la borne inférieure (7 493,6 FCFA) et la borne supérieure (11 122,4 FCFA), la décision étant « Neutre ». L'écart important entre les bornes (environ 3 629 FCFA) confirme une volatilité élevée, et la position du cours à mi-chemin basse suggère une absence de signal directionnel fort à court terme.</w:t>
      </w:r>
    </w:p>
    <w:p>
      <w:pPr>
        <w:spacing w:after="120" w:line="276" w:lineRule="auto"/>
      </w:pPr>
      <w:r>
        <w:t>**MACD** : La valeur du MACD (-167,023) est nettement inférieure à son signal (-37,077), avec un histogramme négatif et creusé, ce qui confirme un momentum baissier en cours et justifie la décision de « Vente ». Cette configuration indique que la dynamique haussière des mois précédents s'est essoufflée et que la correction pourrait se poursuivre à court terme.</w:t>
      </w:r>
    </w:p>
    <w:p>
      <w:pPr>
        <w:spacing w:after="120" w:line="276" w:lineRule="auto"/>
      </w:pPr>
      <w:r>
        <w:t>**RSI** : À 26,033, le RSI se situe en zone de survente (&lt;30), ce qui déclenche une décision d'« Achat » selon la lecture classique. Ce niveau extrême suggère que le titre est techniquement survendu et qu'un rebond technique est probable à court terme, même si la tendance de fond reste fragile.</w:t>
      </w:r>
    </w:p>
    <w:p>
      <w:pPr>
        <w:spacing w:after="120" w:line="276" w:lineRule="auto"/>
      </w:pPr>
      <w:r>
        <w:t>**Stochastique** : Le %K (27,397) et le %D (27,593) évoluent tous deux en zone basse, proches l'un de l'autre sans croisement significatif, avec une décision « Neutre ». Cette configuration confirme la survente sans signal de retournement clair, le croisement du %K au-dessus du %D étant attendu pour valider un rebond.</w:t>
      </w:r>
    </w:p>
    <w:p>
      <w:pPr>
        <w:spacing w:after="120" w:line="276" w:lineRule="auto"/>
      </w:pPr>
      <w:r>
        <w:t>**Conclusion technique** : Les indicateurs présentent un tableau contrasté : le MACD confirme la correction en cours (vente), tandis que le RSI en survente et le stochastique en zone basse plaident pour un rebond technique imminent (achat). Les moyennes mobiles et les bandes de Bollinger maintiennent une lecture neutre à baissière. La convergence des signaux de survente suggère qu'un point d'entrée tactique pourrait se former autour de 8 500 FCFA, mais la confirmation d'un retournement nécessitera un franchissement de la MM50 (8 861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IFRS audités de l'exercice 2025 (publiés le 12 juin 2026) établissent un Produit Net Bancaire de 52,805 milliards FCFA, en croissance de +16,5% sur un an, et un résultat net de 36,237 milliards FCFA (+24,7%), avec un ROE remarquable de 26,82% et un ROA de 1,96%. Le coefficient d'exploitation de 31,12% place la BICB parmi les banques les plus efficaces de la zone UEMOA (seuil d'excellence &lt;50%), tandis que le coût du risque rapporté aux charges financières (9,61%) reste contenu, bien qu'en légère dégradation. La structure bilancielle affiche des créances clientèle de 1 151,5 milliards FCFA (+37,3%) pour des dépôts de 1 181,0 milliards FCFA (+29,4%), soit un ratio crédits/dépôts de 97,5% — un niveau tendu qui signale une transformation agressive et une dépendance accrue aux refinancements interbancaires (465,2 milliards FCFA de dettes interbancaires). Le rapport du S1 2026 (publié en septembre 2026) confirme la dynamique avec un PNB de 31,882 milliards FCFA (+19%) et un RBE de 22,910 milliards FCFA (+31%), mais un résultat net de 18,368 milliards FCFA (+11% seulement) et un résultat avant impôt en repli de -3% à 19,331 milliards FCFA, sous l'effet du retournement du coût du risque (-3,579 milliards FCFA contre +2,376 milliards FCFA au S1 2025). Le rapport T1 2026 (publié en 2026) affiche quant à lui un résultat net de 8,0 milliards FCFA (+48%) et un PNB de 14,6 milliards FCFA (+35%), ce qui, extrapolé, laisse entrevoir un exercice 2026 en croissance à deux chiffres, avec un PNB annuel estimé autour de 60-62 milliards FCFA et un résultat net potentiel de 38-40 milliards FCFA si la trajectoire se maintient. La solvabilité (19,64% vs 11,5% réglementaire) et la notation sans réserve des commissaires aux comptes renforcent la solidité du dossier, mais les points d'audit relatifs au risque de crédit (portefeuille de 1 461 milliards FCFA exposé) et aux faiblesses du système d'information pour le déclassement automatique des créances constituent des vigilances à surveiller. La recommandation fondamentale est donc celle d'une valeur de qualité, leader de son marché, dont la rentabilité reste excellente malgré une normalisation du coût du risque qui pèsera sur la croissance des bénéfices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avec un PER de 13,6x légèrement supérieur à la moyenne BRVM mais justifié par un ROE de 26,8%, tandis que le P/B de 3,64x et l'EV/EBITDA de 24,1x intègrent déjà une prime de croissance significative, limitant le potentiel de revalorisation à court terme. Le comportement du cours (Partie 1) révèle une tendance haussière de fond (+63,85% sur 100 jours) mais une correction récente de -21% depuis le sommet, avec une volatilité élevée (42,7%) et une distribution platykurtique sans risque de pic extrême, ce qui est plutôt rassurant. Les signaux techniques (Partie 2) sont divergents : le MACD confirme la correction (vente), mais le RSI en survente (26,0) et le stochastique en zone basse plaident pour un rebond technique imminent, la décision globale étant neutre à légèrement baissière à court terme. Les fondamentaux (Partie 3) demeurent solides : PNB 2025 de 52,8 milliards FCFA, résultat net de 36,2 milliards FCFA, ROE de 26,8%, coefficient d'exploitation de 31,1%, et les rapports T1 2026 (+48% de résultat net) et S1 2026 (+19% de PNB) confirment la poursuite de la dynamique, même si la normalisation du coût du risque pèsera sur la croissance des bénéfices. Les prédictions IA (J+1 à J+10) anticipent une trajectoire haussière de 8 945 FCFA à 9 162 FCFA (+7,5% sur 10 jours), ce qui confirme le rebond technique attendu et contredit la lecture baissière du MACD. Sur la base de cette synthèse globale, la recommandation finale est **CONSERVER**, avec un biais haussier tactique pour les investisseurs déjà positionnés. La convergence entre la survente technique, la solidité fondamentale et les prédictions haussières justifie cette position, mais la prime de valorisation élevée (EV/EBITDA de 24,1x) et la tension sur la liquidité (ratio crédits/dépôts de 97,5%) incitent à la prudence. Le niveau de confiance est **Moyen** et le niveau de risque global **Moyen à Élevé**, en raison de la volatilité du titre et des incertitudes sur la normalisation du coût du risque. L'horizon d'investissement optimal est le **moyen terme (3-12 mois)**, le temps que la banque démontre sa capacité à maintenir sa rentabilité tout en assainissant son portefeuille de crédits, avec un objectif de cours à 9 500-10 000 FCFA si les résultats 2026 confirment les tendances du T1 et du S1.</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524.17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686 titres</w:t>
            </w:r>
          </w:p>
        </w:tc>
        <w:tc>
          <w:tcPr>
            <w:tcW w:type="dxa" w:w="2268"/>
            <w:shd w:fill="FFF2CC" w:val="clear"/>
          </w:tcPr>
          <w:p>
            <w:r>
              <w:rPr>
                <w:b/>
                <w:color w:val="503200"/>
                <w:sz w:val="16"/>
              </w:rPr>
              <w:t xml:space="preserve">Cours actuel : </w:t>
            </w:r>
            <w:r>
              <w:rPr>
                <w:color w:val="000000"/>
                <w:sz w:val="17"/>
              </w:rPr>
              <w:t>31,450 FCFA</w:t>
            </w:r>
          </w:p>
          <w:p>
            <w:r>
              <w:rPr>
                <w:b/>
                <w:color w:val="503200"/>
                <w:sz w:val="16"/>
              </w:rPr>
              <w:t xml:space="preserve">Var. 100 jours : </w:t>
            </w:r>
            <w:r>
              <w:rPr>
                <w:b/>
                <w:color w:val="007800"/>
                <w:sz w:val="17"/>
              </w:rPr>
              <w:t>+18.90%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26,450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μ=29,470 FCFA, σ=1,844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β=1.0680 (Neutre (suit le marché)) — Cov=0.000079, Var(idx)=0.000074, ρ=0.395,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29,693</w:t>
            </w:r>
          </w:p>
        </w:tc>
        <w:tc>
          <w:tcPr>
            <w:tcW w:type="dxa" w:w="1440"/>
            <w:shd w:fill="FAFAFA" w:val="clear"/>
          </w:tcPr>
          <w:p>
            <w:r>
              <w:rPr>
                <w:b/>
                <w:sz w:val="17"/>
              </w:rPr>
              <w:t>31,500</w:t>
            </w:r>
          </w:p>
        </w:tc>
        <w:tc>
          <w:tcPr>
            <w:tcW w:type="dxa" w:w="1440"/>
            <w:shd w:fill="FAFAFA" w:val="clear"/>
          </w:tcPr>
          <w:p>
            <w:r>
              <w:rPr>
                <w:sz w:val="17"/>
              </w:rPr>
              <w:t>33,307</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28,902</w:t>
            </w:r>
          </w:p>
        </w:tc>
        <w:tc>
          <w:tcPr>
            <w:tcW w:type="dxa" w:w="1440"/>
            <w:shd w:fill="FAFAFA" w:val="clear"/>
          </w:tcPr>
          <w:p>
            <w:r>
              <w:rPr>
                <w:b/>
                <w:sz w:val="17"/>
              </w:rPr>
              <w:t>31,454</w:t>
            </w:r>
          </w:p>
        </w:tc>
        <w:tc>
          <w:tcPr>
            <w:tcW w:type="dxa" w:w="1440"/>
            <w:shd w:fill="FAFAFA" w:val="clear"/>
          </w:tcPr>
          <w:p>
            <w:r>
              <w:rPr>
                <w:sz w:val="17"/>
              </w:rPr>
              <w:t>34,006</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28,284</w:t>
            </w:r>
          </w:p>
        </w:tc>
        <w:tc>
          <w:tcPr>
            <w:tcW w:type="dxa" w:w="1440"/>
            <w:shd w:fill="FAFAFA" w:val="clear"/>
          </w:tcPr>
          <w:p>
            <w:r>
              <w:rPr>
                <w:b/>
                <w:sz w:val="17"/>
              </w:rPr>
              <w:t>31,405</w:t>
            </w:r>
          </w:p>
        </w:tc>
        <w:tc>
          <w:tcPr>
            <w:tcW w:type="dxa" w:w="1440"/>
            <w:shd w:fill="FAFAFA" w:val="clear"/>
          </w:tcPr>
          <w:p>
            <w:r>
              <w:rPr>
                <w:sz w:val="17"/>
              </w:rPr>
              <w:t>34,525</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27,752</w:t>
            </w:r>
          </w:p>
        </w:tc>
        <w:tc>
          <w:tcPr>
            <w:tcW w:type="dxa" w:w="1440"/>
            <w:shd w:fill="FAFAFA" w:val="clear"/>
          </w:tcPr>
          <w:p>
            <w:r>
              <w:rPr>
                <w:b/>
                <w:sz w:val="17"/>
              </w:rPr>
              <w:t>31,349</w:t>
            </w:r>
          </w:p>
        </w:tc>
        <w:tc>
          <w:tcPr>
            <w:tcW w:type="dxa" w:w="1440"/>
            <w:shd w:fill="FAFAFA" w:val="clear"/>
          </w:tcPr>
          <w:p>
            <w:r>
              <w:rPr>
                <w:sz w:val="17"/>
              </w:rPr>
              <w:t>34,946</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27,279</w:t>
            </w:r>
          </w:p>
        </w:tc>
        <w:tc>
          <w:tcPr>
            <w:tcW w:type="dxa" w:w="1440"/>
            <w:shd w:fill="FAFAFA" w:val="clear"/>
          </w:tcPr>
          <w:p>
            <w:r>
              <w:rPr>
                <w:b/>
                <w:sz w:val="17"/>
              </w:rPr>
              <w:t>31,293</w:t>
            </w:r>
          </w:p>
        </w:tc>
        <w:tc>
          <w:tcPr>
            <w:tcW w:type="dxa" w:w="1440"/>
            <w:shd w:fill="FAFAFA" w:val="clear"/>
          </w:tcPr>
          <w:p>
            <w:r>
              <w:rPr>
                <w:sz w:val="17"/>
              </w:rPr>
              <w:t>35,307</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26,848</w:t>
            </w:r>
          </w:p>
        </w:tc>
        <w:tc>
          <w:tcPr>
            <w:tcW w:type="dxa" w:w="1440"/>
            <w:shd w:fill="FAFAFA" w:val="clear"/>
          </w:tcPr>
          <w:p>
            <w:r>
              <w:rPr>
                <w:b/>
                <w:sz w:val="17"/>
              </w:rPr>
              <w:t>31,238</w:t>
            </w:r>
          </w:p>
        </w:tc>
        <w:tc>
          <w:tcPr>
            <w:tcW w:type="dxa" w:w="1440"/>
            <w:shd w:fill="FAFAFA" w:val="clear"/>
          </w:tcPr>
          <w:p>
            <w:r>
              <w:rPr>
                <w:sz w:val="17"/>
              </w:rPr>
              <w:t>35,628</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26,451</w:t>
            </w:r>
          </w:p>
        </w:tc>
        <w:tc>
          <w:tcPr>
            <w:tcW w:type="dxa" w:w="1440"/>
            <w:shd w:fill="FAFAFA" w:val="clear"/>
          </w:tcPr>
          <w:p>
            <w:r>
              <w:rPr>
                <w:b/>
                <w:sz w:val="17"/>
              </w:rPr>
              <w:t>31,185</w:t>
            </w:r>
          </w:p>
        </w:tc>
        <w:tc>
          <w:tcPr>
            <w:tcW w:type="dxa" w:w="1440"/>
            <w:shd w:fill="FAFAFA" w:val="clear"/>
          </w:tcPr>
          <w:p>
            <w:r>
              <w:rPr>
                <w:sz w:val="17"/>
              </w:rPr>
              <w:t>35,918</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26,081</w:t>
            </w:r>
          </w:p>
        </w:tc>
        <w:tc>
          <w:tcPr>
            <w:tcW w:type="dxa" w:w="1440"/>
            <w:shd w:fill="FAFAFA" w:val="clear"/>
          </w:tcPr>
          <w:p>
            <w:r>
              <w:rPr>
                <w:b/>
                <w:sz w:val="17"/>
              </w:rPr>
              <w:t>31,133</w:t>
            </w:r>
          </w:p>
        </w:tc>
        <w:tc>
          <w:tcPr>
            <w:tcW w:type="dxa" w:w="1440"/>
            <w:shd w:fill="FAFAFA" w:val="clear"/>
          </w:tcPr>
          <w:p>
            <w:r>
              <w:rPr>
                <w:sz w:val="17"/>
              </w:rPr>
              <w:t>36,185</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25,734</w:t>
            </w:r>
          </w:p>
        </w:tc>
        <w:tc>
          <w:tcPr>
            <w:tcW w:type="dxa" w:w="1440"/>
            <w:shd w:fill="FAFAFA" w:val="clear"/>
          </w:tcPr>
          <w:p>
            <w:r>
              <w:rPr>
                <w:b/>
                <w:sz w:val="17"/>
              </w:rPr>
              <w:t>31,083</w:t>
            </w:r>
          </w:p>
        </w:tc>
        <w:tc>
          <w:tcPr>
            <w:tcW w:type="dxa" w:w="1440"/>
            <w:shd w:fill="FAFAFA" w:val="clear"/>
          </w:tcPr>
          <w:p>
            <w:r>
              <w:rPr>
                <w:sz w:val="17"/>
              </w:rPr>
              <w:t>36,433</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25,404</w:t>
            </w:r>
          </w:p>
        </w:tc>
        <w:tc>
          <w:tcPr>
            <w:tcW w:type="dxa" w:w="1440"/>
            <w:shd w:fill="FAFAFA" w:val="clear"/>
          </w:tcPr>
          <w:p>
            <w:r>
              <w:rPr>
                <w:b/>
                <w:sz w:val="17"/>
              </w:rPr>
              <w:t>31,035</w:t>
            </w:r>
          </w:p>
        </w:tc>
        <w:tc>
          <w:tcPr>
            <w:tcW w:type="dxa" w:w="1440"/>
            <w:shd w:fill="FAFAFA" w:val="clear"/>
          </w:tcPr>
          <w:p>
            <w:r>
              <w:rPr>
                <w:sz w:val="17"/>
              </w:rPr>
              <w:t>36,665</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524,17 milliards FCFA, BICC s'impose comme l'une des plus importantes capitalisations du compartiment bancaire de la BRVM, témoignant de sa stature de valeur de premier plan au sein de la cote régionale. Le Bénéfice Par Action (BPA) s'établit à 2 191 FCFA/action, ce qui signifie que chaque titre détenu génère près de 2 200 FCFA de bénéfice net, un niveau de rentabilité par action particulièrement élevé pour le marché ouest-africain. Le PER de 14,4x traduit une valorisation modérée mais légèrement supérieure à la moyenne historique de la BRVM (8-12x), les investisseurs acceptant de payer une prime pour la qualité de la signature BICICI (Groupe BNP Paribas) et sa croissance à deux chiffres. Le P/B de 4,35x, nettement supérieur à 4x, indique que le marché valorise l'action bien au-dessus de sa valeur comptable, ce qui est justifié par un ROE exceptionnel de 30,29% mais constitue un facteur de vigilance en cas de correction. Enfin, l'EV/EBITDA de 10,3x, dans la fourchette 10-15x, suggère une valorisation élevée de la capacité opérationnelle, cohérente avec la prime de qualité mais laissant peu de marge d'erreur en cas de dégradation des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progression remarquable de +18,90%, bien que la dernière séance (J-1) enregistre un léger repli de -0,16%, signalant une pause dans l'élan haussier. Le cours actuel de 31 450 FCFA se situe dans la partie haute du range de trading établi entre un plus bas de 26 450 FCFA et un plus haut de 34 895 FCFA, ce qui confirme une tendance générale haussière soutenue par des fondamentaux solides. L'analyse des statistiques descriptives révèle une moyenne de 29 470 FCFA supérieure à la médiane de 28 985 FCFA, avec un mode à 29 000 FCFA, indiquant une distribution légèrement asymétrique où les prix élevés tirent la moyenne vers le haut. L'écart-type de 1 853 FCFA et le coefficient de variation de 6,3% traduisent une dispersion modérée du cours autour de sa moyenne, reflétant une certaine stabilité relative. Le kurtosis de 0,361 (mésokurtique) suggère une distribution proche de la normale, sans risque excessif de pics extrêmes, tandis que le skewness de 1,018 (asymétrie positive) indique que les journées sous la moyenne sont plus fréquentes mais compensées par des hausses plus amples. La volatilité annualisée de 36,5% positionne le titre dans la catégorie des valeurs à volatilité élevée (&gt;30%), ce qui est cohérent avec le profil de croissance du titre mais exige une tolérance au risque significative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(31 956,25 FCFA) et la MM50 (30 711,80 FCFA) se situent toutes deux au-dessus du cours actuel (31 450 FCFA), avec la MM20 en position supérieure à la MM50, configuration classique de tendance haussière. Le cours évoluant légèrement sous la MM20 mais au-dessus de la MM50, la décision technique est à l'**Achat**, le titre restant soutenu par sa moyenne longue terme.</w:t>
      </w:r>
    </w:p>
    <w:p>
      <w:pPr>
        <w:spacing w:after="120" w:line="276" w:lineRule="auto"/>
      </w:pPr>
      <w:r>
        <w:t>**Bandes de Bollinger** : Le cours actuel (31 450 FCFA) se situe dans la partie médiane de la bande, entre la borne inférieure (29 640,70 FCFA) et la borne supérieure (34 271,80 FCFA), sans contact avec les extrêmes. Cette position centrale, couplée à un rétrécissement des bandes, indique une phase de consolidation avec une volatilité en compression, justifiant la décision **Neutre**.</w:t>
      </w:r>
    </w:p>
    <w:p>
      <w:pPr>
        <w:spacing w:after="120" w:line="276" w:lineRule="auto"/>
      </w:pPr>
      <w:r>
        <w:t>**MACD** : La valeur du MACD (283,258) est inférieure à son signal (450,881), générant un croisement baissier qui traduit un essoufflement du momentum haussier. Cette divergence négative, bien que modérée, incite à la prudence et justifie la décision de **Vente** à court terme.</w:t>
      </w:r>
    </w:p>
    <w:p>
      <w:pPr>
        <w:spacing w:after="120" w:line="276" w:lineRule="auto"/>
      </w:pPr>
      <w:r>
        <w:t>**RSI** : À 50,718, le RSI se situe parfaitement dans la zone neutre (30-70), sans signal de surachat (&gt;70) ni de survente (&lt;30). Cette position médiane indique un équilibre entre acheteurs et vendeurs, justifiant la décision **Neutre** et l'absence de signal directionnel fort.</w:t>
      </w:r>
    </w:p>
    <w:p>
      <w:pPr>
        <w:spacing w:after="120" w:line="276" w:lineRule="auto"/>
      </w:pPr>
      <w:r>
        <w:t>**Stochastique** : Le %K (33,107) et le %D (34,401) évoluent tous deux dans la zone basse (proche de 20-30), avec un %K légèrement inférieur au %D, suggérant une pression vendeuse résiduelle mais sans signal de survente extrême. La décision est **Neutre**, le croisement n'étant pas encore confirmé.</w:t>
      </w:r>
    </w:p>
    <w:p>
      <w:pPr>
        <w:spacing w:after="120" w:line="276" w:lineRule="auto"/>
      </w:pPr>
      <w:r>
        <w:t>**Conclusion technique** : Les indicateurs techniques présentent un tableau mitigé, avec une structure de fond haussière (MM20 &gt; MM50 &gt; cours) mais des signaux de momentum affaiblis (MACD baissier, RSI neutre, Stochastique bas). Le titre se trouve dans une phase de consolidation après sa forte progression de +18,90%, et la convergence des signaux neutres suggère une attente de catalyseur avant une nouvelle impulsion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BICICI affiche un Produit Net Bancaire (PNB, équivalent du chiffre d'affaires pour une banque) de 79,563 milliards FCFA, en croissance de 16,90% par rapport à 2024, confirmant la dynamique commerciale robuste de l'établissement. Le résultat net s'élève à 36,520 milliards FCFA, avec une marge nette exceptionnelle de 45,90% (résultat net/PNB), un niveau parmi les plus élevés du secteur bancaire de l'UEMOA. Le ROE (rentabilité des fonds propres) atteint 30,29%, largement supérieur au seuil d'excellence de 15%, tandis que le ROA (rentabilité des actifs) s'établit à 3,24%, reflétant une utilisation efficace du bilan de 1 126,27 milliards FCFA. Le coefficient d'exploitation de 50,83% (charges/PNB) est inférieur au seuil de 60%, confirmant l'efficacité opérationnelle de la banque, et le coût du risque de -12,15% (provisions/charges financières) indique un portefeuille de crédits de qualité. La structure financière affiche une autonomie financière de 10,71% (capitaux propres/total bilan), typique du modèle bancaire, avec une solvabilité générale de 111,99% (actif/dettes) et une capacité de remboursement de 0,40 an (dettes financières/CAF), traduisant une excellente couverture de la dette.</w:t>
      </w:r>
    </w:p>
    <w:p>
      <w:pPr>
        <w:spacing w:after="120" w:line="276" w:lineRule="auto"/>
      </w:pPr>
      <w:r>
        <w:t>**Adaptation au secteur bancaire** : Le ratio dépôts/crédits s'établit à 181,7% (952,87 Mds FCFA de dépôts clientèle contre 524,44 Mds FCFA de créances clientèle), ce qui signifie que la banque dispose d'une base de dépôts largement excédentaire par rapport à ses crédits, lui conférant une liquidité abondante et une capacité de financement future importante. Les créances interbancaires (26,92 Mds FCFA) et les dettes interbancaires (16,94 Mds FCFA) sont maîtrisées, la banque étant positionnée en prêteur net sur le marché interbancaire. Le portefeuille de titres d'État (408,17 Mds FCFA) représente une part significative de l'actif, exposant la banque au risque souverain mais offrant des revenus réguliers.</w:t>
      </w:r>
    </w:p>
    <w:p>
      <w:pPr>
        <w:spacing w:after="120" w:line="276" w:lineRule="auto"/>
      </w:pPr>
      <w:r>
        <w:t>**Estimations basées sur les rapports trimestriels** : Sur la base du rapport du 1er trimestre 2026 (daté du 31 mars 2026), le PNB progresse de +17,01% à 21 214 MFCFA et le résultat net bondit de +29,66% à 10 387 MFCFA, avec une marge nette en amélioration à 49,0% (contre 44,2% au T1 2025). Le rapport du 3e trimestre 2025 (daté du 30 septembre 2025) confirme cette tendance avec un PNB cumulé de 58 119 MFCFA (+16,4%) et un résultat net de 27 402 MFCFA (+50,8%), la marge nette atteignant 47,1%. Le rapport du 1er semestre 2025 (daté du 30 juin 2025) affichait déjà un PNB de 37 146 MFCFA (+16,6%) et un résultat net de 16 253 MFCFA (+42,5%). On estime donc que l'exercice 2026 devrait enregistrer un PNB supérieur à 90 milliards FCFA et un résultat net dépassant 40 milliards FCFA, prolongeant la trajectoire de croissance à deux chiffres. Les rapports plus anciens (T3 2024, exercice 2024, T1 2025) confirment la constance de cette performance, avec un ROE de 28,6% en 2024 et une marge nette de 38,5%.</w:t>
      </w:r>
    </w:p>
    <w:p>
      <w:pPr>
        <w:spacing w:after="120" w:line="276" w:lineRule="auto"/>
      </w:pPr>
      <w:r>
        <w:t>**Recommandation fondamentale** : La solidité financière de BICICI est exceptionnelle, portée par une croissance durable du PNB, une rentabilité record (ROE &gt;30%), un coefficient d'exploitation maîtrisé et une qualité de portefeuille préservée. Les principaux risques identifiés sont la baisse des encours de crédits (-4,5% au T1 2026) due aux remboursements anticipés, la dépendance à l'environnement macroéconomique de l'UEMOA et la concentration du portefeuille sur les titres souverains. Néanmoins, la dynamique commerciale, la confiance de la clientèle (dépôts +14,5%) et la gestion rigoureuse des risques positionnent BICICI comme une valeur de qualité fondamentale, justifiant une recommandation d'**ACHAT** sur le plan fondamental.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tableau nuancé mais globalement favorable. Sur le plan de la **valorisation (Partie 0)**, le PER de 14,4x et le P/B de 4,35x indiquent une légère surévaluation par rapport aux moyennes du marché, mais cette prime est justifiée par un ROE de 30,29% et une croissance à deux chiffres, l'EV/EBITDA de 10,3x restant dans une fourchette acceptable. Le **comportement du cours (Partie 1)** est haussier (+18,90% sur 100 jours) avec une volatilité élevée (36,5%) et une asymétrie positive (skewness 1,018), ce qui est favorable pour un investisseur recherchant de la performance mais exige une tolérance au risque. Les **signaux techniques (Partie 2)** sont mitigés : la structure MM20 &gt; MM50 &gt; cours est haussière, mais le MACD baissier et les indicateurs neutres (RSI, Stochastique, Bollinger) suggèrent une consolidation avant une nouvelle impulsion. Les **fondamentaux (Partie 3)** sont excellents, avec un PNB de 79,56 Mds FCFA en 2025, un résultat net de 36,52 Mds FCFA, un ROE de 30,29% et une marge nette de 45,90%, les rapports trimestriels (T1 2026, T3 2025) confirmant la poursuite de cette dynamique. Les **prédictions IA (J+1 à J+10)** anticipent une légère érosion du cours de 31 500 FCFA à 31 293 FCFA, soit une baisse de -0,66% sur 10 jours, ce qui contredit partiellement les signaux haussiers de fond mais confirme la phase de consolidation technique actuelle.</w:t>
      </w:r>
    </w:p>
    <w:p>
      <w:pPr>
        <w:spacing w:after="120" w:line="276" w:lineRule="auto"/>
      </w:pPr>
      <w:r>
        <w:t>**Recommandation finale** : **ACHAT** — La convergence entre des fondamentaux exceptionnels (croissance du PNB, rentabilité record, solidité du bilan) et une valorisation modérée (PER 14,4x) justifie une position acheteuse, malgré les signaux techniques à court terme qui plaident pour une consolidation. La divergence entre les prédictions IA (légère baisse) et les fondamentaux (croissance soutenue) crée une opportunité d'entrée sur repli pour les investisseurs de moyen terme. Le niveau de confiance est **Élevé** sur le plan fondamental, mais **Moyen** sur le plan technique à court terme. Le risque global est **Moyen**, la volatilité élevée (36,5%) et la prime de valorisation (P/B 4,35x) constituant les principaux facteurs de vigilance. L'horizon d'investissement optimal est le **moyen terme (3-12 mois)**, le temps que la consolidation technique s'achève et que les fondamentaux solides se traduisent pleinement dans le cours.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2,933 titres</w:t>
            </w:r>
          </w:p>
        </w:tc>
        <w:tc>
          <w:tcPr>
            <w:tcW w:type="dxa" w:w="2268"/>
            <w:shd w:fill="FFF2CC" w:val="clear"/>
          </w:tcPr>
          <w:p>
            <w:r>
              <w:rPr>
                <w:b/>
                <w:color w:val="503200"/>
                <w:sz w:val="16"/>
              </w:rPr>
              <w:t xml:space="preserve">Cours actuel : </w:t>
            </w:r>
            <w:r>
              <w:rPr>
                <w:color w:val="000000"/>
                <w:sz w:val="17"/>
              </w:rPr>
              <w:t>1,905 FCFA</w:t>
            </w:r>
          </w:p>
          <w:p>
            <w:r>
              <w:rPr>
                <w:b/>
                <w:color w:val="503200"/>
                <w:sz w:val="16"/>
              </w:rPr>
              <w:t xml:space="preserve">Var. 100 jours : </w:t>
            </w:r>
            <w:r>
              <w:rPr>
                <w:b/>
                <w:color w:val="007800"/>
                <w:sz w:val="17"/>
              </w:rPr>
              <w:t>+23.30%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9.81% (Moyenne) — μ=1,925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β=0.4942 (Défensif) — Cov=0.000036, Var(idx)=0.000074,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1,794</w:t>
            </w:r>
          </w:p>
        </w:tc>
        <w:tc>
          <w:tcPr>
            <w:tcW w:type="dxa" w:w="1440"/>
            <w:shd w:fill="FAFAFA" w:val="clear"/>
          </w:tcPr>
          <w:p>
            <w:r>
              <w:rPr>
                <w:b/>
                <w:sz w:val="17"/>
              </w:rPr>
              <w:t>1,917</w:t>
            </w:r>
          </w:p>
        </w:tc>
        <w:tc>
          <w:tcPr>
            <w:tcW w:type="dxa" w:w="1440"/>
            <w:shd w:fill="FAFAFA" w:val="clear"/>
          </w:tcPr>
          <w:p>
            <w:r>
              <w:rPr>
                <w:sz w:val="17"/>
              </w:rPr>
              <w:t>2,040</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1,736</w:t>
            </w:r>
          </w:p>
        </w:tc>
        <w:tc>
          <w:tcPr>
            <w:tcW w:type="dxa" w:w="1440"/>
            <w:shd w:fill="FAFAFA" w:val="clear"/>
          </w:tcPr>
          <w:p>
            <w:r>
              <w:rPr>
                <w:b/>
                <w:sz w:val="17"/>
              </w:rPr>
              <w:t>1,909</w:t>
            </w:r>
          </w:p>
        </w:tc>
        <w:tc>
          <w:tcPr>
            <w:tcW w:type="dxa" w:w="1440"/>
            <w:shd w:fill="FAFAFA" w:val="clear"/>
          </w:tcPr>
          <w:p>
            <w:r>
              <w:rPr>
                <w:sz w:val="17"/>
              </w:rPr>
              <w:t>2,082</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1,693</w:t>
            </w:r>
          </w:p>
        </w:tc>
        <w:tc>
          <w:tcPr>
            <w:tcW w:type="dxa" w:w="1440"/>
            <w:shd w:fill="FAFAFA" w:val="clear"/>
          </w:tcPr>
          <w:p>
            <w:r>
              <w:rPr>
                <w:b/>
                <w:sz w:val="17"/>
              </w:rPr>
              <w:t>1,905</w:t>
            </w:r>
          </w:p>
        </w:tc>
        <w:tc>
          <w:tcPr>
            <w:tcW w:type="dxa" w:w="1440"/>
            <w:shd w:fill="FAFAFA" w:val="clear"/>
          </w:tcPr>
          <w:p>
            <w:r>
              <w:rPr>
                <w:sz w:val="17"/>
              </w:rPr>
              <w:t>2,116</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1,658</w:t>
            </w:r>
          </w:p>
        </w:tc>
        <w:tc>
          <w:tcPr>
            <w:tcW w:type="dxa" w:w="1440"/>
            <w:shd w:fill="FAFAFA" w:val="clear"/>
          </w:tcPr>
          <w:p>
            <w:r>
              <w:rPr>
                <w:b/>
                <w:sz w:val="17"/>
              </w:rPr>
              <w:t>1,901</w:t>
            </w:r>
          </w:p>
        </w:tc>
        <w:tc>
          <w:tcPr>
            <w:tcW w:type="dxa" w:w="1440"/>
            <w:shd w:fill="FAFAFA" w:val="clear"/>
          </w:tcPr>
          <w:p>
            <w:r>
              <w:rPr>
                <w:sz w:val="17"/>
              </w:rPr>
              <w:t>2,145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1,627</w:t>
            </w:r>
          </w:p>
        </w:tc>
        <w:tc>
          <w:tcPr>
            <w:tcW w:type="dxa" w:w="1440"/>
            <w:shd w:fill="FAFAFA" w:val="clear"/>
          </w:tcPr>
          <w:p>
            <w:r>
              <w:rPr>
                <w:b/>
                <w:sz w:val="17"/>
              </w:rPr>
              <w:t>1,898</w:t>
            </w:r>
          </w:p>
        </w:tc>
        <w:tc>
          <w:tcPr>
            <w:tcW w:type="dxa" w:w="1440"/>
            <w:shd w:fill="FAFAFA" w:val="clear"/>
          </w:tcPr>
          <w:p>
            <w:r>
              <w:rPr>
                <w:sz w:val="17"/>
              </w:rPr>
              <w:t>2,170</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1,598</w:t>
            </w:r>
          </w:p>
        </w:tc>
        <w:tc>
          <w:tcPr>
            <w:tcW w:type="dxa" w:w="1440"/>
            <w:shd w:fill="FAFAFA" w:val="clear"/>
          </w:tcPr>
          <w:p>
            <w:r>
              <w:rPr>
                <w:b/>
                <w:sz w:val="17"/>
              </w:rPr>
              <w:t>1,896</w:t>
            </w:r>
          </w:p>
        </w:tc>
        <w:tc>
          <w:tcPr>
            <w:tcW w:type="dxa" w:w="1440"/>
            <w:shd w:fill="FAFAFA" w:val="clear"/>
          </w:tcPr>
          <w:p>
            <w:r>
              <w:rPr>
                <w:sz w:val="17"/>
              </w:rPr>
              <w:t>2,193</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1,572</w:t>
            </w:r>
          </w:p>
        </w:tc>
        <w:tc>
          <w:tcPr>
            <w:tcW w:type="dxa" w:w="1440"/>
            <w:shd w:fill="FAFAFA" w:val="clear"/>
          </w:tcPr>
          <w:p>
            <w:r>
              <w:rPr>
                <w:b/>
                <w:sz w:val="17"/>
              </w:rPr>
              <w:t>1,893</w:t>
            </w:r>
          </w:p>
        </w:tc>
        <w:tc>
          <w:tcPr>
            <w:tcW w:type="dxa" w:w="1440"/>
            <w:shd w:fill="FAFAFA" w:val="clear"/>
          </w:tcPr>
          <w:p>
            <w:r>
              <w:rPr>
                <w:sz w:val="17"/>
              </w:rPr>
              <w:t>2,213</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1,548</w:t>
            </w:r>
          </w:p>
        </w:tc>
        <w:tc>
          <w:tcPr>
            <w:tcW w:type="dxa" w:w="1440"/>
            <w:shd w:fill="FAFAFA" w:val="clear"/>
          </w:tcPr>
          <w:p>
            <w:r>
              <w:rPr>
                <w:b/>
                <w:sz w:val="17"/>
              </w:rPr>
              <w:t>1,890</w:t>
            </w:r>
          </w:p>
        </w:tc>
        <w:tc>
          <w:tcPr>
            <w:tcW w:type="dxa" w:w="1440"/>
            <w:shd w:fill="FAFAFA" w:val="clear"/>
          </w:tcPr>
          <w:p>
            <w:r>
              <w:rPr>
                <w:sz w:val="17"/>
              </w:rPr>
              <w:t>2,232</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1,525</w:t>
            </w:r>
          </w:p>
        </w:tc>
        <w:tc>
          <w:tcPr>
            <w:tcW w:type="dxa" w:w="1440"/>
            <w:shd w:fill="FAFAFA" w:val="clear"/>
          </w:tcPr>
          <w:p>
            <w:r>
              <w:rPr>
                <w:b/>
                <w:sz w:val="17"/>
              </w:rPr>
              <w:t>1,888</w:t>
            </w:r>
          </w:p>
        </w:tc>
        <w:tc>
          <w:tcPr>
            <w:tcW w:type="dxa" w:w="1440"/>
            <w:shd w:fill="FAFAFA" w:val="clear"/>
          </w:tcPr>
          <w:p>
            <w:r>
              <w:rPr>
                <w:sz w:val="17"/>
              </w:rPr>
              <w:t>2,250</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1,504</w:t>
            </w:r>
          </w:p>
        </w:tc>
        <w:tc>
          <w:tcPr>
            <w:tcW w:type="dxa" w:w="1440"/>
            <w:shd w:fill="FAFAFA" w:val="clear"/>
          </w:tcPr>
          <w:p>
            <w:r>
              <w:rPr>
                <w:b/>
                <w:sz w:val="17"/>
              </w:rPr>
              <w:t>1,885</w:t>
            </w:r>
          </w:p>
        </w:tc>
        <w:tc>
          <w:tcPr>
            <w:tcW w:type="dxa" w:w="1440"/>
            <w:shd w:fill="FAFAFA" w:val="clear"/>
          </w:tcPr>
          <w:p>
            <w:r>
              <w:rPr>
                <w:sz w:val="17"/>
              </w:rPr>
              <w:t>2,267</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 RAPPORT D'ANALYSE FINANCIÈRE — BNBC (BERNABÉ Côte d'Ivoire)</w:t>
        <w:br/>
        <w:t>**Marché : BRVM | Secteur : Entreprise (Distribution industrielle / Matériaux / Équipement)**</w:t>
        <w:br/>
        <w:t>**Date d'analyse : Octobre 2026 | Cours de référence : 1 905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12,62 Mds FCFA, BNBC se situe dans la catégorie des petites capitalisations de la BRVM, ce qui la rend vulnérable à une faible liquidité et à une forte sensibilité aux flux d'ordres. Le BPA de 3 FCFA/action est symbolique et traduit une rentabilité quasi-nulle, ce qui explique le PER de 565,4x — un niveau aberrant comparé au PER moyen de la BRVM (~8-12x) : les investisseurs paient donc extrêmement cher chaque franc de bénéfice, signe d'une valorisation portée par l'anticipation et non par les résultats. À l'inverse, le P/B de 0,71x (&lt;1) indique que le marché valorise l'action en dessous de sa valeur comptable, ce qui constitue une opportunité potentielle de décote sur actifs nets. Enfin, l'EV/EBITDA de 23,9x (&gt;15x) est très exigeant et suggère que la valeur d'entreprise intègre déjà une forte espérance de redressement opérationnel, ce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BNBC affiche une performance remarquable de **+23,30%**, malgré un repli de **-2,31%** lors de la dernière séance (J-1), signal d'un essoufflement de court terme. Le titre a évolué dans un range large de **1 495 FCFA (plus bas) à 2 400 FCFA (plus haut)**, soit une amplitude de plus de 60%, avant de se stabiliser autour de **1 905 FCFA**, légèrement sous sa moyenne (1 925 FCFA) et sa médiane (1 962 FCFA). L'écart faible entre moyenne et médiane (37 FCFA) confirme une distribution globalement équilibrée, cohérente avec le **skewness de -0,288** (légère asymétrie à gauche, sans excès). L'écart-type de 190 FCFA et le **coefficient de variation de 9,9%** indiquent une dispersion modérée du cours autour de sa tendance, tandis que le **kurtosis de 0,294** (mésokurtique) suggère une probabilité de pics extrêmes proche d'une loi normale — pas de risque de queue épaisse marqué. La **volatilité annualisée de 51,2%** classe toutefois le titre dans la catégorie **élevée (&gt;30%)**, ce qui implique un risque de fluctuation important et justifie une approche prudente en termes de taille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(2 001,75 FCFA) et la MM50 (2 026,90 FCFA) se situent toutes deux **au-dessus du cours actuel** (1 905 FCFA), avec une MM20 inférieure à la MM50, configuration baissière classique (croisement défavorable). Le cours évolue sous ses deux moyennes, confirmant la **décision de Vente** : la pression vendeuse domine à court et moyen terme.</w:t>
      </w:r>
    </w:p>
    <w:p>
      <w:pPr>
        <w:spacing w:after="120" w:line="276" w:lineRule="auto"/>
      </w:pPr>
      <w:r>
        <w:t>**Bandes de Bollinger** — Le cours (1 905 FCFA) se situe dans la moitié basse de la bande, entre la borne inférieure (1 733,99 FCFA) et la borne supérieure (2 269,51 FCFA), sans toucher les extrêmes. Cette position médiane, couplée à un rétrécissement relatif de la bande, justifie la **décision Neutre** : ni signal de survente exploitable, ni momentum haussier.</w:t>
      </w:r>
    </w:p>
    <w:p>
      <w:pPr>
        <w:spacing w:after="120" w:line="276" w:lineRule="auto"/>
      </w:pPr>
      <w:r>
        <w:t>**MACD** — La valeur du MACD (-50,663) est **inférieure à son signal (-41,143)**, avec un histogramme négatif : le momentum est clairement baissier. La **décision de Vente** est cohérente, la divergence négative persistant sans signe de retournement imminent.</w:t>
      </w:r>
    </w:p>
    <w:p>
      <w:pPr>
        <w:spacing w:after="120" w:line="276" w:lineRule="auto"/>
      </w:pPr>
      <w:r>
        <w:t>**RSI** — À **39,31**, le RSI se situe dans la zone neutre basse (30-70), sans atteindre la survente (&lt;30). La **décision Neutre** reflète un marché sans excès baissier exploitable, mais avec une dynamique affaiblie.</w:t>
      </w:r>
    </w:p>
    <w:p>
      <w:pPr>
        <w:spacing w:after="120" w:line="276" w:lineRule="auto"/>
      </w:pPr>
      <w:r>
        <w:t>**Stochastique** — Le %K (47,5) est légèrement supérieur au %D (44,669), sans croisement franc ni zone extrême. La **décision Neutre** confirme l'absence de signal directionnel fort à court terme.</w:t>
      </w:r>
    </w:p>
    <w:p>
      <w:pPr>
        <w:spacing w:after="120" w:line="276" w:lineRule="auto"/>
      </w:pPr>
      <w:r>
        <w:t>**Conclusion technique** — Les indicateurs convergent vers un **biais baissier modéré** : MM baissières, MACD négatif, cours sous les moyennes. Toutefois, le RSI et le stochastique en zone neutre, ainsi que la position médiane dans les bandes de Bollinger, suggèrent une **absence de signal de vente agressif** — le titre est en phase de consolidation baissière plutôt qu'en chute libre. La prudence reste de mise tant que le cours n'aura pas reconquis la MM20 (2 001,75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seulement **22,32 M FCFA**, soit une marge nette de **0,0526%** — une rentabilité quasi-nulle. Le **ROE de 0,1256%** et le **ROA de 0,0454%** sont extrêmement faibles, très loin du seuil de 15% considéré comme excellent. Sur le plan de la structure, l'autonomie financière est correcte (**36,16%**), mais la **trésorerie nette est fortement négative (-16,689 Mds FCFA)** et le **BFR s'élève à 29,373 Mds FCFA**, financé par un recours massif aux dettes (ratio d'endettement de 105,48%). Les délais d'exploitation sont préoccupants : **104,40 jours de délai clients** (risque de trésorerie) et **339,23 jours de durée de stockage** (immobilisation de capital excessive), tandis que le délai fournisseurs de 116,09 jours est le seul élément favorable.</w:t>
      </w:r>
    </w:p>
    <w:p>
      <w:pPr>
        <w:spacing w:after="120" w:line="276" w:lineRule="auto"/>
      </w:pPr>
      <w:r>
        <w:t>**Estimations basées sur les rapports trimestriels** : Le rapport du **T1 2026 (publié le 31/12/2026)** fait état d'un CA stable à **11,194 Mds FCFA (-0,12%)** et d'un **résultat net positif de 65,566 M FCFA** contre une perte de 16,147 M FCFA au T1 2025 — une amélioration spectaculaire de +81,7 M FCFA, attribuée à l'intégration de la division Équipement. Toutefois, le rapport annuel 2025 (états financiers au 31/12/2025) confirme un **résultat net de seulement 22,3 M FCFA** et **aucun dividende distribué (0 FCFA)**. Les rapports antérieurs (T3 2025, S1 2025, T1 2025) montrent une **aggravation des pertes** au fil de l'exercice 2025 (perte de -157,03 M FCFA au T3 2025), avant le redressement du T1 2026. **On estime donc que l'exercice 2026 pourrait afficher un résultat net annuel positif** si la dynamique du T1 se confirme, mais la faiblesse structurelle des marges et la trésorerie négative massive constituent des risques majeurs. La recommandation fondamentale est **prudente** : la société est solvable (solvabilité générale de 156,64%) mais sa rentabilité anémique et son cash-flow opérationnel négatif (-786,11 M FCFA) en font un dossier spéculatif sur le redressement.</w:t>
      </w:r>
    </w:p>
    <w:p>
      <w:pPr>
        <w:spacing w:after="120" w:line="276" w:lineRule="auto"/>
      </w:pPr>
      <w:r>
        <w:t>---</w:t>
      </w:r>
    </w:p>
    <w:p>
      <w:pPr>
        <w:spacing w:after="120" w:line="276" w:lineRule="auto"/>
      </w:pPr>
      <w:r>
        <w:t>## PARTIE 4 : CONCLUSION D'INVESTISSEMENT</w:t>
      </w:r>
    </w:p>
    <w:p>
      <w:pPr>
        <w:spacing w:after="120" w:line="276" w:lineRule="auto"/>
      </w:pPr>
      <w:r>
        <w:t>La **valorisation** présente un paradoxe : un PER de 565,4x et un EV/EBITDA de 23,9x traduisent une surévaluation manifeste au regard des bénéfices actuels, mais le P/B de 0,71x offre une décote sur actifs nets qui pourrait séduire les investisseurs « value ». Le **comportement du cours** est ambigu : la performance de +23,30% sur 100 jours est séduisante, mais la volatilité élevée (51,2%), le repli de J-1 (-2,31%) et la distribution symétrique (skewness -0,288, kurtosis 0,294) n'offrent pas de biais directionnel clair. Les **signaux techniques** sont majoritairement baissiers (MM sous le cours, MACD négatif) mais sans excès (RSI 39,31, stochastique neutre), plaidant pour une consolidation plutôt qu'une chute. Les **fondamentaux** révèlent une société à la rentabilité quasi-nulle en 2025 (marge nette 0,05%, ROE 0,13%), avec une trésorerie nette de -16,7 Mds FCFA, mais le T1 2026 montre un retournement spectaculaire (+65,6 M FCFA de résultat net) qui pourrait préfigurer une amélioration annuelle. Les **prédictions IA** anticipent une légère dérive baissière (1 917 → 1 898 FCFA sur 10 jours), confirmant la pression technique de court terme sans effondrement. **Recommandation finale : CONSERVER** — la convergence entre une valorisation tendue, des signaux techniques baissiers modérés, des fondamentaux en redressement fragile et des prédictions légèrement négatives ne justifie ni un achat agressif ni une vente panique. Le niveau de confiance est **Moyen** (les données T1 2026 sont encourageantes mais non confirmées sur l'année), le risque global est **Élevé** (volatilité 51,2%, trésorerie négative, rentabilité historique nulle), et l'horizon optimal est **moyen terme (3-12 mois)** en attendant la confirmation du redressement opérationnel et l'annonce éventuelle d'un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5,466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μ=9,174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β=0.5339 (Défensif) — Cov=0.000039, Var(idx)=0.000074, ρ=0.251,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9,030</w:t>
            </w:r>
          </w:p>
        </w:tc>
        <w:tc>
          <w:tcPr>
            <w:tcW w:type="dxa" w:w="1440"/>
            <w:shd w:fill="FAFAFA" w:val="clear"/>
          </w:tcPr>
          <w:p>
            <w:r>
              <w:rPr>
                <w:b/>
                <w:sz w:val="17"/>
              </w:rPr>
              <w:t>9,337</w:t>
            </w:r>
          </w:p>
        </w:tc>
        <w:tc>
          <w:tcPr>
            <w:tcW w:type="dxa" w:w="1440"/>
            <w:shd w:fill="FAFAFA" w:val="clear"/>
          </w:tcPr>
          <w:p>
            <w:r>
              <w:rPr>
                <w:sz w:val="17"/>
              </w:rPr>
              <w:t>9,645</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8,875</w:t>
            </w:r>
          </w:p>
        </w:tc>
        <w:tc>
          <w:tcPr>
            <w:tcW w:type="dxa" w:w="1440"/>
            <w:shd w:fill="FAFAFA" w:val="clear"/>
          </w:tcPr>
          <w:p>
            <w:r>
              <w:rPr>
                <w:b/>
                <w:sz w:val="17"/>
              </w:rPr>
              <w:t>9,308</w:t>
            </w:r>
          </w:p>
        </w:tc>
        <w:tc>
          <w:tcPr>
            <w:tcW w:type="dxa" w:w="1440"/>
            <w:shd w:fill="FAFAFA" w:val="clear"/>
          </w:tcPr>
          <w:p>
            <w:r>
              <w:rPr>
                <w:sz w:val="17"/>
              </w:rPr>
              <w:t>9,741</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8,751</w:t>
            </w:r>
          </w:p>
        </w:tc>
        <w:tc>
          <w:tcPr>
            <w:tcW w:type="dxa" w:w="1440"/>
            <w:shd w:fill="FAFAFA" w:val="clear"/>
          </w:tcPr>
          <w:p>
            <w:r>
              <w:rPr>
                <w:b/>
                <w:sz w:val="17"/>
              </w:rPr>
              <w:t>9,280</w:t>
            </w:r>
          </w:p>
        </w:tc>
        <w:tc>
          <w:tcPr>
            <w:tcW w:type="dxa" w:w="1440"/>
            <w:shd w:fill="FAFAFA" w:val="clear"/>
          </w:tcPr>
          <w:p>
            <w:r>
              <w:rPr>
                <w:sz w:val="17"/>
              </w:rPr>
              <w:t>9,809</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2026-10-14</w:t>
            </w:r>
          </w:p>
        </w:tc>
        <w:tc>
          <w:tcPr>
            <w:tcW w:type="dxa" w:w="1440"/>
            <w:shd w:fill="FAFAFA" w:val="clear"/>
          </w:tcPr>
          <w:p>
            <w:r>
              <w:rPr>
                <w:sz w:val="17"/>
              </w:rPr>
              <w:t>8,648</w:t>
            </w:r>
          </w:p>
        </w:tc>
        <w:tc>
          <w:tcPr>
            <w:tcW w:type="dxa" w:w="1440"/>
            <w:shd w:fill="FAFAFA" w:val="clear"/>
          </w:tcPr>
          <w:p>
            <w:r>
              <w:rPr>
                <w:b/>
                <w:sz w:val="17"/>
              </w:rPr>
              <w:t>9,257</w:t>
            </w:r>
          </w:p>
        </w:tc>
        <w:tc>
          <w:tcPr>
            <w:tcW w:type="dxa" w:w="1440"/>
            <w:shd w:fill="FAFAFA" w:val="clear"/>
          </w:tcPr>
          <w:p>
            <w:r>
              <w:rPr>
                <w:sz w:val="17"/>
              </w:rPr>
              <w:t>9,866</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2026-10-15</w:t>
            </w:r>
          </w:p>
        </w:tc>
        <w:tc>
          <w:tcPr>
            <w:tcW w:type="dxa" w:w="1440"/>
            <w:shd w:fill="FAFAFA" w:val="clear"/>
          </w:tcPr>
          <w:p>
            <w:r>
              <w:rPr>
                <w:sz w:val="17"/>
              </w:rPr>
              <w:t>8,557</w:t>
            </w:r>
          </w:p>
        </w:tc>
        <w:tc>
          <w:tcPr>
            <w:tcW w:type="dxa" w:w="1440"/>
            <w:shd w:fill="FAFAFA" w:val="clear"/>
          </w:tcPr>
          <w:p>
            <w:r>
              <w:rPr>
                <w:b/>
                <w:sz w:val="17"/>
              </w:rPr>
              <w:t>9,236</w:t>
            </w:r>
          </w:p>
        </w:tc>
        <w:tc>
          <w:tcPr>
            <w:tcW w:type="dxa" w:w="1440"/>
            <w:shd w:fill="FAFAFA" w:val="clear"/>
          </w:tcPr>
          <w:p>
            <w:r>
              <w:rPr>
                <w:sz w:val="17"/>
              </w:rPr>
              <w:t>9,916</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2026-10-16</w:t>
            </w:r>
          </w:p>
        </w:tc>
        <w:tc>
          <w:tcPr>
            <w:tcW w:type="dxa" w:w="1440"/>
            <w:shd w:fill="FAFAFA" w:val="clear"/>
          </w:tcPr>
          <w:p>
            <w:r>
              <w:rPr>
                <w:sz w:val="17"/>
              </w:rPr>
              <w:t>8,474</w:t>
            </w:r>
          </w:p>
        </w:tc>
        <w:tc>
          <w:tcPr>
            <w:tcW w:type="dxa" w:w="1440"/>
            <w:shd w:fill="FAFAFA" w:val="clear"/>
          </w:tcPr>
          <w:p>
            <w:r>
              <w:rPr>
                <w:b/>
                <w:sz w:val="17"/>
              </w:rPr>
              <w:t>9,217</w:t>
            </w:r>
          </w:p>
        </w:tc>
        <w:tc>
          <w:tcPr>
            <w:tcW w:type="dxa" w:w="1440"/>
            <w:shd w:fill="FAFAFA" w:val="clear"/>
          </w:tcPr>
          <w:p>
            <w:r>
              <w:rPr>
                <w:sz w:val="17"/>
              </w:rPr>
              <w:t>9,960</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2026-10-19</w:t>
            </w:r>
          </w:p>
        </w:tc>
        <w:tc>
          <w:tcPr>
            <w:tcW w:type="dxa" w:w="1440"/>
            <w:shd w:fill="FFDCE0" w:val="clear"/>
          </w:tcPr>
          <w:p>
            <w:r>
              <w:rPr>
                <w:sz w:val="17"/>
              </w:rPr>
              <w:t>8,398</w:t>
            </w:r>
          </w:p>
        </w:tc>
        <w:tc>
          <w:tcPr>
            <w:tcW w:type="dxa" w:w="1440"/>
            <w:shd w:fill="FFDCE0" w:val="clear"/>
          </w:tcPr>
          <w:p>
            <w:r>
              <w:rPr>
                <w:b/>
                <w:sz w:val="17"/>
              </w:rPr>
              <w:t>9,199</w:t>
            </w:r>
          </w:p>
        </w:tc>
        <w:tc>
          <w:tcPr>
            <w:tcW w:type="dxa" w:w="1440"/>
            <w:shd w:fill="FFDCE0" w:val="clear"/>
          </w:tcPr>
          <w:p>
            <w:r>
              <w:rPr>
                <w:sz w:val="17"/>
              </w:rPr>
              <w:t>10,000</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2026-10-20</w:t>
            </w:r>
          </w:p>
        </w:tc>
        <w:tc>
          <w:tcPr>
            <w:tcW w:type="dxa" w:w="1440"/>
            <w:shd w:fill="FFDCE0" w:val="clear"/>
          </w:tcPr>
          <w:p>
            <w:r>
              <w:rPr>
                <w:sz w:val="17"/>
              </w:rPr>
              <w:t>8,327</w:t>
            </w:r>
          </w:p>
        </w:tc>
        <w:tc>
          <w:tcPr>
            <w:tcW w:type="dxa" w:w="1440"/>
            <w:shd w:fill="FFDCE0" w:val="clear"/>
          </w:tcPr>
          <w:p>
            <w:r>
              <w:rPr>
                <w:b/>
                <w:sz w:val="17"/>
              </w:rPr>
              <w:t>9,182</w:t>
            </w:r>
          </w:p>
        </w:tc>
        <w:tc>
          <w:tcPr>
            <w:tcW w:type="dxa" w:w="1440"/>
            <w:shd w:fill="FFDCE0" w:val="clear"/>
          </w:tcPr>
          <w:p>
            <w:r>
              <w:rPr>
                <w:sz w:val="17"/>
              </w:rPr>
              <w:t>10,037</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2026-10-21</w:t>
            </w:r>
          </w:p>
        </w:tc>
        <w:tc>
          <w:tcPr>
            <w:tcW w:type="dxa" w:w="1440"/>
            <w:shd w:fill="FFDCE0" w:val="clear"/>
          </w:tcPr>
          <w:p>
            <w:r>
              <w:rPr>
                <w:sz w:val="17"/>
              </w:rPr>
              <w:t>8,261</w:t>
            </w:r>
          </w:p>
        </w:tc>
        <w:tc>
          <w:tcPr>
            <w:tcW w:type="dxa" w:w="1440"/>
            <w:shd w:fill="FFDCE0" w:val="clear"/>
          </w:tcPr>
          <w:p>
            <w:r>
              <w:rPr>
                <w:b/>
                <w:sz w:val="17"/>
              </w:rPr>
              <w:t>9,166</w:t>
            </w:r>
          </w:p>
        </w:tc>
        <w:tc>
          <w:tcPr>
            <w:tcW w:type="dxa" w:w="1440"/>
            <w:shd w:fill="FFDCE0" w:val="clear"/>
          </w:tcPr>
          <w:p>
            <w:r>
              <w:rPr>
                <w:sz w:val="17"/>
              </w:rPr>
              <w:t>10,070</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2026-10-22</w:t>
            </w:r>
          </w:p>
        </w:tc>
        <w:tc>
          <w:tcPr>
            <w:tcW w:type="dxa" w:w="1440"/>
            <w:shd w:fill="FFDCE0" w:val="clear"/>
          </w:tcPr>
          <w:p>
            <w:r>
              <w:rPr>
                <w:sz w:val="17"/>
              </w:rPr>
              <w:t>8,198</w:t>
            </w:r>
          </w:p>
        </w:tc>
        <w:tc>
          <w:tcPr>
            <w:tcW w:type="dxa" w:w="1440"/>
            <w:shd w:fill="FFDCE0" w:val="clear"/>
          </w:tcPr>
          <w:p>
            <w:r>
              <w:rPr>
                <w:b/>
                <w:sz w:val="17"/>
              </w:rPr>
              <w:t>9,150</w:t>
            </w:r>
          </w:p>
        </w:tc>
        <w:tc>
          <w:tcPr>
            <w:tcW w:type="dxa" w:w="1440"/>
            <w:shd w:fill="FFDCE0" w:val="clear"/>
          </w:tcPr>
          <w:p>
            <w:r>
              <w:rPr>
                <w:sz w:val="17"/>
              </w:rPr>
              <w:t>10,102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381,27 milliards FCFA, BOAB s'impose comme l'une des valeurs bancaires de référence de la cote BRVM, témoignant d'une liquidité et d'une notoriété institutionnelle solides au sein du compartiment financier régional. Le BPA de 496 FCFA/action signifie que chaque titre génère près de cinq cents francs de bénéfice net, un niveau qui traduit la capacité bénéficiaire réelle de la banque. Le PER de 19,0x apparaît nettement supérieur à la moyenne du marché BRVM (généralement comprise entre 8 et 12x), ce qui indique que les investisseurs paient une prime significative pour les bénéfices de BOAB — prime justifiée par la qualité de la signature et la régularité des résultats, mais qui limite la marge de sécurité. Le P/B de 3,24x confirme cette lecture : le marché valorise la banque à plus de trois fois sa valeur comptable, une prime de croissance accordée aux établissements les plus rentables du secteur. Enfin, l'EV/EBITDA de 19,5x, très exigeant (seuil d'alerte &gt; 15x), suggère que la valeur d'entreprise intègre déjà une bonne partie du potentiel opérationnel, laissant peu de place à la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BOAB affiche une variation totale nulle (+0,00%), mais la dernière séance (J-1) enregistre une légère progression de +0,43%, portant le cours actuel à 9 400 FCFA. Le titre a évolué dans un range de trading de 1 830 FCFA, entre un plus bas de 8 520 FCFA et un plus haut de 10 350 FCFA, ce qui traduit une tendance globalement stable avec des oscillations significatives. Les statistiques descriptives révèlent une moyenne de 9 174 FCFA supérieure à la médiane de 8 950 FCFA, signe d'une distribution asymétrique : quelques journées de forte hausse tirent la moyenne vers le haut. L'écart-type de 557 FCFA (CV = 6,1%) indique une dispersion modérée du cours autour de sa moyenne, tandis que le kurtosis de -0,543 (mésokurtique) suggère une distribution proche de la normale, sans risque excessif de pics extrêmes. Le skewness positif de 0,933 confirme cette asymétrie : davantage de journées se situent sous la moyenne, mais les hausses, moins fréquentes, sont plus amples. La volatilité annualisée de 28,7% positionne le titre dans la catégorie des valeurs à volatilité modérée (15-30%), ce qui reste acceptable pour une action bancaire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(9 551 FCFA) et la MM50 (9 465,3 FCFA) se situent toutes deux au-dessus du cours actuel (9 400 FCFA), ce qui place le titre en position de faiblesse relative à court terme. Toutefois, la MM20 reste supérieure à la MM50, configuration haussière de fond, ce qui justifie la décision technique d'« Achat » malgré le repli actuel.</w:t>
      </w:r>
    </w:p>
    <w:p>
      <w:pPr>
        <w:spacing w:after="120" w:line="276" w:lineRule="auto"/>
      </w:pPr>
      <w:r>
        <w:t>**Bandes de Bollinger** : Le cours (9 400 FCFA) évolue dans la partie basse de la bande, entre la borne inférieure (8 657,18 FCFA) et la borne supérieure (10 444,82 FCFA), sans franchir aucun seuil extrême. Cette position médiane-basse, couplée à une volatilité contenue, justifie la décision « Neutre » : ni signal d'achat agressif, ni signal de vente.</w:t>
      </w:r>
    </w:p>
    <w:p>
      <w:pPr>
        <w:spacing w:after="120" w:line="276" w:lineRule="auto"/>
      </w:pPr>
      <w:r>
        <w:t>**MACD** : La valeur du MACD (-90,374) est inférieure à sa ligne de signal (-70,865), générant un croisement baissier et un momentum négatif. Cette configuration justifie la décision « Vente » à court terme, le MACD signalant une perte de dynamique haussière.</w:t>
      </w:r>
    </w:p>
    <w:p>
      <w:pPr>
        <w:spacing w:after="120" w:line="276" w:lineRule="auto"/>
      </w:pPr>
      <w:r>
        <w:t>**RSI** : À 37,226, le RSI se situe dans la zone neutre basse (30-70), sans atteindre le seuil de survente (30). La décision « Neutre » reflète un équilibre précaire : le titre n'est ni survendu ni suracheté, mais la pression vendeuse reste présente.</w:t>
      </w:r>
    </w:p>
    <w:p>
      <w:pPr>
        <w:spacing w:after="120" w:line="276" w:lineRule="auto"/>
      </w:pPr>
      <w:r>
        <w:t>**Stochastique** : Le %K (57,547) est supérieur au %D (47,681), avec un croisement récent à la hausse, ce qui constitue un signal haussier naissant. La décision « Neutre » s'explique par le fait que ce croisement intervient en zone médiane, sans confirmation par les autres indicateurs.</w:t>
      </w:r>
    </w:p>
    <w:p>
      <w:pPr>
        <w:spacing w:after="120" w:line="276" w:lineRule="auto"/>
      </w:pPr>
      <w:r>
        <w:t>**Conclusion technique** : Les indicateurs techniques présentent un tableau mitigé. Les moyennes mobiles restent haussières de fond (MM20 &gt; MM50), mais le MACD est baissier et le RSI neutre-bas, tandis que le stochastique amorce un rebond. Le titre évolue dans une zone de consolidation sans direction claire, avec une légère pression vendeuse à court terme mais un potentiel de rebond technique si le stochastique se confirme.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un Produit Net Bancaire (PNB) de 51,274 milliards FCFA, en croissance de 10,20% sur un an, confirmant la dynamique commerciale de la banque. Le résultat net s'établit à 20,107 milliards FCFA, avec une marge nette élevée de 39,22%, un ROE de 17,11% (niveau excellent, &gt;15%) et un ROA de 2,08%, traduisant une rentabilité solide des fonds propres et une utilisation efficace des actifs. Le coefficient d'exploitation de 49,53% positionne BOAB parmi les banques les plus efficaces du secteur (seuil d'excellence &lt;50%), tandis que le coût du risque de 22,50% (provisions/charges financières) reste un point de vigilance, bien qu'il soit compensé par la qualité globale du portefeuille. La structure financière montre une autonomie financière de 12,18% (capitaux propres/total bilan), un ratio d'endettement de 98,77% et une solvabilité générale de 113,87% (&gt;1, donc solvable). Le ratio dépôts/crédits s'établit à 711,642/391,724 = 1,82x, indiquant une surliquidité structurelle et une capacité de transformation maîtrisée. Les rapports trimestriels récents confirment cette tendance : le T1 2026 (rapport du 31 mars 2026) affiche un PNB de 12,329 milliards FCFA (+11%) et un résultat net de 4,502 milliards FCFA (+1%), avec des dépôts clientèle en hausse de 3,5% à 753,7 milliards FCFA. Le T3 2025 (rapport du 30 septembre 2025) montrait déjà un PNB de 37,065 milliards FCFA (+9%) et un résultat net de 15,880 milliards FCFA (+13%), malgré une contraction des crédits (-10%) et des dépôts (-5%). Sur la base de ces rapports, on estime que l'exercice 2026 devrait enregistrer un PNB annuel proche de 55-57 milliards FCFA et un résultat net de l'ordre de 21-22 milliards FCFA, soutenu par la hausse des commissions (+18,9% au T1 2026) et la maîtrise des coûts. La recommandation fondamentale est de **conserver** le titre : la banque est solide, rentable et bien capitalisée, mais la croissance du résultat net ralentit (+1% au T1 2026) et la contraction du bilan (crédits/dépôts) constitue un risque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(Partie 0) apparaît exigeante : PER de 19,0x et EV/EBITDA de 19,5x, très supérieurs aux moyennes du marché BRVM, ce qui suggère une surévaluation relative et une marge de sécurité limitée. Le comportement du cours (Partie 1) est globalement stable (+0,00% sur 100 jours) avec une volatilité modérée (28,7%) et une distribution asymétrique positive (skewness 0,933), sans risque excessif de pics (kurtosis -0,543). Les signaux techniques (Partie 2) sont mitigés : les moyennes mobiles restent haussières de fond, mais le MACD est baissier et le RSI neutre, tandis que le stochastique amorce un rebond — configuration de consolidation sans direction claire. Les fondamentaux (Partie 3) demeurent solides : ROE de 17,11%, coefficient d'exploitation de 49,53%, PNB en croissance de 10,20% en 2025, mais la croissance du résultat net ralentit (+1% au T1 2026) et la contraction du bilan (crédits/dépôts) constitue un risque. Les prédictions IA (J+1 à J+10) anticipent une légère baisse du cours, de 9 337 FCFA (J+1) à 9 236 FCFA (J+10), soit une trajectoire baissière de -1,7% sur 10 jours, ce qui contredit les signaux haussiers des moyennes mobiles et du stochastique. **Recommandation finale : CONSERVER.** La convergence entre une valorisation exigeante, des signaux techniques mitigés, des fondamentaux solides mais en ralentissement, et des prédictions baissières à court terme plaide pour une position attentiste. Le niveau de confiance est **Moyen** (les indicateurs sont divergents) et le niveau de risque global est **Moyen** (volatilité modérée, mais valorisation tendue). L'horizon d'investissement optimal est le **moyen terme (3-12 mois)**, en attendant une clarification de la tendance technique et une confirmation de la reprise de la croissance bénéficiaire.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6,391 titres</w:t>
            </w:r>
          </w:p>
        </w:tc>
        <w:tc>
          <w:tcPr>
            <w:tcW w:type="dxa" w:w="2268"/>
            <w:shd w:fill="FFF2CC" w:val="clear"/>
          </w:tcPr>
          <w:p>
            <w:r>
              <w:rPr>
                <w:b/>
                <w:color w:val="503200"/>
                <w:sz w:val="16"/>
              </w:rPr>
              <w:t xml:space="preserve">Cours actuel : </w:t>
            </w:r>
            <w:r>
              <w:rPr>
                <w:color w:val="000000"/>
                <w:sz w:val="17"/>
              </w:rPr>
              <w:t>7,950 FCFA</w:t>
            </w:r>
          </w:p>
          <w:p>
            <w:r>
              <w:rPr>
                <w:b/>
                <w:color w:val="503200"/>
                <w:sz w:val="16"/>
              </w:rPr>
              <w:t xml:space="preserve">Var. 100 jours : </w:t>
            </w:r>
            <w:r>
              <w:rPr>
                <w:b/>
                <w:color w:val="007800"/>
                <w:sz w:val="17"/>
              </w:rPr>
              <w:t>+47.22%</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17.50% (Élevée) — μ=6,940 FCFA, σ=1,215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β=0.7546 (Défensif) — Cov=0.000056, Var(idx)=0.000074, ρ=0.284,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7,592</w:t>
            </w:r>
          </w:p>
        </w:tc>
        <w:tc>
          <w:tcPr>
            <w:tcW w:type="dxa" w:w="1440"/>
            <w:shd w:fill="FAFAFA" w:val="clear"/>
          </w:tcPr>
          <w:p>
            <w:r>
              <w:rPr>
                <w:b/>
                <w:sz w:val="17"/>
              </w:rPr>
              <w:t>7,917</w:t>
            </w:r>
          </w:p>
        </w:tc>
        <w:tc>
          <w:tcPr>
            <w:tcW w:type="dxa" w:w="1440"/>
            <w:shd w:fill="FAFAFA" w:val="clear"/>
          </w:tcPr>
          <w:p>
            <w:r>
              <w:rPr>
                <w:sz w:val="17"/>
              </w:rPr>
              <w:t>8,242</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7,434</w:t>
            </w:r>
          </w:p>
        </w:tc>
        <w:tc>
          <w:tcPr>
            <w:tcW w:type="dxa" w:w="1440"/>
            <w:shd w:fill="FAFAFA" w:val="clear"/>
          </w:tcPr>
          <w:p>
            <w:r>
              <w:rPr>
                <w:b/>
                <w:sz w:val="17"/>
              </w:rPr>
              <w:t>7,891</w:t>
            </w:r>
          </w:p>
        </w:tc>
        <w:tc>
          <w:tcPr>
            <w:tcW w:type="dxa" w:w="1440"/>
            <w:shd w:fill="FAFAFA" w:val="clear"/>
          </w:tcPr>
          <w:p>
            <w:r>
              <w:rPr>
                <w:sz w:val="17"/>
              </w:rPr>
              <w:t>8,349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7,308</w:t>
            </w:r>
          </w:p>
        </w:tc>
        <w:tc>
          <w:tcPr>
            <w:tcW w:type="dxa" w:w="1440"/>
            <w:shd w:fill="FAFAFA" w:val="clear"/>
          </w:tcPr>
          <w:p>
            <w:r>
              <w:rPr>
                <w:b/>
                <w:sz w:val="17"/>
              </w:rPr>
              <w:t>7,866</w:t>
            </w:r>
          </w:p>
        </w:tc>
        <w:tc>
          <w:tcPr>
            <w:tcW w:type="dxa" w:w="1440"/>
            <w:shd w:fill="FAFAFA" w:val="clear"/>
          </w:tcPr>
          <w:p>
            <w:r>
              <w:rPr>
                <w:sz w:val="17"/>
              </w:rPr>
              <w:t>8,425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7,202</w:t>
            </w:r>
          </w:p>
        </w:tc>
        <w:tc>
          <w:tcPr>
            <w:tcW w:type="dxa" w:w="1440"/>
            <w:shd w:fill="FAFAFA" w:val="clear"/>
          </w:tcPr>
          <w:p>
            <w:r>
              <w:rPr>
                <w:b/>
                <w:sz w:val="17"/>
              </w:rPr>
              <w:t>7,845</w:t>
            </w:r>
          </w:p>
        </w:tc>
        <w:tc>
          <w:tcPr>
            <w:tcW w:type="dxa" w:w="1440"/>
            <w:shd w:fill="FAFAFA" w:val="clear"/>
          </w:tcPr>
          <w:p>
            <w:r>
              <w:rPr>
                <w:sz w:val="17"/>
              </w:rPr>
              <w:t>8,489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7,109</w:t>
            </w:r>
          </w:p>
        </w:tc>
        <w:tc>
          <w:tcPr>
            <w:tcW w:type="dxa" w:w="1440"/>
            <w:shd w:fill="FAFAFA" w:val="clear"/>
          </w:tcPr>
          <w:p>
            <w:r>
              <w:rPr>
                <w:b/>
                <w:sz w:val="17"/>
              </w:rPr>
              <w:t>7,827</w:t>
            </w:r>
          </w:p>
        </w:tc>
        <w:tc>
          <w:tcPr>
            <w:tcW w:type="dxa" w:w="1440"/>
            <w:shd w:fill="FAFAFA" w:val="clear"/>
          </w:tcPr>
          <w:p>
            <w:r>
              <w:rPr>
                <w:sz w:val="17"/>
              </w:rPr>
              <w:t>8,544</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7,025</w:t>
            </w:r>
          </w:p>
        </w:tc>
        <w:tc>
          <w:tcPr>
            <w:tcW w:type="dxa" w:w="1440"/>
            <w:shd w:fill="FAFAFA" w:val="clear"/>
          </w:tcPr>
          <w:p>
            <w:r>
              <w:rPr>
                <w:b/>
                <w:sz w:val="17"/>
              </w:rPr>
              <w:t>7,809</w:t>
            </w:r>
          </w:p>
        </w:tc>
        <w:tc>
          <w:tcPr>
            <w:tcW w:type="dxa" w:w="1440"/>
            <w:shd w:fill="FAFAFA" w:val="clear"/>
          </w:tcPr>
          <w:p>
            <w:r>
              <w:rPr>
                <w:sz w:val="17"/>
              </w:rPr>
              <w:t>8,594</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6,947</w:t>
            </w:r>
          </w:p>
        </w:tc>
        <w:tc>
          <w:tcPr>
            <w:tcW w:type="dxa" w:w="1440"/>
            <w:shd w:fill="FAFAFA" w:val="clear"/>
          </w:tcPr>
          <w:p>
            <w:r>
              <w:rPr>
                <w:b/>
                <w:sz w:val="17"/>
              </w:rPr>
              <w:t>7,793</w:t>
            </w:r>
          </w:p>
        </w:tc>
        <w:tc>
          <w:tcPr>
            <w:tcW w:type="dxa" w:w="1440"/>
            <w:shd w:fill="FAFAFA" w:val="clear"/>
          </w:tcPr>
          <w:p>
            <w:r>
              <w:rPr>
                <w:sz w:val="17"/>
              </w:rPr>
              <w:t>8,639</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6,875</w:t>
            </w:r>
          </w:p>
        </w:tc>
        <w:tc>
          <w:tcPr>
            <w:tcW w:type="dxa" w:w="1440"/>
            <w:shd w:fill="FFDCE0" w:val="clear"/>
          </w:tcPr>
          <w:p>
            <w:r>
              <w:rPr>
                <w:b/>
                <w:sz w:val="17"/>
              </w:rPr>
              <w:t>7,777</w:t>
            </w:r>
          </w:p>
        </w:tc>
        <w:tc>
          <w:tcPr>
            <w:tcW w:type="dxa" w:w="1440"/>
            <w:shd w:fill="FFDCE0" w:val="clear"/>
          </w:tcPr>
          <w:p>
            <w:r>
              <w:rPr>
                <w:sz w:val="17"/>
              </w:rPr>
              <w:t>8,680</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6,807</w:t>
            </w:r>
          </w:p>
        </w:tc>
        <w:tc>
          <w:tcPr>
            <w:tcW w:type="dxa" w:w="1440"/>
            <w:shd w:fill="FFDCE0" w:val="clear"/>
          </w:tcPr>
          <w:p>
            <w:r>
              <w:rPr>
                <w:b/>
                <w:sz w:val="17"/>
              </w:rPr>
              <w:t>7,762</w:t>
            </w:r>
          </w:p>
        </w:tc>
        <w:tc>
          <w:tcPr>
            <w:tcW w:type="dxa" w:w="1440"/>
            <w:shd w:fill="FFDCE0" w:val="clear"/>
          </w:tcPr>
          <w:p>
            <w:r>
              <w:rPr>
                <w:sz w:val="17"/>
              </w:rPr>
              <w:t>8,717</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6,742</w:t>
            </w:r>
          </w:p>
        </w:tc>
        <w:tc>
          <w:tcPr>
            <w:tcW w:type="dxa" w:w="1440"/>
            <w:shd w:fill="FFDCE0" w:val="clear"/>
          </w:tcPr>
          <w:p>
            <w:r>
              <w:rPr>
                <w:b/>
                <w:sz w:val="17"/>
              </w:rPr>
              <w:t>7,747</w:t>
            </w:r>
          </w:p>
        </w:tc>
        <w:tc>
          <w:tcPr>
            <w:tcW w:type="dxa" w:w="1440"/>
            <w:shd w:fill="FFDCE0" w:val="clear"/>
          </w:tcPr>
          <w:p>
            <w:r>
              <w:rPr>
                <w:sz w:val="17"/>
              </w:rPr>
              <w:t>8,752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349,80 milliards FCFA, BOABF s'impose comme l'une des valeurs bancaires de référence de la cote BRVM, un niveau qui traduit la solidité et la taille significative de l'établissement au sein de l'Union Économique et Monétaire Ouest-Africaine. Le BPA de 438 FCFA par action signifie que chaque titre génère près de 438 FCFA de bénéfice net, un niveau de rentabilité unitaire appréciable. Le PER de 18,2x se situe nettement au-dessus de la moyenne du marché BRVM (généralement comprise entre 8x et 12x), ce qui indique que les investisseurs acceptent de payer une prime significative pour les bénéfices de la banque — une valorisation qui n'est justifiée que si la croissance future le confirme. Le P/B de 2,76x montre que le marché valorise la banque à près de trois fois sa valeur comptable, traduisant une prime de croissance accordée par les investisseurs, tandis que l'EV/EBITDA de 8,0x, dans la fourchette raisonnable de 5-10x, suggère que la valeur totale de l'entreprise reste cohérente avec sa capacité opérationnelle. L'ensemble de ces ratios dessine une valorisation modérée à légèrement tendue, où la prime de croissance devra être validée par les résultats à venir.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affiche une performance remarquable de +47,22%, avec une dernière séance en légère hausse de +0,63%, portant le cours actuel à 7 950 FCFA. Le titre a évolué dans un range très large, entre un plus bas de 5 300 FCFA et un plus haut de 9 090 FCFA, soit un écart de près de 72% entre les deux extrêmes — signe d'une tendance nettement haussière mais ponctuée de corrections significatives. La moyenne du cours s'établit à 6 940 FCFA contre une médiane de 7 122 FCFA, un écart modéré qui suggère une légère asymétrie avec quelques points bas tirant la moyenne vers le bas, tandis que le mode à 7 100 FCFA indique que ce niveau de prix a été le plus fréquemment échangé. L'écart-type de 1 221 FCFA avec un coefficient de variation de 17,6% traduit une dispersion modérée du cours autour de sa moyenne, et le kurtosis négatif de -1,266 (distribution platykurtique) indique une distribution aplatie avec une faible concentration autour de la moyenne — donc moins de risque de pics extrêmes soudains, ce qui est rassurant pour la stabilité. Le skewness de 0,203 confirme une distribution quasi-symétrique, sans biais directionnel marqué. Enfin, la volatilité annualisée de 35,9% positionne le titre dans la catégorie des valeurs à volatilité élevée (&gt;30%), ce qui implique un risque de fluctuation important et appelle à la prudence sur les horizons courts.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8 106,25 FCFA et la MM50 à 7 969,5 FCFA, toutes deux supérieures au cours actuel de 7 950 FCFA. Le cours évolue donc légèrement sous ses moyennes mobiles, ce qui traduit une pression baissière de court terme. Toutefois, la MM20 reste au-dessus de la MM50, configuration qui maintient une structure haussière de fond et justifie la décision d'**Achat** sur cet indicateur, bien qu'avec prudence.</w:t>
      </w:r>
    </w:p>
    <w:p>
      <w:pPr>
        <w:spacing w:after="120" w:line="276" w:lineRule="auto"/>
      </w:pPr>
      <w:r>
        <w:t>**Bandes de Bollinger** : La borne supérieure se situe à 8 965,50 FCFA et la borne inférieure à 7 247,00 FCFA, avec un cours actuel de 7 950 FCFA qui se positionne dans la moitié inférieure de la bande. Le cours n'est ni en zone de surachat ni de survente, et l'amplitude des bandes reflète la volatilité élevée du titre. La décision est **Neutre**, le cours évoluant dans une zone médiane sans signal directionnel fort.</w:t>
      </w:r>
    </w:p>
    <w:p>
      <w:pPr>
        <w:spacing w:after="120" w:line="276" w:lineRule="auto"/>
      </w:pPr>
      <w:r>
        <w:t>**MACD** : La valeur du MACD est de -48,082 contre un signal à -8,005, soit un MACD nettement inférieur à sa ligne de signal. Cette configuration négative indique un momentum baissier en cours, avec une divergence défavorable qui pèse sur la dynamique du titre. La décision de **Vente** est cohérente avec cette faiblesse du momentum.</w:t>
      </w:r>
    </w:p>
    <w:p>
      <w:pPr>
        <w:spacing w:after="120" w:line="276" w:lineRule="auto"/>
      </w:pPr>
      <w:r>
        <w:t>**RSI** : À 48,731, le RSI se situe parfaitement dans la zone neutre (30-70), sans signal de surachat ni de survente. Cette valeur médiane indique un équilibre entre acheteurs et vendeurs, sans pression directionnelle dominante. La décision est logiquement **Neutre**.</w:t>
      </w:r>
    </w:p>
    <w:p>
      <w:pPr>
        <w:spacing w:after="120" w:line="276" w:lineRule="auto"/>
      </w:pPr>
      <w:r>
        <w:t>**Stochastique** : Le %K à 61,111 et le %D à 57,407 affichent des valeurs en zone médiane-haute, avec un %K légèrement supérieur au %D. Il n'y a pas de croisement baissier confirmé, mais la proximité de la zone de surachat (80) invite à la vigilance. La décision reste **Neutre**.</w:t>
      </w:r>
    </w:p>
    <w:p>
      <w:pPr>
        <w:spacing w:after="120" w:line="276" w:lineRule="auto"/>
      </w:pPr>
      <w:r>
        <w:t>**Conclusion technique** : Les indicateurs techniques présentent un tableau mitigé. Si la structure de fond reste haussière (MM20 &gt; MM50), le MACD en territoire négatif et le cours sous ses moyennes mobiles signalent une pression baissière de court terme. Le RSI et le stochastique en zone neutre n'apportent pas de signal directionnel clair. La convergence des signaux neutres et la divergence du MACD suggèrent une phase de consolidation, avec un risque de correction à court terme avant une éventuelle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affiche un Produit Net Bancaire (PNB) de 57 820 millions FCFA, quasi stable par rapport à 2024 (+0,6%), et un résultat net de 19 252 millions FCFA, en recul de -14,1% sur un an. Le ROE s'établit à 15,22%, un niveau excellent qui témoigne d'une rentabilité des fonds propres solide, tandis que le ROA de 1,68% reste modeste mais conforme aux standards bancaires. Le coefficient d'exploitation de 47,19% est excellent (&lt; 50%), confirmant une grande efficacité opérationnelle. Cependant, le coût du risque rapporté aux charges financières atteint 33,92%, un niveau élevé qui signale un risque de crédit significatif. Le ratio dépôts/crédits est très favorable : les dépôts clientèle (877 822 millions FCFA) couvrent largement les créances clientèle (474 064 millions FCFA), avec un ratio de transformation de 54%, indiquant une surliquidité et une marge de manœuvre importante. Les créances interbancaires ont bondi à 213 132 millions FCFA (vs 53 994 millions en 2024), traduisant un placement massif de liquidités plutôt qu'un développement du crédit client.</w:t>
      </w:r>
    </w:p>
    <w:p>
      <w:pPr>
        <w:spacing w:after="120" w:line="276" w:lineRule="auto"/>
      </w:pPr>
      <w:r>
        <w:t>**Estimations basées sur les rapports trimestriels** : Le rapport du T1 2026 (publié le 31/03/2026) révèle un PNB de 12 694 millions FCFA, en baisse de -10,75% sur un an, et un résultat net de 4 520 millions FCFA (-12,99%). Le rapport du S1 2026 (publié le 30/06/2026) montre un PNB de 27 539 millions FCFA (-5,2%) mais un résultat net en forte hausse de +31,0% à 10 770 millions FCFA, grâce à une amélioration spectaculaire du coût du risque (-65,2% à -2 396 millions). On estime donc que l'exercice 2026 devrait enregistrer un résultat net en amélioration par rapport à 2025, porté par la normalisation du coût du risque, mais avec un PNB toujours sous pression baissière. Le rapport du T3 2025 (30/09/2025) confirmait déjà cette tendance avec un PNB de 43,28 milliards FCFA (+0,85%) et un résultat net de 13,45 milliards (-27,69%). La dynamique commerciale reste fragile : les dépôts progressent (+7,4% au S1 2026) mais les crédits stagnent (+1,3%), et la baisse structurelle du PNB constitue le principal risque à surveiller. La recommandation fondamentale est **CONSERVER**, avec une solidité financière avérée mais des perspectives de croissance limitées.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la valorisation** (Partie 0), le PER de 18,2x et le P/B de 2,76x indiquent une prime de croissance significative par rapport au marché BRVM, ce qui suggère une possible surévaluation si la croissance ne se matérialise pas. **Le comportement du cours** (Partie 1) est nettement haussier (+47,22% sur 100 jours) avec une volatilité élevée (35,9%) et une distribution platykurtique (faible risque de pics), mais le cours évolue sous ses moyennes mobiles, signalant une pression baissière de court terme. **Les signaux techniques** (Partie 2) sont mitigés : structure haussière de fond (MM20 &gt; MM50) mais MACD baissier et RSI/stochastique neutres, plaidant pour une consolidation. **Les fondamentaux** (Partie 3) révèlent une banque solide (ROE 15,22%, coefficient d'exploitation 47,19%) mais confrontée à une baisse structurelle de son PNB et à un coût du risque encore élevé, avec une amélioration attendue en 2026 grâce à la normalisation des provisions. **Les prédictions IA** (J+1 à J+10) anticipent une trajectoire baissière progressive de 7 917 FCFA à 7 827 FCFA, confirmant la pression baissière de court terme identifiée par les indicateurs techniques. Sur la base de cette synthèse, la recommandation finale est **CONSERVER**. La convergence entre la valorisation tendue, les signaux techniques mitigés et les fondamentaux solides mais sans croissance justifie une position attentiste. Le niveau de confiance est **Moyen** (les signaux sont divergents entre court et moyen terme) et le niveau de risque global est **Moyen** (volatilité élevée mais fondamentaux solides). L'horizon d'investissement optimal est le **moyen terme (3-12 mois)**, le temps que la normalisation du coût du risque se confirme et que la dynamique commerciale se redresse.</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10,807 titres</w:t>
            </w:r>
          </w:p>
        </w:tc>
        <w:tc>
          <w:tcPr>
            <w:tcW w:type="dxa" w:w="2268"/>
            <w:shd w:fill="FFF2CC" w:val="clear"/>
          </w:tcPr>
          <w:p>
            <w:r>
              <w:rPr>
                <w:b/>
                <w:color w:val="503200"/>
                <w:sz w:val="16"/>
              </w:rPr>
              <w:t xml:space="preserve">Cours actuel : </w:t>
            </w:r>
            <w:r>
              <w:rPr>
                <w:color w:val="000000"/>
                <w:sz w:val="17"/>
              </w:rPr>
              <w:t>11,295 FCFA</w:t>
            </w:r>
          </w:p>
          <w:p>
            <w:r>
              <w:rPr>
                <w:b/>
                <w:color w:val="503200"/>
                <w:sz w:val="16"/>
              </w:rPr>
              <w:t xml:space="preserve">Var. 100 jours : </w:t>
            </w:r>
            <w:r>
              <w:rPr>
                <w:b/>
                <w:color w:val="007800"/>
                <w:sz w:val="17"/>
              </w:rPr>
              <w:t>+30.88%</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8,630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14.31% (Moyenne) — μ=10,636 FCFA, σ=1,522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β=0.7483 (Défensif) — Cov=0.000055, Var(idx)=0.000074, ρ=0.361,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10,989</w:t>
            </w:r>
          </w:p>
        </w:tc>
        <w:tc>
          <w:tcPr>
            <w:tcW w:type="dxa" w:w="1440"/>
            <w:shd w:fill="FAFAFA" w:val="clear"/>
          </w:tcPr>
          <w:p>
            <w:r>
              <w:rPr>
                <w:b/>
                <w:sz w:val="17"/>
              </w:rPr>
              <w:t>11,315</w:t>
            </w:r>
          </w:p>
        </w:tc>
        <w:tc>
          <w:tcPr>
            <w:tcW w:type="dxa" w:w="1440"/>
            <w:shd w:fill="FAFAFA" w:val="clear"/>
          </w:tcPr>
          <w:p>
            <w:r>
              <w:rPr>
                <w:sz w:val="17"/>
              </w:rPr>
              <w:t>11,640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10,870</w:t>
            </w:r>
          </w:p>
        </w:tc>
        <w:tc>
          <w:tcPr>
            <w:tcW w:type="dxa" w:w="1440"/>
            <w:shd w:fill="FAFAFA" w:val="clear"/>
          </w:tcPr>
          <w:p>
            <w:r>
              <w:rPr>
                <w:b/>
                <w:sz w:val="17"/>
              </w:rPr>
              <w:t>11,331</w:t>
            </w:r>
          </w:p>
        </w:tc>
        <w:tc>
          <w:tcPr>
            <w:tcW w:type="dxa" w:w="1440"/>
            <w:shd w:fill="FAFAFA" w:val="clear"/>
          </w:tcPr>
          <w:p>
            <w:r>
              <w:rPr>
                <w:sz w:val="17"/>
              </w:rPr>
              <w:t>11,792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10,783</w:t>
            </w:r>
          </w:p>
        </w:tc>
        <w:tc>
          <w:tcPr>
            <w:tcW w:type="dxa" w:w="1440"/>
            <w:shd w:fill="FAFAFA" w:val="clear"/>
          </w:tcPr>
          <w:p>
            <w:r>
              <w:rPr>
                <w:b/>
                <w:sz w:val="17"/>
              </w:rPr>
              <w:t>11,349</w:t>
            </w:r>
          </w:p>
        </w:tc>
        <w:tc>
          <w:tcPr>
            <w:tcW w:type="dxa" w:w="1440"/>
            <w:shd w:fill="FAFAFA" w:val="clear"/>
          </w:tcPr>
          <w:p>
            <w:r>
              <w:rPr>
                <w:sz w:val="17"/>
              </w:rPr>
              <w:t>11,914</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2026-10-14</w:t>
            </w:r>
          </w:p>
        </w:tc>
        <w:tc>
          <w:tcPr>
            <w:tcW w:type="dxa" w:w="1440"/>
            <w:shd w:fill="FAFAFA" w:val="clear"/>
          </w:tcPr>
          <w:p>
            <w:r>
              <w:rPr>
                <w:sz w:val="17"/>
              </w:rPr>
              <w:t>10,712</w:t>
            </w:r>
          </w:p>
        </w:tc>
        <w:tc>
          <w:tcPr>
            <w:tcW w:type="dxa" w:w="1440"/>
            <w:shd w:fill="FAFAFA" w:val="clear"/>
          </w:tcPr>
          <w:p>
            <w:r>
              <w:rPr>
                <w:b/>
                <w:sz w:val="17"/>
              </w:rPr>
              <w:t>11,366</w:t>
            </w:r>
          </w:p>
        </w:tc>
        <w:tc>
          <w:tcPr>
            <w:tcW w:type="dxa" w:w="1440"/>
            <w:shd w:fill="FAFAFA" w:val="clear"/>
          </w:tcPr>
          <w:p>
            <w:r>
              <w:rPr>
                <w:sz w:val="17"/>
              </w:rPr>
              <w:t>12,019</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2026-10-15</w:t>
            </w:r>
          </w:p>
        </w:tc>
        <w:tc>
          <w:tcPr>
            <w:tcW w:type="dxa" w:w="1440"/>
            <w:shd w:fill="FAFAFA" w:val="clear"/>
          </w:tcPr>
          <w:p>
            <w:r>
              <w:rPr>
                <w:sz w:val="17"/>
              </w:rPr>
              <w:t>10,651</w:t>
            </w:r>
          </w:p>
        </w:tc>
        <w:tc>
          <w:tcPr>
            <w:tcW w:type="dxa" w:w="1440"/>
            <w:shd w:fill="FAFAFA" w:val="clear"/>
          </w:tcPr>
          <w:p>
            <w:r>
              <w:rPr>
                <w:b/>
                <w:sz w:val="17"/>
              </w:rPr>
              <w:t>11,382</w:t>
            </w:r>
          </w:p>
        </w:tc>
        <w:tc>
          <w:tcPr>
            <w:tcW w:type="dxa" w:w="1440"/>
            <w:shd w:fill="FAFAFA" w:val="clear"/>
          </w:tcPr>
          <w:p>
            <w:r>
              <w:rPr>
                <w:sz w:val="17"/>
              </w:rPr>
              <w:t>12,114</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2026-10-16</w:t>
            </w:r>
          </w:p>
        </w:tc>
        <w:tc>
          <w:tcPr>
            <w:tcW w:type="dxa" w:w="1440"/>
            <w:shd w:fill="FAFAFA" w:val="clear"/>
          </w:tcPr>
          <w:p>
            <w:r>
              <w:rPr>
                <w:sz w:val="17"/>
              </w:rPr>
              <w:t>10,596</w:t>
            </w:r>
          </w:p>
        </w:tc>
        <w:tc>
          <w:tcPr>
            <w:tcW w:type="dxa" w:w="1440"/>
            <w:shd w:fill="FAFAFA" w:val="clear"/>
          </w:tcPr>
          <w:p>
            <w:r>
              <w:rPr>
                <w:b/>
                <w:sz w:val="17"/>
              </w:rPr>
              <w:t>11,399</w:t>
            </w:r>
          </w:p>
        </w:tc>
        <w:tc>
          <w:tcPr>
            <w:tcW w:type="dxa" w:w="1440"/>
            <w:shd w:fill="FAFAFA" w:val="clear"/>
          </w:tcPr>
          <w:p>
            <w:r>
              <w:rPr>
                <w:sz w:val="17"/>
              </w:rPr>
              <w:t>12,201</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2026-10-19</w:t>
            </w:r>
          </w:p>
        </w:tc>
        <w:tc>
          <w:tcPr>
            <w:tcW w:type="dxa" w:w="1440"/>
            <w:shd w:fill="FAFAFA" w:val="clear"/>
          </w:tcPr>
          <w:p>
            <w:r>
              <w:rPr>
                <w:sz w:val="17"/>
              </w:rPr>
              <w:t>10,546</w:t>
            </w:r>
          </w:p>
        </w:tc>
        <w:tc>
          <w:tcPr>
            <w:tcW w:type="dxa" w:w="1440"/>
            <w:shd w:fill="FAFAFA" w:val="clear"/>
          </w:tcPr>
          <w:p>
            <w:r>
              <w:rPr>
                <w:b/>
                <w:sz w:val="17"/>
              </w:rPr>
              <w:t>11,414</w:t>
            </w:r>
          </w:p>
        </w:tc>
        <w:tc>
          <w:tcPr>
            <w:tcW w:type="dxa" w:w="1440"/>
            <w:shd w:fill="FAFAFA" w:val="clear"/>
          </w:tcPr>
          <w:p>
            <w:r>
              <w:rPr>
                <w:sz w:val="17"/>
              </w:rPr>
              <w:t>12,282</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2026-10-20</w:t>
            </w:r>
          </w:p>
        </w:tc>
        <w:tc>
          <w:tcPr>
            <w:tcW w:type="dxa" w:w="1440"/>
            <w:shd w:fill="FAFAFA" w:val="clear"/>
          </w:tcPr>
          <w:p>
            <w:r>
              <w:rPr>
                <w:sz w:val="17"/>
              </w:rPr>
              <w:t>10,499</w:t>
            </w:r>
          </w:p>
        </w:tc>
        <w:tc>
          <w:tcPr>
            <w:tcW w:type="dxa" w:w="1440"/>
            <w:shd w:fill="FAFAFA" w:val="clear"/>
          </w:tcPr>
          <w:p>
            <w:r>
              <w:rPr>
                <w:b/>
                <w:sz w:val="17"/>
              </w:rPr>
              <w:t>11,429</w:t>
            </w:r>
          </w:p>
        </w:tc>
        <w:tc>
          <w:tcPr>
            <w:tcW w:type="dxa" w:w="1440"/>
            <w:shd w:fill="FAFAFA" w:val="clear"/>
          </w:tcPr>
          <w:p>
            <w:r>
              <w:rPr>
                <w:sz w:val="17"/>
              </w:rPr>
              <w:t>12,358</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2026-10-21</w:t>
            </w:r>
          </w:p>
        </w:tc>
        <w:tc>
          <w:tcPr>
            <w:tcW w:type="dxa" w:w="1440"/>
            <w:shd w:fill="FAFAFA" w:val="clear"/>
          </w:tcPr>
          <w:p>
            <w:r>
              <w:rPr>
                <w:sz w:val="17"/>
              </w:rPr>
              <w:t>10,456</w:t>
            </w:r>
          </w:p>
        </w:tc>
        <w:tc>
          <w:tcPr>
            <w:tcW w:type="dxa" w:w="1440"/>
            <w:shd w:fill="FAFAFA" w:val="clear"/>
          </w:tcPr>
          <w:p>
            <w:r>
              <w:rPr>
                <w:b/>
                <w:sz w:val="17"/>
              </w:rPr>
              <w:t>11,443</w:t>
            </w:r>
          </w:p>
        </w:tc>
        <w:tc>
          <w:tcPr>
            <w:tcW w:type="dxa" w:w="1440"/>
            <w:shd w:fill="FAFAFA" w:val="clear"/>
          </w:tcPr>
          <w:p>
            <w:r>
              <w:rPr>
                <w:sz w:val="17"/>
              </w:rPr>
              <w:t>12,430</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2026-10-22</w:t>
            </w:r>
          </w:p>
        </w:tc>
        <w:tc>
          <w:tcPr>
            <w:tcW w:type="dxa" w:w="1440"/>
            <w:shd w:fill="FAFAFA" w:val="clear"/>
          </w:tcPr>
          <w:p>
            <w:r>
              <w:rPr>
                <w:sz w:val="17"/>
              </w:rPr>
              <w:t>10,415</w:t>
            </w:r>
          </w:p>
        </w:tc>
        <w:tc>
          <w:tcPr>
            <w:tcW w:type="dxa" w:w="1440"/>
            <w:shd w:fill="FAFAFA" w:val="clear"/>
          </w:tcPr>
          <w:p>
            <w:r>
              <w:rPr>
                <w:b/>
                <w:sz w:val="17"/>
              </w:rPr>
              <w:t>11,457</w:t>
            </w:r>
          </w:p>
        </w:tc>
        <w:tc>
          <w:tcPr>
            <w:tcW w:type="dxa" w:w="1440"/>
            <w:shd w:fill="FAFAFA" w:val="clear"/>
          </w:tcPr>
          <w:p>
            <w:r>
              <w:rPr>
                <w:sz w:val="17"/>
              </w:rPr>
              <w:t>12,499</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451,80 milliards FCFA, BOAC s'impose comme l'une des valeurs bancaires de référence de la cote BRVM, un niveau qui traduit la solidité et la taille significative de l'établissement au sein de l'UMOA. Le BPA de 888 FCFA/action signifie que chaque titre génère près de 888 FCFA de bénéfice net, un rendement intrinsèque élevé qui soutient la qualité de la valeur. Le PER de 12,7x se situe légèrement au-dessus de la moyenne BRVM (8-12x), ce qui indique que les investisseurs paient une prime modérée pour les bénéfices de BOAC, sans pour autant tomber dans une surévaluation excessive. Le P/B de 3,55x révèle que le marché valorise la banque à plus de trois fois sa valeur comptable, une prime de croissance justifiée par un ROE exceptionnel de 27,9%. En revanche, l'EV/EBITDA de 26,4x apparaît très exigeant (&gt;15x), signalant que la valeur d'entreprise intègre déjà une forte anticipation de croissance opérationnelle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affiche une performance remarquable de +30,88%, portant le cours actuel à 11 295 FCFA, malgré une quasi-stabilité sur la dernière séance (variation J-1 de -0,04%). Le titre a évolué dans un range large entre un plus bas de 8 630 FCFA et un plus haut de 13 450 FCFA, soit une amplitude de trading de près de 56%, ce qui témoigne d'une dynamique haussière soutenue mais ponctuée de corrections. La tendance générale reste haussière sur la période, le cours actuel se maintenant au-dessus de la moyenne (10 636 FCFA) et de la médiane (10 798 FCFA), bien qu'il se soit replié depuis les sommets. Les statistiques descriptives révèlent une distribution quasi-symétrique (skewness de 0,208) avec une moyenne légèrement inférieure à la médiane, suggérant une légère pression vendeuse en fin de période. L'écart-type de 1 530 FCFA (CV de 14,4%) indique une dispersion modérée du cours autour de sa moyenne, tandis que le kurtosis négatif de -1,467 (distribution platykurtique) signale une faible concentration des variations et un risque de pics extrêmes limité. La volatilité annualisée de 27,9% positionne BOAC dans la catégorie des titres à volatilité modérée (15-30%), ce qui reste acceptable pour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(11 674,5 FCFA) et la MM50 (12 037,7 FCFA) se situent toutes deux au-dessus du cours actuel (11 295 FCFA), confirmant une configuration baissière de court terme. Le croisement de la MM20 sous la MM50 (death cross) renforce le signal de vente, indiquant que la dynamique haussière des 100 derniers jours s'essouffle et que le titre pourrait tester des supports inférieurs.</w:t>
      </w:r>
    </w:p>
    <w:p>
      <w:pPr>
        <w:spacing w:after="120" w:line="276" w:lineRule="auto"/>
      </w:pPr>
      <w:r>
        <w:t>**Bandes de Bollinger :** Le cours actuel (11 295 FCFA) évolue dans la partie basse de la bande, entre la borne inférieure (10 783 FCFA) et la borne supérieure (12 566 FCFA), sans franchir ces limites. Cette position neutre suggère une absence de signal directionnel fort, mais la proximité de la borne inférieure indique une pression baissière latente qui pourrait se matérialiser en cas de rupture des 10 783 FCFA.</w:t>
      </w:r>
    </w:p>
    <w:p>
      <w:pPr>
        <w:spacing w:after="120" w:line="276" w:lineRule="auto"/>
      </w:pPr>
      <w:r>
        <w:t>**MACD :** La valeur du MACD (-212,468) est inférieure à son signal (-171,548), confirmant un momentum baissier. Cet écart négatif entre les deux lignes indique que la pression vendeuse persiste et que le titre n'a pas encore trouvé de point de retournement technique, justifiant la décision de vente.</w:t>
      </w:r>
    </w:p>
    <w:p>
      <w:pPr>
        <w:spacing w:after="120" w:line="276" w:lineRule="auto"/>
      </w:pPr>
      <w:r>
        <w:t>**RSI :** À 36,04, le RSI se situe dans la zone neutre basse (30-70), sans atteindre le seuil de survente (&lt;30). Cette configuration indique que le titre n'est ni suracheté ni survendu, mais qu'il évolue dans une dynamique baissière modérée, laissant entrevoir un potentiel de rebond technique si le seuil de 30 venait à être testé.</w:t>
      </w:r>
    </w:p>
    <w:p>
      <w:pPr>
        <w:spacing w:after="120" w:line="276" w:lineRule="auto"/>
      </w:pPr>
      <w:r>
        <w:t>**Stochastique :** Le %K (49,254) est légèrement supérieur au %D (42,282), suggérant un début de croisement haussier potentiel. Cependant, les deux lignes restent proches de la zone médiane (50), ce qui ne permet pas de confirmer un signal d'achat fort — la décision reste neutre, en attente d'une confirmation par un franchissement durable du seuil de 50.</w:t>
      </w:r>
    </w:p>
    <w:p>
      <w:pPr>
        <w:spacing w:after="120" w:line="276" w:lineRule="auto"/>
      </w:pPr>
      <w:r>
        <w:t>**Conclusion technique :** L'ensemble des indicateurs techniques convergent vers un signal baissier ou neutre : les moyennes mobiles sont en configuration de vente, le MACD confirme un momentum négatif, et le cours évolue dans la partie basse des bandes de Bollinger. Seul le RSI (36,04) et le stochastique (49,25) laissent entrevoir un potentiel de stabilisation, mais sans signal d'achat clair. La prudence reste de mise à court terme, le titre pouvant tester le support des 10 783 FCFA avant toute reprise durable.</w:t>
      </w:r>
    </w:p>
    <w:p>
      <w:pPr>
        <w:spacing w:after="120" w:line="276" w:lineRule="auto"/>
      </w:pPr>
      <w:r>
        <w:t>---</w:t>
      </w:r>
    </w:p>
    <w:p>
      <w:pPr>
        <w:spacing w:after="120" w:line="276" w:lineRule="auto"/>
      </w:pPr>
      <w:r>
        <w:t>## PARTIE 3 : ANALYSE FONDAMENTALE</w:t>
      </w:r>
    </w:p>
    <w:p>
      <w:pPr>
        <w:spacing w:after="120" w:line="276" w:lineRule="auto"/>
      </w:pPr>
      <w:r>
        <w:t>En 2025, BOAC affiche des fondamentaux solides et en amélioration, avec un Produit Net Bancaire (PNB) de 73 545 millions FCFA, en hausse de +1,1% par rapport à 2024 (72 724 millions FCFA), selon le rapport annuel des commissaires aux comptes au 31 décembre 2025. Le résultat net s'établit à 35 540 millions FCFA, en progression de +10,9% sur un an, porté par une amélioration notable du coût du risque (-27,8%, à -4 902 millions FCFA) et une bonne maîtrise des charges. La rentabilité est exceptionnelle : le ROE atteint 27,9% (&gt;15% = excellent) et le ROA 3,22%, tandis que le coefficient d'exploitation de 36,7% (&lt;60% = banque efficace) témoigne d'une grande efficacité opérationnelle. La structure financière reste solide avec des capitaux propres de 127 340 millions FCFA et une autonomie financière de 11,5%, typique du modèle bancaire (les dépôts clientèle de 850 548 millions FCFA constituant la principale ressource). Le rapport du T1 2026 (publié le 31 mars 2026) indique un PNB de 18 960 millions FCFA (+3,09% sur un an) et un résultat net de 10 801 millions FCFA (+0,91%), mais signale une dégradation brutale du coût du risque (+314,75%, à -652 millions FCFA) — un point de vigilance majeur. On estime, sur la base de ce T1 2026, que l'exercice 2026 devrait maintenir une croissance modérée du PNB (autour de +3%) et un résultat net stable, sous réserve que la dégradation du coût du risque ne se confirme pas sur les trimestres suivants. Le rapport d'examen limité au 30 juin 2026 (émis le 30 septembre 2026) confirme la sincérité des états financiers semestriels sans anomalie significative, mais ne fournit pas de données chiffrées détaillées. La politique de dividende, avec 684 FCFA/action distribués au titre de 2024 (payout ~65%), offre un rendement attractif, et la banque dispose d'une marge de manœuvre pour maintenir ou augmenter ce dividende en 2025-2026. En synthèse, BOAC présente une solidité financière remarquable, une rentabilité exceptionnelle et une croissance rentable, mais la hausse des créances en souffrance (+52,1% en 2025) et la dégradation du coût du risque au T1 2026 constituent des risques à surveiller de près.</w:t>
      </w:r>
    </w:p>
    <w:p>
      <w:pPr>
        <w:spacing w:after="120" w:line="276" w:lineRule="auto"/>
      </w:pPr>
      <w:r>
        <w:t>---</w:t>
      </w:r>
    </w:p>
    <w:p>
      <w:pPr>
        <w:spacing w:after="120" w:line="276" w:lineRule="auto"/>
      </w:pPr>
      <w:r>
        <w:t>## PARTIE 4 : CONCLUSION D'INVESTISSEMENT</w:t>
      </w:r>
    </w:p>
    <w:p>
      <w:pPr>
        <w:spacing w:after="120" w:line="276" w:lineRule="auto"/>
      </w:pPr>
      <w:r>
        <w:t>La valorisation de BOAC (Partie 0) apparaît raisonnable au regard de ses fondamentaux : le PER de 12,7x est légèrement supérieur à la moyenne BRVM, mais le P/B de 3,55x et l'EV/EBITDA de 26,4x intègrent déjà une prime de croissance significative, limitant le potentiel de réévaluation à court terme. Le comportement du cours (Partie 1) révèle une tendance haussière sur 100 jours (+30,88%) mais un essoufflement récent, avec une volatilité modérée (27,9%) et une distribution symétrique (skewness 0,208) sans risque de pics extrêmes (kurtosis -1,467). Les signaux techniques (Partie 2) sont majoritairement baissiers à court terme (MM en configuration de vente, MACD négatif, cours sous les MM), bien que le RSI (36,04) et le stochastique (49,25) laissent entrevoir un potentiel de stabilisation. Les fondamentaux (Partie 3) restent excellents : ROE de 27,9%, coefficient d'exploitation de 36,7%, résultat net en hausse de +10,9% en 2025, mais la dégradation du coût du risque au T1 2026 (+314,75%) et la hausse des créances en souffrance (+52,1%) constituent des signaux d'alerte. Les prédictions IA (J+1 à J+10) anticipent une légère reprise du cours (11 315 FCFA à 11 382 FCFA), ce qui contredit partiellement les signaux techniques baissiers mais reste cohérent avec la solidité fondamentale. **Recommandation finale : CONSERVER.** La convergence entre une valorisation raisonnable, des fondamentaux solides et une prédiction de stabilisation du cours justifie une position d'attente, mais les risques de dégradation du coût du risque et la configuration technique baissière à court terme incitent à la prudence. Le niveau de confiance est **Moyen**, le risque global **Moyen**, et l'horizon d'investissement optimal est le **moyen terme (3-12 mois)**, le temps que la banque confirme la maîtrise de son coût du risque et que les indicateurs techniques se retournent à la hausse.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6,464 titres</w:t>
            </w:r>
          </w:p>
        </w:tc>
        <w:tc>
          <w:tcPr>
            <w:tcW w:type="dxa" w:w="2268"/>
            <w:shd w:fill="FFF2CC" w:val="clear"/>
          </w:tcPr>
          <w:p>
            <w:r>
              <w:rPr>
                <w:b/>
                <w:color w:val="503200"/>
                <w:sz w:val="16"/>
              </w:rPr>
              <w:t xml:space="preserve">Cours actuel : </w:t>
            </w:r>
            <w:r>
              <w:rPr>
                <w:color w:val="000000"/>
                <w:sz w:val="17"/>
              </w:rPr>
              <w:t>6,095 FCFA</w:t>
            </w:r>
          </w:p>
          <w:p>
            <w:r>
              <w:rPr>
                <w:b/>
                <w:color w:val="503200"/>
                <w:sz w:val="16"/>
              </w:rPr>
              <w:t xml:space="preserve">Var. 100 jours : </w:t>
            </w:r>
            <w:r>
              <w:rPr>
                <w:b/>
                <w:color w:val="007800"/>
                <w:sz w:val="17"/>
              </w:rPr>
              <w:t>+29.96%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13.52% (Moyenne) — μ=5,645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β=1.3528 (Agressif) — Cov=0.000100, Var(idx)=0.000074, ρ=0.419,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5,697</w:t>
            </w:r>
          </w:p>
        </w:tc>
        <w:tc>
          <w:tcPr>
            <w:tcW w:type="dxa" w:w="1440"/>
            <w:shd w:fill="FAFAFA" w:val="clear"/>
          </w:tcPr>
          <w:p>
            <w:r>
              <w:rPr>
                <w:b/>
                <w:sz w:val="17"/>
              </w:rPr>
              <w:t>6,035</w:t>
            </w:r>
          </w:p>
        </w:tc>
        <w:tc>
          <w:tcPr>
            <w:tcW w:type="dxa" w:w="1440"/>
            <w:shd w:fill="FAFAFA" w:val="clear"/>
          </w:tcPr>
          <w:p>
            <w:r>
              <w:rPr>
                <w:sz w:val="17"/>
              </w:rPr>
              <w:t>6,373</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5,484</w:t>
            </w:r>
          </w:p>
        </w:tc>
        <w:tc>
          <w:tcPr>
            <w:tcW w:type="dxa" w:w="1440"/>
            <w:shd w:fill="FFDCE0" w:val="clear"/>
          </w:tcPr>
          <w:p>
            <w:r>
              <w:rPr>
                <w:b/>
                <w:sz w:val="17"/>
              </w:rPr>
              <w:t>5,956</w:t>
            </w:r>
          </w:p>
        </w:tc>
        <w:tc>
          <w:tcPr>
            <w:tcW w:type="dxa" w:w="1440"/>
            <w:shd w:fill="FFDCE0" w:val="clear"/>
          </w:tcPr>
          <w:p>
            <w:r>
              <w:rPr>
                <w:sz w:val="17"/>
              </w:rPr>
              <w:t>6,427</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5,310</w:t>
            </w:r>
          </w:p>
        </w:tc>
        <w:tc>
          <w:tcPr>
            <w:tcW w:type="dxa" w:w="1440"/>
            <w:shd w:fill="FFDCE0" w:val="clear"/>
          </w:tcPr>
          <w:p>
            <w:r>
              <w:rPr>
                <w:b/>
                <w:sz w:val="17"/>
              </w:rPr>
              <w:t>5,880</w:t>
            </w:r>
          </w:p>
        </w:tc>
        <w:tc>
          <w:tcPr>
            <w:tcW w:type="dxa" w:w="1440"/>
            <w:shd w:fill="FFDCE0" w:val="clear"/>
          </w:tcPr>
          <w:p>
            <w:r>
              <w:rPr>
                <w:sz w:val="17"/>
              </w:rPr>
              <w:t>6,450</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5,162</w:t>
            </w:r>
          </w:p>
        </w:tc>
        <w:tc>
          <w:tcPr>
            <w:tcW w:type="dxa" w:w="1440"/>
            <w:shd w:fill="FFDCE0" w:val="clear"/>
          </w:tcPr>
          <w:p>
            <w:r>
              <w:rPr>
                <w:b/>
                <w:sz w:val="17"/>
              </w:rPr>
              <w:t>5,813</w:t>
            </w:r>
          </w:p>
        </w:tc>
        <w:tc>
          <w:tcPr>
            <w:tcW w:type="dxa" w:w="1440"/>
            <w:shd w:fill="FFDCE0" w:val="clear"/>
          </w:tcPr>
          <w:p>
            <w:r>
              <w:rPr>
                <w:sz w:val="17"/>
              </w:rPr>
              <w:t>6,464</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5,033</w:t>
            </w:r>
          </w:p>
        </w:tc>
        <w:tc>
          <w:tcPr>
            <w:tcW w:type="dxa" w:w="1440"/>
            <w:shd w:fill="FFDCE0" w:val="clear"/>
          </w:tcPr>
          <w:p>
            <w:r>
              <w:rPr>
                <w:b/>
                <w:sz w:val="17"/>
              </w:rPr>
              <w:t>5,754</w:t>
            </w:r>
          </w:p>
        </w:tc>
        <w:tc>
          <w:tcPr>
            <w:tcW w:type="dxa" w:w="1440"/>
            <w:shd w:fill="FFDCE0" w:val="clear"/>
          </w:tcPr>
          <w:p>
            <w:r>
              <w:rPr>
                <w:sz w:val="17"/>
              </w:rPr>
              <w:t>6,474</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4,917</w:t>
            </w:r>
          </w:p>
        </w:tc>
        <w:tc>
          <w:tcPr>
            <w:tcW w:type="dxa" w:w="1440"/>
            <w:shd w:fill="FFDCE0" w:val="clear"/>
          </w:tcPr>
          <w:p>
            <w:r>
              <w:rPr>
                <w:b/>
                <w:sz w:val="17"/>
              </w:rPr>
              <w:t>5,699</w:t>
            </w:r>
          </w:p>
        </w:tc>
        <w:tc>
          <w:tcPr>
            <w:tcW w:type="dxa" w:w="1440"/>
            <w:shd w:fill="FFDCE0" w:val="clear"/>
          </w:tcPr>
          <w:p>
            <w:r>
              <w:rPr>
                <w:sz w:val="17"/>
              </w:rPr>
              <w:t>6,480</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4,811</w:t>
            </w:r>
          </w:p>
        </w:tc>
        <w:tc>
          <w:tcPr>
            <w:tcW w:type="dxa" w:w="1440"/>
            <w:shd w:fill="FFDCE0" w:val="clear"/>
          </w:tcPr>
          <w:p>
            <w:r>
              <w:rPr>
                <w:b/>
                <w:sz w:val="17"/>
              </w:rPr>
              <w:t>5,647</w:t>
            </w:r>
          </w:p>
        </w:tc>
        <w:tc>
          <w:tcPr>
            <w:tcW w:type="dxa" w:w="1440"/>
            <w:shd w:fill="FFDCE0" w:val="clear"/>
          </w:tcPr>
          <w:p>
            <w:r>
              <w:rPr>
                <w:sz w:val="17"/>
              </w:rPr>
              <w:t>6,484</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4,712</w:t>
            </w:r>
          </w:p>
        </w:tc>
        <w:tc>
          <w:tcPr>
            <w:tcW w:type="dxa" w:w="1440"/>
            <w:shd w:fill="FFDCE0" w:val="clear"/>
          </w:tcPr>
          <w:p>
            <w:r>
              <w:rPr>
                <w:b/>
                <w:sz w:val="17"/>
              </w:rPr>
              <w:t>5,598</w:t>
            </w:r>
          </w:p>
        </w:tc>
        <w:tc>
          <w:tcPr>
            <w:tcW w:type="dxa" w:w="1440"/>
            <w:shd w:fill="FFDCE0" w:val="clear"/>
          </w:tcPr>
          <w:p>
            <w:r>
              <w:rPr>
                <w:sz w:val="17"/>
              </w:rPr>
              <w:t>6,485</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4,619</w:t>
            </w:r>
          </w:p>
        </w:tc>
        <w:tc>
          <w:tcPr>
            <w:tcW w:type="dxa" w:w="1440"/>
            <w:shd w:fill="FFDCE0" w:val="clear"/>
          </w:tcPr>
          <w:p>
            <w:r>
              <w:rPr>
                <w:b/>
                <w:sz w:val="17"/>
              </w:rPr>
              <w:t>5,552</w:t>
            </w:r>
          </w:p>
        </w:tc>
        <w:tc>
          <w:tcPr>
            <w:tcW w:type="dxa" w:w="1440"/>
            <w:shd w:fill="FFDCE0" w:val="clear"/>
          </w:tcPr>
          <w:p>
            <w:r>
              <w:rPr>
                <w:sz w:val="17"/>
              </w:rPr>
              <w:t>6,484</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4,532</w:t>
            </w:r>
          </w:p>
        </w:tc>
        <w:tc>
          <w:tcPr>
            <w:tcW w:type="dxa" w:w="1440"/>
            <w:shd w:fill="FFDCE0" w:val="clear"/>
          </w:tcPr>
          <w:p>
            <w:r>
              <w:rPr>
                <w:b/>
                <w:sz w:val="17"/>
              </w:rPr>
              <w:t>5,507</w:t>
            </w:r>
          </w:p>
        </w:tc>
        <w:tc>
          <w:tcPr>
            <w:tcW w:type="dxa" w:w="1440"/>
            <w:shd w:fill="FFDCE0" w:val="clear"/>
          </w:tcPr>
          <w:p>
            <w:r>
              <w:rPr>
                <w:sz w:val="17"/>
              </w:rPr>
              <w:t>6,483</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167,31 milliards FCFA, BOA Mali se positionne comme une valeur de taille intermédiaire sur la BRVM, représentant une capitalisation significative pour le compartiment bancaire régional. Le BPA de 404 FCFA/action indique que chaque titre génère près de 404 FCFA de bénéfice net, ce qui, rapporté au cours actuel de 6 095 FCFA, donne un PER de 15,1x — un niveau modéré mais légèrement supérieur à la moyenne BRVM (8-12x), traduisant une prime de qualité justifiée par la régularité des résultats. Le ratio P/B de 3,36x signale que le marché valorise la banque à plus de trois fois sa valeur comptable, une prime de croissance accordée aux établissements affichant un ROE supérieur à 20%. Enfin, l'EV/EBITDA de 7,7x, situé dans la fourchette raisonnable de 5-10x, confirme que la valeur d'entreprise reste cohérente avec la capacité opérationnelle de génération de cash-flows,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affiche une performance remarquable de **+29,96%**, bien que la dernière séance (J-1) soit restée stable à +0,00%, signalant une pause dans le mouvement haussier. Le titre a évolué dans un range large entre un plus bas de 4 425 FCFA et un plus haut de 7 195 FCFA, pour un cours actuel de 6 095 FCFA — soit une position médiane dans ce canal, suggérant que le marché digère actuellement les gains accumulés. La tendance générale demeure haussière, portée par des fondamentaux solides et un intérêt croissant pour les valeurs bancaires de la zone UEMOA. Les statistiques descriptives révèlent une moyenne égale à la médiane (5 645 FCFA), confirmant une distribution symétrique (skewness de 0,169), tandis que l'écart-type de 767 FCFA et le coefficient de variation de 13,6% indiquent une dispersion modérée du cours autour de sa tendance centrale. Le kurtosis négatif (-1,009) signale une distribution platykurtique — c'est-à-dire un risque de pics extrêmes plus faible qu'une loi normale, ce qui est rassurant pour la gestion du risque. Avec une volatilité annualisée de 43,5%, le titre se classe dans la catégorie **élevée** (&gt;30%), typique des valeurs bancaires africaines soumises aux aléas macroéconomiques et sécuritaires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6 382,5 FCFA et la MM50 à 6 268,6 FCFA, toutes deux supérieures au cours actuel de 6 095 FCFA. Cette configuration — cours sous les moyennes mobiles — traduit une pression baissière de court terme, mais la décision technique reste à l'**Achat**, probablement en raison de la tendance haussière de fond et du potentiel de rebond vers ces niveaux de référence.</w:t>
      </w:r>
    </w:p>
    <w:p>
      <w:pPr>
        <w:spacing w:after="120" w:line="276" w:lineRule="auto"/>
      </w:pPr>
      <w:r>
        <w:t>**Bandes de Bollinger :** La borne supérieure se situe à 7 395,7 FCFA et la borne inférieure à 5 369,3 FCFA, encadrant le cours actuel de 6 095 FCFA. Le titre évolue dans la partie basse du canal, sans atteindre la zone de survente, ce qui justifie une décision **Neutre** — le marché attend un catalyseur pour choisir une direction.</w:t>
      </w:r>
    </w:p>
    <w:p>
      <w:pPr>
        <w:spacing w:after="120" w:line="276" w:lineRule="auto"/>
      </w:pPr>
      <w:r>
        <w:t>**MACD :** La valeur du MACD (-97,138) est inférieure à son signal (-60,22), générant une décision de **Vente**. Cette divergence négative indique un momentum baissier de court terme, bien que l'écart reste modéré et puisse se résorber rapidement si le cours rebondit.</w:t>
      </w:r>
    </w:p>
    <w:p>
      <w:pPr>
        <w:spacing w:after="120" w:line="276" w:lineRule="auto"/>
      </w:pPr>
      <w:r>
        <w:t>**RSI :** À 35,39, le RSI se situe dans la zone neutre basse (30-70), proche du seuil de survente (30). La décision est **Neutre**, suggérant que le titre n'est ni suracheté ni survendu, mais qu'une pression vendeuse modérée persiste.</w:t>
      </w:r>
    </w:p>
    <w:p>
      <w:pPr>
        <w:spacing w:after="120" w:line="276" w:lineRule="auto"/>
      </w:pPr>
      <w:r>
        <w:t>**Stochastique :** Le %K (50,607) est légèrement supérieur au %D (45,099), sans croisement net. La décision **Neutre** reflète une absence de signal directionnel fort, le marché étant en phase de consolidation.</w:t>
      </w:r>
    </w:p>
    <w:p>
      <w:pPr>
        <w:spacing w:after="120" w:line="276" w:lineRule="auto"/>
      </w:pPr>
      <w:r>
        <w:t>**Conclusion technique :** Les indicateurs techniques présentent un tableau mitigé — les moyennes mobiles restent orientées à l'achat sur le fond, mais le MACD signale une pression baissière de court terme, tandis que le RSI et le stochastique demeurent neutres. Le titre évolue dans une phase de consolidation après une forte hausse de près de 30% sur 100 jours, et les prédictions IA anticipent une poursuite de la correction vers 5 754 FCFA à J+10. Une prudence tactique s'impose à court terme, mais la structure haussière de moyen terme n'est pas remise en cause.</w:t>
      </w:r>
    </w:p>
    <w:p>
      <w:pPr>
        <w:spacing w:after="120" w:line="276" w:lineRule="auto"/>
      </w:pPr>
      <w:r>
        <w:t>---</w:t>
      </w:r>
    </w:p>
    <w:p>
      <w:pPr>
        <w:spacing w:after="120" w:line="276" w:lineRule="auto"/>
      </w:pPr>
      <w:r>
        <w:t>## PARTIE 3 : ANALYSE FONDAMENTALE</w:t>
      </w:r>
    </w:p>
    <w:p>
      <w:pPr>
        <w:spacing w:after="120" w:line="276" w:lineRule="auto"/>
      </w:pPr>
      <w:r>
        <w:t>**Données structurées (exercice 2025) :** BOA Mali affiche un Produit Net Bancaire (PNB) de 37,996 milliards FCFA en 2025, en croissance de 5,08% sur un an, confirmant la dynamique commerciale de la banque malgré un contexte sécuritaire et macroéconomique difficile. Le résultat net s'élève à 11,081 milliards FCFA, générant un ROE exceptionnel de 22,24% (largement supérieur au seuil de 15% considéré comme excellent) et un ROA de 1,87%, reflet de la capacité de la banque à rentabiliser efficacement ses actifs. Le coefficient d'exploitation de 63,14% reste légèrement au-dessus du seuil de 60% (banque efficace), indiquant une marge d'amélioration sur la maîtrise des charges, tandis que le coût du risque rapporté aux charges financières (43,39%) demeure élevé, signalant un portefeuille de crédits encore exposé à des risques de contrepartie. La structure bilancielle est solide avec des dépôts clientèle de 502,890 milliards FCFA (principale ressource) et des créances clientèle de 253,648 milliards FCFA, soit un ratio de transformation (crédits/dépôts) de 50,4% — une marge de progression importante pour améliorer la rentabilité. L'autonomie financière de 8,39% (capitaux propres/total bilan) est faible, typique des banques, mais la solvabilité générale de 109,16% confirme la capacité à couvrir les dettes.</w:t>
      </w:r>
    </w:p>
    <w:p>
      <w:pPr>
        <w:spacing w:after="120" w:line="276" w:lineRule="auto"/>
      </w:pPr>
      <w:r>
        <w:t>**Estimations basées sur les rapports trimestriels :** Les rapports narratifs les plus récents (T1 2026, S1 2026) révèlent une accélération spectaculaire de la croissance : le PNB du T1 2026 atteint 10,322 milliards FCFA (+22,97% sur un an), et celui du S1 2026 s'élève à 21,987 milliards FCFA (+17,5% sur un an). Sur cette base, on peut estimer que l'exercice 2026 devrait enregistrer un PNB annuel compris entre 42 et 44 milliards FCFA, soit une croissance de 10-15% par rapport à 2025 — une nette accélération par rapport à la croissance de 5,08% observée en 2025. Le rapport S1 2025 (daté du 30 juin 2025) mentionnait déjà une hausse de 28,8% du résultat net, tendance confirmée et amplifiée en 2026. Le rapport T3 2025 (30 septembre 2025) faisait état d'un résultat net cumulé de 9,16 milliards FCFA (+26,2%), laissant présager un exercice 2025 solide, ce que confirment les données structurées (11,081 milliards FCFA). La banque affiche donc une trajectoire de rentabilité croissante, portée par la maîtrise des coûts et l'amélioration du coût du risque, malgré un environnement sécuritaire préoccupant au Mali.</w:t>
      </w:r>
    </w:p>
    <w:p>
      <w:pPr>
        <w:spacing w:after="120" w:line="276" w:lineRule="auto"/>
      </w:pPr>
      <w:r>
        <w:t>**Recommandation fondamentale :** BOA Mali présente des fondamentaux solides — ROE élevé, croissance accélérée du PNB, structure bilancielle saine — mais les risques macroéconomiques (insécurité, inflation) et la faible autonomie financière (8,39%) appellent à une surveillance attentive. La valorisation (PER 15,1x) intègre déjà une prime de qualité, limitant le potentiel de re-rating à court terme. **Recommandation : CONSERVER**, avec un biais positif à moyen terme si la croissance du PNB se confirme au-delà de 15% en 2026.</w:t>
      </w:r>
    </w:p>
    <w:p>
      <w:pPr>
        <w:spacing w:after="120" w:line="276" w:lineRule="auto"/>
      </w:pPr>
      <w:r>
        <w:t>---</w:t>
      </w:r>
    </w:p>
    <w:p>
      <w:pPr>
        <w:spacing w:after="120" w:line="276" w:lineRule="auto"/>
      </w:pPr>
      <w:r>
        <w:t>## PARTIE 4 : CONCLUSION D'INVESTISSEMENT</w:t>
      </w:r>
    </w:p>
    <w:p>
      <w:pPr>
        <w:spacing w:after="120" w:line="276" w:lineRule="auto"/>
      </w:pPr>
      <w:r>
        <w:t>La valorisation de BOA Mali (PER 15,1x, P/B 3,36x, EV/EBITDA 7,7x) indique une juste appréciation du marché, sans sous-évaluation flagrante mais sans exubérance non plus — la prime de qualité est justifiée par un ROE de 22,24%. Le comportement du cours sur 100 jours (+29,96%) témoigne d'un fort momentum haussier, mais la stabilisation récente (J-1 à +0,00%) et la volatilité élevée (43,5%) suggèrent une phase de consolidation, avec une distribution symétrique (skewness 0,169) et un risque de pics extrêmes faible (kurtosis -1,009). Les signaux techniques sont mitigés : les moyennes mobiles restent orientées à l'achat, mais le MACD génère une décision de vente, tandis que le RSI (35,39) et le stochastique (neutres) n'offrent pas de direction claire — une divergence qui plaide pour la prudence à court terme. Les fondamentaux demeurent solides : PNB 2025 de 37,996 milliards FCFA (+5,08%), résultat net de 11,081 milliards FCFA, ROE de 22,24%, et les rapports T1/S1 2026 (+22,97% et +17,5% de croissance du PNB) laissent présager une accélération en 2026. Les prédictions IA anticipent une correction vers 5 754 FCFA à J+10 (-5,6%), ce qui contredit le momentum haussier de fond mais s'aligne avec la pression baissière de court terme du MACD. **Recommandation finale : CONSERVER**, avec un niveau de confiance **Moyen** et un risque global **Élevé** (volatilité 43,5%, contexte sécuritaire malien). Horizon d'investissement optimal : **moyen terme (3-12 mois)**, en attendant la confirmation de la croissance du PNB au S2 2026 et une stabilisation technique du cours au-dessus de 6 000 FCFA.</w:t>
      </w:r>
    </w:p>
    <w:p>
      <w:pPr>
        <w:spacing w:after="120" w:line="276" w:lineRule="auto"/>
      </w:pPr>
      <w:r>
        <w:t>---</w:t>
      </w:r>
    </w:p>
    <w:p>
      <w:pPr>
        <w:spacing w:after="120" w:line="276" w:lineRule="auto"/>
      </w:pPr>
      <w:r>
        <w:t>*Rapport généré le 8 octobre 2026 — Données au 7 octobre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8,969 titres</w:t>
            </w:r>
          </w:p>
        </w:tc>
        <w:tc>
          <w:tcPr>
            <w:tcW w:type="dxa" w:w="2268"/>
            <w:shd w:fill="FFF2CC" w:val="clear"/>
          </w:tcPr>
          <w:p>
            <w:r>
              <w:rPr>
                <w:b/>
                <w:color w:val="503200"/>
                <w:sz w:val="16"/>
              </w:rPr>
              <w:t xml:space="preserve">Cours actuel : </w:t>
            </w:r>
            <w:r>
              <w:rPr>
                <w:color w:val="000000"/>
                <w:sz w:val="17"/>
              </w:rPr>
              <w:t>4,800 FCFA</w:t>
            </w:r>
          </w:p>
          <w:p>
            <w:r>
              <w:rPr>
                <w:b/>
                <w:color w:val="503200"/>
                <w:sz w:val="16"/>
              </w:rPr>
              <w:t xml:space="preserve">Var. 100 jours : </w:t>
            </w:r>
            <w:r>
              <w:rPr>
                <w:b/>
                <w:color w:val="007800"/>
                <w:sz w:val="17"/>
              </w:rPr>
              <w:t>+39.33%</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3,445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14.95% (Moyenne) — μ=4,710 FCFA, σ=704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β=1.3504 (Agressif) — Cov=0.000099, Var(idx)=0.000074, ρ=0.439,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2026-10-09</w:t>
            </w:r>
          </w:p>
        </w:tc>
        <w:tc>
          <w:tcPr>
            <w:tcW w:type="dxa" w:w="1440"/>
            <w:shd w:fill="C6EFCE" w:val="clear"/>
          </w:tcPr>
          <w:p>
            <w:r>
              <w:rPr>
                <w:sz w:val="17"/>
              </w:rPr>
              <w:t>4,642</w:t>
            </w:r>
          </w:p>
        </w:tc>
        <w:tc>
          <w:tcPr>
            <w:tcW w:type="dxa" w:w="1440"/>
            <w:shd w:fill="C6EFCE" w:val="clear"/>
          </w:tcPr>
          <w:p>
            <w:r>
              <w:rPr>
                <w:b/>
                <w:sz w:val="17"/>
              </w:rPr>
              <w:t>4,918</w:t>
            </w:r>
          </w:p>
        </w:tc>
        <w:tc>
          <w:tcPr>
            <w:tcW w:type="dxa" w:w="1440"/>
            <w:shd w:fill="C6EFCE" w:val="clear"/>
          </w:tcPr>
          <w:p>
            <w:r>
              <w:rPr>
                <w:sz w:val="17"/>
              </w:rPr>
              <w:t>5,193</w:t>
            </w:r>
          </w:p>
        </w:tc>
        <w:tc>
          <w:tcPr>
            <w:tcW w:type="dxa" w:w="1440"/>
            <w:shd w:fill="C6EFCE" w:val="clear"/>
          </w:tcPr>
          <w:p>
            <w:r>
              <w:rPr>
                <w:b/>
                <w:color w:val="008000"/>
                <w:sz w:val="17"/>
              </w:rPr>
              <w:t>+2.4%</w:t>
            </w:r>
          </w:p>
        </w:tc>
      </w:tr>
      <w:tr>
        <w:tc>
          <w:tcPr>
            <w:tcW w:type="dxa" w:w="1440"/>
            <w:shd w:fill="C6EFCE" w:val="clear"/>
          </w:tcPr>
          <w:p>
            <w:r>
              <w:rPr>
                <w:sz w:val="17"/>
              </w:rPr>
              <w:t>J+2  ⭐</w:t>
            </w:r>
          </w:p>
        </w:tc>
        <w:tc>
          <w:tcPr>
            <w:tcW w:type="dxa" w:w="1440"/>
            <w:shd w:fill="C6EFCE" w:val="clear"/>
          </w:tcPr>
          <w:p>
            <w:r>
              <w:rPr>
                <w:sz w:val="17"/>
              </w:rPr>
              <w:t>2026-10-12</w:t>
            </w:r>
          </w:p>
        </w:tc>
        <w:tc>
          <w:tcPr>
            <w:tcW w:type="dxa" w:w="1440"/>
            <w:shd w:fill="C6EFCE" w:val="clear"/>
          </w:tcPr>
          <w:p>
            <w:r>
              <w:rPr>
                <w:sz w:val="17"/>
              </w:rPr>
              <w:t>4,534</w:t>
            </w:r>
          </w:p>
        </w:tc>
        <w:tc>
          <w:tcPr>
            <w:tcW w:type="dxa" w:w="1440"/>
            <w:shd w:fill="C6EFCE" w:val="clear"/>
          </w:tcPr>
          <w:p>
            <w:r>
              <w:rPr>
                <w:b/>
                <w:sz w:val="17"/>
              </w:rPr>
              <w:t>4,924</w:t>
            </w:r>
          </w:p>
        </w:tc>
        <w:tc>
          <w:tcPr>
            <w:tcW w:type="dxa" w:w="1440"/>
            <w:shd w:fill="C6EFCE" w:val="clear"/>
          </w:tcPr>
          <w:p>
            <w:r>
              <w:rPr>
                <w:sz w:val="17"/>
              </w:rPr>
              <w:t>5,314</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2026-10-13</w:t>
            </w:r>
          </w:p>
        </w:tc>
        <w:tc>
          <w:tcPr>
            <w:tcW w:type="dxa" w:w="1440"/>
            <w:shd w:fill="C6EFCE" w:val="clear"/>
          </w:tcPr>
          <w:p>
            <w:r>
              <w:rPr>
                <w:sz w:val="17"/>
              </w:rPr>
              <w:t>4,465</w:t>
            </w:r>
          </w:p>
        </w:tc>
        <w:tc>
          <w:tcPr>
            <w:tcW w:type="dxa" w:w="1440"/>
            <w:shd w:fill="C6EFCE" w:val="clear"/>
          </w:tcPr>
          <w:p>
            <w:r>
              <w:rPr>
                <w:b/>
                <w:sz w:val="17"/>
              </w:rPr>
              <w:t>4,945</w:t>
            </w:r>
          </w:p>
        </w:tc>
        <w:tc>
          <w:tcPr>
            <w:tcW w:type="dxa" w:w="1440"/>
            <w:shd w:fill="C6EFCE" w:val="clear"/>
          </w:tcPr>
          <w:p>
            <w:r>
              <w:rPr>
                <w:sz w:val="17"/>
              </w:rPr>
              <w:t>5,425</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2026-10-14</w:t>
            </w:r>
          </w:p>
        </w:tc>
        <w:tc>
          <w:tcPr>
            <w:tcW w:type="dxa" w:w="1440"/>
            <w:shd w:fill="C6EFCE" w:val="clear"/>
          </w:tcPr>
          <w:p>
            <w:r>
              <w:rPr>
                <w:sz w:val="17"/>
              </w:rPr>
              <w:t>4,410</w:t>
            </w:r>
          </w:p>
        </w:tc>
        <w:tc>
          <w:tcPr>
            <w:tcW w:type="dxa" w:w="1440"/>
            <w:shd w:fill="C6EFCE" w:val="clear"/>
          </w:tcPr>
          <w:p>
            <w:r>
              <w:rPr>
                <w:b/>
                <w:sz w:val="17"/>
              </w:rPr>
              <w:t>4,967</w:t>
            </w:r>
          </w:p>
        </w:tc>
        <w:tc>
          <w:tcPr>
            <w:tcW w:type="dxa" w:w="1440"/>
            <w:shd w:fill="C6EFCE" w:val="clear"/>
          </w:tcPr>
          <w:p>
            <w:r>
              <w:rPr>
                <w:sz w:val="17"/>
              </w:rPr>
              <w:t>5,524</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4,364</w:t>
            </w:r>
          </w:p>
        </w:tc>
        <w:tc>
          <w:tcPr>
            <w:tcW w:type="dxa" w:w="1440"/>
            <w:shd w:fill="C6EFCE" w:val="clear"/>
          </w:tcPr>
          <w:p>
            <w:r>
              <w:rPr>
                <w:b/>
                <w:sz w:val="17"/>
              </w:rPr>
              <w:t>4,990</w:t>
            </w:r>
          </w:p>
        </w:tc>
        <w:tc>
          <w:tcPr>
            <w:tcW w:type="dxa" w:w="1440"/>
            <w:shd w:fill="C6EFCE" w:val="clear"/>
          </w:tcPr>
          <w:p>
            <w:r>
              <w:rPr>
                <w:sz w:val="17"/>
              </w:rPr>
              <w:t>5,615</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4,324</w:t>
            </w:r>
          </w:p>
        </w:tc>
        <w:tc>
          <w:tcPr>
            <w:tcW w:type="dxa" w:w="1440"/>
            <w:shd w:fill="C6EFCE" w:val="clear"/>
          </w:tcPr>
          <w:p>
            <w:r>
              <w:rPr>
                <w:b/>
                <w:sz w:val="17"/>
              </w:rPr>
              <w:t>5,012</w:t>
            </w:r>
          </w:p>
        </w:tc>
        <w:tc>
          <w:tcPr>
            <w:tcW w:type="dxa" w:w="1440"/>
            <w:shd w:fill="C6EFCE" w:val="clear"/>
          </w:tcPr>
          <w:p>
            <w:r>
              <w:rPr>
                <w:sz w:val="17"/>
              </w:rPr>
              <w:t>5,700</w:t>
            </w:r>
          </w:p>
        </w:tc>
        <w:tc>
          <w:tcPr>
            <w:tcW w:type="dxa" w:w="1440"/>
            <w:shd w:fill="C6EFCE" w:val="clear"/>
          </w:tcPr>
          <w:p>
            <w:r>
              <w:rPr>
                <w:b/>
                <w:color w:val="008000"/>
                <w:sz w:val="17"/>
              </w:rPr>
              <w:t>+4.4%</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4,287</w:t>
            </w:r>
          </w:p>
        </w:tc>
        <w:tc>
          <w:tcPr>
            <w:tcW w:type="dxa" w:w="1440"/>
            <w:shd w:fill="C6EFCE" w:val="clear"/>
          </w:tcPr>
          <w:p>
            <w:r>
              <w:rPr>
                <w:b/>
                <w:sz w:val="17"/>
              </w:rPr>
              <w:t>5,034</w:t>
            </w:r>
          </w:p>
        </w:tc>
        <w:tc>
          <w:tcPr>
            <w:tcW w:type="dxa" w:w="1440"/>
            <w:shd w:fill="C6EFCE" w:val="clear"/>
          </w:tcPr>
          <w:p>
            <w:r>
              <w:rPr>
                <w:sz w:val="17"/>
              </w:rPr>
              <w:t>5,781</w:t>
            </w:r>
          </w:p>
        </w:tc>
        <w:tc>
          <w:tcPr>
            <w:tcW w:type="dxa" w:w="1440"/>
            <w:shd w:fill="C6EFCE" w:val="clear"/>
          </w:tcPr>
          <w:p>
            <w:r>
              <w:rPr>
                <w:b/>
                <w:color w:val="008000"/>
                <w:sz w:val="17"/>
              </w:rPr>
              <w:t>+4.9%</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4,254</w:t>
            </w:r>
          </w:p>
        </w:tc>
        <w:tc>
          <w:tcPr>
            <w:tcW w:type="dxa" w:w="1440"/>
            <w:shd w:fill="C6EFCE" w:val="clear"/>
          </w:tcPr>
          <w:p>
            <w:r>
              <w:rPr>
                <w:b/>
                <w:sz w:val="17"/>
              </w:rPr>
              <w:t>5,056</w:t>
            </w:r>
          </w:p>
        </w:tc>
        <w:tc>
          <w:tcPr>
            <w:tcW w:type="dxa" w:w="1440"/>
            <w:shd w:fill="C6EFCE" w:val="clear"/>
          </w:tcPr>
          <w:p>
            <w:r>
              <w:rPr>
                <w:sz w:val="17"/>
              </w:rPr>
              <w:t>5,858</w:t>
            </w:r>
          </w:p>
        </w:tc>
        <w:tc>
          <w:tcPr>
            <w:tcW w:type="dxa" w:w="1440"/>
            <w:shd w:fill="C6EFCE" w:val="clear"/>
          </w:tcPr>
          <w:p>
            <w:r>
              <w:rPr>
                <w:b/>
                <w:color w:val="008000"/>
                <w:sz w:val="17"/>
              </w:rPr>
              <w:t>+5.3%</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4,223</w:t>
            </w:r>
          </w:p>
        </w:tc>
        <w:tc>
          <w:tcPr>
            <w:tcW w:type="dxa" w:w="1440"/>
            <w:shd w:fill="C6EFCE" w:val="clear"/>
          </w:tcPr>
          <w:p>
            <w:r>
              <w:rPr>
                <w:b/>
                <w:sz w:val="17"/>
              </w:rPr>
              <w:t>5,077</w:t>
            </w:r>
          </w:p>
        </w:tc>
        <w:tc>
          <w:tcPr>
            <w:tcW w:type="dxa" w:w="1440"/>
            <w:shd w:fill="C6EFCE" w:val="clear"/>
          </w:tcPr>
          <w:p>
            <w:r>
              <w:rPr>
                <w:sz w:val="17"/>
              </w:rPr>
              <w:t>5,931</w:t>
            </w:r>
          </w:p>
        </w:tc>
        <w:tc>
          <w:tcPr>
            <w:tcW w:type="dxa" w:w="1440"/>
            <w:shd w:fill="C6EFCE" w:val="clear"/>
          </w:tcPr>
          <w:p>
            <w:r>
              <w:rPr>
                <w:b/>
                <w:color w:val="008000"/>
                <w:sz w:val="17"/>
              </w:rPr>
              <w:t>+5.8%</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4,195</w:t>
            </w:r>
          </w:p>
        </w:tc>
        <w:tc>
          <w:tcPr>
            <w:tcW w:type="dxa" w:w="1440"/>
            <w:shd w:fill="C6EFCE" w:val="clear"/>
          </w:tcPr>
          <w:p>
            <w:r>
              <w:rPr>
                <w:b/>
                <w:sz w:val="17"/>
              </w:rPr>
              <w:t>5,099</w:t>
            </w:r>
          </w:p>
        </w:tc>
        <w:tc>
          <w:tcPr>
            <w:tcW w:type="dxa" w:w="1440"/>
            <w:shd w:fill="C6EFCE" w:val="clear"/>
          </w:tcPr>
          <w:p>
            <w:r>
              <w:rPr>
                <w:sz w:val="17"/>
              </w:rPr>
              <w:t>6,003</w:t>
            </w:r>
          </w:p>
        </w:tc>
        <w:tc>
          <w:tcPr>
            <w:tcW w:type="dxa" w:w="1440"/>
            <w:shd w:fill="C6EFCE" w:val="clear"/>
          </w:tcPr>
          <w:p>
            <w:r>
              <w:rPr>
                <w:b/>
                <w:color w:val="008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Cours de référence : 4 800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99,84 milliards FCFA, BOAN se situe dans la catégorie des valeurs moyennes de la cote BRVM, représentant une capitalisation modeste à l'échelle régionale mais significative pour le compartiment bancaire nigérien. Le BPA de 20 FCFA/action traduit un bénéfice net par titre extrêmement faible, conséquence directe de l'effondrement du résultat net 2025 à 409 millions FCFA. Le PER de 244,1x constitue un signal d'alarme majeur : les investisseurs paient 244 fois les bénéfices actuels, très loin du PER moyen BRVM (~8-12x), ce qui traduit soit une anticipation de rebond spectaculaire, soit une décorrélation totale entre le cours et la réalité bénéficiaire. Le P/B de 2,77x indique que le marché valorise la banque près de trois fois ses fonds propres comptables (36,06 Mds FCFA), une prime de croissance difficile à justifier au regard d'un ROE de seulement 1,13%. Enfin, l'EV/EBITDA de 38,4x (très supérieur au seuil de 15x) confirme que la valeur d'entreprise intègre des anticipations de redressement opérationnel que les résultats actuels ne soutiennent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remarquable de +39,33%, portée par un rallye haussier qui contraste fortement avec la dégradation fondamentale de 2025 ; toutefois, la dernière séance (J-1) enregistre un repli de -4,00%, signalant une possible prise de bénéfices après ce mouvement ascendant. Le range de trading est large, avec un plus haut à 5 645 FCFA et un plus bas à 3 445 FCFA, soit une amplitude de 2 200 FCFA (64% du plus bas), reflétant une forte volatilité directionnelle. La tendance générale est haussière sur la période, mais le cours actuel (4 800 FCFA) se situe désormais sous la moyenne (4 710 FCFA est proche) et nettement sous la médiane (5 088 FCFA), ce qui révèle que la seconde moitié de la période a été plus faible — la distribution est asymétrique à gauche (skewness = -0,446), confirmant que les valeurs extrêmes basses tirent la moyenne vers le bas. L'écart-type de 708 FCFA avec un coefficient de variation de 15,0% indique une dispersion modérée mais significative du cours autour de sa moyenne. Le kurtosis de -1,439 (distribution platykurtique) signale une faible concentration des rendements autour de la moyenne, avec un risque de pics moins prononcé qu'une distribution normale — le titre évolue par paliers plutôt que par chocs violents. Enfin, la volatilité annualisée de 42,2% classe BOAN dans la catégorie des titres à volatilité élevée (&gt;30%), ce qui implique un risque de marché substantiel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(5 170 FCFA) et la MM50 (5 246,2 FCFA) se situent toutes deux au-dessus du cours actuel (4 800 FCFA), avec la MM20 sous la MM50 — configuration baissière classique. Le cours évolue sous ses deux moyennes, ce qui confirme la pression vendeuse récente et justifie la décision technique de **Vente**.</w:t>
      </w:r>
    </w:p>
    <w:p>
      <w:pPr>
        <w:spacing w:after="120" w:line="276" w:lineRule="auto"/>
      </w:pPr>
      <w:r>
        <w:t>**Bandes de Bollinger** : Le cours (4 800 FCFA) se situe dans la partie basse du canal, entre la borne inférieure (4 571,28 FCFA) et la borne supérieure (5 768,72 FCFA), sans franchir aucune des deux bornes. Cette position médiane-basse, combinée à un écart-type élevé (708 FCFA), traduit une volatilité importante mais sans signal extrême, d'où la décision **Neutre**.</w:t>
      </w:r>
    </w:p>
    <w:p>
      <w:pPr>
        <w:spacing w:after="120" w:line="276" w:lineRule="auto"/>
      </w:pPr>
      <w:r>
        <w:t>**MACD** : La valeur du MACD (-96,105) est inférieure à son signal (-57,94), avec un histogramme négatif — configuration baissière confirmée. Le momentum est clairement négatif et la divergence MACD-Signal persiste, justifiant la décision de **Vente**.</w:t>
      </w:r>
    </w:p>
    <w:p>
      <w:pPr>
        <w:spacing w:after="120" w:line="276" w:lineRule="auto"/>
      </w:pPr>
      <w:r>
        <w:t>**RSI** : À 39,7, le RSI se situe dans la zone neutre basse (30-70), sans atteindre la zone de survente (&lt;30). Cela indique que le titre n'est pas encore survendu et qu'il conserve un potentiel de baisse résiduel, d'où la décision **Neutre**.</w:t>
      </w:r>
    </w:p>
    <w:p>
      <w:pPr>
        <w:spacing w:after="120" w:line="276" w:lineRule="auto"/>
      </w:pPr>
      <w:r>
        <w:t>**Stochastique** : Le %K (26,042) est inférieur au %D (36,458), avec un croisement baissier en zone basse. Le %K proche de la zone de survente (20) suggère une possible accélération baissière à court terme, mais sans signal d'achat confirmé — décision **Neutre**.</w:t>
      </w:r>
    </w:p>
    <w:p>
      <w:pPr>
        <w:spacing w:after="120" w:line="276" w:lineRule="auto"/>
      </w:pPr>
      <w:r>
        <w:t>**Conclusion technique** : La convergence des signaux est majoritairement baissière : cours sous les MM20/MM50, MACD négatif, RSI en zone neutre-basse et stochastique en croisement baissier. Seules les Bandes de Bollinger et le RSI offrent une lecture neutre, sans signal d'achat. La configuration technique plaide pour une poursuite de la correction à court terme, avec un support immédiat à 4 571 FCFA (borne inférieure de Bollinger) et une résistance à 5 170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BOAN a enregistré un Produit Net Bancaire (PNB) de 21 125 millions FCFA, en léger repli de -1,2% par rapport à 2024 (21 380 millions FCFA), dans un contexte de contraction du secteur bancaire nigérien. Le résultat net s'est effondré à 409 millions FCFA, contre 5 002 millions FCFA en 2024, soit une chute de -91,8%, principalement due à une explosion du coût du risque (+121,5%, à -6 016 millions FCFA) incluant une provision exceptionnelle de 4,8 milliards FCFA liée au taux de sinistralité sectoriel de 24%. Les ratios de rentabilité se sont dégradés en conséquence : le ROE est tombé à 1,13% (contre 11,39% en 2024) et le ROA à 0,14% (contre 1,49%), bien en deçà des standards bancaires (&gt;15% pour le ROE). Le coefficient d'exploitation s'établit à 74,37%, très supérieur au seuil de 60% synonyme d'efficacité, traduisant une structure de coûts lourde (charges générales de 12 746 millions FCFA). Le coût du risque rapporté aux charges financières atteint 67,30%, un niveau élevé qui confirme la dégradation de la qualité du portefeuille de crédits (créances clientèle de 128 447 millions FCFA, en recul volontaire de -20,9%). La structure financière reste toutefois solide : l'autonomie financière est de 12,36% (capitaux propres de 36 064 millions FCFA pour un total bilan de 291 750 millions FCFA), le ratio de solvabilité de 14,06% est conforme aux exigences UEMOA (≥10%), et le coefficient de liquidité de 123,95% dépasse le seuil réglementaire de 100%. Les dépôts clientèle progressent de +4,0% à 189 867 millions FCFA, surperformant un secteur en hausse de seulement +1%, ce qui témoigne de la confiance persistante des déposants. **Estimation basée sur le rapport T1 2026 (publié le 31 mars 2026)** : le PNB du premier trimestre 2026 s'établit à 5 170 millions FCFA (+7,9% sur un an), le résultat net progresse de +28,9% à 1 467,3 millions FCFA, et le coefficient d'exploitation s'améliore à 56,2% (contre 66,8% un an plus tôt). Sur cette base, on peut estimer que l'exercice 2026 devrait marquer un début de redressement, avec un PNB annualisé proche de 22 300 millions FCFA (+6,4% selon le budget) et un résultat net potentiellement multiplié par 6 si la trajectoire du T1 se confirme. **Recommandation fondamentale** : la solidité bilancielle (solvabilité, liquidité, dépôts) contraste avec la fragilité de la rentabilité ; le redressement du T1 2026 est encourageant mais doit être confirmé sur au moins deux trimestres supplémentaires avant de conclure à une inversion durable de tendance.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marquée entre les signaux. **Valorisation (Partie 0)** : le PER de 244,1x, le P/B de 2,77x et l'EV/EBITDA de 38,4x indiquent une surévaluation manifeste au regard des bénéfices actuels, le marché anticipant un rebond non encore matérialisé. **Comportement du cours (Partie 1)** : la hausse de +39,33% sur 100 jours contraste avec le repli de -4,00% en J-1, et la volatilité élevée (42,2%) combinée à une distribution platykurtique (kurtosis -1,439) et asymétrique à gauche (skewness -0,446) suggère un essoufflement du rallye. **Signaux techniques (Partie 2)** : la convergence baissière (cours sous MM20/MM50, MACD négatif, RSI à 39,7, stochastique en croisement baissier) plaide pour une poursuite de la correction à court terme. **Fondamentaux (Partie 3)** : la dégradation sévère de 2025 (ROE à 1,13%, résultat net -91,8%) est tempérée par la solidité bilancielle (solvabilité 14,06%, liquidité 123,95%) et le début de redressement du T1 2026 (résultat net +28,9%, coefficient d'exploitation à 56,2%). **Prédictions IA (J+1 à J+10)** : la trajectoire projetée (4 918 → 4 990 FCFA) anticipe une légère reprise de +4,0% sur 10 jours, en contradiction avec les signaux techniques baissiers mais en ligne avec le rebond fondamental du T1 2026. **Recommandation finale : CONSERVER** — la convergence entre la surévaluation boursière, les signaux techniques baissiers et la fragilité des fondamentaux 2025 justifie la prudence, mais le début de redressement du T1 2026 et la solidité bilancielle interdisent une vente précipitée. Le niveau de confiance est **Moyen** (le redressement n'est confirmé que sur un trimestre) et le niveau de risque global est **Élevé** (volatilité 42,2%, PER extrême, contexte macroéconomique nigérien incertain). L'horizon d'investissement optimal est le **moyen terme (3-12 mois)**, en attendant la confirmation du redressement sur les trimestres suivants et une normalisation du PER vers des niveaux plus raisonnables.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11,613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+8.62%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4.78% (Faible) — μ=7,758 FCFA, σ=371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β=0.5778 (Défensif) — Cov=0.000043, Var(idx)=0.000074, ρ=0.294,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2026-10-09</w:t>
            </w:r>
          </w:p>
        </w:tc>
        <w:tc>
          <w:tcPr>
            <w:tcW w:type="dxa" w:w="1440"/>
            <w:shd w:fill="FFDCE0" w:val="clear"/>
          </w:tcPr>
          <w:p>
            <w:r>
              <w:rPr>
                <w:sz w:val="17"/>
              </w:rPr>
              <w:t>7,860</w:t>
            </w:r>
          </w:p>
        </w:tc>
        <w:tc>
          <w:tcPr>
            <w:tcW w:type="dxa" w:w="1440"/>
            <w:shd w:fill="FFDCE0" w:val="clear"/>
          </w:tcPr>
          <w:p>
            <w:r>
              <w:rPr>
                <w:b/>
                <w:sz w:val="17"/>
              </w:rPr>
              <w:t>8,043</w:t>
            </w:r>
          </w:p>
        </w:tc>
        <w:tc>
          <w:tcPr>
            <w:tcW w:type="dxa" w:w="1440"/>
            <w:shd w:fill="FFDCE0" w:val="clear"/>
          </w:tcPr>
          <w:p>
            <w:r>
              <w:rPr>
                <w:sz w:val="17"/>
              </w:rPr>
              <w:t>8,226</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2026-10-12</w:t>
            </w:r>
          </w:p>
        </w:tc>
        <w:tc>
          <w:tcPr>
            <w:tcW w:type="dxa" w:w="1440"/>
            <w:shd w:fill="FFDCE0" w:val="clear"/>
          </w:tcPr>
          <w:p>
            <w:r>
              <w:rPr>
                <w:sz w:val="17"/>
              </w:rPr>
              <w:t>7,665</w:t>
            </w:r>
          </w:p>
        </w:tc>
        <w:tc>
          <w:tcPr>
            <w:tcW w:type="dxa" w:w="1440"/>
            <w:shd w:fill="FFDCE0" w:val="clear"/>
          </w:tcPr>
          <w:p>
            <w:r>
              <w:rPr>
                <w:b/>
                <w:sz w:val="17"/>
              </w:rPr>
              <w:t>7,920</w:t>
            </w:r>
          </w:p>
        </w:tc>
        <w:tc>
          <w:tcPr>
            <w:tcW w:type="dxa" w:w="1440"/>
            <w:shd w:fill="FFDCE0" w:val="clear"/>
          </w:tcPr>
          <w:p>
            <w:r>
              <w:rPr>
                <w:sz w:val="17"/>
              </w:rPr>
              <w:t>8,175</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2026-10-13</w:t>
            </w:r>
          </w:p>
        </w:tc>
        <w:tc>
          <w:tcPr>
            <w:tcW w:type="dxa" w:w="1440"/>
            <w:shd w:fill="FFDCE0" w:val="clear"/>
          </w:tcPr>
          <w:p>
            <w:r>
              <w:rPr>
                <w:sz w:val="17"/>
              </w:rPr>
              <w:t>7,493</w:t>
            </w:r>
          </w:p>
        </w:tc>
        <w:tc>
          <w:tcPr>
            <w:tcW w:type="dxa" w:w="1440"/>
            <w:shd w:fill="FFDCE0" w:val="clear"/>
          </w:tcPr>
          <w:p>
            <w:r>
              <w:rPr>
                <w:b/>
                <w:sz w:val="17"/>
              </w:rPr>
              <w:t>7,801</w:t>
            </w:r>
          </w:p>
        </w:tc>
        <w:tc>
          <w:tcPr>
            <w:tcW w:type="dxa" w:w="1440"/>
            <w:shd w:fill="FFDCE0" w:val="clear"/>
          </w:tcPr>
          <w:p>
            <w:r>
              <w:rPr>
                <w:sz w:val="17"/>
              </w:rPr>
              <w:t>8,108</w:t>
            </w:r>
          </w:p>
        </w:tc>
        <w:tc>
          <w:tcPr>
            <w:tcW w:type="dxa" w:w="1440"/>
            <w:shd w:fill="FFDCE0" w:val="clear"/>
          </w:tcPr>
          <w:p>
            <w:r>
              <w:rPr>
                <w:b/>
                <w:color w:val="C00000"/>
                <w:sz w:val="17"/>
              </w:rPr>
              <w:t>-5.4%</w:t>
            </w:r>
          </w:p>
        </w:tc>
      </w:tr>
      <w:tr>
        <w:tc>
          <w:tcPr>
            <w:tcW w:type="dxa" w:w="1440"/>
            <w:shd w:fill="FFDCE0" w:val="clear"/>
          </w:tcPr>
          <w:p>
            <w:r>
              <w:rPr>
                <w:sz w:val="17"/>
              </w:rPr>
              <w:t>J+4  Moyenne</w:t>
            </w:r>
          </w:p>
        </w:tc>
        <w:tc>
          <w:tcPr>
            <w:tcW w:type="dxa" w:w="1440"/>
            <w:shd w:fill="FFDCE0" w:val="clear"/>
          </w:tcPr>
          <w:p>
            <w:r>
              <w:rPr>
                <w:sz w:val="17"/>
              </w:rPr>
              <w:t>2026-10-14</w:t>
            </w:r>
          </w:p>
        </w:tc>
        <w:tc>
          <w:tcPr>
            <w:tcW w:type="dxa" w:w="1440"/>
            <w:shd w:fill="FFDCE0" w:val="clear"/>
          </w:tcPr>
          <w:p>
            <w:r>
              <w:rPr>
                <w:sz w:val="17"/>
              </w:rPr>
              <w:t>7,343</w:t>
            </w:r>
          </w:p>
        </w:tc>
        <w:tc>
          <w:tcPr>
            <w:tcW w:type="dxa" w:w="1440"/>
            <w:shd w:fill="FFDCE0" w:val="clear"/>
          </w:tcPr>
          <w:p>
            <w:r>
              <w:rPr>
                <w:b/>
                <w:sz w:val="17"/>
              </w:rPr>
              <w:t>7,693</w:t>
            </w:r>
          </w:p>
        </w:tc>
        <w:tc>
          <w:tcPr>
            <w:tcW w:type="dxa" w:w="1440"/>
            <w:shd w:fill="FFDCE0" w:val="clear"/>
          </w:tcPr>
          <w:p>
            <w:r>
              <w:rPr>
                <w:sz w:val="17"/>
              </w:rPr>
              <w:t>8,043</w:t>
            </w:r>
          </w:p>
        </w:tc>
        <w:tc>
          <w:tcPr>
            <w:tcW w:type="dxa" w:w="1440"/>
            <w:shd w:fill="FFDCE0" w:val="clear"/>
          </w:tcPr>
          <w:p>
            <w:r>
              <w:rPr>
                <w:b/>
                <w:color w:val="C00000"/>
                <w:sz w:val="17"/>
              </w:rPr>
              <w:t>-6.8%</w:t>
            </w:r>
          </w:p>
        </w:tc>
      </w:tr>
      <w:tr>
        <w:tc>
          <w:tcPr>
            <w:tcW w:type="dxa" w:w="1440"/>
            <w:shd w:fill="FFDCE0" w:val="clear"/>
          </w:tcPr>
          <w:p>
            <w:r>
              <w:rPr>
                <w:sz w:val="17"/>
              </w:rPr>
              <w:t>J+5  Moyenne</w:t>
            </w:r>
          </w:p>
        </w:tc>
        <w:tc>
          <w:tcPr>
            <w:tcW w:type="dxa" w:w="1440"/>
            <w:shd w:fill="FFDCE0" w:val="clear"/>
          </w:tcPr>
          <w:p>
            <w:r>
              <w:rPr>
                <w:sz w:val="17"/>
              </w:rPr>
              <w:t>2026-10-15</w:t>
            </w:r>
          </w:p>
        </w:tc>
        <w:tc>
          <w:tcPr>
            <w:tcW w:type="dxa" w:w="1440"/>
            <w:shd w:fill="FFDCE0" w:val="clear"/>
          </w:tcPr>
          <w:p>
            <w:r>
              <w:rPr>
                <w:sz w:val="17"/>
              </w:rPr>
              <w:t>7,206</w:t>
            </w:r>
          </w:p>
        </w:tc>
        <w:tc>
          <w:tcPr>
            <w:tcW w:type="dxa" w:w="1440"/>
            <w:shd w:fill="FFDCE0" w:val="clear"/>
          </w:tcPr>
          <w:p>
            <w:r>
              <w:rPr>
                <w:b/>
                <w:sz w:val="17"/>
              </w:rPr>
              <w:t>7,592</w:t>
            </w:r>
          </w:p>
        </w:tc>
        <w:tc>
          <w:tcPr>
            <w:tcW w:type="dxa" w:w="1440"/>
            <w:shd w:fill="FFDCE0" w:val="clear"/>
          </w:tcPr>
          <w:p>
            <w:r>
              <w:rPr>
                <w:sz w:val="17"/>
              </w:rPr>
              <w:t>7,979</w:t>
            </w:r>
          </w:p>
        </w:tc>
        <w:tc>
          <w:tcPr>
            <w:tcW w:type="dxa" w:w="1440"/>
            <w:shd w:fill="FFDCE0" w:val="clear"/>
          </w:tcPr>
          <w:p>
            <w:r>
              <w:rPr>
                <w:b/>
                <w:color w:val="C00000"/>
                <w:sz w:val="17"/>
              </w:rPr>
              <w:t>-8.0%</w:t>
            </w:r>
          </w:p>
        </w:tc>
      </w:tr>
      <w:tr>
        <w:tc>
          <w:tcPr>
            <w:tcW w:type="dxa" w:w="1440"/>
            <w:shd w:fill="FFDCE0" w:val="clear"/>
          </w:tcPr>
          <w:p>
            <w:r>
              <w:rPr>
                <w:sz w:val="17"/>
              </w:rPr>
              <w:t>J+6  Moyenne</w:t>
            </w:r>
          </w:p>
        </w:tc>
        <w:tc>
          <w:tcPr>
            <w:tcW w:type="dxa" w:w="1440"/>
            <w:shd w:fill="FFDCE0" w:val="clear"/>
          </w:tcPr>
          <w:p>
            <w:r>
              <w:rPr>
                <w:sz w:val="17"/>
              </w:rPr>
              <w:t>2026-10-16</w:t>
            </w:r>
          </w:p>
        </w:tc>
        <w:tc>
          <w:tcPr>
            <w:tcW w:type="dxa" w:w="1440"/>
            <w:shd w:fill="FFDCE0" w:val="clear"/>
          </w:tcPr>
          <w:p>
            <w:r>
              <w:rPr>
                <w:sz w:val="17"/>
              </w:rPr>
              <w:t>7,079</w:t>
            </w:r>
          </w:p>
        </w:tc>
        <w:tc>
          <w:tcPr>
            <w:tcW w:type="dxa" w:w="1440"/>
            <w:shd w:fill="FFDCE0" w:val="clear"/>
          </w:tcPr>
          <w:p>
            <w:r>
              <w:rPr>
                <w:b/>
                <w:sz w:val="17"/>
              </w:rPr>
              <w:t>7,497</w:t>
            </w:r>
          </w:p>
        </w:tc>
        <w:tc>
          <w:tcPr>
            <w:tcW w:type="dxa" w:w="1440"/>
            <w:shd w:fill="FFDCE0" w:val="clear"/>
          </w:tcPr>
          <w:p>
            <w:r>
              <w:rPr>
                <w:sz w:val="17"/>
              </w:rPr>
              <w:t>7,915</w:t>
            </w:r>
          </w:p>
        </w:tc>
        <w:tc>
          <w:tcPr>
            <w:tcW w:type="dxa" w:w="1440"/>
            <w:shd w:fill="FFDCE0" w:val="clear"/>
          </w:tcPr>
          <w:p>
            <w:r>
              <w:rPr>
                <w:b/>
                <w:color w:val="C00000"/>
                <w:sz w:val="17"/>
              </w:rPr>
              <w:t>-9.1%</w:t>
            </w:r>
          </w:p>
        </w:tc>
      </w:tr>
      <w:tr>
        <w:tc>
          <w:tcPr>
            <w:tcW w:type="dxa" w:w="1440"/>
            <w:shd w:fill="FFDCE0" w:val="clear"/>
          </w:tcPr>
          <w:p>
            <w:r>
              <w:rPr>
                <w:sz w:val="17"/>
              </w:rPr>
              <w:t>J+7  Moyenne</w:t>
            </w:r>
          </w:p>
        </w:tc>
        <w:tc>
          <w:tcPr>
            <w:tcW w:type="dxa" w:w="1440"/>
            <w:shd w:fill="FFDCE0" w:val="clear"/>
          </w:tcPr>
          <w:p>
            <w:r>
              <w:rPr>
                <w:sz w:val="17"/>
              </w:rPr>
              <w:t>2026-10-19</w:t>
            </w:r>
          </w:p>
        </w:tc>
        <w:tc>
          <w:tcPr>
            <w:tcW w:type="dxa" w:w="1440"/>
            <w:shd w:fill="FFDCE0" w:val="clear"/>
          </w:tcPr>
          <w:p>
            <w:r>
              <w:rPr>
                <w:sz w:val="17"/>
              </w:rPr>
              <w:t>6,960</w:t>
            </w:r>
          </w:p>
        </w:tc>
        <w:tc>
          <w:tcPr>
            <w:tcW w:type="dxa" w:w="1440"/>
            <w:shd w:fill="FFDCE0" w:val="clear"/>
          </w:tcPr>
          <w:p>
            <w:r>
              <w:rPr>
                <w:b/>
                <w:sz w:val="17"/>
              </w:rPr>
              <w:t>7,405</w:t>
            </w:r>
          </w:p>
        </w:tc>
        <w:tc>
          <w:tcPr>
            <w:tcW w:type="dxa" w:w="1440"/>
            <w:shd w:fill="FFDCE0" w:val="clear"/>
          </w:tcPr>
          <w:p>
            <w:r>
              <w:rPr>
                <w:sz w:val="17"/>
              </w:rPr>
              <w:t>7,851</w:t>
            </w:r>
          </w:p>
        </w:tc>
        <w:tc>
          <w:tcPr>
            <w:tcW w:type="dxa" w:w="1440"/>
            <w:shd w:fill="FFDCE0" w:val="clear"/>
          </w:tcPr>
          <w:p>
            <w:r>
              <w:rPr>
                <w:b/>
                <w:color w:val="C00000"/>
                <w:sz w:val="17"/>
              </w:rPr>
              <w:t>-10.2%</w:t>
            </w:r>
          </w:p>
        </w:tc>
      </w:tr>
      <w:tr>
        <w:tc>
          <w:tcPr>
            <w:tcW w:type="dxa" w:w="1440"/>
            <w:shd w:fill="FFDCE0" w:val="clear"/>
          </w:tcPr>
          <w:p>
            <w:r>
              <w:rPr>
                <w:sz w:val="17"/>
              </w:rPr>
              <w:t>J+8  Moyenne</w:t>
            </w:r>
          </w:p>
        </w:tc>
        <w:tc>
          <w:tcPr>
            <w:tcW w:type="dxa" w:w="1440"/>
            <w:shd w:fill="FFDCE0" w:val="clear"/>
          </w:tcPr>
          <w:p>
            <w:r>
              <w:rPr>
                <w:sz w:val="17"/>
              </w:rPr>
              <w:t>2026-10-20</w:t>
            </w:r>
          </w:p>
        </w:tc>
        <w:tc>
          <w:tcPr>
            <w:tcW w:type="dxa" w:w="1440"/>
            <w:shd w:fill="FFDCE0" w:val="clear"/>
          </w:tcPr>
          <w:p>
            <w:r>
              <w:rPr>
                <w:sz w:val="17"/>
              </w:rPr>
              <w:t>6,847</w:t>
            </w:r>
          </w:p>
        </w:tc>
        <w:tc>
          <w:tcPr>
            <w:tcW w:type="dxa" w:w="1440"/>
            <w:shd w:fill="FFDCE0" w:val="clear"/>
          </w:tcPr>
          <w:p>
            <w:r>
              <w:rPr>
                <w:b/>
                <w:sz w:val="17"/>
              </w:rPr>
              <w:t>7,318</w:t>
            </w:r>
          </w:p>
        </w:tc>
        <w:tc>
          <w:tcPr>
            <w:tcW w:type="dxa" w:w="1440"/>
            <w:shd w:fill="FFDCE0" w:val="clear"/>
          </w:tcPr>
          <w:p>
            <w:r>
              <w:rPr>
                <w:sz w:val="17"/>
              </w:rPr>
              <w:t>7,790</w:t>
            </w:r>
          </w:p>
        </w:tc>
        <w:tc>
          <w:tcPr>
            <w:tcW w:type="dxa" w:w="1440"/>
            <w:shd w:fill="FFDCE0" w:val="clear"/>
          </w:tcPr>
          <w:p>
            <w:r>
              <w:rPr>
                <w:b/>
                <w:color w:val="C00000"/>
                <w:sz w:val="17"/>
              </w:rPr>
              <w:t>-11.3%</w:t>
            </w:r>
          </w:p>
        </w:tc>
      </w:tr>
      <w:tr>
        <w:tc>
          <w:tcPr>
            <w:tcW w:type="dxa" w:w="1440"/>
            <w:shd w:fill="FFDCE0" w:val="clear"/>
          </w:tcPr>
          <w:p>
            <w:r>
              <w:rPr>
                <w:sz w:val="17"/>
              </w:rPr>
              <w:t>J+9  Moyenne</w:t>
            </w:r>
          </w:p>
        </w:tc>
        <w:tc>
          <w:tcPr>
            <w:tcW w:type="dxa" w:w="1440"/>
            <w:shd w:fill="FFDCE0" w:val="clear"/>
          </w:tcPr>
          <w:p>
            <w:r>
              <w:rPr>
                <w:sz w:val="17"/>
              </w:rPr>
              <w:t>2026-10-21</w:t>
            </w:r>
          </w:p>
        </w:tc>
        <w:tc>
          <w:tcPr>
            <w:tcW w:type="dxa" w:w="1440"/>
            <w:shd w:fill="FFDCE0" w:val="clear"/>
          </w:tcPr>
          <w:p>
            <w:r>
              <w:rPr>
                <w:sz w:val="17"/>
              </w:rPr>
              <w:t>6,741</w:t>
            </w:r>
          </w:p>
        </w:tc>
        <w:tc>
          <w:tcPr>
            <w:tcW w:type="dxa" w:w="1440"/>
            <w:shd w:fill="FFDCE0" w:val="clear"/>
          </w:tcPr>
          <w:p>
            <w:r>
              <w:rPr>
                <w:b/>
                <w:sz w:val="17"/>
              </w:rPr>
              <w:t>7,235</w:t>
            </w:r>
          </w:p>
        </w:tc>
        <w:tc>
          <w:tcPr>
            <w:tcW w:type="dxa" w:w="1440"/>
            <w:shd w:fill="FFDCE0" w:val="clear"/>
          </w:tcPr>
          <w:p>
            <w:r>
              <w:rPr>
                <w:sz w:val="17"/>
              </w:rPr>
              <w:t>7,729</w:t>
            </w:r>
          </w:p>
        </w:tc>
        <w:tc>
          <w:tcPr>
            <w:tcW w:type="dxa" w:w="1440"/>
            <w:shd w:fill="FFDCE0" w:val="clear"/>
          </w:tcPr>
          <w:p>
            <w:r>
              <w:rPr>
                <w:b/>
                <w:color w:val="C00000"/>
                <w:sz w:val="17"/>
              </w:rPr>
              <w:t>-12.3%</w:t>
            </w:r>
          </w:p>
        </w:tc>
      </w:tr>
      <w:tr>
        <w:tc>
          <w:tcPr>
            <w:tcW w:type="dxa" w:w="1440"/>
            <w:shd w:fill="FFDCE0" w:val="clear"/>
          </w:tcPr>
          <w:p>
            <w:r>
              <w:rPr>
                <w:sz w:val="17"/>
              </w:rPr>
              <w:t>J+10  Moyenne</w:t>
            </w:r>
          </w:p>
        </w:tc>
        <w:tc>
          <w:tcPr>
            <w:tcW w:type="dxa" w:w="1440"/>
            <w:shd w:fill="FFDCE0" w:val="clear"/>
          </w:tcPr>
          <w:p>
            <w:r>
              <w:rPr>
                <w:sz w:val="17"/>
              </w:rPr>
              <w:t>2026-10-22</w:t>
            </w:r>
          </w:p>
        </w:tc>
        <w:tc>
          <w:tcPr>
            <w:tcW w:type="dxa" w:w="1440"/>
            <w:shd w:fill="FFDCE0" w:val="clear"/>
          </w:tcPr>
          <w:p>
            <w:r>
              <w:rPr>
                <w:sz w:val="17"/>
              </w:rPr>
              <w:t>6,641</w:t>
            </w:r>
          </w:p>
        </w:tc>
        <w:tc>
          <w:tcPr>
            <w:tcW w:type="dxa" w:w="1440"/>
            <w:shd w:fill="FFDCE0" w:val="clear"/>
          </w:tcPr>
          <w:p>
            <w:r>
              <w:rPr>
                <w:b/>
                <w:sz w:val="17"/>
              </w:rPr>
              <w:t>7,156</w:t>
            </w:r>
          </w:p>
        </w:tc>
        <w:tc>
          <w:tcPr>
            <w:tcW w:type="dxa" w:w="1440"/>
            <w:shd w:fill="FFDCE0" w:val="clear"/>
          </w:tcPr>
          <w:p>
            <w:r>
              <w:rPr>
                <w:sz w:val="17"/>
              </w:rPr>
              <w:t>7,671</w:t>
            </w:r>
          </w:p>
        </w:tc>
        <w:tc>
          <w:tcPr>
            <w:tcW w:type="dxa" w:w="1440"/>
            <w:shd w:fill="FFDCE0" w:val="clear"/>
          </w:tcPr>
          <w:p>
            <w:r>
              <w:rPr>
                <w:b/>
                <w:color w:val="C00000"/>
                <w:sz w:val="17"/>
              </w:rPr>
              <w:t>-13.3%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 RAPPORT D'ANALYSE FINANCIÈRE — BOA SÉNÉGAL (BOAS)</w:t>
        <w:br/>
        <w:t>### Bourse Régionale des Valeurs Mobilières (BRVM) — Secteur Bancaire</w:t>
        <w:br/>
        <w:t>*Cours de référence : 8 250 FCFA — Capitalisation : 297,00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297,00 Mds FCFA, BOA Sénégal s'impose comme l'une des valeurs bancaires de premier plan de la cote BRVM, ce qui traduit une liquidité et une visibilité institutionnelle appréciables. Le BPA de 608 FCFA/action signifie que chaque titre génère près de 608 FCFA de bénéfice net, un niveau de rentabilité par action solide pour le secteur. Le PER de 13,6x situe le titre légèrement au-dessus de la moyenne historique du marché BRVM (~8-12x), ce qui indique une valorisation modérée mais non excessive, le marché acceptant de payer une prime pour la qualité de la croissance. Le P/B de 3,08x (fourchette 2-4x) confirme cette prime de croissance : les investisseurs valorisent la banque à plus de trois fois ses fonds propres comptables, signe d'anticipations positives sur le ROE futur. Enfin, l'EV/EBITDA de 8,8x (fourchette raisonnable 5-10x) montre que la valeur d'entreprise reste cohérente avec la capacité opérationnelle de génération de cash-flows,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BOAS affiche une performance positive de **+8,62%**, avec une dernière séance en hausse de **+0,67%**, confirmant un momentum acheteur de court terme. Le titre a évolué dans un range de 1 250 FCFA, entre un plus bas de 7 250 FCFA et un plus haut de 8 500 FCFA, le cours actuel (8 250 FCFA) se situant dans le haut de cette fourchette, à seulement 3% du sommet — configuration typique d'une tendance haussière mature. Les statistiques descriptives révèlent une moyenne (7 758 FCFA) légèrement supérieure à la médiane (7 700 FCFA), avec un mode identique à la médiane, ce qui indique une distribution quasi-symétrique mais avec une légère pression haussière sur la période. L'écart-type de 373 FCFA (CV = 4,8%) traduit une dispersion modérée du cours, tandis que le kurtosis négatif (-1,288, distribution platykurtique) signale une faible concentration des variations autour de la moyenne, donc un risque de pics extrêmes limité. Le skewness de 0,254 confirme cette symétrie avec une très légère inclinaison positive. Enfin, la volatilité annualisée de 26,5% place BOAS dans la catégorie des titres à volatilité **modérée** (15-30%), cohérent avec un profil bancaire défensif mais actif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(8 122 FCFA) et la MM50 (8 045,5 FCFA) se situent toutes deux sous le cours actuel (8 250 FCFA), avec la MM20 au-dessus de la MM50, configuration haussière classique (golden cross). Cette structure confirme la décision **Achat** : le titre évolue au-dessus de ses supports dynamiques, et la pente ascendante des moyennes valide la tendance de fond.</w:t>
      </w:r>
    </w:p>
    <w:p>
      <w:pPr>
        <w:spacing w:after="120" w:line="276" w:lineRule="auto"/>
      </w:pPr>
      <w:r>
        <w:t>**Bandes de Bollinger** — Le cours (8 250 FCFA) se situe dans la moitié supérieure de la bande, entre la borne inférieure (7 777,76 FCFA) et la borne supérieure (8 466,24 FCFA), sans franchissement de cette dernière. Cette position médiane-haute, avec un cours à environ 74% de la largeur de la bande, justifie la décision **Neutre** : le titre n'est ni en surachat extrême ni en zone de survente, la volatilité restant contenue.</w:t>
      </w:r>
    </w:p>
    <w:p>
      <w:pPr>
        <w:spacing w:after="120" w:line="276" w:lineRule="auto"/>
      </w:pPr>
      <w:r>
        <w:t>**MACD** — Le MACD (30,501) est nettement supérieur à son signal (19,213), avec un histogramme positif et croissant, ce qui traduit un momentum haussier en cours de renforcement. Cette divergence positive valide la décision **Achat** : la dynamique de court terme soutient la poursuite du mouvement.</w:t>
      </w:r>
    </w:p>
    <w:p>
      <w:pPr>
        <w:spacing w:after="120" w:line="276" w:lineRule="auto"/>
      </w:pPr>
      <w:r>
        <w:t>**RSI** — À 52,5, le RSI se situe parfaitement dans la zone neutre (30-70), sans signal de surachat (&gt;70) ni de survente (&lt;30). Cette configuration justifie la décision **Neutre** : le titre dispose d'un potentiel de hausse résiduel sans être techniquement tendu.</w:t>
      </w:r>
    </w:p>
    <w:p>
      <w:pPr>
        <w:spacing w:after="120" w:line="276" w:lineRule="auto"/>
      </w:pPr>
      <w:r>
        <w:t>**Stochastique** — Le %K (100,0) est en zone extrême de surachat et évolue au-dessus du %D (94,167), avec un croisement potentiellement imminent. Cette configuration justifie la décision **Vente** : le signal stochastique avertit d'un essoufflement possible du mouvement haussier à très court terme.</w:t>
      </w:r>
    </w:p>
    <w:p>
      <w:pPr>
        <w:spacing w:after="120" w:line="276" w:lineRule="auto"/>
      </w:pPr>
      <w:r>
        <w:t>**Conclusion technique** — Les indicateurs de tendance (MM, MACD) sont clairement haussiers, tandis que les oscillateurs (RSI neutre, Stochastique en surachat) suggèrent une pause ou une consolidation imminente. La convergence MM/MACD soutient la tendance de fond, mais le Stochastique à 100 appelle à la prudence sur les points d'entrée à court terme. Le titre reste techniquement **acheteur sur repli**, avec un support clé à surveiller autour de 8 045-8 122 FCFA (MM50/MM20).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 Sénégal affiche un Produit Net Bancaire (équivalent du chiffre d'affaires pour une banque) de **51,926 Mds FCFA**, un résultat net de **21,905 Mds FCFA**, soit une marge nette remarquable de **42,19%**. Le ROE s'établit à **22,69%** (largement supérieur au seuil d'excellence de 15%) et le ROA à **2,62%**, confirmant une rentabilité des actifs solide pour le secteur. Le coefficient d'exploitation de **44,02%** (inférieur au seuil de 60% et même de 50%) témoigne d'une efficacité opérationnelle excellente, tandis que le coût du risque rapporté aux charges financières (**23,31%**) reste un point de vigilance modéré. La structure bilancielle montre une collecte de dépôts clientèle de **686,927 Mds FCFA** pour des créances clientèle de **386,424 Mds FCFA**, soit un ratio de transformation (crédits/dépôts) de 56,3%, indiquant une marge de progression dans l'emploi des ressources. Les capitaux propres (96,526 Mds FCFA) couvrent 11,54% du total bilan, un niveau d'autonomie financière à surveiller mais compensé par une solvabilité générale de 113,05%.</w:t>
      </w:r>
    </w:p>
    <w:p>
      <w:pPr>
        <w:spacing w:after="120" w:line="276" w:lineRule="auto"/>
      </w:pPr>
      <w:r>
        <w:t>**Estimations basées sur les rapports trimestriels** — Le rapport du **T1 2026 (clos le 31 mars 2026)** indique un PNB de **12 580 M FCFA** (+6,82% sur un an) et un résultat net de **5 741 M FCFA** (+9,78%), avec un coefficient d'exploitation en amélioration à **42,1%** (contre 42,8% un an plus tôt) et un coût du risque contenu à **-0,8%**. Le rapport du **S1 2026** confirme cette dynamique avec un PNB semestriel de **27 206 M FCFA** en hausse. Sur cette base, on peut estimer que l'exercice 2026 devrait enregistrer un PNB annuel d'environ **54-55 Mds FCFA** (+4 à +6%) et un résultat net proche de **23-24 Mds FCFA**, prolongeant la trajectoire de croissance rentable observée depuis 2025. Les rapports antérieurs (T3 2025, S1 2025, T1 2025) confirment la régularité de cette performance : PNB en croissance de +6,7% sur 9 mois en 2025, résultat net en hausse de +10,0%, avec un coefficient d'exploitation en baisse continue (46,1% → 44,4%).</w:t>
      </w:r>
    </w:p>
    <w:p>
      <w:pPr>
        <w:spacing w:after="120" w:line="276" w:lineRule="auto"/>
      </w:pPr>
      <w:r>
        <w:t>**Recommandation fondamentale** — BOAS présente un profil fondamental de haute qualité : rentabilité élevée (ROE 22,7%), efficacité opérationnelle remarquable (coefficient 44%), croissance régulière du PNB et du résultat net, et gestion prudente du risque. Les principaux risques identifiés sont la concentration sur le marché sénégalais, la concurrence accrue et la dépendance à l'environnement macroéconomique régional. La solidité financière et la trajectoire de croissance justifient une opinion fondamentale **positive**.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converge vers un profil d'investissement équilibré mais légèrement favorable. **Sur le plan de la valorisation (Partie 0)**, le PER de 13,6x et le P/B de 3,08x indiquent une valorisation modérée à légèrement premium, cohérente avec la qualité des fondamentaux mais n'offrant pas de décote évidente. **Le comportement du cours (Partie 1)** est haussier (+8,62% sur 100 jours), avec une volatilité modérée (26,5%) et une distribution symétrique sans risque de pics extrêmes (kurtosis -1,288), ce qui est rassurant pour un investisseur. **Les signaux techniques (Partie 2)** sont majoritairement haussiers (MM, MACD) mais tempérés par le Stochastique en surachat et le RSI neutre, suggérant une consolidation possible avant une nouvelle jambe de hausse. **Les fondamentaux (Partie 3)** sont solides : ROE de 22,69%, coefficient d'exploitation de 44,02%, croissance du PNB et du résultat net confirmée par les rapports T1 2026 et S1 2026. **Les prédictions IA (J+1 à J+10)** anticipent cependant une correction baissière progressive de 8 043 FCFA à 7 592 FCFA, ce qui contredit partiellement les signaux techniques haussiers et suggère une prise de profit à court terme.</w:t>
      </w:r>
    </w:p>
    <w:p>
      <w:pPr>
        <w:spacing w:after="120" w:line="276" w:lineRule="auto"/>
      </w:pPr>
      <w:r>
        <w:t>**Recommandation finale : CONSERVER** — avec un biais acheteur sur repli. La convergence entre valorisation raisonnable, fondamentaux solides et tendance de fond haussière soutient une opinion positive, mais la divergence entre les prédictions IA baissières à court terme et le Stochastique en surachat invite à la prudence sur les points d'entrée. **Niveau de confiance : Moyen** (les signaux sont mitigés à court terme mais alignés à moyen terme). **Niveau de risque global : Moyen** (volatilité modérée, exposition au risque de crédit et à la concentration géographique). **Horizon d'investissement optimal : Moyen terme (3-12 mois)**, afin de laisser la consolidation à court terme se résorber et de bénéficier de la poursuite de la croissance des bénéfices estimée pour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2,020 titres</w:t>
            </w:r>
          </w:p>
        </w:tc>
        <w:tc>
          <w:tcPr>
            <w:tcW w:type="dxa" w:w="2268"/>
            <w:shd w:fill="FFF2CC" w:val="clear"/>
          </w:tcPr>
          <w:p>
            <w:r>
              <w:rPr>
                <w:b/>
                <w:color w:val="503200"/>
                <w:sz w:val="16"/>
              </w:rPr>
              <w:t xml:space="preserve">Cours actuel : </w:t>
            </w:r>
            <w:r>
              <w:rPr>
                <w:color w:val="000000"/>
                <w:sz w:val="17"/>
              </w:rPr>
              <w:t>3,175 FCFA</w:t>
            </w:r>
          </w:p>
          <w:p>
            <w:r>
              <w:rPr>
                <w:b/>
                <w:color w:val="503200"/>
                <w:sz w:val="16"/>
              </w:rPr>
              <w:t xml:space="preserve">Var. 100 jours : </w:t>
            </w:r>
            <w:r>
              <w:rPr>
                <w:b/>
                <w:color w:val="B40000"/>
                <w:sz w:val="17"/>
              </w:rPr>
              <w:t>-9.16%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3,175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8.11% (Moyenne) — μ=3,674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β=0.3292 (Défensif) — Cov=0.000024, Var(idx)=0.000074, ρ=0.099,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3,081</w:t>
            </w:r>
          </w:p>
        </w:tc>
        <w:tc>
          <w:tcPr>
            <w:tcW w:type="dxa" w:w="1440"/>
            <w:shd w:fill="FAFAFA" w:val="clear"/>
          </w:tcPr>
          <w:p>
            <w:r>
              <w:rPr>
                <w:b/>
                <w:sz w:val="17"/>
              </w:rPr>
              <w:t>3,177</w:t>
            </w:r>
          </w:p>
        </w:tc>
        <w:tc>
          <w:tcPr>
            <w:tcW w:type="dxa" w:w="1440"/>
            <w:shd w:fill="FAFAFA" w:val="clear"/>
          </w:tcPr>
          <w:p>
            <w:r>
              <w:rPr>
                <w:sz w:val="17"/>
              </w:rPr>
              <w:t>3,273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3,037</w:t>
            </w:r>
          </w:p>
        </w:tc>
        <w:tc>
          <w:tcPr>
            <w:tcW w:type="dxa" w:w="1440"/>
            <w:shd w:fill="FAFAFA" w:val="clear"/>
          </w:tcPr>
          <w:p>
            <w:r>
              <w:rPr>
                <w:b/>
                <w:sz w:val="17"/>
              </w:rPr>
              <w:t>3,172</w:t>
            </w:r>
          </w:p>
        </w:tc>
        <w:tc>
          <w:tcPr>
            <w:tcW w:type="dxa" w:w="1440"/>
            <w:shd w:fill="FAFAFA" w:val="clear"/>
          </w:tcPr>
          <w:p>
            <w:r>
              <w:rPr>
                <w:sz w:val="17"/>
              </w:rPr>
              <w:t>3,307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3,009</w:t>
            </w:r>
          </w:p>
        </w:tc>
        <w:tc>
          <w:tcPr>
            <w:tcW w:type="dxa" w:w="1440"/>
            <w:shd w:fill="FAFAFA" w:val="clear"/>
          </w:tcPr>
          <w:p>
            <w:r>
              <w:rPr>
                <w:b/>
                <w:sz w:val="17"/>
              </w:rPr>
              <w:t>3,175</w:t>
            </w:r>
          </w:p>
        </w:tc>
        <w:tc>
          <w:tcPr>
            <w:tcW w:type="dxa" w:w="1440"/>
            <w:shd w:fill="FAFAFA" w:val="clear"/>
          </w:tcPr>
          <w:p>
            <w:r>
              <w:rPr>
                <w:sz w:val="17"/>
              </w:rPr>
              <w:t>3,341</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2026-10-14</w:t>
            </w:r>
          </w:p>
        </w:tc>
        <w:tc>
          <w:tcPr>
            <w:tcW w:type="dxa" w:w="1440"/>
            <w:shd w:fill="FAFAFA" w:val="clear"/>
          </w:tcPr>
          <w:p>
            <w:r>
              <w:rPr>
                <w:sz w:val="17"/>
              </w:rPr>
              <w:t>2,989</w:t>
            </w:r>
          </w:p>
        </w:tc>
        <w:tc>
          <w:tcPr>
            <w:tcW w:type="dxa" w:w="1440"/>
            <w:shd w:fill="FAFAFA" w:val="clear"/>
          </w:tcPr>
          <w:p>
            <w:r>
              <w:rPr>
                <w:b/>
                <w:sz w:val="17"/>
              </w:rPr>
              <w:t>3,181</w:t>
            </w:r>
          </w:p>
        </w:tc>
        <w:tc>
          <w:tcPr>
            <w:tcW w:type="dxa" w:w="1440"/>
            <w:shd w:fill="FAFAFA" w:val="clear"/>
          </w:tcPr>
          <w:p>
            <w:r>
              <w:rPr>
                <w:sz w:val="17"/>
              </w:rPr>
              <w:t>3,373</w:t>
            </w:r>
          </w:p>
        </w:tc>
        <w:tc>
          <w:tcPr>
            <w:tcW w:type="dxa" w:w="1440"/>
            <w:shd w:fill="FAFAFA" w:val="clear"/>
          </w:tcPr>
          <w:p>
            <w:r>
              <w:rPr>
                <w:b/>
                <w:color w:val="008000"/>
                <w:sz w:val="17"/>
              </w:rPr>
              <w:t>+0.2%</w:t>
            </w:r>
          </w:p>
        </w:tc>
      </w:tr>
      <w:tr>
        <w:tc>
          <w:tcPr>
            <w:tcW w:type="dxa" w:w="1440"/>
            <w:shd w:fill="FAFAFA" w:val="clear"/>
          </w:tcPr>
          <w:p>
            <w:r>
              <w:rPr>
                <w:sz w:val="17"/>
              </w:rPr>
              <w:t>J+5  Moyenne</w:t>
            </w:r>
          </w:p>
        </w:tc>
        <w:tc>
          <w:tcPr>
            <w:tcW w:type="dxa" w:w="1440"/>
            <w:shd w:fill="FAFAFA" w:val="clear"/>
          </w:tcPr>
          <w:p>
            <w:r>
              <w:rPr>
                <w:sz w:val="17"/>
              </w:rPr>
              <w:t>2026-10-15</w:t>
            </w:r>
          </w:p>
        </w:tc>
        <w:tc>
          <w:tcPr>
            <w:tcW w:type="dxa" w:w="1440"/>
            <w:shd w:fill="FAFAFA" w:val="clear"/>
          </w:tcPr>
          <w:p>
            <w:r>
              <w:rPr>
                <w:sz w:val="17"/>
              </w:rPr>
              <w:t>2,972</w:t>
            </w:r>
          </w:p>
        </w:tc>
        <w:tc>
          <w:tcPr>
            <w:tcW w:type="dxa" w:w="1440"/>
            <w:shd w:fill="FAFAFA" w:val="clear"/>
          </w:tcPr>
          <w:p>
            <w:r>
              <w:rPr>
                <w:b/>
                <w:sz w:val="17"/>
              </w:rPr>
              <w:t>3,187</w:t>
            </w:r>
          </w:p>
        </w:tc>
        <w:tc>
          <w:tcPr>
            <w:tcW w:type="dxa" w:w="1440"/>
            <w:shd w:fill="FAFAFA" w:val="clear"/>
          </w:tcPr>
          <w:p>
            <w:r>
              <w:rPr>
                <w:sz w:val="17"/>
              </w:rPr>
              <w:t>3,402</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2026-10-16</w:t>
            </w:r>
          </w:p>
        </w:tc>
        <w:tc>
          <w:tcPr>
            <w:tcW w:type="dxa" w:w="1440"/>
            <w:shd w:fill="FAFAFA" w:val="clear"/>
          </w:tcPr>
          <w:p>
            <w:r>
              <w:rPr>
                <w:sz w:val="17"/>
              </w:rPr>
              <w:t>2,956</w:t>
            </w:r>
          </w:p>
        </w:tc>
        <w:tc>
          <w:tcPr>
            <w:tcW w:type="dxa" w:w="1440"/>
            <w:shd w:fill="FAFAFA" w:val="clear"/>
          </w:tcPr>
          <w:p>
            <w:r>
              <w:rPr>
                <w:b/>
                <w:sz w:val="17"/>
              </w:rPr>
              <w:t>3,191</w:t>
            </w:r>
          </w:p>
        </w:tc>
        <w:tc>
          <w:tcPr>
            <w:tcW w:type="dxa" w:w="1440"/>
            <w:shd w:fill="FAFAFA" w:val="clear"/>
          </w:tcPr>
          <w:p>
            <w:r>
              <w:rPr>
                <w:sz w:val="17"/>
              </w:rPr>
              <w:t>3,427</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2026-10-19</w:t>
            </w:r>
          </w:p>
        </w:tc>
        <w:tc>
          <w:tcPr>
            <w:tcW w:type="dxa" w:w="1440"/>
            <w:shd w:fill="FAFAFA" w:val="clear"/>
          </w:tcPr>
          <w:p>
            <w:r>
              <w:rPr>
                <w:sz w:val="17"/>
              </w:rPr>
              <w:t>2,939</w:t>
            </w:r>
          </w:p>
        </w:tc>
        <w:tc>
          <w:tcPr>
            <w:tcW w:type="dxa" w:w="1440"/>
            <w:shd w:fill="FAFAFA" w:val="clear"/>
          </w:tcPr>
          <w:p>
            <w:r>
              <w:rPr>
                <w:b/>
                <w:sz w:val="17"/>
              </w:rPr>
              <w:t>3,193</w:t>
            </w:r>
          </w:p>
        </w:tc>
        <w:tc>
          <w:tcPr>
            <w:tcW w:type="dxa" w:w="1440"/>
            <w:shd w:fill="FAFAFA" w:val="clear"/>
          </w:tcPr>
          <w:p>
            <w:r>
              <w:rPr>
                <w:sz w:val="17"/>
              </w:rPr>
              <w:t>3,448</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2026-10-20</w:t>
            </w:r>
          </w:p>
        </w:tc>
        <w:tc>
          <w:tcPr>
            <w:tcW w:type="dxa" w:w="1440"/>
            <w:shd w:fill="FAFAFA" w:val="clear"/>
          </w:tcPr>
          <w:p>
            <w:r>
              <w:rPr>
                <w:sz w:val="17"/>
              </w:rPr>
              <w:t>2,921</w:t>
            </w:r>
          </w:p>
        </w:tc>
        <w:tc>
          <w:tcPr>
            <w:tcW w:type="dxa" w:w="1440"/>
            <w:shd w:fill="FAFAFA" w:val="clear"/>
          </w:tcPr>
          <w:p>
            <w:r>
              <w:rPr>
                <w:b/>
                <w:sz w:val="17"/>
              </w:rPr>
              <w:t>3,193</w:t>
            </w:r>
          </w:p>
        </w:tc>
        <w:tc>
          <w:tcPr>
            <w:tcW w:type="dxa" w:w="1440"/>
            <w:shd w:fill="FAFAFA" w:val="clear"/>
          </w:tcPr>
          <w:p>
            <w:r>
              <w:rPr>
                <w:sz w:val="17"/>
              </w:rPr>
              <w:t>3,465</w:t>
            </w:r>
          </w:p>
        </w:tc>
        <w:tc>
          <w:tcPr>
            <w:tcW w:type="dxa" w:w="1440"/>
            <w:shd w:fill="FAFAFA" w:val="clear"/>
          </w:tcPr>
          <w:p>
            <w:r>
              <w:rPr>
                <w:b/>
                <w:color w:val="008000"/>
                <w:sz w:val="17"/>
              </w:rPr>
              <w:t>+0.6%</w:t>
            </w:r>
          </w:p>
        </w:tc>
      </w:tr>
      <w:tr>
        <w:tc>
          <w:tcPr>
            <w:tcW w:type="dxa" w:w="1440"/>
            <w:shd w:fill="FAFAFA" w:val="clear"/>
          </w:tcPr>
          <w:p>
            <w:r>
              <w:rPr>
                <w:sz w:val="17"/>
              </w:rPr>
              <w:t>J+9  Moyenne</w:t>
            </w:r>
          </w:p>
        </w:tc>
        <w:tc>
          <w:tcPr>
            <w:tcW w:type="dxa" w:w="1440"/>
            <w:shd w:fill="FAFAFA" w:val="clear"/>
          </w:tcPr>
          <w:p>
            <w:r>
              <w:rPr>
                <w:sz w:val="17"/>
              </w:rPr>
              <w:t>2026-10-21</w:t>
            </w:r>
          </w:p>
        </w:tc>
        <w:tc>
          <w:tcPr>
            <w:tcW w:type="dxa" w:w="1440"/>
            <w:shd w:fill="FAFAFA" w:val="clear"/>
          </w:tcPr>
          <w:p>
            <w:r>
              <w:rPr>
                <w:sz w:val="17"/>
              </w:rPr>
              <w:t>2,902</w:t>
            </w:r>
          </w:p>
        </w:tc>
        <w:tc>
          <w:tcPr>
            <w:tcW w:type="dxa" w:w="1440"/>
            <w:shd w:fill="FAFAFA" w:val="clear"/>
          </w:tcPr>
          <w:p>
            <w:r>
              <w:rPr>
                <w:b/>
                <w:sz w:val="17"/>
              </w:rPr>
              <w:t>3,190</w:t>
            </w:r>
          </w:p>
        </w:tc>
        <w:tc>
          <w:tcPr>
            <w:tcW w:type="dxa" w:w="1440"/>
            <w:shd w:fill="FAFAFA" w:val="clear"/>
          </w:tcPr>
          <w:p>
            <w:r>
              <w:rPr>
                <w:sz w:val="17"/>
              </w:rPr>
              <w:t>3,479</w:t>
            </w:r>
          </w:p>
        </w:tc>
        <w:tc>
          <w:tcPr>
            <w:tcW w:type="dxa" w:w="1440"/>
            <w:shd w:fill="FAFAFA" w:val="clear"/>
          </w:tcPr>
          <w:p>
            <w:r>
              <w:rPr>
                <w:b/>
                <w:color w:val="008000"/>
                <w:sz w:val="17"/>
              </w:rPr>
              <w:t>+0.5%</w:t>
            </w:r>
          </w:p>
        </w:tc>
      </w:tr>
      <w:tr>
        <w:tc>
          <w:tcPr>
            <w:tcW w:type="dxa" w:w="1440"/>
            <w:shd w:fill="FAFAFA" w:val="clear"/>
          </w:tcPr>
          <w:p>
            <w:r>
              <w:rPr>
                <w:sz w:val="17"/>
              </w:rPr>
              <w:t>J+10  Moyenne</w:t>
            </w:r>
          </w:p>
        </w:tc>
        <w:tc>
          <w:tcPr>
            <w:tcW w:type="dxa" w:w="1440"/>
            <w:shd w:fill="FAFAFA" w:val="clear"/>
          </w:tcPr>
          <w:p>
            <w:r>
              <w:rPr>
                <w:sz w:val="17"/>
              </w:rPr>
              <w:t>2026-10-22</w:t>
            </w:r>
          </w:p>
        </w:tc>
        <w:tc>
          <w:tcPr>
            <w:tcW w:type="dxa" w:w="1440"/>
            <w:shd w:fill="FAFAFA" w:val="clear"/>
          </w:tcPr>
          <w:p>
            <w:r>
              <w:rPr>
                <w:sz w:val="17"/>
              </w:rPr>
              <w:t>2,882</w:t>
            </w:r>
          </w:p>
        </w:tc>
        <w:tc>
          <w:tcPr>
            <w:tcW w:type="dxa" w:w="1440"/>
            <w:shd w:fill="FAFAFA" w:val="clear"/>
          </w:tcPr>
          <w:p>
            <w:r>
              <w:rPr>
                <w:b/>
                <w:sz w:val="17"/>
              </w:rPr>
              <w:t>3,186</w:t>
            </w:r>
          </w:p>
        </w:tc>
        <w:tc>
          <w:tcPr>
            <w:tcW w:type="dxa" w:w="1440"/>
            <w:shd w:fill="FAFAFA" w:val="clear"/>
          </w:tcPr>
          <w:p>
            <w:r>
              <w:rPr>
                <w:sz w:val="17"/>
              </w:rPr>
              <w:t>3,490</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18,80 Mds FCFA, CABC se positionne comme une valeur de petite capitalisation sur la BRVM, ce qui la rend sensible aux mouvements de faible volume (2 020 titres/jour en moyenne). Le BPA de 243 FCFA/action indique ce que chaque titre rapporte en bénéfice, mais ce chiffre doit être nuancé car il provient de données 2025 provisoires. Le PER de 13,1x situe le titre légèrement au-dessus de la moyenne BRVM (~8-12x), suggérant que les investisseurs paient une prime modérée pour les bénéfices, sans excès manifeste. Le P/B de 2,01x montre que le marché valorise l'entreprise à deux fois sa valeur comptable, ce qui traduit une prime de croissance accordée mais qui reste raisonnable pour une entreprise industrielle. Enfin, l'EV/EBITDA de 6,4x, dans la fourchette 5-10x, indique que la valeur totale de l'entreprise (dette incluse) reste cohérente avec sa capacité opérationnelle à générer des flux, ce qui est un signal plutôt rassurant.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-9,16%, avec une chute de -2,31% lors de la dernière séance (J-1), confirmant une tendance baissière persistante. Le cours actuel de 3 175 FCFA correspond exactement au plus bas de la période, tandis que le plus haut a atteint 4 500 FCFA, soit un range de trading de 1 325 FCFA (41,7% d'amplitude), ce qui témoigne d'une forte érosion du cours depuis les sommets. La moyenne de 3 674 FCFA est supérieure à la médiane de 3 592 FCFA, et le mode se situe à 3 500 FCFA : cet écart entre moyenne et médiane, combiné à un skewness positif de 0,864, indique une asymétrie positive avec davantage de journées de cotation sous la moyenne, signe d'une pression vendeuse structurelle. L'écart-type de 299 FCFA (CV=8,1%) révèle une dispersion modérée du cours autour de sa moyenne, tandis que le kurtosis de 0,340 (mésokurtique) suggère une distribution proche de la normale, sans risque excessif de pics extrêmes. La volatilité annualisée de 44,9% classe ce titre dans la catégorie des valeurs à volatilité élevée (&gt;30%), ce qui implique un risque significatif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(3 362,5 FCFA) et la MM50 (3 472,9 FCFA) se situent toutes deux au-dessus du cours actuel (3 175 FCFA), confirmant une configuration baissière où le prix évolue sous ses moyennes de référence. La MM20 étant inférieure à la MM50, cela indique que la tendance de court terme est plus dégradée que celle de moyen terme, ce qui justifie la décision de **Vente** émise par cet indicateur.</w:t>
      </w:r>
    </w:p>
    <w:p>
      <w:pPr>
        <w:spacing w:after="120" w:line="276" w:lineRule="auto"/>
      </w:pPr>
      <w:r>
        <w:t>**Bandes de Bollinger** : Le cours actuel (3 175 FCFA) se situe juste au-dessus de la borne inférieure (3 148,355 FCFA) et très en dessous de la borne supérieure (3 576,645 FCFA), ce qui place le titre en zone de survente relative selon ce indicateur. L'écart entre les bornes (428 FCFA) reflète une volatilité encore présente mais en compression, et la décision **Neutre** suggère que le titre pourrait amorcer un rebond technique depuis cette zone basse.</w:t>
      </w:r>
    </w:p>
    <w:p>
      <w:pPr>
        <w:spacing w:after="120" w:line="276" w:lineRule="auto"/>
      </w:pPr>
      <w:r>
        <w:t>**MACD** : La valeur du MACD (-68,821) est inférieure à son signal (-62,718), confirmant un momentum baissier toujours actif. La divergence négative entre les deux lignes indique que la pression vendeuse persiste, bien que l'écart reste modéré, ce qui justifie la décision de **Vente** sans signal de retournement imminent.</w:t>
      </w:r>
    </w:p>
    <w:p>
      <w:pPr>
        <w:spacing w:after="120" w:line="276" w:lineRule="auto"/>
      </w:pPr>
      <w:r>
        <w:t>**RSI** : À 31,111, le RSI se situe juste au-dessus du seuil de survente (30), ce qui place le titre en zone neutre basse. Cette valeur indique que le marché n'est pas encore en survente extrême mais s'en approche, et la décision **Neutre** reflète cette position charnière où un rebond ou une poursuite de la baisse sont tous deux possibles.</w:t>
      </w:r>
    </w:p>
    <w:p>
      <w:pPr>
        <w:spacing w:after="120" w:line="276" w:lineRule="auto"/>
      </w:pPr>
      <w:r>
        <w:t>**Stochastique** : Le %K à 0,0 est extrêmement bas, tandis que le %D à 20,161 reste modéré, ce qui signale une forte pression baissière de court terme mais aussi un potentiel de rebond technique. La décision **Achat** émise par cet indicateur contredit les autres signaux, suggérant une opportunité contrariante pour les investisseurs cherchant à jouer un rebond.</w:t>
      </w:r>
    </w:p>
    <w:p>
      <w:pPr>
        <w:spacing w:after="120" w:line="276" w:lineRule="auto"/>
      </w:pPr>
      <w:r>
        <w:t>**Conclusion technique** : Les indicateurs techniques présentent une divergence notable : les moyennes mobiles et le MACD confirment une tendance baissière, tandis que le RSI, les Bandes de Bollinger et surtout le Stochastique suggèrent un potentiel de rebond depuis des niveaux de survente. Cette configuration contradictoire plaide pour une prudence accrue, avec une possible stabilisation du cours à court terme mais sans retournement confirmé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(chiffres officiels brvm_donnees_financieres) révèlent un chiffre d'affaires de 21 263 Mds FCFA, en croissance de 11,18% par rapport à 2024, avec un résultat net de 1 439 Mds FCFA, soit une marge nette de 6,77%. Le ROE s'établit à 15,40% (excellent, &gt;15%) et le ROA à 6,10%, tandis que la marge opérationnelle atteint 9,82% et la marge brute 16,50%. Cependant, l'analyse du besoin en fonds de roulement (BFR) révèle des tensions : le délai clients est de 144,69 jours et la durée de stockage de 152,12 jours, ce qui immobilise massivement du capital et explique le flux opérationnel négatif de -819,66 M FCFA malgré une CAF positive de 1 593 Mds FCFA. La structure financière reste saine avec une autonomie financière de 39,58% (&gt;30%), une liquidité générale de 242,60% et une capacité de remboursement de 0,26 an, mais la trésorerie nette de 5 139 Mds FCFA a chuté de 25% par rapport à 2024 (6 865 Mds FCFA). Les rapports narratifs confirment cette dynamique : le rapport du 3ème trimestre 2025 (daté du 30/09/2025) indique un CA cumulé de 16 630 M FCFA (+13,7%) et un résultat net de 1 329,5 M FCFA (+26,0%), mais signale un rétrécissement des marges opérationnelles dû à la part croissante du négoce (moins margé). Le rapport du 1er semestre 2025 (daté du 30/06/2025) faisait état d'un résultat net de 851,5 M FCFA (+55,3%) et d'une marge nette de 7,9%, portée par la hausse des cours des métaux et la demande pré-électorale. Le rapport annuel certifié 2024 (daté du 31/12/2024) mentionnait un résultat net de 1 225 M FCFA (-14,3%) impacté par une provision de 490 M FCFA sur créance douteuse et une hausse de 94% de l'impôt sur les résultats. Enfin, le rapport du T1 2026 (daté du 31/03/2026) révèle une dégradation brutale : CA en baisse de 26,5% à 3 794 M FCFA, perte d'exploitation de 237 M FCFA et résultat net déficitaire de 222 M FCFA, en raison d'une maintenance planifiée du parc machines et de l'inflation des cours des métaux (+23% en 3 mois). **Estimation pour l'exercice 2026** : sur la base de ce T1 catastrophique et des perspectives de rattrapage annoncées par la direction, on peut estimer un résultat net annuel 2026 compris entre 500 M et 900 M FCFA, soit une baisse de 37% à 65% par rapport à 2025, avec un risque de non-retour aux dividendes. La recommandation fondamentale est donc **CONSERVER avec vigilance extrême**, la solidité du bilan (trésorerie, faible endettement) étant contrebalancée par la dégradation opérationnelle récente et les risques de liquidité liés aux délais clients et stocks élevés.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tableau contrasté. Sur le plan de la **valorisation (Partie 0)**, le PER de 13,1x et le P/B de 2,01x indiquent une valorisation modérée mais non excessive, l'EV/EBITDA de 6,4x restant raisonnable. Le **comportement du cours (Partie 1)** est préoccupant : tendance baissière de -9,16% sur 100 jours, cours au plus bas de la période, skewness positif et volatilité élevée de 44,9%, ce qui traduit une pression vendeuse persistante. Les **signaux techniques (Partie 2)** sont divergents : les moyennes mobiles et le MACD confirment la vente, tandis que le RSI, les Bandes de Bollinger et le Stochastique suggèrent un potentiel rebond depuis des niveaux de survente. Les **fondamentaux (Partie 3)** montrent une entreprise solide sur 2025 (CA +11,18%, ROE 15,40%) mais fragilisée par des tensions de trésorerie (BFR élevé, flux opérationnel négatif) et surtout par le T1 2026 catastrophique (perte nette de 222 M FCFA). Les **prédictions IA (J+1 à J+10)** anticipent une stabilisation du cours autour de 3 172-3 187 FCFA, ce qui confirme l'absence de rebond significatif à court terme mais aussi l'arrêt de la chute libre. **Recommandation finale : CONSERVER** (avec surveillance active). Cette recommandation est justifiée par la convergence des signaux techniques baissiers à moyen terme et des fondamentaux dégradés en 2026, mais tempérée par la solidité du bilan et le potentiel de rebond technique à court terme. Le **niveau de confiance est Moyen** (les données 2026 sont encore partielles et les perspectives de rattrapage incertaines), le **niveau de risque global est Élevé** (volatilité de 44,9%, perte au T1 2026, dépendance aux matières premières), et l'**horizon d'investissement optimal est moyen terme (3-12 mois)**, le temps de vérifier si la normalisation annoncée par la direction se matérialise au T2 2026. Les investisseurs déjà positionnés sont invités à conserver leurs titres en surveillant les prochains rapports trimestriels, tandis que les nouveaux entrants devraient attendre une confirmation de retour à la profitabilité avant d'investir.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1001.60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1,530 titres</w:t>
            </w:r>
          </w:p>
        </w:tc>
        <w:tc>
          <w:tcPr>
            <w:tcW w:type="dxa" w:w="2268"/>
            <w:shd w:fill="FFF2CC" w:val="clear"/>
          </w:tcPr>
          <w:p>
            <w:r>
              <w:rPr>
                <w:b/>
                <w:color w:val="503200"/>
                <w:sz w:val="16"/>
              </w:rPr>
              <w:t xml:space="preserve">Cours actuel : </w:t>
            </w:r>
            <w:r>
              <w:rPr>
                <w:color w:val="000000"/>
                <w:sz w:val="17"/>
              </w:rPr>
              <w:t>31,300 FCFA</w:t>
            </w:r>
          </w:p>
          <w:p>
            <w:r>
              <w:rPr>
                <w:b/>
                <w:color w:val="503200"/>
                <w:sz w:val="16"/>
              </w:rPr>
              <w:t xml:space="preserve">Var. 100 jours : </w:t>
            </w:r>
            <w:r>
              <w:rPr>
                <w:b/>
                <w:color w:val="007800"/>
                <w:sz w:val="17"/>
              </w:rPr>
              <w:t>+57.25%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19,905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16.05% (Élevée) — μ=27,178 FCFA, σ=4,361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β=1.3210 (Agressif) — Cov=0.000097, Var(idx)=0.000074, ρ=0.408,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2026-10-09</w:t>
            </w:r>
          </w:p>
        </w:tc>
        <w:tc>
          <w:tcPr>
            <w:tcW w:type="dxa" w:w="1440"/>
            <w:shd w:fill="FFDCE0" w:val="clear"/>
          </w:tcPr>
          <w:p>
            <w:r>
              <w:rPr>
                <w:sz w:val="17"/>
              </w:rPr>
              <w:t>28,768</w:t>
            </w:r>
          </w:p>
        </w:tc>
        <w:tc>
          <w:tcPr>
            <w:tcW w:type="dxa" w:w="1440"/>
            <w:shd w:fill="FFDCE0" w:val="clear"/>
          </w:tcPr>
          <w:p>
            <w:r>
              <w:rPr>
                <w:b/>
                <w:sz w:val="17"/>
              </w:rPr>
              <w:t>30,350</w:t>
            </w:r>
          </w:p>
        </w:tc>
        <w:tc>
          <w:tcPr>
            <w:tcW w:type="dxa" w:w="1440"/>
            <w:shd w:fill="FFDCE0" w:val="clear"/>
          </w:tcPr>
          <w:p>
            <w:r>
              <w:rPr>
                <w:sz w:val="17"/>
              </w:rPr>
              <w:t>31,933</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27,688</w:t>
            </w:r>
          </w:p>
        </w:tc>
        <w:tc>
          <w:tcPr>
            <w:tcW w:type="dxa" w:w="1440"/>
            <w:shd w:fill="FFDCE0" w:val="clear"/>
          </w:tcPr>
          <w:p>
            <w:r>
              <w:rPr>
                <w:b/>
                <w:sz w:val="17"/>
              </w:rPr>
              <w:t>29,893</w:t>
            </w:r>
          </w:p>
        </w:tc>
        <w:tc>
          <w:tcPr>
            <w:tcW w:type="dxa" w:w="1440"/>
            <w:shd w:fill="FFDCE0" w:val="clear"/>
          </w:tcPr>
          <w:p>
            <w:r>
              <w:rPr>
                <w:sz w:val="17"/>
              </w:rPr>
              <w:t>32,098</w:t>
            </w:r>
          </w:p>
        </w:tc>
        <w:tc>
          <w:tcPr>
            <w:tcW w:type="dxa" w:w="1440"/>
            <w:shd w:fill="FFDCE0" w:val="clear"/>
          </w:tcPr>
          <w:p>
            <w:r>
              <w:rPr>
                <w:b/>
                <w:color w:val="C00000"/>
                <w:sz w:val="17"/>
              </w:rPr>
              <w:t>-4.5%</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26,976</w:t>
            </w:r>
          </w:p>
        </w:tc>
        <w:tc>
          <w:tcPr>
            <w:tcW w:type="dxa" w:w="1440"/>
            <w:shd w:fill="FFDCE0" w:val="clear"/>
          </w:tcPr>
          <w:p>
            <w:r>
              <w:rPr>
                <w:b/>
                <w:sz w:val="17"/>
              </w:rPr>
              <w:t>29,655</w:t>
            </w:r>
          </w:p>
        </w:tc>
        <w:tc>
          <w:tcPr>
            <w:tcW w:type="dxa" w:w="1440"/>
            <w:shd w:fill="FFDCE0" w:val="clear"/>
          </w:tcPr>
          <w:p>
            <w:r>
              <w:rPr>
                <w:sz w:val="17"/>
              </w:rPr>
              <w:t>32,333</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26,403</w:t>
            </w:r>
          </w:p>
        </w:tc>
        <w:tc>
          <w:tcPr>
            <w:tcW w:type="dxa" w:w="1440"/>
            <w:shd w:fill="FFDCE0" w:val="clear"/>
          </w:tcPr>
          <w:p>
            <w:r>
              <w:rPr>
                <w:b/>
                <w:sz w:val="17"/>
              </w:rPr>
              <w:t>29,477</w:t>
            </w:r>
          </w:p>
        </w:tc>
        <w:tc>
          <w:tcPr>
            <w:tcW w:type="dxa" w:w="1440"/>
            <w:shd w:fill="FFDCE0" w:val="clear"/>
          </w:tcPr>
          <w:p>
            <w:r>
              <w:rPr>
                <w:sz w:val="17"/>
              </w:rPr>
              <w:t>32,552</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25,902</w:t>
            </w:r>
          </w:p>
        </w:tc>
        <w:tc>
          <w:tcPr>
            <w:tcW w:type="dxa" w:w="1440"/>
            <w:shd w:fill="FFDCE0" w:val="clear"/>
          </w:tcPr>
          <w:p>
            <w:r>
              <w:rPr>
                <w:b/>
                <w:sz w:val="17"/>
              </w:rPr>
              <w:t>29,321</w:t>
            </w:r>
          </w:p>
        </w:tc>
        <w:tc>
          <w:tcPr>
            <w:tcW w:type="dxa" w:w="1440"/>
            <w:shd w:fill="FFDCE0" w:val="clear"/>
          </w:tcPr>
          <w:p>
            <w:r>
              <w:rPr>
                <w:sz w:val="17"/>
              </w:rPr>
              <w:t>32,740</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25,457</w:t>
            </w:r>
          </w:p>
        </w:tc>
        <w:tc>
          <w:tcPr>
            <w:tcW w:type="dxa" w:w="1440"/>
            <w:shd w:fill="FFDCE0" w:val="clear"/>
          </w:tcPr>
          <w:p>
            <w:r>
              <w:rPr>
                <w:b/>
                <w:sz w:val="17"/>
              </w:rPr>
              <w:t>29,185</w:t>
            </w:r>
          </w:p>
        </w:tc>
        <w:tc>
          <w:tcPr>
            <w:tcW w:type="dxa" w:w="1440"/>
            <w:shd w:fill="FFDCE0" w:val="clear"/>
          </w:tcPr>
          <w:p>
            <w:r>
              <w:rPr>
                <w:sz w:val="17"/>
              </w:rPr>
              <w:t>32,913</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25,058</w:t>
            </w:r>
          </w:p>
        </w:tc>
        <w:tc>
          <w:tcPr>
            <w:tcW w:type="dxa" w:w="1440"/>
            <w:shd w:fill="FFDCE0" w:val="clear"/>
          </w:tcPr>
          <w:p>
            <w:r>
              <w:rPr>
                <w:b/>
                <w:sz w:val="17"/>
              </w:rPr>
              <w:t>29,068</w:t>
            </w:r>
          </w:p>
        </w:tc>
        <w:tc>
          <w:tcPr>
            <w:tcW w:type="dxa" w:w="1440"/>
            <w:shd w:fill="FFDCE0" w:val="clear"/>
          </w:tcPr>
          <w:p>
            <w:r>
              <w:rPr>
                <w:sz w:val="17"/>
              </w:rPr>
              <w:t>33,079</w:t>
            </w:r>
          </w:p>
        </w:tc>
        <w:tc>
          <w:tcPr>
            <w:tcW w:type="dxa" w:w="1440"/>
            <w:shd w:fill="FFDCE0" w:val="clear"/>
          </w:tcPr>
          <w:p>
            <w:r>
              <w:rPr>
                <w:b/>
                <w:color w:val="C00000"/>
                <w:sz w:val="17"/>
              </w:rPr>
              <w:t>-7.1%</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24,693</w:t>
            </w:r>
          </w:p>
        </w:tc>
        <w:tc>
          <w:tcPr>
            <w:tcW w:type="dxa" w:w="1440"/>
            <w:shd w:fill="FFDCE0" w:val="clear"/>
          </w:tcPr>
          <w:p>
            <w:r>
              <w:rPr>
                <w:b/>
                <w:sz w:val="17"/>
              </w:rPr>
              <w:t>28,965</w:t>
            </w:r>
          </w:p>
        </w:tc>
        <w:tc>
          <w:tcPr>
            <w:tcW w:type="dxa" w:w="1440"/>
            <w:shd w:fill="FFDCE0" w:val="clear"/>
          </w:tcPr>
          <w:p>
            <w:r>
              <w:rPr>
                <w:sz w:val="17"/>
              </w:rPr>
              <w:t>33,237</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24,356</w:t>
            </w:r>
          </w:p>
        </w:tc>
        <w:tc>
          <w:tcPr>
            <w:tcW w:type="dxa" w:w="1440"/>
            <w:shd w:fill="FFDCE0" w:val="clear"/>
          </w:tcPr>
          <w:p>
            <w:r>
              <w:rPr>
                <w:b/>
                <w:sz w:val="17"/>
              </w:rPr>
              <w:t>28,873</w:t>
            </w:r>
          </w:p>
        </w:tc>
        <w:tc>
          <w:tcPr>
            <w:tcW w:type="dxa" w:w="1440"/>
            <w:shd w:fill="FFDCE0" w:val="clear"/>
          </w:tcPr>
          <w:p>
            <w:r>
              <w:rPr>
                <w:sz w:val="17"/>
              </w:rPr>
              <w:t>33,390</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24,041</w:t>
            </w:r>
          </w:p>
        </w:tc>
        <w:tc>
          <w:tcPr>
            <w:tcW w:type="dxa" w:w="1440"/>
            <w:shd w:fill="FFDCE0" w:val="clear"/>
          </w:tcPr>
          <w:p>
            <w:r>
              <w:rPr>
                <w:b/>
                <w:sz w:val="17"/>
              </w:rPr>
              <w:t>28,788</w:t>
            </w:r>
          </w:p>
        </w:tc>
        <w:tc>
          <w:tcPr>
            <w:tcW w:type="dxa" w:w="1440"/>
            <w:shd w:fill="FFDCE0" w:val="clear"/>
          </w:tcPr>
          <w:p>
            <w:r>
              <w:rPr>
                <w:sz w:val="17"/>
              </w:rPr>
              <w:t>33,536</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1 001,60 milliards FCFA, CBIBF s'impose comme l'une des plus importantes capitalisations de la BRVM, ce qui témoigne de sa stature de valeur de premier plan dans le compartiment bancaire régional. Le BPA de 2 047 FCFA/action signifie que chaque titre génère près de 2 047 FCFA de bénéfice net, un niveau de rentabilité par action particulièrement élevé pour le marché ouest-africain. Le PER de 15,3x situe le titre légèrement au-dessus de la fourchette moyenne de la BRVM (8-12x), traduisant une prime de qualité que les investisseurs acceptent de payer pour une banque affichant une croissance à deux chiffres de ses résultats. Le ratio EV/EBITDA de 11,3x, dans la fourchette 10-15x, confirme cette valorisation élevée mais justifiée par la capacité bénéficiaire opérationnelle. Le P/B n'étant pas fourni dans les données disponibles, il n'est pas commenté ici, mais la solidité des fonds propres (capital social de 32 milliards FCFA) suggère une valorisation cohérente avec la valeur comptable.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**+57,25%**, passant d'un plus bas de 19 905 FCFA à un plus haut de 34 450 FCFA, pour un cours actuel de 31 300 FCFA (en léger repli de -0,63% sur la dernière séance). Cette tendance nettement haussière traduit un fort engouement du marché pour le titre, porté par l'amélioration continue des fondamentaux de la banque. La moyenne de 27 178 FCFA est inférieure à la médiane de 28 302 FCFA, ce qui indique une distribution légèrement tirée vers le bas par les cours des premières semaines, avant l'accélération récente — le mode à 22 000 FCFA confirme que le titre a longtemps stagné avant son envolée. L'écart-type de 4 383 FCFA (CV = 16,1%) révèle une dispersion modérée du cours autour de sa moyenne, tandis que le kurtosis de -1,280 (distribution platykurtique) signale une faible concentration des rendements et un risque de pics extrêmes limité. Le skewness de -0,121, proche de zéro, indique une distribution quasi-symétrique, sans biais marqué vers les rendements négatifs ou positifs. La volatilité annualisée de 43,7% classe le titre dans la catégorie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(32 170 FCFA) et la MM50 (30 641 FCFA) se situent toutes deux au-dessus du cours actuel (31 300 FCFA), mais la MM20 reste supérieure à la MM50, configuration haussière classique. Le cours évoluant entre ces deux moyennes, la décision technique est à l'**Achat**, suggérant que la tendance de fond reste positive malgré la consolidation actuelle.</w:t>
      </w:r>
    </w:p>
    <w:p>
      <w:pPr>
        <w:spacing w:after="120" w:line="276" w:lineRule="auto"/>
      </w:pPr>
      <w:r>
        <w:t>**Bandes de Bollinger** : Le cours (31 300 FCFA) se situe à l'intérieur des bandes, entre la borne inférieure (28 845 FCFA) et la borne supérieure (35 495 FCFA), légèrement en dessous du milieu de bande. Cette position médiane, sans contact avec les extrêmes, justifie une décision **Neutre** : ni signal de surachat, ni opportunité de survente, le titre évolue dans sa zone de confort.</w:t>
      </w:r>
    </w:p>
    <w:p>
      <w:pPr>
        <w:spacing w:after="120" w:line="276" w:lineRule="auto"/>
      </w:pPr>
      <w:r>
        <w:t>**MACD** : La valeur du MACD (21,651) est nettement inférieure à son signal (225,339), générant une divergence baissière marquée. Ce croisement négatif indique un essoufflement du momentum haussier et justifie la décision de **Vente** à court terme, bien que la tendance de fond reste positive.</w:t>
      </w:r>
    </w:p>
    <w:p>
      <w:pPr>
        <w:spacing w:after="120" w:line="276" w:lineRule="auto"/>
      </w:pPr>
      <w:r>
        <w:t>**RSI** : À 41,797, le RSI se situe dans la zone neutre (30-70), sans signal de surachat ni de survente. Cette valeur légèrement sous le seuil de 50 traduit une perte de dynamique récente, mais la décision reste **Neutre** : le titre n'est ni à acheter agressivement, ni à vendre.</w:t>
      </w:r>
    </w:p>
    <w:p>
      <w:pPr>
        <w:spacing w:after="120" w:line="276" w:lineRule="auto"/>
      </w:pPr>
      <w:r>
        <w:t>**Stochastique** : Le %K (50,823) et le %D (51,132) évoluent en zone médiane, avec un %K légèrement inférieur au %D, suggérant un début de croisement baissier de faible ampleur. La décision **Neutre** s'impose, aucun signal fort n'étant dégagé.</w:t>
      </w:r>
    </w:p>
    <w:p>
      <w:pPr>
        <w:spacing w:after="120" w:line="276" w:lineRule="auto"/>
      </w:pPr>
      <w:r>
        <w:t>**Conclusion technique** : Les indicateurs sont majoritairement neutres, avec un signal d'achat sur les moyennes mobiles mais un signal de vente sur le MACD. Cette divergence traduit une phase de consolidation après la forte hausse de +57,25%, le titre ayant besoin de digérer ses gains. La tendance de fond reste haussière (MM20 &gt; MM50), mais le momentum à court terme s'affaiblit, appelant à la prudence dans l'immédiat.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(PNB) de 138,986 milliards FCFA, en croissance de 6,11% sur un an, et un résultat net de 65,495 milliards FCFA, en progression spectaculaire de **+36,6%** par rapport aux 47,937 milliards de 2024. Cette performance est d'autant plus remarquable qu'elle intervient après une année 2024 difficile (résultat net en baisse de -25,4% à cause d'un coût du risque explosif de +72,5%). Le coefficient d'exploitation s'établit à **36,39%**, un niveau excellent (&lt;50%) qui témoigne d'une grande efficacité opérationnelle. Le ROA de 2,18% et la marge nette de 47,12% confirment la rentabilité élevée de la banque. Le coût du risque, bien qu'élevé dans les données brutes, s'est amélioré de 59,3% selon le rapport annuel 2025, traduisant l'assainissement réussi du portefeuille de crédits. La structure bilancielle affiche des dépôts clientèle de 2 015,284 milliards FCFA pour des créances clientèle de 1 326,977 milliards FCFA, soit un ratio de transformation (crédits/dépôts) de 65,8%, indiquant une politique de crédit sélective et prudente.</w:t>
      </w:r>
    </w:p>
    <w:p>
      <w:pPr>
        <w:spacing w:after="120" w:line="276" w:lineRule="auto"/>
      </w:pPr>
      <w:r>
        <w:t>**Estimations basées sur les rapports trimestriels** : Le rapport du T1 2026 (publié en 2026) révèle une accélération spectaculaire : PNB de 36,8 milliards FCFA (+28,5%), résultat net de 21,5 milliards FCFA (+22,2%), et surtout une collecte de dépôts de 2 365,1 milliards FCFA (+37,9%). Sur cette base, on estime que l'exercice 2026 devrait enregistrer un PNB supérieur à 160 milliards FCFA et un résultat net approchant 80 milliards FCFA, confirmant la dynamique exceptionnelle de la banque. Le rapport annuel 2025 (analysé le 01/10/2026) souligne la solidité du modèle d'affaires, tandis que le rapport S1 2026 (analysé le 30/09/2026) confirme la poursuite de la croissance. La notation financière AA/AI avec perspective stable (Bloomfield Investment Corporation) renforce la crédibilité de l'institution.</w:t>
      </w:r>
    </w:p>
    <w:p>
      <w:pPr>
        <w:spacing w:after="120" w:line="276" w:lineRule="auto"/>
      </w:pPr>
      <w:r>
        <w:t>**Recommandation fondamentale** : La banque affiche une solidité financière remarquable, une croissance bénéficiaire exceptionnelle et une gestion des risques en nette amélioration. Les principaux risques restent l'environnement sécuritaire et politique burkinabè, ainsi que la concentration géographique. Néanmoins, la trajectoire fondamentale est clairement positive, justifiant une recommandation d'**ACHAT** sur le plan fondamental.</w:t>
      </w:r>
    </w:p>
    <w:p>
      <w:pPr>
        <w:spacing w:after="120" w:line="276" w:lineRule="auto"/>
      </w:pPr>
      <w:r>
        <w:t>---</w:t>
      </w:r>
    </w:p>
    <w:p>
      <w:pPr>
        <w:spacing w:after="120" w:line="276" w:lineRule="auto"/>
      </w:pPr>
      <w:r>
        <w:t>## PARTIE 4 : CONCLUSION D'INVESTISSEMENT</w:t>
      </w:r>
    </w:p>
    <w:p>
      <w:pPr>
        <w:spacing w:after="120" w:line="276" w:lineRule="auto"/>
      </w:pPr>
      <w:r>
        <w:t>La valorisation de CBIBF (PER 15,3x, EV/EBITDA 11,3x) indique une légère surévaluation par rapport à la moyenne du marché BRVM, mais cette prime se justifie pleinement par la qualité des fondamentaux et la croissance exceptionnelle du résultat net (+36,6% en 2025, +22,2% au T1 2026). Le comportement du cours sur 100 jours (+57,25%) témoigne d'un fort momentum haussier, mais la volatilité élevée (43,7%) et la distribution platykurtique (kurtosis -1,280) appellent à la prudence : le titre peut connaître des corrections brutales. Les signaux techniques sont mitigés — les moyennes mobiles restent haussières (MM20 &gt; MM50) mais le MACD génère un signal de vente, et le RSI neutre (41,8) suggère une consolidation en cours. Les fondamentaux, en revanche, sont excellents : coefficient d'exploitation de 36,4%, ROA de 2,18%, et une accélération confirmée par le T1 2026 (dépôts +37,9%, PNB +28,5%). Les prédictions IA anticipent une légère correction à court terme (30 350 FCFA à J+1, puis 29 321 FCFA à J+5), ce qui contredit partiellement les signaux haussiers des moyennes mobiles mais confirme la phase de consolidation technique. **Recommandation finale : ACHAT** — la convergence entre fondamentaux solides, valorisation raisonnable et tendance de fond haussière l'emporte sur les signaux techniques à court terme. Le niveau de confiance est **Moyen** (en raison de la divergence technique), et le risque global est **Moyen** (volatilité élevée mais fondamentaux robustes). L'horizon d'investissement optimal est le **moyen terme (3-12 mois)**, le temps que la consolidation technique s'achève et que la croissance bénéficiaire se matérialise dans le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3,561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B40000"/>
                <w:sz w:val="17"/>
              </w:rPr>
              <w:t>-2.25%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μ=1,637 FCFA, σ=89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β=1.1517 (Neutre (suit le marché)) — Cov=0.000085, Var(idx)=0.000074, ρ=0.342,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1,469</w:t>
            </w:r>
          </w:p>
        </w:tc>
        <w:tc>
          <w:tcPr>
            <w:tcW w:type="dxa" w:w="1440"/>
            <w:shd w:fill="FAFAFA" w:val="clear"/>
          </w:tcPr>
          <w:p>
            <w:r>
              <w:rPr>
                <w:b/>
                <w:sz w:val="17"/>
              </w:rPr>
              <w:t>1,533</w:t>
            </w:r>
          </w:p>
        </w:tc>
        <w:tc>
          <w:tcPr>
            <w:tcW w:type="dxa" w:w="1440"/>
            <w:shd w:fill="FAFAFA" w:val="clear"/>
          </w:tcPr>
          <w:p>
            <w:r>
              <w:rPr>
                <w:sz w:val="17"/>
              </w:rPr>
              <w:t>1,598</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1,446</w:t>
            </w:r>
          </w:p>
        </w:tc>
        <w:tc>
          <w:tcPr>
            <w:tcW w:type="dxa" w:w="1440"/>
            <w:shd w:fill="FAFAFA" w:val="clear"/>
          </w:tcPr>
          <w:p>
            <w:r>
              <w:rPr>
                <w:b/>
                <w:sz w:val="17"/>
              </w:rPr>
              <w:t>1,538</w:t>
            </w:r>
          </w:p>
        </w:tc>
        <w:tc>
          <w:tcPr>
            <w:tcW w:type="dxa" w:w="1440"/>
            <w:shd w:fill="FAFAFA" w:val="clear"/>
          </w:tcPr>
          <w:p>
            <w:r>
              <w:rPr>
                <w:sz w:val="17"/>
              </w:rPr>
              <w:t>1,629</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1,430</w:t>
            </w:r>
          </w:p>
        </w:tc>
        <w:tc>
          <w:tcPr>
            <w:tcW w:type="dxa" w:w="1440"/>
            <w:shd w:fill="FAFAFA" w:val="clear"/>
          </w:tcPr>
          <w:p>
            <w:r>
              <w:rPr>
                <w:b/>
                <w:sz w:val="17"/>
              </w:rPr>
              <w:t>1,543</w:t>
            </w:r>
          </w:p>
        </w:tc>
        <w:tc>
          <w:tcPr>
            <w:tcW w:type="dxa" w:w="1440"/>
            <w:shd w:fill="FAFAFA" w:val="clear"/>
          </w:tcPr>
          <w:p>
            <w:r>
              <w:rPr>
                <w:sz w:val="17"/>
              </w:rPr>
              <w:t>1,655</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1,417</w:t>
            </w:r>
          </w:p>
        </w:tc>
        <w:tc>
          <w:tcPr>
            <w:tcW w:type="dxa" w:w="1440"/>
            <w:shd w:fill="FAFAFA" w:val="clear"/>
          </w:tcPr>
          <w:p>
            <w:r>
              <w:rPr>
                <w:b/>
                <w:sz w:val="17"/>
              </w:rPr>
              <w:t>1,548</w:t>
            </w:r>
          </w:p>
        </w:tc>
        <w:tc>
          <w:tcPr>
            <w:tcW w:type="dxa" w:w="1440"/>
            <w:shd w:fill="FAFAFA" w:val="clear"/>
          </w:tcPr>
          <w:p>
            <w:r>
              <w:rPr>
                <w:sz w:val="17"/>
              </w:rPr>
              <w:t>1,678</w:t>
            </w:r>
          </w:p>
        </w:tc>
        <w:tc>
          <w:tcPr>
            <w:tcW w:type="dxa" w:w="1440"/>
            <w:shd w:fill="FAFAFA" w:val="clear"/>
          </w:tcPr>
          <w:p>
            <w:r>
              <w:rPr>
                <w:b/>
                <w:color w:val="008000"/>
                <w:sz w:val="17"/>
              </w:rPr>
              <w:t>+1.8%</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1,406</w:t>
            </w:r>
          </w:p>
        </w:tc>
        <w:tc>
          <w:tcPr>
            <w:tcW w:type="dxa" w:w="1440"/>
            <w:shd w:fill="C6EFCE" w:val="clear"/>
          </w:tcPr>
          <w:p>
            <w:r>
              <w:rPr>
                <w:b/>
                <w:sz w:val="17"/>
              </w:rPr>
              <w:t>1,552</w:t>
            </w:r>
          </w:p>
        </w:tc>
        <w:tc>
          <w:tcPr>
            <w:tcW w:type="dxa" w:w="1440"/>
            <w:shd w:fill="C6EFCE" w:val="clear"/>
          </w:tcPr>
          <w:p>
            <w:r>
              <w:rPr>
                <w:sz w:val="17"/>
              </w:rPr>
              <w:t>1,699</w:t>
            </w:r>
          </w:p>
        </w:tc>
        <w:tc>
          <w:tcPr>
            <w:tcW w:type="dxa" w:w="1440"/>
            <w:shd w:fill="C6EFCE" w:val="clear"/>
          </w:tcPr>
          <w:p>
            <w:r>
              <w:rPr>
                <w:b/>
                <w:color w:val="008000"/>
                <w:sz w:val="17"/>
              </w:rPr>
              <w:t>+2.1%</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1,396</w:t>
            </w:r>
          </w:p>
        </w:tc>
        <w:tc>
          <w:tcPr>
            <w:tcW w:type="dxa" w:w="1440"/>
            <w:shd w:fill="C6EFCE" w:val="clear"/>
          </w:tcPr>
          <w:p>
            <w:r>
              <w:rPr>
                <w:b/>
                <w:sz w:val="17"/>
              </w:rPr>
              <w:t>1,557</w:t>
            </w:r>
          </w:p>
        </w:tc>
        <w:tc>
          <w:tcPr>
            <w:tcW w:type="dxa" w:w="1440"/>
            <w:shd w:fill="C6EFCE" w:val="clear"/>
          </w:tcPr>
          <w:p>
            <w:r>
              <w:rPr>
                <w:sz w:val="17"/>
              </w:rPr>
              <w:t>1,718</w:t>
            </w:r>
          </w:p>
        </w:tc>
        <w:tc>
          <w:tcPr>
            <w:tcW w:type="dxa" w:w="1440"/>
            <w:shd w:fill="C6EFCE" w:val="clear"/>
          </w:tcPr>
          <w:p>
            <w:r>
              <w:rPr>
                <w:b/>
                <w:color w:val="008000"/>
                <w:sz w:val="17"/>
              </w:rPr>
              <w:t>+2.4%</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1,387</w:t>
            </w:r>
          </w:p>
        </w:tc>
        <w:tc>
          <w:tcPr>
            <w:tcW w:type="dxa" w:w="1440"/>
            <w:shd w:fill="C6EFCE" w:val="clear"/>
          </w:tcPr>
          <w:p>
            <w:r>
              <w:rPr>
                <w:b/>
                <w:sz w:val="17"/>
              </w:rPr>
              <w:t>1,562</w:t>
            </w:r>
          </w:p>
        </w:tc>
        <w:tc>
          <w:tcPr>
            <w:tcW w:type="dxa" w:w="1440"/>
            <w:shd w:fill="C6EFCE" w:val="clear"/>
          </w:tcPr>
          <w:p>
            <w:r>
              <w:rPr>
                <w:sz w:val="17"/>
              </w:rPr>
              <w:t>1,736</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1,379</w:t>
            </w:r>
          </w:p>
        </w:tc>
        <w:tc>
          <w:tcPr>
            <w:tcW w:type="dxa" w:w="1440"/>
            <w:shd w:fill="C6EFCE" w:val="clear"/>
          </w:tcPr>
          <w:p>
            <w:r>
              <w:rPr>
                <w:b/>
                <w:sz w:val="17"/>
              </w:rPr>
              <w:t>1,566</w:t>
            </w:r>
          </w:p>
        </w:tc>
        <w:tc>
          <w:tcPr>
            <w:tcW w:type="dxa" w:w="1440"/>
            <w:shd w:fill="C6EFCE" w:val="clear"/>
          </w:tcPr>
          <w:p>
            <w:r>
              <w:rPr>
                <w:sz w:val="17"/>
              </w:rPr>
              <w:t>1,753</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1,371</w:t>
            </w:r>
          </w:p>
        </w:tc>
        <w:tc>
          <w:tcPr>
            <w:tcW w:type="dxa" w:w="1440"/>
            <w:shd w:fill="C6EFCE" w:val="clear"/>
          </w:tcPr>
          <w:p>
            <w:r>
              <w:rPr>
                <w:b/>
                <w:sz w:val="17"/>
              </w:rPr>
              <w:t>1,570</w:t>
            </w:r>
          </w:p>
        </w:tc>
        <w:tc>
          <w:tcPr>
            <w:tcW w:type="dxa" w:w="1440"/>
            <w:shd w:fill="C6EFCE" w:val="clear"/>
          </w:tcPr>
          <w:p>
            <w:r>
              <w:rPr>
                <w:sz w:val="17"/>
              </w:rPr>
              <w:t>1,769</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1,364</w:t>
            </w:r>
          </w:p>
        </w:tc>
        <w:tc>
          <w:tcPr>
            <w:tcW w:type="dxa" w:w="1440"/>
            <w:shd w:fill="C6EFCE" w:val="clear"/>
          </w:tcPr>
          <w:p>
            <w:r>
              <w:rPr>
                <w:b/>
                <w:sz w:val="17"/>
              </w:rPr>
              <w:t>1,574</w:t>
            </w:r>
          </w:p>
        </w:tc>
        <w:tc>
          <w:tcPr>
            <w:tcW w:type="dxa" w:w="1440"/>
            <w:shd w:fill="C6EFCE" w:val="clear"/>
          </w:tcPr>
          <w:p>
            <w:r>
              <w:rPr>
                <w:sz w:val="17"/>
              </w:rPr>
              <w:t>1,784</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Cours de référence : 1 520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275,69 milliards FCFA, CFAC figure parmi les valeurs les plus importantes de la cote BRVM, ce qui lui confère une liquidité relative et une visibilité institutionnelle appréciables. Le BPA de 26 FCFA/action signifie que chaque titre génère 26 FCFA de bénéfice net, un niveau modeste au regard du cours actuel. Le PER de 58,7x traduit une valorisation très exigeante : les investisseurs paient près de 59 fois les bénéfices, soit un multiple 5 à 7 fois supérieur à la moyenne du marché BRVM (8-12x), ce qui intègre déjà une forte anticipation de croissance. Le P/B de 14,17x confirme cette prime spectaculaire — le marché valorise la société à plus de 14 fois sa valeur comptable, bien au-delà du seuil de 4x généralement considéré comme déjà tendu. Enfin, l'EV/EBITDA de 30,0x (contre un seuil d'alerte de 15x) signale que la valeur d'entreprise capte plus de 30 années d'EBITDA, une valorisation qui n'est justifiable que par une accélération durable des marges et des volumes.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-2,25%, avec une dernière séance en repli de -0,98%, portant le cours à 1 520 FCFA. Le range de trading s'établit entre un plus haut de 1 825 FCFA et un plus bas de 1 460 FCFA, soit une amplitude de 365 FCFA (25% du cours bas), reflétant une tendance globalement baissière mais ponctuée de rebonds. La moyenne (1 637 FCFA) et la médiane (1 642 FCFA) sont quasi confondues, confirmant la symétrie de la distribution (skewness de -0,108), tandis que le mode à 1 600 FCFA indique un palier de consolidation fréquent. L'écart-type de 90 FCFA avec un coefficient de variation de 5,5% traduit une dispersion modérée autour de la moyenne, mais le kurtosis négatif (-1,034, distribution platykurtique) signale une faible concentration des rendements et donc un risque de mouvements amples moins fréquents mais potentiellement plus étalés. La volatilité annualisée de 45,5% classe le titre dans la catégorie des valeurs à volatilité élevée (&gt;30%), ce qui implique un risque de marché significatif pour un investisseur non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(1 596,5 FCFA) et la MM50 (1 654,8 FCFA) se situent toutes deux au-dessus du cours actuel (1 520 FCFA), avec une MM20 inférieure à la MM50 — configuration baissière caractéristique. Le cours évoluant sous ses deux moyennes, la pression vendeuse domine et justifie la décision « Vente ».</w:t>
      </w:r>
    </w:p>
    <w:p>
      <w:pPr>
        <w:spacing w:after="120" w:line="276" w:lineRule="auto"/>
      </w:pPr>
      <w:r>
        <w:t>**Bandes de Bollinger** : Le cours (1 520 FCFA) se situe dans la moitié inférieure de la bande, entre la borne inférieure (1 432,37 FCFA) et la borne supérieure (1 760,63 FCFA), sans atteindre les extrêmes. Cette position médiane, couplée à un rétrécissement apparent de la bande, explique la décision « Neutre » — ni suracheté, ni survendu.</w:t>
      </w:r>
    </w:p>
    <w:p>
      <w:pPr>
        <w:spacing w:after="120" w:line="276" w:lineRule="auto"/>
      </w:pPr>
      <w:r>
        <w:t>**MACD** : La valeur du MACD (-45,678) est inférieure à son signal (-39,677), avec un histogramme négatif, confirmant un momentum baissier persistant. La divergence négative entre les deux lignes justifie pleinement la décision « Vente ».</w:t>
      </w:r>
    </w:p>
    <w:p>
      <w:pPr>
        <w:spacing w:after="120" w:line="276" w:lineRule="auto"/>
      </w:pPr>
      <w:r>
        <w:t>**RSI** : À 38,182, le RSI se situe dans la zone neutre basse (30-70), sans atteindre le seuil de survente (30). Cette position indique une faiblesse relative sans capitulation, cohérente avec la décision « Neutre ».</w:t>
      </w:r>
    </w:p>
    <w:p>
      <w:pPr>
        <w:spacing w:after="120" w:line="276" w:lineRule="auto"/>
      </w:pPr>
      <w:r>
        <w:t>**Stochastique** : Le %K (35,294) et le %D (35,792) évoluent en zone basse, proches l'un de l'autre, sans croisement haussier avéré. Cette configuration neutre suggère une absence de signal directionnel fort à court terme.</w:t>
      </w:r>
    </w:p>
    <w:p>
      <w:pPr>
        <w:spacing w:after="120" w:line="276" w:lineRule="auto"/>
      </w:pPr>
      <w:r>
        <w:t>**Conclusion technique** : La convergence des signaux baissiers (MM, MACD) et neutres (Bollinger, RSI, Stochastique) dessine un tableau technique fragile. Le titre est en phase de consolidation baissière, sans signal de retournement imminent, mais la proximité de la borne inférieure de Bollinger (1 432 FCFA) pourrait offrir un support technique à surveiller.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recul de -12,13% par rapport à 2023, et un résultat net de 4,693 milliards FCFA, en baisse de -26,7%. Le ROE reste néanmoins élevé à 24,13% (bien supérieur au seuil de 15%), porté par des capitaux propres limités (19,453 milliards FCFA), tandis que le ROA de 5,52% traduit une rentabilité des actifs plus modeste. La marge nette de 2,96% et la marge opérationnelle de 4,96% sont sous pression, conséquence d'une contraction des volumes (-5,5%) et d'une hausse des charges. La structure financière est déséquilibrée : l'autonomie financière de 22,88% est inférieure au seuil sain de 30%, et la liquidité générale de 93,63% (actif circulant/passif circulant) est juste sous l'unité, signalant une trésorerie tendue (trésorerie nette de -624,2 millions FCFA). Le BFR est négatif (-3,482 milliards FCFA), ce qui est favorable, mais le Free Cash Flow de -1,650 milliard FCFA et le flux d'investissement de -8,741 milliards FCFA traduisent un effort d'investissement lourd qui pèse sur la trésorerie. Les délais d'exploitation sont contrastés : délai clients de 36,64 jours (risque de trésorerie modéré), délai fournisseurs de 81,75 jours (favorable) et durée de stockage de 88,35 jours (immobilisation de capital élevée). Les rapports trimestriels récents (T1 2025, S1 2025, T3 2025) montrent une nette amélioration : au T1 2025, le CA progresse de +14,5% à 46,161 milliards FCFA et le résultat net bondit de +279,7% à 3,836 milliards FCFA ; au S1 2025, le CA atteint 91,182 milliards FCFA (+18,4%) et le résultat net 5,420 milliards FCFA (+152,7%) ; au T3 2025, le CA trimestriel s'élève à 43,580 milliards FCFA (+18,3%) et le résultat net à 1,489 milliard FCFA (+38,1%). Sur la base de ces tendances, on estime que l'exercice 2025 devrait afficher un chiffre d'affaires annuel compris entre 175 et 185 milliards FCFA et un résultat net de l'ordre de 8 à 10 milliards FCFA, marquant un redressement significatif après l'exercice 2024 difficile. La recommandation fondamentale est de **conserver** le titre avec vigilance : la solidité du ROE et le rebond des marges sont des points positifs, mais la valorisation exigeante, l'endettement (ratio d'endettement de 23,07%) et la trésorerie négative imposent une surveillance rapprochée.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notable entre la valorisation, le comportement du cours, les signaux techniques et les fondamentaux. La valorisation (Partie 0) est manifestement surévaluée : PER de 58,7x, P/B de 14,17x et EV/EBITDA de 30,0x intègrent des anticipations de croissance très optimistes qui ne sont que partiellement confirmées par les rapports trimestriels. Le comportement du cours (Partie 1) est baissier sur 100 jours (-2,25%), avec une volatilité élevée (45,5%) et une distribution platykurtique qui suggère des mouvements amples mais peu fréquents. Les signaux techniques (Partie 2) sont majoritairement baissiers (MM, MACD) ou neutres (Bollinger, RSI, Stochastique), sans convergence haussière. Les fondamentaux (Partie 3) sont contrastés : l'exercice 2024 a été difficile (CA -12,1%, RN -26,7%), mais les rapports trimestriels 2025 (T1, S1, T3) montrent un redressement spectaculaire des marges et des volumes, ce qui pourrait justifier une révision à la hausse des bénéfices 2025. Les prédictions IA (J+1 à J+10) tablent sur une légère hausse vers 1 552 FCFA d'ici le 15 octobre 2026, ce qui contredit la tendance baissière récente mais reste cohérent avec un scénario de stabilisation. Sur la base de cette synthèse, la recommandation finale est **CONSERVER** avec un niveau de confiance **Moyen** et un risque global **Élevé**. La convergence entre la surévaluation, les signaux techniques baissiers et la volatilité élevée plaide contre un achat immédiat, mais le redressement fondamental en cours et les prédictions IA légèrement haussières incitent à ne pas vendre. L'horizon d'investissement optimal est le **moyen terme (3-12 mois)**, le temps que les résultats 2025 confirment (ou infirment) la trajectoire de redressement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358.40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6,871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+94.53%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3,290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17.31% (Élevée) — μ=5,568 FCFA, σ=964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β=0.6774 (Défensif) — Cov=0.000050, Var(idx)=0.000074, ρ=0.184,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6,039</w:t>
            </w:r>
          </w:p>
        </w:tc>
        <w:tc>
          <w:tcPr>
            <w:tcW w:type="dxa" w:w="1440"/>
            <w:shd w:fill="FAFAFA" w:val="clear"/>
          </w:tcPr>
          <w:p>
            <w:r>
              <w:rPr>
                <w:b/>
                <w:sz w:val="17"/>
              </w:rPr>
              <w:t>6,328</w:t>
            </w:r>
          </w:p>
        </w:tc>
        <w:tc>
          <w:tcPr>
            <w:tcW w:type="dxa" w:w="1440"/>
            <w:shd w:fill="FAFAFA" w:val="clear"/>
          </w:tcPr>
          <w:p>
            <w:r>
              <w:rPr>
                <w:sz w:val="17"/>
              </w:rPr>
              <w:t>6,617</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5,851</w:t>
            </w:r>
          </w:p>
        </w:tc>
        <w:tc>
          <w:tcPr>
            <w:tcW w:type="dxa" w:w="1440"/>
            <w:shd w:fill="FFDCE0" w:val="clear"/>
          </w:tcPr>
          <w:p>
            <w:r>
              <w:rPr>
                <w:b/>
                <w:sz w:val="17"/>
              </w:rPr>
              <w:t>6,255</w:t>
            </w:r>
          </w:p>
        </w:tc>
        <w:tc>
          <w:tcPr>
            <w:tcW w:type="dxa" w:w="1440"/>
            <w:shd w:fill="FFDCE0" w:val="clear"/>
          </w:tcPr>
          <w:p>
            <w:r>
              <w:rPr>
                <w:sz w:val="17"/>
              </w:rPr>
              <w:t>6,659</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5,726</w:t>
            </w:r>
          </w:p>
        </w:tc>
        <w:tc>
          <w:tcPr>
            <w:tcW w:type="dxa" w:w="1440"/>
            <w:shd w:fill="FFDCE0" w:val="clear"/>
          </w:tcPr>
          <w:p>
            <w:r>
              <w:rPr>
                <w:b/>
                <w:sz w:val="17"/>
              </w:rPr>
              <w:t>6,217</w:t>
            </w:r>
          </w:p>
        </w:tc>
        <w:tc>
          <w:tcPr>
            <w:tcW w:type="dxa" w:w="1440"/>
            <w:shd w:fill="FFDCE0" w:val="clear"/>
          </w:tcPr>
          <w:p>
            <w:r>
              <w:rPr>
                <w:sz w:val="17"/>
              </w:rPr>
              <w:t>6,709</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5,631</w:t>
            </w:r>
          </w:p>
        </w:tc>
        <w:tc>
          <w:tcPr>
            <w:tcW w:type="dxa" w:w="1440"/>
            <w:shd w:fill="FFDCE0" w:val="clear"/>
          </w:tcPr>
          <w:p>
            <w:r>
              <w:rPr>
                <w:b/>
                <w:sz w:val="17"/>
              </w:rPr>
              <w:t>6,197</w:t>
            </w:r>
          </w:p>
        </w:tc>
        <w:tc>
          <w:tcPr>
            <w:tcW w:type="dxa" w:w="1440"/>
            <w:shd w:fill="FFDCE0" w:val="clear"/>
          </w:tcPr>
          <w:p>
            <w:r>
              <w:rPr>
                <w:sz w:val="17"/>
              </w:rPr>
              <w:t>6,763</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5,551</w:t>
            </w:r>
          </w:p>
        </w:tc>
        <w:tc>
          <w:tcPr>
            <w:tcW w:type="dxa" w:w="1440"/>
            <w:shd w:fill="FFDCE0" w:val="clear"/>
          </w:tcPr>
          <w:p>
            <w:r>
              <w:rPr>
                <w:b/>
                <w:sz w:val="17"/>
              </w:rPr>
              <w:t>6,182</w:t>
            </w:r>
          </w:p>
        </w:tc>
        <w:tc>
          <w:tcPr>
            <w:tcW w:type="dxa" w:w="1440"/>
            <w:shd w:fill="FFDCE0" w:val="clear"/>
          </w:tcPr>
          <w:p>
            <w:r>
              <w:rPr>
                <w:sz w:val="17"/>
              </w:rPr>
              <w:t>6,813</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5,479</w:t>
            </w:r>
          </w:p>
        </w:tc>
        <w:tc>
          <w:tcPr>
            <w:tcW w:type="dxa" w:w="1440"/>
            <w:shd w:fill="FFDCE0" w:val="clear"/>
          </w:tcPr>
          <w:p>
            <w:r>
              <w:rPr>
                <w:b/>
                <w:sz w:val="17"/>
              </w:rPr>
              <w:t>6,169</w:t>
            </w:r>
          </w:p>
        </w:tc>
        <w:tc>
          <w:tcPr>
            <w:tcW w:type="dxa" w:w="1440"/>
            <w:shd w:fill="FFDCE0" w:val="clear"/>
          </w:tcPr>
          <w:p>
            <w:r>
              <w:rPr>
                <w:sz w:val="17"/>
              </w:rPr>
              <w:t>6,859</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5,415</w:t>
            </w:r>
          </w:p>
        </w:tc>
        <w:tc>
          <w:tcPr>
            <w:tcW w:type="dxa" w:w="1440"/>
            <w:shd w:fill="FFDCE0" w:val="clear"/>
          </w:tcPr>
          <w:p>
            <w:r>
              <w:rPr>
                <w:b/>
                <w:sz w:val="17"/>
              </w:rPr>
              <w:t>6,158</w:t>
            </w:r>
          </w:p>
        </w:tc>
        <w:tc>
          <w:tcPr>
            <w:tcW w:type="dxa" w:w="1440"/>
            <w:shd w:fill="FFDCE0" w:val="clear"/>
          </w:tcPr>
          <w:p>
            <w:r>
              <w:rPr>
                <w:sz w:val="17"/>
              </w:rPr>
              <w:t>6,902</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5,356</w:t>
            </w:r>
          </w:p>
        </w:tc>
        <w:tc>
          <w:tcPr>
            <w:tcW w:type="dxa" w:w="1440"/>
            <w:shd w:fill="FFDCE0" w:val="clear"/>
          </w:tcPr>
          <w:p>
            <w:r>
              <w:rPr>
                <w:b/>
                <w:sz w:val="17"/>
              </w:rPr>
              <w:t>6,149</w:t>
            </w:r>
          </w:p>
        </w:tc>
        <w:tc>
          <w:tcPr>
            <w:tcW w:type="dxa" w:w="1440"/>
            <w:shd w:fill="FFDCE0" w:val="clear"/>
          </w:tcPr>
          <w:p>
            <w:r>
              <w:rPr>
                <w:sz w:val="17"/>
              </w:rPr>
              <w:t>6,943</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5,301</w:t>
            </w:r>
          </w:p>
        </w:tc>
        <w:tc>
          <w:tcPr>
            <w:tcW w:type="dxa" w:w="1440"/>
            <w:shd w:fill="FFDCE0" w:val="clear"/>
          </w:tcPr>
          <w:p>
            <w:r>
              <w:rPr>
                <w:b/>
                <w:sz w:val="17"/>
              </w:rPr>
              <w:t>6,142</w:t>
            </w:r>
          </w:p>
        </w:tc>
        <w:tc>
          <w:tcPr>
            <w:tcW w:type="dxa" w:w="1440"/>
            <w:shd w:fill="FFDCE0" w:val="clear"/>
          </w:tcPr>
          <w:p>
            <w:r>
              <w:rPr>
                <w:sz w:val="17"/>
              </w:rPr>
              <w:t>6,983</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5,250</w:t>
            </w:r>
          </w:p>
        </w:tc>
        <w:tc>
          <w:tcPr>
            <w:tcW w:type="dxa" w:w="1440"/>
            <w:shd w:fill="FFDCE0" w:val="clear"/>
          </w:tcPr>
          <w:p>
            <w:r>
              <w:rPr>
                <w:b/>
                <w:sz w:val="17"/>
              </w:rPr>
              <w:t>6,136</w:t>
            </w:r>
          </w:p>
        </w:tc>
        <w:tc>
          <w:tcPr>
            <w:tcW w:type="dxa" w:w="1440"/>
            <w:shd w:fill="FFDCE0" w:val="clear"/>
          </w:tcPr>
          <w:p>
            <w:r>
              <w:rPr>
                <w:sz w:val="17"/>
              </w:rPr>
              <w:t>7,021</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 RAPPORT D'ANALYSE FINANCIÈRE — CIEC (Compagnie Ivoirienne d'Électricité)</w:t>
        <w:br/>
        <w:t>### Bourse Régionale des Valeurs Mobilières (BRVM) — Secteur : Services publics / Électricité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**358,40 Mds FCFA**, la CIEC figure parmi les valeurs les plus importantes de la cote BRVM, ce qui témoigne de son statut de valeur de rendement prisée des investisseurs institutionnels ouest-africains. Le **BPA de 234 FCFA** signifie que chaque action détenue génère 234 FCFA de bénéfice net, un niveau qui soutient directement la politique de dividende très généreuse de l'entreprise (DPA proposé de 234 FCFA, soit un payout proche de 100%). Le **PER de 27,3x** est nettement supérieur à la moyenne du marché BRVM (~8-12x), signalant que les investisseurs paient une prime élevée pour cette valeur, justifiée soit par des anticipations de croissance soutenue, soit par un statut défensif de quasi-monopole régulé — mais exposant le titre à un risque de correction si la croissance déçoit. Le **P/B de 9,97x** (largement supérieur au seuil de 4x) indique que le marché valorise la CIEC près de dix fois sa valeur comptable, une prime considérable qui s'explique par la faiblesse structurelle des capitaux propres (35,96 Mds FCFA) dans un modèle de concession où les actifs sont largement portés pour le compte de l'Autorité concédante. Enfin, l'**EV/EBITDA de 14,7x**, situé dans la fourchette haute (10-15x), confirme que la valeur d'entreprise rapportée à la capacité opérationnelle de génération de cash est exigeante, ce qui laisse peu de marge d'erreur en cas de dégradation des marges ou de renchérissement du coût de la dette.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+94,53%**, passant d'un plus bas de **3 290 FCFA** à un plus haut de **7 400 FCFA**, avant de se replier légèrement pour clôturer à **6 400 FCFA**, avec une dernière séance en repli de **-1,54%**. Ce range de trading exceptionnellement large (plus du double entre le plancher et le plafond) traduit une tendance haussière puissante, probablement portée par l'annonce de résultats annuels solides et d'un dividende attractif, mais le repli récent depuis les sommets suggère une prise de bénéfices après un rallye vertical. Les statistiques descriptives révèlent une **moyenne de 5 568 FCFA** supérieure à la **médiane de 5 305 FCFA**, ce qui indique une légère asymétrie positive — les cours élevés de fin de période tirent la moyenne vers le haut — tandis que le **mode de 4 995 FCFA** correspond à la zone de consolidation antérieure au rallye. L'**écart-type de 968 FCFA** avec un **coefficient de variation de 17,4%** traduit une dispersion modérée du cours autour de sa moyenne, et le **kurtosis de -0,482 (mésokurtique)** indique une distribution proche de la normale, sans risque excessif de pics extrêmes, tandis que le **skewness de -0,116 (quasi symétrique)** confirme l'absence de biais directionnel marqué. Enfin, la **volatilité annualisée de 50,2%** positionne clairement le titre dans la catégorie des valeurs à **volatilité élevée (&gt;30%)**, ce qui implique un risque de fluctuation important et justifie une gestion prudente de la taille de position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**6 537,25 FCFA** et la MM50 à **6 274,00 FCFA**, toutes deux supérieures au cours actuel de 6 400 FCFA, ce qui place le titre en position de faiblesse relative à court terme malgré la décision algorithmique affichée « Achat ». Cette configuration (cours sous MM20 mais au-dessus de MM50) suggère une correction temporaire au sein d'une tendance de fond encore haussière, la MM50 servant de support dynamique potentiel.</w:t>
      </w:r>
    </w:p>
    <w:p>
      <w:pPr>
        <w:spacing w:after="120" w:line="276" w:lineRule="auto"/>
      </w:pPr>
      <w:r>
        <w:t>**Bandes de Bollinger :** Le cours actuel de 6 400 FCFA se situe dans la partie médiane de la bande, entre la borne inférieure à **5 983,47 FCFA** et la borne supérieure à **7 091,03 FCFA**, justifiant la décision « Neutre ». L'écart entre les bornes (environ 1 108 FCFA) traduit une volatilité encore soutenue, et la position centrale du cours indique une absence de signal directionnel fort à court terme.</w:t>
      </w:r>
    </w:p>
    <w:p>
      <w:pPr>
        <w:spacing w:after="120" w:line="276" w:lineRule="auto"/>
      </w:pPr>
      <w:r>
        <w:t>**MACD :** La valeur du MACD est négative à **-18,425** face à un signal à **+18,553**, générant une divergence baissière marquée et une décision « Vente ». Cet écart négatif important entre la ligne MACD et sa ligne de signal traduit un momentum clairement affaibli, confirmant que la dynamique haussière des 100 derniers jours s'essouffle et que la pression vendeuse reprend le dessus.</w:t>
      </w:r>
    </w:p>
    <w:p>
      <w:pPr>
        <w:spacing w:after="120" w:line="276" w:lineRule="auto"/>
      </w:pPr>
      <w:r>
        <w:t>**RSI :** À **47,423**, le RSI se situe parfaitement dans la zone neutre (30-70), justifiant la décision « Neutre ». Cette valeur indique un équilibre entre acheteurs et vendeurs, sans tension de surachat (&gt;70) ni de survente (&lt;30), ce qui laisse la porte ouverte à une reprise comme à une poursuite de la correction selon l'évolution des volumes.</w:t>
      </w:r>
    </w:p>
    <w:p>
      <w:pPr>
        <w:spacing w:after="120" w:line="276" w:lineRule="auto"/>
      </w:pPr>
      <w:r>
        <w:t>**Stochastique :** Le %K à **43,86** est légèrement supérieur au %D à **38,012**, configuration haussière naissante mais encore timide, justifiant la décision « Neutre ». L'absence de croisement franc et la position médiane des deux lignes confirment l'absence de signal fort, le titre évoluant dans une zone d'indécision.</w:t>
      </w:r>
    </w:p>
    <w:p>
      <w:pPr>
        <w:spacing w:after="120" w:line="276" w:lineRule="auto"/>
      </w:pPr>
      <w:r>
        <w:t>**Conclusion technique :** Les indicateurs techniques présentent un tableau **mitigé à légèrement baissier** : le MACD en divergence négative et le cours sous la MM20 pèsent sur le sentiment, tandis que le RSI neutre, le stochastique en légère reprise et la position du cours au-dessus de la MM50 offrent un contrepoids. La convergence des signaux « Neutre » (Bollinger, RSI, Stochastique) suggère une phase de consolidation, avec un risque de test du support à 5 983 FCFA (borne inférieure de Bollinger) avant toute reprise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la CIEC affiche un **chiffre d'affaires de 302,320 Mds FCFA**, en croissance de **+14,82%** par rapport à 2024, porté par une hausse des ventes d'énergie (+8,3% en volume, dont +21,7% à l'export) et une expansion du nombre de clients à **5 282 283** (+15,1%). Le **résultat net s'établit à 13,127 Mds FCFA**, en progression de **+30%**, avec une **marge nette de 4,34%** et une **marge opérationnelle de 7,40%**, typiques d'un modèle de concession régulée. Le **ROE atteint 36,50%**, un niveau excellent (&gt;15%) qui témoigne d'une rentabilité exceptionnelle des fonds propres, bien que mécaniquement amplifié par la faiblesse des capitaux propres (35,962 Mds FCFA) ; le **ROA reste modeste à 0,65%**, reflétant l'intensité capitalistique du secteur. La structure financière présente des signaux contrastés : l'**autonomie financière est très faible (1,78%)** et le **ratio d'endettement très élevé (612,94%)**, mais la **solvabilité générale (101,81%)** reste juste au-dessus du seuil critique et la **couverture des intérêts (617,75%)** est confortable. Le **BFR est négatif à -90,244 Mds FCFA** (favorable), soutenu par un **délai fournisseurs exceptionnel de 970,25 jours** qui finance largement l'activité, malgré un **délai clients élevé de 164,01 jours** et une **durée de stockage de 174,91 jours** qui immobilisent du capital. Le **free cash flow de 20,167 Mds FCFA** et la **CAF de 28,869 Mds FCFA** confirment la capacité de génération de trésorerie.</w:t>
      </w:r>
    </w:p>
    <w:p>
      <w:pPr>
        <w:spacing w:after="120" w:line="276" w:lineRule="auto"/>
      </w:pPr>
      <w:r>
        <w:t>**Estimations basées sur les rapports :** Le rapport du **1er semestre 2025 (daté du 30/06/2025)** indique un CA semestriel de **134,923 Mds FCFA (+18,85%)** et un résultat net de **5,096 Mds FCFA (+13,37%)**, avec une marge nette légèrement compressée à 3,8% sous l'effet de charges financières (+27,36%) et fiscales (+34,52%) plus lourdes. Sur cette base, on peut estimer que l'exercice 2026 devrait bénéficier de la poursuite du programme PEPT (branchements +53,5%) et de la croissance de la demande régionale, avec un CA potentiellement supérieur à 330 Mds FCFA et un résultat net en hausse modérée, sous réserve d'un cadre réglementaire stable. Le rapport annuel 2025 (analysé le 21/05/2026) confirme la solidité opérationnelle avec un **EBE de 37,161 Mds FCFA** et recommande « CONSERVER », soulignant les risques de crédit client et de dépendance réglementaire.</w:t>
      </w:r>
    </w:p>
    <w:p>
      <w:pPr>
        <w:spacing w:after="120" w:line="276" w:lineRule="auto"/>
      </w:pPr>
      <w:r>
        <w:t>**Recommandation fondamentale :** La CIEC présente des **fondamentaux solides** (croissance à deux chiffres, ROE excellent, génération de cash robuste, dividende attractif) mais des **fragilités structurelles** (endettement massif, autonomie financière quasi nulle, délais clients élevés). La valorisation exigeante (PER 27,3x) intègre déjà une large part de ces bonnes perspectives, ce qui limite le potentiel de réévaluation à court terme. Recommandation fondamentale : **CONSERVER** pour le rendement, avec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(27,3x), P/B (9,97x) et EV/EBITDA (14,7x) indiquent une **surévaluation relative** par rapport aux standards du marché BRVM, le titre ayant probablement déjà intégré l'essentiel des bonnes nouvelles. Le **comportement du cours (Partie 1)** montre une tendance haussière exceptionnelle (+94,53%) mais un repli récent de -1,54%, avec une volatilité élevée (50,2%) et des statistiques (kurtosis -0,482, skewness -0,116) qui ne signalent pas de risque extrême mais confirment une dispersion importante. Les **signaux techniques (Partie 2)** sont **mitigés** : le MACD baissier contredit la décision « Achat » des moyennes mobiles, tandis que le RSI, le stochastique et les Bollinger affichent une neutralité qui traduit une phase de consolidation. Les **fondamentaux (Partie 3)** demeurent **solides** (CA +14,82%, RN +30%, ROE 36,50%, dividende 234 FCFA) mais la structure financière reste fragile (endettement 612,94%, autonomie 1,78%). Enfin, les **prédictions IA (J+1 à J+10)** anticipent une **trajectoire baissière** de 6 328 FCFA à 6 182 FCFA, soit un repli d'environ -3,4% sur 10 jours, ce qui **confirme les signaux techniques baissiers** (MACD, cours sous MM20) et suggère une poursuite de la correction à court terme.</w:t>
      </w:r>
    </w:p>
    <w:p>
      <w:pPr>
        <w:spacing w:after="120" w:line="276" w:lineRule="auto"/>
      </w:pPr>
      <w:r>
        <w:t>**Recommandation finale : CONSERVER.** La convergence entre la surévaluation boursière, les signaux techniques mitigés à baissiers et les prédictions IA négatives à court terme plaide contre un achat immédiat, tandis que la solidité fondamentale et le rendement du dividende justifient de ne pas vendre. Le niveau de confiance est **Moyen** (les indicateurs divergent entre court et long terme) et le niveau de risque global est **Élevé** (volatilité 50,2%, endettement massif, dépendance réglementaire). L'horizon d'investissement optimal est le **moyen terme (3-12 mois)**, en attendant une stabilisation du cours autour des supports techniques (5 983 FCFA) et la confirmation des perspectives bénéficiaires 2026 issues du programme PEPT.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4,157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+3.07%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2.71% (Faible) — μ=16,585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β=0.2683 (Défensif) — Cov=0.000020, Var(idx)=0.000074,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16,388</w:t>
            </w:r>
          </w:p>
        </w:tc>
        <w:tc>
          <w:tcPr>
            <w:tcW w:type="dxa" w:w="1440"/>
            <w:shd w:fill="FAFAFA" w:val="clear"/>
          </w:tcPr>
          <w:p>
            <w:r>
              <w:rPr>
                <w:b/>
                <w:sz w:val="17"/>
              </w:rPr>
              <w:t>16,813</w:t>
            </w:r>
          </w:p>
        </w:tc>
        <w:tc>
          <w:tcPr>
            <w:tcW w:type="dxa" w:w="1440"/>
            <w:shd w:fill="FAFAFA" w:val="clear"/>
          </w:tcPr>
          <w:p>
            <w:r>
              <w:rPr>
                <w:sz w:val="17"/>
              </w:rPr>
              <w:t>17,237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16,229</w:t>
            </w:r>
          </w:p>
        </w:tc>
        <w:tc>
          <w:tcPr>
            <w:tcW w:type="dxa" w:w="1440"/>
            <w:shd w:fill="FAFAFA" w:val="clear"/>
          </w:tcPr>
          <w:p>
            <w:r>
              <w:rPr>
                <w:b/>
                <w:sz w:val="17"/>
              </w:rPr>
              <w:t>16,830</w:t>
            </w:r>
          </w:p>
        </w:tc>
        <w:tc>
          <w:tcPr>
            <w:tcW w:type="dxa" w:w="1440"/>
            <w:shd w:fill="FAFAFA" w:val="clear"/>
          </w:tcPr>
          <w:p>
            <w:r>
              <w:rPr>
                <w:sz w:val="17"/>
              </w:rPr>
              <w:t>17,431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16,109</w:t>
            </w:r>
          </w:p>
        </w:tc>
        <w:tc>
          <w:tcPr>
            <w:tcW w:type="dxa" w:w="1440"/>
            <w:shd w:fill="FAFAFA" w:val="clear"/>
          </w:tcPr>
          <w:p>
            <w:r>
              <w:rPr>
                <w:b/>
                <w:sz w:val="17"/>
              </w:rPr>
              <w:t>16,846</w:t>
            </w:r>
          </w:p>
        </w:tc>
        <w:tc>
          <w:tcPr>
            <w:tcW w:type="dxa" w:w="1440"/>
            <w:shd w:fill="FAFAFA" w:val="clear"/>
          </w:tcPr>
          <w:p>
            <w:r>
              <w:rPr>
                <w:sz w:val="17"/>
              </w:rPr>
              <w:t>17,582</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2026-10-14</w:t>
            </w:r>
          </w:p>
        </w:tc>
        <w:tc>
          <w:tcPr>
            <w:tcW w:type="dxa" w:w="1440"/>
            <w:shd w:fill="FAFAFA" w:val="clear"/>
          </w:tcPr>
          <w:p>
            <w:r>
              <w:rPr>
                <w:sz w:val="17"/>
              </w:rPr>
              <w:t>16,009</w:t>
            </w:r>
          </w:p>
        </w:tc>
        <w:tc>
          <w:tcPr>
            <w:tcW w:type="dxa" w:w="1440"/>
            <w:shd w:fill="FAFAFA" w:val="clear"/>
          </w:tcPr>
          <w:p>
            <w:r>
              <w:rPr>
                <w:b/>
                <w:sz w:val="17"/>
              </w:rPr>
              <w:t>16,860</w:t>
            </w:r>
          </w:p>
        </w:tc>
        <w:tc>
          <w:tcPr>
            <w:tcW w:type="dxa" w:w="1440"/>
            <w:shd w:fill="FAFAFA" w:val="clear"/>
          </w:tcPr>
          <w:p>
            <w:r>
              <w:rPr>
                <w:sz w:val="17"/>
              </w:rPr>
              <w:t>17,711</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2026-10-15</w:t>
            </w:r>
          </w:p>
        </w:tc>
        <w:tc>
          <w:tcPr>
            <w:tcW w:type="dxa" w:w="1440"/>
            <w:shd w:fill="FAFAFA" w:val="clear"/>
          </w:tcPr>
          <w:p>
            <w:r>
              <w:rPr>
                <w:sz w:val="17"/>
              </w:rPr>
              <w:t>15,921</w:t>
            </w:r>
          </w:p>
        </w:tc>
        <w:tc>
          <w:tcPr>
            <w:tcW w:type="dxa" w:w="1440"/>
            <w:shd w:fill="FAFAFA" w:val="clear"/>
          </w:tcPr>
          <w:p>
            <w:r>
              <w:rPr>
                <w:b/>
                <w:sz w:val="17"/>
              </w:rPr>
              <w:t>16,874</w:t>
            </w:r>
          </w:p>
        </w:tc>
        <w:tc>
          <w:tcPr>
            <w:tcW w:type="dxa" w:w="1440"/>
            <w:shd w:fill="FAFAFA" w:val="clear"/>
          </w:tcPr>
          <w:p>
            <w:r>
              <w:rPr>
                <w:sz w:val="17"/>
              </w:rPr>
              <w:t>17,826</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2026-10-16</w:t>
            </w:r>
          </w:p>
        </w:tc>
        <w:tc>
          <w:tcPr>
            <w:tcW w:type="dxa" w:w="1440"/>
            <w:shd w:fill="FAFAFA" w:val="clear"/>
          </w:tcPr>
          <w:p>
            <w:r>
              <w:rPr>
                <w:sz w:val="17"/>
              </w:rPr>
              <w:t>15,843</w:t>
            </w:r>
          </w:p>
        </w:tc>
        <w:tc>
          <w:tcPr>
            <w:tcW w:type="dxa" w:w="1440"/>
            <w:shd w:fill="FAFAFA" w:val="clear"/>
          </w:tcPr>
          <w:p>
            <w:r>
              <w:rPr>
                <w:b/>
                <w:sz w:val="17"/>
              </w:rPr>
              <w:t>16,888</w:t>
            </w:r>
          </w:p>
        </w:tc>
        <w:tc>
          <w:tcPr>
            <w:tcW w:type="dxa" w:w="1440"/>
            <w:shd w:fill="FAFAFA" w:val="clear"/>
          </w:tcPr>
          <w:p>
            <w:r>
              <w:rPr>
                <w:sz w:val="17"/>
              </w:rPr>
              <w:t>17,932</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2026-10-19</w:t>
            </w:r>
          </w:p>
        </w:tc>
        <w:tc>
          <w:tcPr>
            <w:tcW w:type="dxa" w:w="1440"/>
            <w:shd w:fill="FAFAFA" w:val="clear"/>
          </w:tcPr>
          <w:p>
            <w:r>
              <w:rPr>
                <w:sz w:val="17"/>
              </w:rPr>
              <w:t>15,772</w:t>
            </w:r>
          </w:p>
        </w:tc>
        <w:tc>
          <w:tcPr>
            <w:tcW w:type="dxa" w:w="1440"/>
            <w:shd w:fill="FAFAFA" w:val="clear"/>
          </w:tcPr>
          <w:p>
            <w:r>
              <w:rPr>
                <w:b/>
                <w:sz w:val="17"/>
              </w:rPr>
              <w:t>16,901</w:t>
            </w:r>
          </w:p>
        </w:tc>
        <w:tc>
          <w:tcPr>
            <w:tcW w:type="dxa" w:w="1440"/>
            <w:shd w:fill="FAFAFA" w:val="clear"/>
          </w:tcPr>
          <w:p>
            <w:r>
              <w:rPr>
                <w:sz w:val="17"/>
              </w:rPr>
              <w:t>18,030</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2026-10-20</w:t>
            </w:r>
          </w:p>
        </w:tc>
        <w:tc>
          <w:tcPr>
            <w:tcW w:type="dxa" w:w="1440"/>
            <w:shd w:fill="FAFAFA" w:val="clear"/>
          </w:tcPr>
          <w:p>
            <w:r>
              <w:rPr>
                <w:sz w:val="17"/>
              </w:rPr>
              <w:t>15,707</w:t>
            </w:r>
          </w:p>
        </w:tc>
        <w:tc>
          <w:tcPr>
            <w:tcW w:type="dxa" w:w="1440"/>
            <w:shd w:fill="FAFAFA" w:val="clear"/>
          </w:tcPr>
          <w:p>
            <w:r>
              <w:rPr>
                <w:b/>
                <w:sz w:val="17"/>
              </w:rPr>
              <w:t>16,914</w:t>
            </w:r>
          </w:p>
        </w:tc>
        <w:tc>
          <w:tcPr>
            <w:tcW w:type="dxa" w:w="1440"/>
            <w:shd w:fill="FAFAFA" w:val="clear"/>
          </w:tcPr>
          <w:p>
            <w:r>
              <w:rPr>
                <w:sz w:val="17"/>
              </w:rPr>
              <w:t>18,122</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2026-10-21</w:t>
            </w:r>
          </w:p>
        </w:tc>
        <w:tc>
          <w:tcPr>
            <w:tcW w:type="dxa" w:w="1440"/>
            <w:shd w:fill="FAFAFA" w:val="clear"/>
          </w:tcPr>
          <w:p>
            <w:r>
              <w:rPr>
                <w:sz w:val="17"/>
              </w:rPr>
              <w:t>15,645</w:t>
            </w:r>
          </w:p>
        </w:tc>
        <w:tc>
          <w:tcPr>
            <w:tcW w:type="dxa" w:w="1440"/>
            <w:shd w:fill="FAFAFA" w:val="clear"/>
          </w:tcPr>
          <w:p>
            <w:r>
              <w:rPr>
                <w:b/>
                <w:sz w:val="17"/>
              </w:rPr>
              <w:t>16,927</w:t>
            </w:r>
          </w:p>
        </w:tc>
        <w:tc>
          <w:tcPr>
            <w:tcW w:type="dxa" w:w="1440"/>
            <w:shd w:fill="FAFAFA" w:val="clear"/>
          </w:tcPr>
          <w:p>
            <w:r>
              <w:rPr>
                <w:sz w:val="17"/>
              </w:rPr>
              <w:t>18,209</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2026-10-22</w:t>
            </w:r>
          </w:p>
        </w:tc>
        <w:tc>
          <w:tcPr>
            <w:tcW w:type="dxa" w:w="1440"/>
            <w:shd w:fill="FAFAFA" w:val="clear"/>
          </w:tcPr>
          <w:p>
            <w:r>
              <w:rPr>
                <w:sz w:val="17"/>
              </w:rPr>
              <w:t>15,588</w:t>
            </w:r>
          </w:p>
        </w:tc>
        <w:tc>
          <w:tcPr>
            <w:tcW w:type="dxa" w:w="1440"/>
            <w:shd w:fill="FAFAFA" w:val="clear"/>
          </w:tcPr>
          <w:p>
            <w:r>
              <w:rPr>
                <w:b/>
                <w:sz w:val="17"/>
              </w:rPr>
              <w:t>16,940</w:t>
            </w:r>
          </w:p>
        </w:tc>
        <w:tc>
          <w:tcPr>
            <w:tcW w:type="dxa" w:w="1440"/>
            <w:shd w:fill="FAFAFA" w:val="clear"/>
          </w:tcPr>
          <w:p>
            <w:r>
              <w:rPr>
                <w:sz w:val="17"/>
              </w:rPr>
              <w:t>18,292</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924,85 milliards FCFA, ECOC s'impose comme l'une des toutes premières capitalisations de la BRVM, ce qui en fait un pilier incontournable de l'indice composite et un titre de référence pour les investisseurs institutionnels de la zone UEMOA. Le BPA de 1 153 FCFA par action signifie que chaque titre génère un bénéfice net d'environ 1 153 FCFA, un niveau élevé qui traduit la forte rentabilité de la banque. Le PER de 14,6x se situe au-dessus de la moyenne du marché BRVM (généralement comprise entre 8 et 12x), ce qui indique que les investisseurs acceptent de payer une prime pour la qualité et la régularité des bénéfices d'ECOC, sans pour autant basculer dans une zone de surévaluation spéculative. Le P/B de 4,23x, nettement supérieur à 4x, révèle que le marché valorise la banque à plus de quatre fois sa valeur comptable, une prime exigeante qui se justifie par un ROE exceptionnel de 29,04% (largement supérieur au coût des fonds propres) mais qui laisse peu de marge d'erreur en cas de dégradation des résultats. Enfin, l'EV/EBITDA de 14,2x, dans la fourchette haute (10-15x), confirme que la valeur d'entreprise intègre déjà une bonne partie de la capacité bénéficiaire opérationnelle, ce qui suggère une valorisation globalement exigeante mais cohérente avec le profil de croissance et de rentabilité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 enregistré une progression totale de +3,07%, avec une dernière séance positive de +0,60%, portant le cours actuel à 16 800 FCFA pour une capitalisation de 924,85 milliards FCFA. Le titre a évolué dans un range relativement étroit, entre un plus bas de 15 520 FCFA et un plus haut de 17 725 FCFA, soit un écart d'environ 14% qui témoigne d'une tendance générale haussière mais modérée, sans emballement spéculatif. Les statistiques descriptives confirment cette stabilité : la moyenne (16 585 FCFA) et la médiane (16 600 FCFA) sont quasi confondues, signe d'une distribution symétrique sans valeurs aberrantes, tandis que le mode à 16 000 FCFA indique un point d'ancrage psychologique fréquemment testé. L'écart-type de 451 FCFA, associé à un coefficient de variation de seulement 2,7%, traduit une dispersion très faible du cours autour de sa moyenne, ce qui est rassurant pour un investisseur recherchant de la stabilité. Le kurtosis de -0,204 (mésokurtique) et le skewness de 0,156 (distribution symétrique) indiquent l'absence de risque de pics extrêmes et une légère asymétrie positive, c'est-à-dire une probabilité marginalement plus forte de mouvements haussiers que baissiers. Avec une volatilité annualisée de 27,2%, le titre se situe dans la catégorie des valeurs à volatilité modérée (15-30%), ce qui est cohérent avec un profil de banque de qualité, moins nerveux que les petites capitalisations mais plus dynamique que les valeurs défensives.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(16 903 FCFA) et la MM50 (16 731,9 FCFA) se situent toutes deux au-dessus du cours actuel (16 800 FCFA), ce qui place le titre en position légèrement baissière à court terme mais avec une configuration haussière sous-jacente puisque la MM20 reste supérieure à la MM50. La décision technique affichée est « Achat », suggérant que le croisement des moyennes et leur orientation ascendante plaident pour une reprise à moyen terme, le cours actuel offrant un point d'entrée proche des supports mobiles.</w:t>
      </w:r>
    </w:p>
    <w:p>
      <w:pPr>
        <w:spacing w:after="120" w:line="276" w:lineRule="auto"/>
      </w:pPr>
      <w:r>
        <w:t>**Bandes de Bollinger** : Le cours (16 800 FCFA) évolue dans la partie basse de la bande, entre la borne inférieure (16 560,127 FCFA) et la borne supérieure (17 245,873 FCFA), ce qui traduit une volatilité contenue et une absence de tension directionnelle forte. La décision « Neutre » reflète cette position médiane, le titre n'étant ni en situation de survente (proche de la borne basse) ni de surachat (proche de la borne haute), invitant à attendre une cassure pour se positionner.</w:t>
      </w:r>
    </w:p>
    <w:p>
      <w:pPr>
        <w:spacing w:after="120" w:line="276" w:lineRule="auto"/>
      </w:pPr>
      <w:r>
        <w:t>**MACD** : La valeur du MACD (-28,629) est inférieure à son signal (11,692), générant une divergence baissière qui indique un momentum négatif à court terme. La décision « Vente » qui en résulte signale que la dynamique récente est défavorable, bien que l'écart reste modéré et puisse se résorber rapidement si le cours reprend de la vigueur.</w:t>
      </w:r>
    </w:p>
    <w:p>
      <w:pPr>
        <w:spacing w:after="120" w:line="276" w:lineRule="auto"/>
      </w:pPr>
      <w:r>
        <w:t>**RSI** : À 41,124, le RSI se situe dans la zone neutre (30-70), plus proche de la borne de survente que de celle de surachat, ce qui indique une absence de pression acheteuse mais aussi un potentiel de rebond technique. La décision « Neutre » confirme que le titre n'est ni survendu ni suracheté, laissant la porte ouverte à une reprise sans contrainte technique majeure.</w:t>
      </w:r>
    </w:p>
    <w:p>
      <w:pPr>
        <w:spacing w:after="120" w:line="276" w:lineRule="auto"/>
      </w:pPr>
      <w:r>
        <w:t>**Stochastique** : Le %K (36,697) est supérieur au %D (27,523), configuration haussière naissante qui suggère un possible croisement à la hausse, bien que les deux courbes restent en zone basse. La décision « Neutre » traduit cette situation d'attente, le signal d'achat n'étant pas encore confirmé mais la dynamique semblant s'améliorer.</w:t>
      </w:r>
    </w:p>
    <w:p>
      <w:pPr>
        <w:spacing w:after="120" w:line="276" w:lineRule="auto"/>
      </w:pPr>
      <w:r>
        <w:t>**Conclusion technique** : Les indicateurs techniques présentent un tableau mitigé, avec une majorité de signaux neutres (Bollinger, RSI, Stochastique) et une divergence entre les moyennes mobiles (favorable) et le MACD (défavorable). Le titre évolue dans une zone de consolidation sans direction claire, avec un léger avantage aux acheteurs sur le moyen terme (MM20 &gt; MM50) mais un momentum court terme encore négatif. Une cassure au-dessus de 17 000 FCFA confirmerait le scénario haussier, tandis qu'une rupture sous 16 560 FCFA (borne basse de Bollinger) invaliderait cette hypothèse.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dressent le portrait d'une banque solide et rentable : le Produit Net Bancaire (équivalent du chiffre d'affaires pour une banque) s'établit à 132,725 milliards FCFA, pour un résultat net de 63,482 milliards FCFA, soit une marge nette remarquable de 47,83%. Le ROE atteint 29,04% (largement supérieur au seuil de 15% considéré comme excellent) et le ROA s'élève à 3,09%, confirmant une utilisation efficiente des actifs. Le coefficient d'exploitation de 42,89% est excellent (seuil de référence : &lt;60% pour une banque efficace, &lt;50% pour une banque excellente), témoignant d'une maîtrise rigoureuse des charges. Le coût du risque, mesuré à 1,36% des charges financières, reste modéré mais mérite une surveillance attentive. La structure financière affiche une autonomie financière de 10,64% (faible en apparence, mais normale pour une banque dont le bilan est majoritairement composé de dépôts clients) et une solvabilité générale de 111,91%, confirmant que l'actif couvre largement les dettes. Le ratio dépôts/crédits est particulièrement favorable : les dépôts clientèle (1 626,223 milliards FCFA) financent largement les créances clientèle (1 050,803 milliards FCFA), avec un ratio de transformation de 64,6%, laissant une marge de déploiement du crédit importante. Les rapports narratifs confirment cette dynamique : le rapport annuel 2024 (publié le 31/12/2024) faisait état d'un PNB de 122,3 milliards FCFA (+11,0%) et d'un résultat net de 57,5 milliards FCFA (+19,6%), avec un dividende de 804 FCFA par action. Le rapport S1 2026 (publié le 26/08/2026) montre un PNB de 64,078 milliards FCFA (+2,0%) et un résultat net de 26,408 milliards FCFA (-8,6%), pénalisé par un coût du risque multiplié par 7,4 à 5,197 milliards FCFA — une dégradation conjoncturelle et volontaire (provisionnement prudent) plutôt que structurelle. Sur la base de ce rapport S1 2026, on peut estimer que l'exercice 2026 devrait afficher un PNB en croissance modérée (autour de +3-4%) et un résultat net en léger recul (autour de -5 à -8%), avant une normalisation en 2027 si le coût du risque se stabilise. Le rapport T1 2026 (publié en 2026) confirme cette tendance avec un PNB de 30,8 milliards FCFA (+3,7%) et un résultat net de 13,0 milliards FCFA (-1,6%), tandis que le rapport T3 2025 (publié le 30/09/2025) affichait encore une croissance robuste (PNB +11,3%, résultat net +15,4%). La proposition de dividende de 888 FCFA brut par action (781 FCFA net) pour 2025, confirmée par l'avis de convocation à l'AGO du 28 avril 2026, offre un rendement attractif d'environ 5,3% au cours actuel de 16 800 FCFA. En synthèse, ECOC présente des fondamentaux solides (ROE élevé, coefficient d'exploitation excellent, forte collecte de dépôts) mais fait face à une dégradation temporaire de son coût du risque qui pèse sur la rentabilité 2026 ; la recommandation fondamentale est de **CONSERVER** le titre, en attendant la confirmation de la normalisation du coût du risque et la publication des résultats annuels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ECOC. Sur le plan de la **valorisation (Partie 0)**, les ratios PER (14,6x), P/B (4,23x) et EV/EBITDA (14,2x) indiquent une valorisation exigeante, voire légèrement surévaluée par rapport à la moyenne du marché BRVM, mais justifiée par un ROE exceptionnel de 29% ; le titre n'offre donc pas de décote évidente. Le **comportement du cours (Partie 1)** est rassurant : tendance haussière modérée (+3,07% sur 100 jours), volatilité contenue (27,2%), distribution symétrique (skewness 0,156) et absence de risque de pics extrêmes (kurtosis -0,204), ce qui plaide pour une stabilité propice à un investissement de moyen terme. Les **signaux techniques (Partie 2)** sont mitigés : les moyennes mobiles sont haussières (MM20 &gt; MM50) mais le MACD est baissier, tandis que le RSI, le stochastique et les bandes de Bollinger sont neutres — une configuration de consolidation qui appelle à la patience. Les **fondamentaux (Partie 3)** restent solides malgré la dégradation temporaire du coût du risque au S1 2026 : ROE de 29%, coefficient d'exploitation de 42,9%, dividende attractif de 888 FCFA (rendement ~5,3%), et une capacité de déploiement du crédit importante (ratio prêts/dépôts de 56,3%). Les **prédictions IA (J+1 à J+10)** anticipent une trajectoire légèrement haussière, de 16 813 FCFA à 16 874 FCFA, ce qui confirme la stabilité du titre sans signaler d'accélération majeure. Sur la base de cette synthèse, la recommandation finale est **CONSERVER**, avec un niveau de confiance **Moyen** et un niveau de risque global **Moyen**. La convergence entre la stabilité du cours, la solidité des fondamentaux et la prédiction haussière modérée soutient cette position, mais la valorisation exigeante et la dégradation du coût du risque incitent à la prudence. L'horizon d'investissement optimal est le **moyen terme (3-12 mois)**, en attendant la publication des résultats annuels 2026 et la confirmation de la normalisation du coût du risque ; un passage à **ACHAT** serait justifié si le coût du risque se stabilise et si le dividende est maintenu à un niveau attractif, tandis qu'un passage à **VENTE** serait envisagé si les créances en souffrance continuaient de progresser au-delà de 5% du portefeuille ou si le coefficient d'exploitation dépassait 50%.</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1,690,766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+134.48%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29.69% (Élevée) — μ=56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β=2.0206 (Très agressif) — Cov=0.000149, Var(idx)=0.000074, ρ=0.440,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1,690,766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63</w:t>
            </w:r>
          </w:p>
        </w:tc>
        <w:tc>
          <w:tcPr>
            <w:tcW w:type="dxa" w:w="1440"/>
            <w:shd w:fill="FAFAFA" w:val="clear"/>
          </w:tcPr>
          <w:p>
            <w:r>
              <w:rPr>
                <w:b/>
                <w:sz w:val="17"/>
              </w:rPr>
              <w:t>67</w:t>
            </w:r>
          </w:p>
        </w:tc>
        <w:tc>
          <w:tcPr>
            <w:tcW w:type="dxa" w:w="1440"/>
            <w:shd w:fill="FAFAFA" w:val="clear"/>
          </w:tcPr>
          <w:p>
            <w:r>
              <w:rPr>
                <w:sz w:val="17"/>
              </w:rPr>
              <w:t>71</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62</w:t>
            </w:r>
          </w:p>
        </w:tc>
        <w:tc>
          <w:tcPr>
            <w:tcW w:type="dxa" w:w="1440"/>
            <w:shd w:fill="FFDCE0" w:val="clear"/>
          </w:tcPr>
          <w:p>
            <w:r>
              <w:rPr>
                <w:b/>
                <w:sz w:val="17"/>
              </w:rPr>
              <w:t>67</w:t>
            </w:r>
          </w:p>
        </w:tc>
        <w:tc>
          <w:tcPr>
            <w:tcW w:type="dxa" w:w="1440"/>
            <w:shd w:fill="FFDCE0" w:val="clear"/>
          </w:tcPr>
          <w:p>
            <w:r>
              <w:rPr>
                <w:sz w:val="17"/>
              </w:rPr>
              <w:t>71</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61</w:t>
            </w:r>
          </w:p>
        </w:tc>
        <w:tc>
          <w:tcPr>
            <w:tcW w:type="dxa" w:w="1440"/>
            <w:shd w:fill="FFDCE0" w:val="clear"/>
          </w:tcPr>
          <w:p>
            <w:r>
              <w:rPr>
                <w:b/>
                <w:sz w:val="17"/>
              </w:rPr>
              <w:t>66</w:t>
            </w:r>
          </w:p>
        </w:tc>
        <w:tc>
          <w:tcPr>
            <w:tcW w:type="dxa" w:w="1440"/>
            <w:shd w:fill="FFDCE0" w:val="clear"/>
          </w:tcPr>
          <w:p>
            <w:r>
              <w:rPr>
                <w:sz w:val="17"/>
              </w:rPr>
              <w:t>72</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60</w:t>
            </w:r>
          </w:p>
        </w:tc>
        <w:tc>
          <w:tcPr>
            <w:tcW w:type="dxa" w:w="1440"/>
            <w:shd w:fill="FFDCE0" w:val="clear"/>
          </w:tcPr>
          <w:p>
            <w:r>
              <w:rPr>
                <w:b/>
                <w:sz w:val="17"/>
              </w:rPr>
              <w:t>66</w:t>
            </w:r>
          </w:p>
        </w:tc>
        <w:tc>
          <w:tcPr>
            <w:tcW w:type="dxa" w:w="1440"/>
            <w:shd w:fill="FFDCE0" w:val="clear"/>
          </w:tcPr>
          <w:p>
            <w:r>
              <w:rPr>
                <w:sz w:val="17"/>
              </w:rPr>
              <w:t>72</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59</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1 229,72 milliards FCFA, ETIT figure parmi les poids lourds de la cote BRVM, ce qui en fait un titre de référence pour l'exposition au secteur bancaire panafricain. Le BPA s'établit à 19 FCFA/action, soit le bénéfice net généré par chaque titre détenu. Le PER de 3,6x traduit une valorisation très bon marché comparée à la moyenne du marché BRVM (8-12x), suggérant que les investisseurs ne paient que 3,6 fois les bénéfices annuels — un signal classique de sous-évaluation potentielle. Le P/B de 0,77x (&lt; 1) indique que le marché valorise le titre en-dessous de sa valeur comptable, ce qui constitue historiquement une zone d'opportunité pour les investisseurs value. Enfin, l'EV/EBITDA de 5,0x, situé dans la fourchette raisonnable de 5-10x, confirme que la valeur totale de l'entreprise reste cohérente avec sa capacité opérationnelle, sans prime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affiche une performance spectaculaire de **+134,48%**, avec une dernière séance en hausse de +3,03%, portant le cours actuel à 68 FCFA. Le titre a évolué dans un range très large, entre un plus bas de 29 FCFA et un plus haut de 78 FCFA, soit une amplitude de 169%, témoignant d'un fort intérêt acheteur et d'une tendance générale nettement haussière. Les statistiques descriptives révèlent une moyenne de 56 FCFA contre une médiane de 65 FCFA : cet écart significatif confirme une distribution asymétrique, le cours ayant passé plus de temps dans les niveaux élevés en fin de période. L'écart-type de 17 FCFA (CV = 29,8%) traduit une dispersion importante des cours, cohérente avec un titre en forte tendance. Le kurtosis de -1,405 (platykurtique) indique une distribution aplatie avec une faible concentration autour de la moyenne, donc peu de pics extrêmes isolés, tandis que le skewness de -0,618 (asymétrie négative) signale davantage de journées au-dessus de la moyenne — un biais haussier favorable. La volatilité annualisée de 62,0% classe le titre dans la catégorie **élevée** (&gt;30%), ce qui implique un risque de fluctuation important mais aussi un potentiel de gain amplifié.</w:t>
      </w:r>
    </w:p>
    <w:p>
      <w:pPr>
        <w:spacing w:after="120" w:line="276" w:lineRule="auto"/>
      </w:pPr>
      <w:r>
        <w:t>---</w:t>
      </w:r>
    </w:p>
    <w:p>
      <w:pPr>
        <w:spacing w:after="120" w:line="276" w:lineRule="auto"/>
      </w:pPr>
      <w:r>
        <w:t>## PARTIE 2 : ANALYSE TECHNIQUE DÉTAILLÉE</w:t>
      </w:r>
    </w:p>
    <w:p>
      <w:pPr>
        <w:spacing w:after="120" w:line="276" w:lineRule="auto"/>
      </w:pPr>
      <w:r>
        <w:t>**Moyennes Mobiles** : La MM20 (68,4 FCFA) et la MM50 (67,64 FCFA) encadrent le cours actuel de 68 FCFA, avec une MM20 légèrement supérieure à la MM50, configuration typique d'un début de tendance haussière. Le cours évoluant au-dessus de ces deux supports dynamiques, la décision technique est à l'**Achat**, confirmant la préservation de la dynamique positive.</w:t>
      </w:r>
    </w:p>
    <w:p>
      <w:pPr>
        <w:spacing w:after="120" w:line="276" w:lineRule="auto"/>
      </w:pPr>
      <w:r>
        <w:t>**Bandes de Bollinger** : Le cours (68 FCFA) se situe à l'intérieur des bandes, entre la borne inférieure (64,225) et la borne supérieure (72,575), plus proche du milieu que des extrêmes. Cette position centrale, sans franchissement de borne, justifie une décision **Neutre**, traduisant une absence de signal de surachat ou de survente immédiat.</w:t>
      </w:r>
    </w:p>
    <w:p>
      <w:pPr>
        <w:spacing w:after="120" w:line="276" w:lineRule="auto"/>
      </w:pPr>
      <w:r>
        <w:t>**MACD** : La valeur du MACD (-0,365) est inférieure à son signal (-0,008), configuration baissière avec un histogramme négatif. Ce croisement à la baisse indique un essoufflement du momentum haussier à court terme, justifiant la décision de **Vente** technique, bien que l'écart reste faible.</w:t>
      </w:r>
    </w:p>
    <w:p>
      <w:pPr>
        <w:spacing w:after="120" w:line="276" w:lineRule="auto"/>
      </w:pPr>
      <w:r>
        <w:t>**RSI** : À 44,444, le RSI se situe dans la zone neutre (30-70), sans signal de surachat (&gt;70) ni de survente (&lt;30). Cette position médiane, légèrement sous la barre des 50, traduit un équilibre entre acheteurs et vendeurs, d'où la décision **Neutre**.</w:t>
      </w:r>
    </w:p>
    <w:p>
      <w:pPr>
        <w:spacing w:after="120" w:line="276" w:lineRule="auto"/>
      </w:pPr>
      <w:r>
        <w:t>**Stochastique** : Le %K (66,667) est nettement supérieur au %D (38,889), avec un croisement haussier en cours de formation. Cette configuration suggère une reprise potentielle du momentum acheteur, mais la décision reste **Neutre** tant que le %K n'a pas franchi durablement la zone de surachat (&gt;80).</w:t>
      </w:r>
    </w:p>
    <w:p>
      <w:pPr>
        <w:spacing w:after="120" w:line="276" w:lineRule="auto"/>
      </w:pPr>
      <w:r>
        <w:t>**Conclusion technique** : Les indicateurs sont partagés — les moyennes mobiles soutiennent la tendance haussière de fond, tandis que le MACD signale un essoufflement à court terme et que le RSI/Bollinger/Stochastique restent neutres. Le titre se trouve dans une phase de consolidation après sa forte progression, avec un biais haussier résiduel mais un momentum à confirmer. La prudence technique domine à court terme, sans invalidation de la tendance de fond.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ETIT affiche un Produit Net Bancaire (équivalent du chiffre d'affaires pour une banque) de 1 424,261 milliards FCFA, un résultat net de 345,523 milliards FCFA et un Résultat Brut d'Exploitation de 735,835 milliards FCFA. La rentabilité est excellente avec un ROE de 21,62% (&gt;15% = excellent) et un ROA de 1,80%, tandis que la marge nette atteint 24,26%. Le coefficient d'exploitation de 27,35% est remarquablement bas (&lt;60% = banque efficace, &lt;50% = excellente), témoignant d'une maîtrise des charges exceptionnelle. Le coût du risque/charges financières de 18,97% reste élevé, signalant un risque de crédit significatif à surveiller. La structure financière montre une autonomie financière de 8,30% (faible, mais normale pour une banque) et un ratio d'endettement de 154,06%, avec une solvabilité générale de 109,06% (&gt;1 = solvable). Le total bilan s'élève à 19 243,865 milliards FCFA, porté par 14 120,139 milliards FCFA de dépôts clientèle face à 6 570,385 milliards FCFA de créances clientèle, soit un ratio de transformation de 46,5% — la banque dispose d'une large marge de déploiement des dépôts.</w:t>
      </w:r>
    </w:p>
    <w:p>
      <w:pPr>
        <w:spacing w:after="120" w:line="276" w:lineRule="auto"/>
      </w:pPr>
      <w:r>
        <w:t>**Estimations basées sur les rapports trimestriels** : Le rapport semestriel S1 2026 (publié le 21 juillet 2026, analysé le 30 juillet 2026) indique un PNB de 1 281 330 milliers $EU (721 318 millions FCFA), en hausse de **+15%** sur un an, et un résultat net consolidé de 296 091 milliers $EU (166 682 millions FCFA), en progression de **+6%**. Le coefficient d'exploitation s'améliore à 48,4% et le BPA atteint 0,80 $EU (+2%). Le rapport T1 2026 (publié en 2026) confirme cette dynamique avec un PNB en hausse de **+23%** à 636,2 millions $EU et un résultat net de 142,5 millions $EU (+16%). Sur cette base, on estime que l'exercice 2026 devrait enregistrer une croissance du PNB de l'ordre de 12-15% et une progression du résultat net de 8-10%, sous réserve de la maîtrise du coût du risque qui bondit de +40% au S1 2026. Le rapport annuel 2024 (analysé le 15 mars 2026) faisait déjà état d'un ROE tangible de 32,7% et d'une marge nette de 23,6%, confirmant la solidité structurelle de la banque.</w:t>
      </w:r>
    </w:p>
    <w:p>
      <w:pPr>
        <w:spacing w:after="120" w:line="276" w:lineRule="auto"/>
      </w:pPr>
      <w:r>
        <w:t>**Recommandation fondamentale** : ETIT présente des fondamentaux solides — rentabilité élevée (ROE &gt;21%), efficacité opérationnelle exceptionnelle (coefficient &lt;50%), et valorisation attractive (PER 3,6x, P/B 0,77x). Les principaux risques résident dans la hausse du coût du risque (+40% au S1 2026) et la dépendance aux devises africaines. La dynamique commerciale reste positive, portée par la stratégie GTR et la digitalisation.</w:t>
      </w:r>
    </w:p>
    <w:p>
      <w:pPr>
        <w:spacing w:after="120" w:line="276" w:lineRule="auto"/>
      </w:pPr>
      <w:r>
        <w:t>---</w:t>
      </w:r>
    </w:p>
    <w:p>
      <w:pPr>
        <w:spacing w:after="120" w:line="276" w:lineRule="auto"/>
      </w:pPr>
      <w:r>
        <w:t>## PARTIE 4 : CONCLUSION D'INVESTISSEMENT</w:t>
      </w:r>
    </w:p>
    <w:p>
      <w:pPr>
        <w:spacing w:after="120" w:line="276" w:lineRule="auto"/>
      </w:pPr>
      <w:r>
        <w:t>La valorisation d'ETIT apparaît nettement sous-évaluée : le PER de 3,6x (contre 8-12x pour le marché) et le P/B de 0,77x (&lt;1) offrent une marge de sécurité significative, tandis que l'EV/EBITDA de 5,0x reste raisonnable. Le comportement du cours sur 100 jours est exceptionnellement haussier (+134,48%), avec une volatilité élevée (62%) et une asymétrie négative (skewness -0,618) favorable, bien que le kurtosis platykurtique indique une distribution sans pics extrêmes — un profil de risque maîtrisé malgré l'ampleur du mouvement. Les signaux techniques sont mitigés : les moyennes mobiles soutiennent la tendance (Achat), mais le MACD signale un essoufflement (Vente) et le RSI/Bollinger/Stochastique restent neutres, plaidant pour une consolidation à court terme. Les fondamentaux sont robustes : ROE de 21,62%, coefficient d'exploitation de 27,35%, et croissance du PNB de +15% au S1 2026, bien que le coût du risque (+40%) constitue un point de vigilance. Les prédictions IA anticipent une légère consolidation (67 → 66 FCFA sur 10 jours), ce qui contredit partiellement le biais haussier des moyennes mobiles mais confirme la phase de respiration technique. **Recommandation finale : ACHAT** — la convergence entre une valorisation très attractive, des fondamentaux solides et une tendance de fond haussière l'emporte sur les signaux techniques à court terme et la prudence liée au coût du risque. Le niveau de confiance est **Moyen** (incertitude sur la maîtrise du risque de crédit), le risque global est **Élevé** (volatilité 62%, exposition aux devises africaines), et l'horizon optimal est le **moyen terme (3-12 mois)** pour laisser la consolidation technique se résorber et les résultats annuels 2026 confirmer la tendance.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26.37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4,154 titres</w:t>
            </w:r>
          </w:p>
        </w:tc>
        <w:tc>
          <w:tcPr>
            <w:tcW w:type="dxa" w:w="2268"/>
            <w:shd w:fill="FFF2CC" w:val="clear"/>
          </w:tcPr>
          <w:p>
            <w:r>
              <w:rPr>
                <w:b/>
                <w:color w:val="503200"/>
                <w:sz w:val="16"/>
              </w:rPr>
              <w:t xml:space="preserve">Cours actuel : </w:t>
            </w:r>
            <w:r>
              <w:rPr>
                <w:color w:val="000000"/>
                <w:sz w:val="17"/>
              </w:rPr>
              <w:t>1,870 FCFA</w:t>
            </w:r>
          </w:p>
          <w:p>
            <w:r>
              <w:rPr>
                <w:b/>
                <w:color w:val="503200"/>
                <w:sz w:val="16"/>
              </w:rPr>
              <w:t xml:space="preserve">Var. 100 jours : </w:t>
            </w:r>
            <w:r>
              <w:rPr>
                <w:b/>
                <w:color w:val="B40000"/>
                <w:sz w:val="17"/>
              </w:rPr>
              <w:t>-16.89%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6.33% (Moyenne) — μ=2,099 FCFA, σ=133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β=0.5280 (Défensif) — Cov=0.000039, Var(idx)=0.000074, ρ=0.194,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1,779</w:t>
            </w:r>
          </w:p>
        </w:tc>
        <w:tc>
          <w:tcPr>
            <w:tcW w:type="dxa" w:w="1440"/>
            <w:shd w:fill="FAFAFA" w:val="clear"/>
          </w:tcPr>
          <w:p>
            <w:r>
              <w:rPr>
                <w:b/>
                <w:sz w:val="17"/>
              </w:rPr>
              <w:t>1,864</w:t>
            </w:r>
          </w:p>
        </w:tc>
        <w:tc>
          <w:tcPr>
            <w:tcW w:type="dxa" w:w="1440"/>
            <w:shd w:fill="FAFAFA" w:val="clear"/>
          </w:tcPr>
          <w:p>
            <w:r>
              <w:rPr>
                <w:sz w:val="17"/>
              </w:rPr>
              <w:t>1,948</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1,730</w:t>
            </w:r>
          </w:p>
        </w:tc>
        <w:tc>
          <w:tcPr>
            <w:tcW w:type="dxa" w:w="1440"/>
            <w:shd w:fill="FAFAFA" w:val="clear"/>
          </w:tcPr>
          <w:p>
            <w:r>
              <w:rPr>
                <w:b/>
                <w:sz w:val="17"/>
              </w:rPr>
              <w:t>1,849</w:t>
            </w:r>
          </w:p>
        </w:tc>
        <w:tc>
          <w:tcPr>
            <w:tcW w:type="dxa" w:w="1440"/>
            <w:shd w:fill="FAFAFA" w:val="clear"/>
          </w:tcPr>
          <w:p>
            <w:r>
              <w:rPr>
                <w:sz w:val="17"/>
              </w:rPr>
              <w:t>1,968</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1,693</w:t>
            </w:r>
          </w:p>
        </w:tc>
        <w:tc>
          <w:tcPr>
            <w:tcW w:type="dxa" w:w="1440"/>
            <w:shd w:fill="FAFAFA" w:val="clear"/>
          </w:tcPr>
          <w:p>
            <w:r>
              <w:rPr>
                <w:b/>
                <w:sz w:val="17"/>
              </w:rPr>
              <w:t>1,838</w:t>
            </w:r>
          </w:p>
        </w:tc>
        <w:tc>
          <w:tcPr>
            <w:tcW w:type="dxa" w:w="1440"/>
            <w:shd w:fill="FAFAFA" w:val="clear"/>
          </w:tcPr>
          <w:p>
            <w:r>
              <w:rPr>
                <w:sz w:val="17"/>
              </w:rPr>
              <w:t>1,982</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1,660</w:t>
            </w:r>
          </w:p>
        </w:tc>
        <w:tc>
          <w:tcPr>
            <w:tcW w:type="dxa" w:w="1440"/>
            <w:shd w:fill="FFDCE0" w:val="clear"/>
          </w:tcPr>
          <w:p>
            <w:r>
              <w:rPr>
                <w:b/>
                <w:sz w:val="17"/>
              </w:rPr>
              <w:t>1,827</w:t>
            </w:r>
          </w:p>
        </w:tc>
        <w:tc>
          <w:tcPr>
            <w:tcW w:type="dxa" w:w="1440"/>
            <w:shd w:fill="FFDCE0" w:val="clear"/>
          </w:tcPr>
          <w:p>
            <w:r>
              <w:rPr>
                <w:sz w:val="17"/>
              </w:rPr>
              <w:t>1,993</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1,631</w:t>
            </w:r>
          </w:p>
        </w:tc>
        <w:tc>
          <w:tcPr>
            <w:tcW w:type="dxa" w:w="1440"/>
            <w:shd w:fill="FFDCE0" w:val="clear"/>
          </w:tcPr>
          <w:p>
            <w:r>
              <w:rPr>
                <w:b/>
                <w:sz w:val="17"/>
              </w:rPr>
              <w:t>1,815</w:t>
            </w:r>
          </w:p>
        </w:tc>
        <w:tc>
          <w:tcPr>
            <w:tcW w:type="dxa" w:w="1440"/>
            <w:shd w:fill="FFDCE0" w:val="clear"/>
          </w:tcPr>
          <w:p>
            <w:r>
              <w:rPr>
                <w:sz w:val="17"/>
              </w:rPr>
              <w:t>2,000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1,603</w:t>
            </w:r>
          </w:p>
        </w:tc>
        <w:tc>
          <w:tcPr>
            <w:tcW w:type="dxa" w:w="1440"/>
            <w:shd w:fill="FFDCE0" w:val="clear"/>
          </w:tcPr>
          <w:p>
            <w:r>
              <w:rPr>
                <w:b/>
                <w:sz w:val="17"/>
              </w:rPr>
              <w:t>1,804</w:t>
            </w:r>
          </w:p>
        </w:tc>
        <w:tc>
          <w:tcPr>
            <w:tcW w:type="dxa" w:w="1440"/>
            <w:shd w:fill="FFDCE0" w:val="clear"/>
          </w:tcPr>
          <w:p>
            <w:r>
              <w:rPr>
                <w:sz w:val="17"/>
              </w:rPr>
              <w:t>2,004</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1,576</w:t>
            </w:r>
          </w:p>
        </w:tc>
        <w:tc>
          <w:tcPr>
            <w:tcW w:type="dxa" w:w="1440"/>
            <w:shd w:fill="FFDCE0" w:val="clear"/>
          </w:tcPr>
          <w:p>
            <w:r>
              <w:rPr>
                <w:b/>
                <w:sz w:val="17"/>
              </w:rPr>
              <w:t>1,792</w:t>
            </w:r>
          </w:p>
        </w:tc>
        <w:tc>
          <w:tcPr>
            <w:tcW w:type="dxa" w:w="1440"/>
            <w:shd w:fill="FFDCE0" w:val="clear"/>
          </w:tcPr>
          <w:p>
            <w:r>
              <w:rPr>
                <w:sz w:val="17"/>
              </w:rPr>
              <w:t>2,008</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1,552</w:t>
            </w:r>
          </w:p>
        </w:tc>
        <w:tc>
          <w:tcPr>
            <w:tcW w:type="dxa" w:w="1440"/>
            <w:shd w:fill="FFDCE0" w:val="clear"/>
          </w:tcPr>
          <w:p>
            <w:r>
              <w:rPr>
                <w:b/>
                <w:sz w:val="17"/>
              </w:rPr>
              <w:t>1,781</w:t>
            </w:r>
          </w:p>
        </w:tc>
        <w:tc>
          <w:tcPr>
            <w:tcW w:type="dxa" w:w="1440"/>
            <w:shd w:fill="FFDCE0" w:val="clear"/>
          </w:tcPr>
          <w:p>
            <w:r>
              <w:rPr>
                <w:sz w:val="17"/>
              </w:rPr>
              <w:t>2,010</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1,528</w:t>
            </w:r>
          </w:p>
        </w:tc>
        <w:tc>
          <w:tcPr>
            <w:tcW w:type="dxa" w:w="1440"/>
            <w:shd w:fill="FFDCE0" w:val="clear"/>
          </w:tcPr>
          <w:p>
            <w:r>
              <w:rPr>
                <w:b/>
                <w:sz w:val="17"/>
              </w:rPr>
              <w:t>1,769</w:t>
            </w:r>
          </w:p>
        </w:tc>
        <w:tc>
          <w:tcPr>
            <w:tcW w:type="dxa" w:w="1440"/>
            <w:shd w:fill="FFDCE0" w:val="clear"/>
          </w:tcPr>
          <w:p>
            <w:r>
              <w:rPr>
                <w:sz w:val="17"/>
              </w:rPr>
              <w:t>2,010</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1,505</w:t>
            </w:r>
          </w:p>
        </w:tc>
        <w:tc>
          <w:tcPr>
            <w:tcW w:type="dxa" w:w="1440"/>
            <w:shd w:fill="FFDCE0" w:val="clear"/>
          </w:tcPr>
          <w:p>
            <w:r>
              <w:rPr>
                <w:b/>
                <w:sz w:val="17"/>
              </w:rPr>
              <w:t>1,758</w:t>
            </w:r>
          </w:p>
        </w:tc>
        <w:tc>
          <w:tcPr>
            <w:tcW w:type="dxa" w:w="1440"/>
            <w:shd w:fill="FFDCE0" w:val="clear"/>
          </w:tcPr>
          <w:p>
            <w:r>
              <w:rPr>
                <w:sz w:val="17"/>
              </w:rPr>
              <w:t>2,011</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**26,37 Mds FCFA**, FTSC se situe dans la catégorie des valeurs moyennes de la cote BRVM, ce qui la rend sensible aux mouvements de faible volume. Le BPA s'établit à **33 FCFA/action** en 2025, un niveau dérisoire comparé aux exercices antérieurs, ce qui mécaniquement gonfle le **PER à 56,6x** — très largement supérieur à la moyenne BRVM (~8-12x) : les investisseurs paient donc extrêmement cher chaque franc de bénéfice, ce qui traduit soit une anticipation de rebond, soit une anomalie de marché. Le **P/B de 1,68x** indique en revanche que le titre se négocie à peine au-dessus de sa valeur comptable, ce qui constitue un signal de valorisation raisonnable et offre un certain coussin de sécurité. Enfin, l'**EV/EBITDA de 35,5x** (très au-delà du seuil de 15x) confirme que la valeur d'entreprise intègre une prime spéculative disproportionnée par rapport à la capacité opérationnelle réelle de la société, ce qui appelle à la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FTSC a enregistré une **variation totale de -16,89%**, avec une chute brutale de **-5,08% sur la seule dernière séance (J-1)**, portant le cours actuel à **1 870 FCFA**. Le range de trading s'étend de **1 850 FCFA (plus bas)** à **2 430 FCFA (plus haut)**, le cours évoluant actuellement tout près de son plancher, ce qui traduit une tendance clairement **baissière** et une pression vendeuse persistante. Les statistiques descriptives révèlent une **moyenne (2 099 FCFA) quasi identique à la médiane (2 098 FCFA)**, signe d'une distribution globalement équilibrée sur la période, mais le **mode à 1 990 FCFA** et le cours actuel sous ces niveaux confirment la cassure baissière récente. L'**écart-type de 133 FCFA (CV = 6,4%)** indique une dispersion modérée du cours autour de sa moyenne, tandis que le **kurtosis de -0,553 (mésokurtique)** suggère une distribution proche de la normale, sans pics extrêmes marqués — donc un risque de chocs violents limité. Le **skewness positif de 0,512** signale toutefois une asymétrie avec davantage de journées sous la moyenne, cohérent avec la pression baissière actuelle. Enfin, la **volatilité annualisée de 37,6%** classe le titre dans la catégorie **élevée (&gt;30%)**, ce qui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(2 014,75 FCFA) et la MM50 (2 066,2 FCFA) se situent toutes deux **au-dessus du cours actuel (1 870 FCFA)**, confirmant une configuration baissière où le prix évolue sous ses références moyennes. La MM20 étant elle-même inférieure à la MM50, on observe un croisement baissier (death cross) caractéristique d'une tendance descendante. La décision technique est donc logiquement **Vente**.</w:t>
      </w:r>
    </w:p>
    <w:p>
      <w:pPr>
        <w:spacing w:after="120" w:line="276" w:lineRule="auto"/>
      </w:pPr>
      <w:r>
        <w:t>**Bandes de Bollinger :** Le cours (1 870 FCFA) évolue dans la partie basse du canal, entre la borne inférieure (1 854,5 FCFA) et la borne supérieure (2 175 FCFA), tout en restant très proche du plancher inférieur. Cette position suggère une pression vendeuse soutenue mais aussi un potentiel de rebond technique à court terme. La décision est **Neutre**, le titre n'étant ni en survente extrême ni en zone d'achat franche.</w:t>
      </w:r>
    </w:p>
    <w:p>
      <w:pPr>
        <w:spacing w:after="120" w:line="276" w:lineRule="auto"/>
      </w:pPr>
      <w:r>
        <w:t>**MACD :** Le MACD (-46,237) est **nettement inférieur à son signal (-35,079)**, avec un histogramme négatif qui traduit un momentum baissier toujours actif. La divergence entre les deux lignes confirme l'absence de retournement imminent. La décision est **Vente**.</w:t>
      </w:r>
    </w:p>
    <w:p>
      <w:pPr>
        <w:spacing w:after="120" w:line="276" w:lineRule="auto"/>
      </w:pPr>
      <w:r>
        <w:t>**RSI :** À **34,043**, le RSI se situe dans la zone neutre basse, sans atteindre le seuil de survente (&lt;30) qui déclencherait un signal d'achat technique. Le titre reste donc sous pression modérée mais n'est pas encore dans une zone de rebond technique fiable. La décision est **Neutre**.</w:t>
      </w:r>
    </w:p>
    <w:p>
      <w:pPr>
        <w:spacing w:after="120" w:line="276" w:lineRule="auto"/>
      </w:pPr>
      <w:r>
        <w:t>**Stochastique :** Le %K (8,333) est **très inférieur au %D (36,111)**, ce qui place le %K en zone de survente profonde (&lt;20) et pourrait annoncer un croisement haussier imminent si le %K remonte vers le %D. Cette configuration atypique contraste avec les autres indicateurs et justifie la décision **Achat** à contre-tendance.</w:t>
      </w:r>
    </w:p>
    <w:p>
      <w:pPr>
        <w:spacing w:after="120" w:line="276" w:lineRule="auto"/>
      </w:pPr>
      <w:r>
        <w:t>**Conclusion technique :** Les indicateurs sont majoritairement baissiers (MM, MACD), avec un RSI et des Bollinger neutres, tandis que seul le stochastique émet un signal d'achat contrarien en zone de survente. Cette divergence suggère qu'un rebond technique ponctuel est possible, mais la tendance de fond reste clairement descendante tant que le cours n'aura pas reconquis la MM20 (2 014 FCFA). La prudence domine.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FTSC a réalisé un **chiffre d'affaires de 32,109 Mds FCFA** (+4,6% sur un an), mais son **résultat net s'est effondré à 465,98 M FCFA** contre 18,6 Mds FCFA en 2024 (-97,5%), principalement en raison de l'absence des produits exceptionnels (HAO) et financiers non récurrents de 2024. La **marge nette chute à 1,45%**, le **ROE à 2,97%** (très loin du seuil de 15% considéré comme excellent) et le **ROA à 1,19%**, traduisant une rentabilité opérationnelle structurellement faible. En tant qu'entreprise industrielle, les **délais clients (213,7 jours)** et la **durée de stockage (214,7 jours)** sont particulièrement élevés, immobilisant massivement du capital et générant un **BFR de 11,529 Mds FCFA** — la trésorerie nette est d'ailleurs **négative à -11,528 Mds FCFA**, conséquence directe du versement de dividendes massifs en 2024 (28,2 Mds FCFA). Le **ratio d'endettement de 97,6%** et la **capacité de remboursement de 11,49 années** signalent une structure financière tendue, bien que l'autonomie financière (40,1%) reste saine.</w:t>
      </w:r>
    </w:p>
    <w:p>
      <w:pPr>
        <w:spacing w:after="120" w:line="276" w:lineRule="auto"/>
      </w:pPr>
      <w:r>
        <w:t>**Estimations basées sur les rapports trimestriels :** Le rapport **T1 2026 (publié en 2026)** fait état d'un **chiffre d'affaires de 8 901 M FCFA (+55%)**, porté par la forte demande d'emballages cacao, avec un **résultat d'exploitation redevenu positif à 75 M FCFA** (contre -78 M FCFA au T1 2025). Toutefois, le **résultat net reste déficitaire à -154 M FCFA** (marge nette -1,73%), et le rapport annuel 2025 (publié en 2026) recommande la **Vente** en raison de la dégradation de la trésorerie et de l'absence de dividende. On estime donc que l'exercice 2026 pourrait bénéficier d'un rebond opérationnel porté par la campagne cacaoyère, mais la rentabilité nette demeure incertaine et tributaire de facteurs exogènes (fret maritime, interdiction d'exportation de jute par le Bangladesh — cf. communiqué du 08/07/2026).</w:t>
      </w:r>
    </w:p>
    <w:p>
      <w:pPr>
        <w:spacing w:after="120" w:line="276" w:lineRule="auto"/>
      </w:pPr>
      <w:r>
        <w:t>**Recommandation fondamentale :** La société présente un profil de **retournement fragile et non confirmé**. La croissance du CA et l'amélioration du résultat d'exploitation sont encourageantes, mais la perte nette persistante, la trésorerie négative et l'absence de dividende constituent des risques majeurs. La solidité financière est **moyenne à faible**, et les perspectives restent conditionnées à la campagne cacaoyère 2026/2027.</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**En valorisation (Partie 0)**, le PER de 56,6x et l'EV/EBITDA de 35,5x indiquent une **surévaluation manifeste** par rapport aux bénéfices et à la capacité opérationnelle, bien que le P/B de 1,68x offre un léger soutien. **Le comportement du cours (Partie 1)** est clairement baissier (-16,89% sur 100 jours, -5,08% en J-1), avec une volatilité élevée (37,6%) et un skewness positif signalant une pression vendeuse persistante, même si le kurtosis mésokurtique limite le risque de chocs extrêmes. **Les signaux techniques (Partie 2)** sont majoritairement baissiers (MM, MACD), avec un RSI et des Bollinger neutres, et seul le stochastique en survente profonde suggère un rebond contrarien ponctuel — configuration de **divergence** qui appelle à la prudence. **Les fondamentaux (Partie 3)** montrent une entreprise en retournement opérationnel (CA +55% au T1 2026, résultat d'exploitation positif) mais toujours déficitaire (-154 M FCFA), avec une trésorerie négative et une absence de dividende. **Les prédictions IA (J+1 à J+10)** anticipent une poursuite de la baisse jusqu'à 1 815 FCFA le 15/10/2026, **confirmant la tendance baissière** et contredisant le signal d'achat du stochastique.</w:t>
      </w:r>
    </w:p>
    <w:p>
      <w:pPr>
        <w:spacing w:after="120" w:line="276" w:lineRule="auto"/>
      </w:pPr>
      <w:r>
        <w:t>**Recommandation finale : VENTE** (avec possibilité de CONSERVER pour les investisseurs déjà positionnés en attente du rebond opérationnel 2026). La convergence entre valorisation surévaluée, technique baissière, fondamentaux fragiles et prédictions IA négatives justifie cette décision. **Niveau de confiance : Moyen** (le potentiel de rebond technique et l'amélioration du T1 2026 introduisent une incertitude). **Niveau de risque global : Élevé** (volatilité 37,6%, trésorerie négative, dépendance sectorielle au cacao). **Horizon d'investissement suggéré : Court terme (&lt;3 mois)** pour les traders cherchant à profiter du rebond technique, ou **attente d'une confirmation de deux trimestres consécutifs de résultat net positif** avant tout investissement de moyen/long terme.</w:t>
      </w:r>
    </w:p>
    <w:p>
      <w:pPr>
        <w:spacing w:after="120" w:line="276" w:lineRule="auto"/>
      </w:pPr>
      <w:r>
        <w:t>---</w:t>
      </w:r>
    </w:p>
    <w:p>
      <w:pPr>
        <w:spacing w:after="120" w:line="276" w:lineRule="auto"/>
      </w:pPr>
      <w:r>
        <w:t>*Rapport généré le 09/10/2026 — Sources : BRVM, états financiers FTSC 2025, rapports trimestriels T1 2026 et annuels 2024-2025, communiqués officiels.*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4,658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+1.28%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4.69%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β=0.6567 (Défensif) — Cov=0.000048, Var(idx)=0.000074, ρ=0.214,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3,758</w:t>
            </w:r>
          </w:p>
        </w:tc>
        <w:tc>
          <w:tcPr>
            <w:tcW w:type="dxa" w:w="1440"/>
            <w:shd w:fill="FAFAFA" w:val="clear"/>
          </w:tcPr>
          <w:p>
            <w:r>
              <w:rPr>
                <w:b/>
                <w:sz w:val="17"/>
              </w:rPr>
              <w:t>3,924</w:t>
            </w:r>
          </w:p>
        </w:tc>
        <w:tc>
          <w:tcPr>
            <w:tcW w:type="dxa" w:w="1440"/>
            <w:shd w:fill="FAFAFA" w:val="clear"/>
          </w:tcPr>
          <w:p>
            <w:r>
              <w:rPr>
                <w:sz w:val="17"/>
              </w:rPr>
              <w:t>4,091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3,693</w:t>
            </w:r>
          </w:p>
        </w:tc>
        <w:tc>
          <w:tcPr>
            <w:tcW w:type="dxa" w:w="1440"/>
            <w:shd w:fill="FAFAFA" w:val="clear"/>
          </w:tcPr>
          <w:p>
            <w:r>
              <w:rPr>
                <w:b/>
                <w:sz w:val="17"/>
              </w:rPr>
              <w:t>3,928</w:t>
            </w:r>
          </w:p>
        </w:tc>
        <w:tc>
          <w:tcPr>
            <w:tcW w:type="dxa" w:w="1440"/>
            <w:shd w:fill="FAFAFA" w:val="clear"/>
          </w:tcPr>
          <w:p>
            <w:r>
              <w:rPr>
                <w:sz w:val="17"/>
              </w:rPr>
              <w:t>4,164</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3,642</w:t>
            </w:r>
          </w:p>
        </w:tc>
        <w:tc>
          <w:tcPr>
            <w:tcW w:type="dxa" w:w="1440"/>
            <w:shd w:fill="FAFAFA" w:val="clear"/>
          </w:tcPr>
          <w:p>
            <w:r>
              <w:rPr>
                <w:b/>
                <w:sz w:val="17"/>
              </w:rPr>
              <w:t>3,931</w:t>
            </w:r>
          </w:p>
        </w:tc>
        <w:tc>
          <w:tcPr>
            <w:tcW w:type="dxa" w:w="1440"/>
            <w:shd w:fill="FAFAFA" w:val="clear"/>
          </w:tcPr>
          <w:p>
            <w:r>
              <w:rPr>
                <w:sz w:val="17"/>
              </w:rPr>
              <w:t>4,220</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3,599</w:t>
            </w:r>
          </w:p>
        </w:tc>
        <w:tc>
          <w:tcPr>
            <w:tcW w:type="dxa" w:w="1440"/>
            <w:shd w:fill="FAFAFA" w:val="clear"/>
          </w:tcPr>
          <w:p>
            <w:r>
              <w:rPr>
                <w:b/>
                <w:sz w:val="17"/>
              </w:rPr>
              <w:t>3,932</w:t>
            </w:r>
          </w:p>
        </w:tc>
        <w:tc>
          <w:tcPr>
            <w:tcW w:type="dxa" w:w="1440"/>
            <w:shd w:fill="FAFAFA" w:val="clear"/>
          </w:tcPr>
          <w:p>
            <w:r>
              <w:rPr>
                <w:sz w:val="17"/>
              </w:rPr>
              <w:t>4,266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3,560</w:t>
            </w:r>
          </w:p>
        </w:tc>
        <w:tc>
          <w:tcPr>
            <w:tcW w:type="dxa" w:w="1440"/>
            <w:shd w:fill="FAFAFA" w:val="clear"/>
          </w:tcPr>
          <w:p>
            <w:r>
              <w:rPr>
                <w:b/>
                <w:sz w:val="17"/>
              </w:rPr>
              <w:t>3,933</w:t>
            </w:r>
          </w:p>
        </w:tc>
        <w:tc>
          <w:tcPr>
            <w:tcW w:type="dxa" w:w="1440"/>
            <w:shd w:fill="FAFAFA" w:val="clear"/>
          </w:tcPr>
          <w:p>
            <w:r>
              <w:rPr>
                <w:sz w:val="17"/>
              </w:rPr>
              <w:t>4,305</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3,528</w:t>
            </w:r>
          </w:p>
        </w:tc>
        <w:tc>
          <w:tcPr>
            <w:tcW w:type="dxa" w:w="1440"/>
            <w:shd w:fill="FAFAFA" w:val="clear"/>
          </w:tcPr>
          <w:p>
            <w:r>
              <w:rPr>
                <w:b/>
                <w:sz w:val="17"/>
              </w:rPr>
              <w:t>3,936</w:t>
            </w:r>
          </w:p>
        </w:tc>
        <w:tc>
          <w:tcPr>
            <w:tcW w:type="dxa" w:w="1440"/>
            <w:shd w:fill="FAFAFA" w:val="clear"/>
          </w:tcPr>
          <w:p>
            <w:r>
              <w:rPr>
                <w:sz w:val="17"/>
              </w:rPr>
              <w:t>4,345</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3,499</w:t>
            </w:r>
          </w:p>
        </w:tc>
        <w:tc>
          <w:tcPr>
            <w:tcW w:type="dxa" w:w="1440"/>
            <w:shd w:fill="FAFAFA" w:val="clear"/>
          </w:tcPr>
          <w:p>
            <w:r>
              <w:rPr>
                <w:b/>
                <w:sz w:val="17"/>
              </w:rPr>
              <w:t>3,941</w:t>
            </w:r>
          </w:p>
        </w:tc>
        <w:tc>
          <w:tcPr>
            <w:tcW w:type="dxa" w:w="1440"/>
            <w:shd w:fill="FAFAFA" w:val="clear"/>
          </w:tcPr>
          <w:p>
            <w:r>
              <w:rPr>
                <w:sz w:val="17"/>
              </w:rPr>
              <w:t>4,384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3,471</w:t>
            </w:r>
          </w:p>
        </w:tc>
        <w:tc>
          <w:tcPr>
            <w:tcW w:type="dxa" w:w="1440"/>
            <w:shd w:fill="FAFAFA" w:val="clear"/>
          </w:tcPr>
          <w:p>
            <w:r>
              <w:rPr>
                <w:b/>
                <w:sz w:val="17"/>
              </w:rPr>
              <w:t>3,944</w:t>
            </w:r>
          </w:p>
        </w:tc>
        <w:tc>
          <w:tcPr>
            <w:tcW w:type="dxa" w:w="1440"/>
            <w:shd w:fill="FAFAFA" w:val="clear"/>
          </w:tcPr>
          <w:p>
            <w:r>
              <w:rPr>
                <w:sz w:val="17"/>
              </w:rPr>
              <w:t>4,417</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3,444</w:t>
            </w:r>
          </w:p>
        </w:tc>
        <w:tc>
          <w:tcPr>
            <w:tcW w:type="dxa" w:w="1440"/>
            <w:shd w:fill="FAFAFA" w:val="clear"/>
          </w:tcPr>
          <w:p>
            <w:r>
              <w:rPr>
                <w:b/>
                <w:sz w:val="17"/>
              </w:rPr>
              <w:t>3,946</w:t>
            </w:r>
          </w:p>
        </w:tc>
        <w:tc>
          <w:tcPr>
            <w:tcW w:type="dxa" w:w="1440"/>
            <w:shd w:fill="FAFAFA" w:val="clear"/>
          </w:tcPr>
          <w:p>
            <w:r>
              <w:rPr>
                <w:sz w:val="17"/>
              </w:rPr>
              <w:t>4,448</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3,419</w:t>
            </w:r>
          </w:p>
        </w:tc>
        <w:tc>
          <w:tcPr>
            <w:tcW w:type="dxa" w:w="1440"/>
            <w:shd w:fill="FAFAFA" w:val="clear"/>
          </w:tcPr>
          <w:p>
            <w:r>
              <w:rPr>
                <w:b/>
                <w:sz w:val="17"/>
              </w:rPr>
              <w:t>3,949</w:t>
            </w:r>
          </w:p>
        </w:tc>
        <w:tc>
          <w:tcPr>
            <w:tcW w:type="dxa" w:w="1440"/>
            <w:shd w:fill="FAFAFA" w:val="clear"/>
          </w:tcPr>
          <w:p>
            <w:r>
              <w:rPr>
                <w:sz w:val="17"/>
              </w:rPr>
              <w:t>4,478</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79,00 milliards FCFA, LNBB se positionne comme une valeur de taille intermédiaire sur le marché BRVM, représentant un poids notable dans l'indice composite. Le BPA de 231 FCFA/action signifie que chaque titre génère près de 231 FCFA de bénéfice net, ce qui, rapporté au cours actuel de 3 950 FCFA, confère un PER de 17,1x — nettement supérieur à la moyenne du marché BRVM (généralement comprise entre 8 et 12x), traduisant une prime de valorisation que les investisseurs accordent à la solidité du modèle et à sa politique de dividende généreuse. Le ratio P/B de 3,60x indique que le marché valorise la société à plus de trois fois sa valeur comptable, ce qui est cohérent avec un ROE élevé (21,05%) et une création de valeur soutenue. Enfin, l'EV/EBITDA de 10,0x se situe dans la fourchette raisonnable (5-10x), suggérant que la valeur d'entreprise reste proportionnée à la capacité opérationnelle de génération de cash-flows, bien que légèrement en haut de fourchette.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globale quasi stable de +1,28%, avec une dernière séance en hausse de +1,54%, portant le cours à 3 950 FCFA. Le range de trading s'établit entre un plus bas de 3 700 FCFA et un plus haut de 4 560 FCFA, soit une amplitude de 860 FCFA (23,2%), reflétant une volatilité intra-période significative. La tendance générale est baissière depuis le pic de 4 560 FCFA, le cours évoluant actuellement sous sa moyenne (4 076 FCFA) et sa médiane (4 050 FCFA), signe d'une pression vendeuse persistante. Les statistiques descriptives révèlent une distribution quasi symétrique (skewness de 0,456, proche de la normale) avec un kurtosis de -0,772 (mésokurtique), indiquant l'absence de pics extrêmes et un comportement de marché relativement ordonné. L'écart-type de 192 FCFA et le coefficient de variation de 4,7% témoignent d'une dispersion modérée du cours autour de sa moyenne. La volatilité annualisée de 41,4% classe le titre dans la catégorie des valeurs à volatilité élevée (&gt;30%), ce qui implique un risque de marché non négligeable pour les investisseurs, mais aussi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(3 948,75 FCFA) est quasi confondue avec le cours actuel (3 950 FCFA), tandis que la MM50 (4 074,1 FCFA) se situe nettement au-dessus, confirmant une configuration baissière de court terme. Le croisement baissier (MM20 &lt; MM50) et la position du cours sous la MM50 justifient la décision technique de **Vente**, bien que la proximité du cours avec la MM20 suggère une possible stabilisation.</w:t>
      </w:r>
    </w:p>
    <w:p>
      <w:pPr>
        <w:spacing w:after="120" w:line="276" w:lineRule="auto"/>
      </w:pPr>
      <w:r>
        <w:t>**Bandes de Bollinger** : Le cours (3 950 FCFA) évolue dans la partie inférieure de la bande (borne supérieure : 4 130,14 FCFA ; borne inférieure : 3 767,36 FCFA), à environ 27% de la borne basse. Cette position médiane-basse, combinée à un rétrécissement des bandes, indique une volatilité en compression et une absence de signal directionnel fort, justifiant la décision **Neutre**.</w:t>
      </w:r>
    </w:p>
    <w:p>
      <w:pPr>
        <w:spacing w:after="120" w:line="276" w:lineRule="auto"/>
      </w:pPr>
      <w:r>
        <w:t>**MACD** : La valeur du MACD (-44,076) est supérieure à son signal (-50,367), générant un croisement haussier (MACD &gt; Signal) bien que les deux restent en territoire négatif. Ce momentum positif naissant, bien que fragile, justifie la décision d'**Achat** technique, suggérant un possible retournement à court terme.</w:t>
      </w:r>
    </w:p>
    <w:p>
      <w:pPr>
        <w:spacing w:after="120" w:line="276" w:lineRule="auto"/>
      </w:pPr>
      <w:r>
        <w:t>**RSI** : À 42,487, le RSI se situe en zone neutre (30-70), sans signal de surachat (&gt;70) ni de survente (&lt;30). Cette position médiane-basse indique une absence de pression acheteuse ou vendeuse dominante, justifiant la décision **Neutre** et suggérant que le titre n'est ni surévalué ni sous-évalué techniquement.</w:t>
      </w:r>
    </w:p>
    <w:p>
      <w:pPr>
        <w:spacing w:after="120" w:line="276" w:lineRule="auto"/>
      </w:pPr>
      <w:r>
        <w:t>**Stochastique** : Le %K (65,789) est supérieur au %D (57,13), avec un croisement haussier en zone médiane-haute. Cette configuration indique un momentum positif à court terme, mais l'absence de zone de survente rend le signal modérément fiable, justifiant la décision **Neutre**.</w:t>
      </w:r>
    </w:p>
    <w:p>
      <w:pPr>
        <w:spacing w:after="120" w:line="276" w:lineRule="auto"/>
      </w:pPr>
      <w:r>
        <w:t>**Conclusion technique** : Les indicateurs techniques présentent une divergence notable : les moyennes mobiles sont baissières (Vente), le MACD est haussier (Achat), tandis que le RSI, les Bandes de Bollinger et le Stochastique sont neutres. Cette absence de consensus reflète un marché en phase de consolidation, avec une légère tendance à la stabilisation voire à un rebond technique à court terme, mais sans conviction directionnelle forte.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milliards FCFA, en baisse de -3,85% par rapport à 2024 (102,544 milliards FCFA), sous l'effet d'une concurrence illégale accrue. Le résultat net s'établit à 4,622 milliards FCFA, en recul de -35,6% (vs 7,176 milliards en 2024), principalement dû à l'absence de produits exceptionnels (3,1 milliards en 2024). Malgré cette contraction, les fondamentaux opérationnels demeurent solides : la Valeur Ajoutée progresse de +22% à 10,548 milliards FCFA, l'EBE de +34% à 7,164 milliards FCFA, et le ROE atteint 21,05% (excellent, &gt;15%), tandis que le ROA de 14,17% confirme une bonne rentabilité des actifs. La structure financière est très saine : autonomie financière de 67,32%, ratio d'endettement de seulement 2,57%, et trésorerie nette positive de 7,979 milliards FCFA. Le BFR est négatif (217,45 millions FCFA), signe d'une gestion efficace du besoin en fonds de roulement, avec des délais clients très courts (4,82 jours) et des délais fournisseurs de 20,41 jours. Les rapports trimestriels récents confirment une amélioration séquentielle : au S1 2026 (rapport du 30 juin 2026), le CA progresse de +4% à 49,937 milliards FCFA et le résultat net bondit de +60%, porté par la maîtrise des charges et les revenus de partenariats. Toutefois, le T1 2026 (rapport du 31 mars 2026) avait montré une chute de -46% du résultat net à 848 millions FCFA, en raison d'un mix-produit défavorable (pari sportif à 95% de taux de retour). On estime que l'exercice 2026 devrait bénéficier du déploiement de 1 500 nouveaux terminaux et du lancement de nouveaux produits, avec un résultat net annuel potentiellement en hausse de +20% à +30% par rapport à 2025, sous réserve de la stabilisation du Produit Brut des Jeux. La politique de dividende reste très attractive, avec un dividende brut de 173 FCFA/action (net : 164 FCFA) proposé au titre de 2025, représentant un rendement de 4,4% au cours actuel. En conclusion, malgré les défis concurrentiels, LNBB présente une solidité financière remarquable, une rentabilité opérationnelle en amélioration et des perspectives de croissance crédibles pour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le PER de 17,1x et le P/B de 3,60x intègrent une prime de qualité, mais l'EV/EBITDA de 10,0x reste raisonnable, suggérant une valorisation globalement juste, sans excès majeur. Le comportement du cours (Partie 1) est préoccupant à court terme : tendance baissière depuis le pic de 4 560 FCFA, volatilité élevée (41,4%), mais distribution ordonnée (kurtosis -0,772, skewness 0,456) sans risque de krach brutal. Les signaux techniques (Partie 2) sont divergents : baissiers pour les MM, haussiers pour le MACD, neutres pour le RSI, les Bollinger et le Stochastique — une configuration de consolidation sans direction claire. Les fondamentaux (Partie 3) sont rassurants : ROE de 21,05%, autonomie financière de 67,32%, trésorerie nette positive, et une amélioration séquentielle confirmée par le S1 2026 (+60% de résultat net). Les prédictions IA (J+1 à J+10) anticipent une légère hausse de 3 924 FCFA à 3 933 FCFA, confirmant une stabilisation à court terme sans rallye significatif. Sur la base de cette synthèse, la recommandation finale est **CONSERVER**. La convergence entre fondamentaux solides, dividende attractif (4,4%) et perspectives de croissance pour 2026 justifie le maintien en portefeuille, mais la valorisation exigeante et les signaux techniques divergents ne plaident pas pour un renforcement agressif. Le niveau de confiance est **Moyen**, en raison de l'incertitude sur la capacité de LNBB à stabiliser son Produit Brut des Jeux et à contrer la concurrence illégale. Le niveau de risque global est **Moyen** (volatilité élevée mais fondamentaux solides). L'horizon d'investissement optimal est le **moyen terme (3-12 mois)**, le temps que les initiatives stratégiques (1 500 terminaux, nouveaux produits) portent leurs fruits et que la tendance technique se clarifie.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2,382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+14.58%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12.33% (Moyenne) — μ=2,313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β=0.0563 (Défensif) — Cov=0.000004, Var(idx)=0.000074, ρ=0.014,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2,058</w:t>
            </w:r>
          </w:p>
        </w:tc>
        <w:tc>
          <w:tcPr>
            <w:tcW w:type="dxa" w:w="1440"/>
            <w:shd w:fill="FAFAFA" w:val="clear"/>
          </w:tcPr>
          <w:p>
            <w:r>
              <w:rPr>
                <w:b/>
                <w:sz w:val="17"/>
              </w:rPr>
              <w:t>2,182</w:t>
            </w:r>
          </w:p>
        </w:tc>
        <w:tc>
          <w:tcPr>
            <w:tcW w:type="dxa" w:w="1440"/>
            <w:shd w:fill="FAFAFA" w:val="clear"/>
          </w:tcPr>
          <w:p>
            <w:r>
              <w:rPr>
                <w:sz w:val="17"/>
              </w:rPr>
              <w:t>2,306</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1,994</w:t>
            </w:r>
          </w:p>
        </w:tc>
        <w:tc>
          <w:tcPr>
            <w:tcW w:type="dxa" w:w="1440"/>
            <w:shd w:fill="FAFAFA" w:val="clear"/>
          </w:tcPr>
          <w:p>
            <w:r>
              <w:rPr>
                <w:b/>
                <w:sz w:val="17"/>
              </w:rPr>
              <w:t>2,168</w:t>
            </w:r>
          </w:p>
        </w:tc>
        <w:tc>
          <w:tcPr>
            <w:tcW w:type="dxa" w:w="1440"/>
            <w:shd w:fill="FAFAFA" w:val="clear"/>
          </w:tcPr>
          <w:p>
            <w:r>
              <w:rPr>
                <w:sz w:val="17"/>
              </w:rPr>
              <w:t>2,343</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1,942</w:t>
            </w:r>
          </w:p>
        </w:tc>
        <w:tc>
          <w:tcPr>
            <w:tcW w:type="dxa" w:w="1440"/>
            <w:shd w:fill="FFDCE0" w:val="clear"/>
          </w:tcPr>
          <w:p>
            <w:r>
              <w:rPr>
                <w:b/>
                <w:sz w:val="17"/>
              </w:rPr>
              <w:t>2,155</w:t>
            </w:r>
          </w:p>
        </w:tc>
        <w:tc>
          <w:tcPr>
            <w:tcW w:type="dxa" w:w="1440"/>
            <w:shd w:fill="FFDCE0" w:val="clear"/>
          </w:tcPr>
          <w:p>
            <w:r>
              <w:rPr>
                <w:sz w:val="17"/>
              </w:rPr>
              <w:t>2,367</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1,898</w:t>
            </w:r>
          </w:p>
        </w:tc>
        <w:tc>
          <w:tcPr>
            <w:tcW w:type="dxa" w:w="1440"/>
            <w:shd w:fill="FFDCE0" w:val="clear"/>
          </w:tcPr>
          <w:p>
            <w:r>
              <w:rPr>
                <w:b/>
                <w:sz w:val="17"/>
              </w:rPr>
              <w:t>2,142</w:t>
            </w:r>
          </w:p>
        </w:tc>
        <w:tc>
          <w:tcPr>
            <w:tcW w:type="dxa" w:w="1440"/>
            <w:shd w:fill="FFDCE0" w:val="clear"/>
          </w:tcPr>
          <w:p>
            <w:r>
              <w:rPr>
                <w:sz w:val="17"/>
              </w:rPr>
              <w:t>2,386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1,858</w:t>
            </w:r>
          </w:p>
        </w:tc>
        <w:tc>
          <w:tcPr>
            <w:tcW w:type="dxa" w:w="1440"/>
            <w:shd w:fill="FFDCE0" w:val="clear"/>
          </w:tcPr>
          <w:p>
            <w:r>
              <w:rPr>
                <w:b/>
                <w:sz w:val="17"/>
              </w:rPr>
              <w:t>2,129</w:t>
            </w:r>
          </w:p>
        </w:tc>
        <w:tc>
          <w:tcPr>
            <w:tcW w:type="dxa" w:w="1440"/>
            <w:shd w:fill="FFDCE0" w:val="clear"/>
          </w:tcPr>
          <w:p>
            <w:r>
              <w:rPr>
                <w:sz w:val="17"/>
              </w:rPr>
              <w:t>2,401</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1,822</w:t>
            </w:r>
          </w:p>
        </w:tc>
        <w:tc>
          <w:tcPr>
            <w:tcW w:type="dxa" w:w="1440"/>
            <w:shd w:fill="FFDCE0" w:val="clear"/>
          </w:tcPr>
          <w:p>
            <w:r>
              <w:rPr>
                <w:b/>
                <w:sz w:val="17"/>
              </w:rPr>
              <w:t>2,118</w:t>
            </w:r>
          </w:p>
        </w:tc>
        <w:tc>
          <w:tcPr>
            <w:tcW w:type="dxa" w:w="1440"/>
            <w:shd w:fill="FFDCE0" w:val="clear"/>
          </w:tcPr>
          <w:p>
            <w:r>
              <w:rPr>
                <w:sz w:val="17"/>
              </w:rPr>
              <w:t>2,413</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1,789</w:t>
            </w:r>
          </w:p>
        </w:tc>
        <w:tc>
          <w:tcPr>
            <w:tcW w:type="dxa" w:w="1440"/>
            <w:shd w:fill="FFDCE0" w:val="clear"/>
          </w:tcPr>
          <w:p>
            <w:r>
              <w:rPr>
                <w:b/>
                <w:sz w:val="17"/>
              </w:rPr>
              <w:t>2,107</w:t>
            </w:r>
          </w:p>
        </w:tc>
        <w:tc>
          <w:tcPr>
            <w:tcW w:type="dxa" w:w="1440"/>
            <w:shd w:fill="FFDCE0" w:val="clear"/>
          </w:tcPr>
          <w:p>
            <w:r>
              <w:rPr>
                <w:sz w:val="17"/>
              </w:rPr>
              <w:t>2,424</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1,759</w:t>
            </w:r>
          </w:p>
        </w:tc>
        <w:tc>
          <w:tcPr>
            <w:tcW w:type="dxa" w:w="1440"/>
            <w:shd w:fill="FFDCE0" w:val="clear"/>
          </w:tcPr>
          <w:p>
            <w:r>
              <w:rPr>
                <w:b/>
                <w:sz w:val="17"/>
              </w:rPr>
              <w:t>2,096</w:t>
            </w:r>
          </w:p>
        </w:tc>
        <w:tc>
          <w:tcPr>
            <w:tcW w:type="dxa" w:w="1440"/>
            <w:shd w:fill="FFDCE0" w:val="clear"/>
          </w:tcPr>
          <w:p>
            <w:r>
              <w:rPr>
                <w:sz w:val="17"/>
              </w:rPr>
              <w:t>2,434</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1,730</w:t>
            </w:r>
          </w:p>
        </w:tc>
        <w:tc>
          <w:tcPr>
            <w:tcW w:type="dxa" w:w="1440"/>
            <w:shd w:fill="FFDCE0" w:val="clear"/>
          </w:tcPr>
          <w:p>
            <w:r>
              <w:rPr>
                <w:b/>
                <w:sz w:val="17"/>
              </w:rPr>
              <w:t>2,086</w:t>
            </w:r>
          </w:p>
        </w:tc>
        <w:tc>
          <w:tcPr>
            <w:tcW w:type="dxa" w:w="1440"/>
            <w:shd w:fill="FFDCE0" w:val="clear"/>
          </w:tcPr>
          <w:p>
            <w:r>
              <w:rPr>
                <w:sz w:val="17"/>
              </w:rPr>
              <w:t>2,443</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1,703</w:t>
            </w:r>
          </w:p>
        </w:tc>
        <w:tc>
          <w:tcPr>
            <w:tcW w:type="dxa" w:w="1440"/>
            <w:shd w:fill="FFDCE0" w:val="clear"/>
          </w:tcPr>
          <w:p>
            <w:r>
              <w:rPr>
                <w:b/>
                <w:sz w:val="17"/>
              </w:rPr>
              <w:t>2,077</w:t>
            </w:r>
          </w:p>
        </w:tc>
        <w:tc>
          <w:tcPr>
            <w:tcW w:type="dxa" w:w="1440"/>
            <w:shd w:fill="FFDCE0" w:val="clear"/>
          </w:tcPr>
          <w:p>
            <w:r>
              <w:rPr>
                <w:sz w:val="17"/>
              </w:rPr>
              <w:t>2,451</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28,08 milliards FCFA, NEIC se positionne comme une valeur de taille moyenne sur le compartiment des sociétés non bancaires de la BRVM, ce qui traduit une liquidité limitée mais un poids non négligeable dans l'indice sectoriel. Le BPA de 160 FCFA/action signifie que chaque titre génère 160 FCFA de bénéfice net, un niveau qui, rapporté au cours actuel de 2 200 FCFA, donne un PER de 13,8x — modérément supérieur à la moyenne BRVM (~8-12x), ce qui indique que le marché paie une légère prime pour cette valeur. Le P/B de 4,88x est particulièrement exigeant : le marché valorise l'entreprise près de cinq fois sa valeur comptable, ce qui suppose des anticipations de rentabilité future élevées ou une sous-estimation structurelle des actifs. Enfin, l'EV/EBITDA de 20,4x est très élevé (seuil d'alerte &gt;15x), signalant que la valeur d'entreprise intègre une prime spéculative importante par rapport à la capacité opérationnelle réelle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variation totale de +14,58%, avec une dernière séance stable (+0,00%), s'établissant à 2 200 FCFA. Le range de trading est large, entre un plus bas de 1 900 FCFA et un plus haut de 3 000 FCFA, soit une amplitude de 57,9% qui témoigne d'une forte nervosité du marché sur ce titre. La tendance générale est haussière sur la période, mais le cours actuel (2 200 FCFA) se situe nettement sous le plus haut (3 000 FCFA), suggérant une correction en cours depuis les sommets. Les statistiques descriptives révèlent une moyenne de 2 313 FCFA supérieure à la médiane de 2 272 FCFA, avec un mode à 2 200 FCFA (niveau actuel), ce qui indique une distribution légèrement asymétrique avec des pics de cours tirant la moyenne vers le haut. L'écart-type de 287 FCFA (CV=12,4%) traduit une dispersion modérée autour de la moyenne, tandis que le kurtosis de 0,421 (mésokurtique) suggère une distribution proche de la normale, sans risque extrême de pics. Le skewness de 0,962 (asymétrie positive) indique toutefois que les journées sous la moyenne sont plus fréquentes, avec quelques journées de forte hausse compensant. La volatilité annualisée de 52,4% classe ce titre dans la catégorie **très élevée** (&gt;30%), ce qui implique un risque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(2 449 FCFA) et la MM50 (2 479 FCFA) se situent toutes deux au-dessus du cours actuel (2 200 FCFA), confirmant une pression baissière de court et moyen terme. La MM20 étant légèrement sous la MM50, on observe un début de croisement baissier, ce qui justifie la décision technique de **Vente**.</w:t>
      </w:r>
    </w:p>
    <w:p>
      <w:pPr>
        <w:spacing w:after="120" w:line="276" w:lineRule="auto"/>
      </w:pPr>
      <w:r>
        <w:t>**Bandes de Bollinger** : Le cours (2 200 FCFA) évolue dans la partie basse de la bande, entre la borne inférieure (2 009,34 FCFA) et la borne supérieure (2 888,66 FCFA), sans franchir les extrêmes. Cette position médiane-basse, couplée à une volatilité élevée, justifie la décision **Neutre** : le titre n'est ni en survente extrême ni en surachat.</w:t>
      </w:r>
    </w:p>
    <w:p>
      <w:pPr>
        <w:spacing w:after="120" w:line="276" w:lineRule="auto"/>
      </w:pPr>
      <w:r>
        <w:t>**MACD** : La valeur du MACD (-106,156) est inférieure à son signal (-72,212), avec un histogramme négatif, ce qui confirme un momentum baissier persistant. La divergence négative entre les deux lignes justifie la décision de **Vente**.</w:t>
      </w:r>
    </w:p>
    <w:p>
      <w:pPr>
        <w:spacing w:after="120" w:line="276" w:lineRule="auto"/>
      </w:pPr>
      <w:r>
        <w:t>**RSI** : À 19,298, le RSI est en zone de **survente** (&lt;30), ce qui indique que le titre a été massivement vendu et pourrait connaître un rebond technique à court terme. Cette configuration justifie la décision d'**Achat** à contre-tendance.</w:t>
      </w:r>
    </w:p>
    <w:p>
      <w:pPr>
        <w:spacing w:after="120" w:line="276" w:lineRule="auto"/>
      </w:pPr>
      <w:r>
        <w:t>**Stochastique** : Les valeurs %K et %D sont à 0,0, ce qui est un signal extrême de survente, souvent précurseur d'un retournement haussier. La décision d'**Achat** est cohérente avec cette configuration.</w:t>
      </w:r>
    </w:p>
    <w:p>
      <w:pPr>
        <w:spacing w:after="120" w:line="276" w:lineRule="auto"/>
      </w:pPr>
      <w:r>
        <w:t>**Conclusion technique** : Les indicateurs sont divergents : les moyennes mobiles et le MACD confirment une tendance baissière de fond, tandis que le RSI et le stochastique signalent une survente extrême propice à un rebond technique. Cette divergence suggère une phase de consolidation volatile, avec un potentiel de rebond à court terme mais une tendance de fond encore fragile.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NEIC affiche un chiffre d'affaires de 5,139 milliards FCFA, en **baisse de 23,8%** par rapport à l'exercice précédent, ce qui traduit une dégradation marquée de la dynamique commerciale. Le résultat net s'établit à 2,037 milliards FCFA, mais il est important de noter qu'il est **gonflé par un produit exceptionnel** (reprise de provision pour redressement fiscal de 1,596 milliard FCFA au T3 2025), comme l'indique le rapport du 30 septembre 2025. La marge nette de 39,6% est donc artificiellement élevée, et la marge opérationnelle de 23,6% reflète mieux la réalité opérationnelle. Le ROE de 35,4% et le ROA de 27,3% sont excellents sur le papier, mais ils sont également dopés par le résultat exceptionnel. La structure financière est très saine : autonomie financière de 77%, liquidité générale de 448%, et trésorerie nette de 4,196 milliards FCFA. Le BFR est positif à 1,498 milliard FCFA, avec un délai client élevé de 154,72 jours, ce qui constitue un risque de trésorerie important. Le délai fournisseur de 69,56 jours est correct, et la durée de stockage de 54,49 jours est modérée. Le flux opérationnel est négatif (-527,07 millions FCFA), ce qui est préoccupant malgré la trésorerie disponible.</w:t>
      </w:r>
    </w:p>
    <w:p>
      <w:pPr>
        <w:spacing w:after="120" w:line="276" w:lineRule="auto"/>
      </w:pPr>
      <w:r>
        <w:t>**Estimations basées sur les rapports trimestriels** : Le rapport du T1 2026 (publié en 2026) indique un chiffre d'affaires de 115,1 millions FCFA, en **hausse de 137%** par rapport au T1 2025 (48,5 millions FCFA), mais la société reste déficitaire avec une perte nette de -168,9 millions FCFA, en amélioration par rapport aux -189,9 millions FCFA de 2025. Le rapport du T3 2025 (30 septembre 2025) montre un CA de 3 406 millions FCFA, en baisse de 35% sur un an, et un résultat net exceptionnel de 1 596 millions FCFA. Le rapport annuel 2025 (publié en 2025) mentionne un résultat net de 2,04 milliards FCFA et un dividende de 2,04 milliards FCFA (100% du résultat), ce qui est généreux mais limite la capacité d'autofinancement. Le rapport 2024 (états financiers certifiés) fait état d'une perte nette de 759,4 millions FCFA, avec une CAFG positive de 415 millions FCFA et un versement de dividende de 1,16 milliard FCFA sur les bénéfices antérieurs. On estime donc que l'exercice 2026 devrait bénéficier d'une reprise progressive du chiffre d'affaires (portée par la dynamique du T1 2026), mais la rentabilité opérationnelle reste fragile et dépendante d'éléments non récurrents.</w:t>
      </w:r>
    </w:p>
    <w:p>
      <w:pPr>
        <w:spacing w:after="120" w:line="276" w:lineRule="auto"/>
      </w:pPr>
      <w:r>
        <w:t>**Recommandation fondamentale** : La société présente une solidité financière indéniable (trésorerie abondante, faible endettement), mais sa performance opérationnelle est en recul et sa rentabilité est artificiellement soutenue par des éléments exceptionnels. Le risque principal réside dans la durabilité de la reprise commerciale et dans la capacité à générer des flux de trésorerie opérationnels positifs. La valorisation exigeante (P/B 4,88x, EV/EBITDA 20,4x) ne laisse pas de marge d'erreur.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13,8x (supérieur à la moyenne BRVM), P/B de 4,88x et EV/EBITDA de 20,4x indiquent que le marché intègre déjà une prime significative, ce qui limite le potentiel de hausse à court terme. Le comportement du cours (Partie 1) est contrasté : tendance haussière sur 100 jours (+14,58%) mais correction depuis le plus haut (3 000 FCFA), avec une volatilité très élevée (52,4%) et une asymétrie positive (skewness 0,962) qui suggère des risques de baisse persistants. Les signaux techniques (Partie 2) sont divergents : les moyennes mobiles et le MACD sont baissiers, tandis que le RSI (19,3) et le stochastique (0,0) sont en survente extrême, ce qui pourrait déclencher un rebond technique à court terme, mais sans inversion de tendance confirmée. Les fondamentaux (Partie 3) montrent une société financièrement solide mais opérationnellement fragile : chiffre d'affaires en baisse de 23,8% en 2025, résultat net dopé par un produit exceptionnel, et flux opérationnel négatif. Les rapports trimestriels (T1 2026) indiquent une reprise du CA (+137%) mais des pertes persistantes. Les prédictions IA (J+1 à J+10) anticipent une baisse continue du cours, de 2 182 FCFA à 2 129 FCFA, ce qui contredit les signaux de survente technique et confirme la pression baissière de fond.</w:t>
      </w:r>
    </w:p>
    <w:p>
      <w:pPr>
        <w:spacing w:after="120" w:line="276" w:lineRule="auto"/>
      </w:pPr>
      <w:r>
        <w:t>**Recommandation finale : CONSERVER (avec vigilance)**</w:t>
        <w:br/>
        <w:t>La convergence des signaux est mitigée : la valorisation est exigeante, la technique est baissière malgré la survente, et les fondamentaux sont solides mais avec des risques opérationnels. Les prédictions IA confirment une tendance baissière à court terme. **Niveau de confiance : Moyen** — les données sont contradictoires et le contexte sectoriel est incertain. **Niveau de risque global : Élevé** — volatilité très élevée, dépendance aux éléments exceptionnels, et valorisation tendue. **Horizon d'investissement optimal : Moyen terme (3-12 mois)** — le titre pourrait bénéficier d'un rebond technique à court terme, mais une confirmation de la reprise opérationnelle est nécessaire avant d'envisager un renforcement. Une cassure sous 2 000 FCFA (borne inférieure de Bollinger) serait un signal de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2,910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+40.00%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10.42% (Moyenne) — μ=21,445 FCFA, σ=2,235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β=1.2659 (Agressif) — Cov=0.000093, Var(idx)=0.000074, ρ=0.414,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19,745</w:t>
            </w:r>
          </w:p>
        </w:tc>
        <w:tc>
          <w:tcPr>
            <w:tcW w:type="dxa" w:w="1440"/>
            <w:shd w:fill="FAFAFA" w:val="clear"/>
          </w:tcPr>
          <w:p>
            <w:r>
              <w:rPr>
                <w:b/>
                <w:sz w:val="17"/>
              </w:rPr>
              <w:t>20,720</w:t>
            </w:r>
          </w:p>
        </w:tc>
        <w:tc>
          <w:tcPr>
            <w:tcW w:type="dxa" w:w="1440"/>
            <w:shd w:fill="FAFAFA" w:val="clear"/>
          </w:tcPr>
          <w:p>
            <w:r>
              <w:rPr>
                <w:sz w:val="17"/>
              </w:rPr>
              <w:t>21,694</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19,129</w:t>
            </w:r>
          </w:p>
        </w:tc>
        <w:tc>
          <w:tcPr>
            <w:tcW w:type="dxa" w:w="1440"/>
            <w:shd w:fill="FFDCE0" w:val="clear"/>
          </w:tcPr>
          <w:p>
            <w:r>
              <w:rPr>
                <w:b/>
                <w:sz w:val="17"/>
              </w:rPr>
              <w:t>20,492</w:t>
            </w:r>
          </w:p>
        </w:tc>
        <w:tc>
          <w:tcPr>
            <w:tcW w:type="dxa" w:w="1440"/>
            <w:shd w:fill="FFDCE0" w:val="clear"/>
          </w:tcPr>
          <w:p>
            <w:r>
              <w:rPr>
                <w:sz w:val="17"/>
              </w:rPr>
              <w:t>21,856</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18,621</w:t>
            </w:r>
          </w:p>
        </w:tc>
        <w:tc>
          <w:tcPr>
            <w:tcW w:type="dxa" w:w="1440"/>
            <w:shd w:fill="FFDCE0" w:val="clear"/>
          </w:tcPr>
          <w:p>
            <w:r>
              <w:rPr>
                <w:b/>
                <w:sz w:val="17"/>
              </w:rPr>
              <w:t>20,272</w:t>
            </w:r>
          </w:p>
        </w:tc>
        <w:tc>
          <w:tcPr>
            <w:tcW w:type="dxa" w:w="1440"/>
            <w:shd w:fill="FFDCE0" w:val="clear"/>
          </w:tcPr>
          <w:p>
            <w:r>
              <w:rPr>
                <w:sz w:val="17"/>
              </w:rPr>
              <w:t>21,924</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18,173</w:t>
            </w:r>
          </w:p>
        </w:tc>
        <w:tc>
          <w:tcPr>
            <w:tcW w:type="dxa" w:w="1440"/>
            <w:shd w:fill="FFDCE0" w:val="clear"/>
          </w:tcPr>
          <w:p>
            <w:r>
              <w:rPr>
                <w:b/>
                <w:sz w:val="17"/>
              </w:rPr>
              <w:t>20,060</w:t>
            </w:r>
          </w:p>
        </w:tc>
        <w:tc>
          <w:tcPr>
            <w:tcW w:type="dxa" w:w="1440"/>
            <w:shd w:fill="FFDCE0" w:val="clear"/>
          </w:tcPr>
          <w:p>
            <w:r>
              <w:rPr>
                <w:sz w:val="17"/>
              </w:rPr>
              <w:t>21,947</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17,763</w:t>
            </w:r>
          </w:p>
        </w:tc>
        <w:tc>
          <w:tcPr>
            <w:tcW w:type="dxa" w:w="1440"/>
            <w:shd w:fill="FFDCE0" w:val="clear"/>
          </w:tcPr>
          <w:p>
            <w:r>
              <w:rPr>
                <w:b/>
                <w:sz w:val="17"/>
              </w:rPr>
              <w:t>19,851</w:t>
            </w:r>
          </w:p>
        </w:tc>
        <w:tc>
          <w:tcPr>
            <w:tcW w:type="dxa" w:w="1440"/>
            <w:shd w:fill="FFDCE0" w:val="clear"/>
          </w:tcPr>
          <w:p>
            <w:r>
              <w:rPr>
                <w:sz w:val="17"/>
              </w:rPr>
              <w:t>21,938</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17,381</w:t>
            </w:r>
          </w:p>
        </w:tc>
        <w:tc>
          <w:tcPr>
            <w:tcW w:type="dxa" w:w="1440"/>
            <w:shd w:fill="FFDCE0" w:val="clear"/>
          </w:tcPr>
          <w:p>
            <w:r>
              <w:rPr>
                <w:b/>
                <w:sz w:val="17"/>
              </w:rPr>
              <w:t>19,644</w:t>
            </w:r>
          </w:p>
        </w:tc>
        <w:tc>
          <w:tcPr>
            <w:tcW w:type="dxa" w:w="1440"/>
            <w:shd w:fill="FFDCE0" w:val="clear"/>
          </w:tcPr>
          <w:p>
            <w:r>
              <w:rPr>
                <w:sz w:val="17"/>
              </w:rPr>
              <w:t>21,908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17,021</w:t>
            </w:r>
          </w:p>
        </w:tc>
        <w:tc>
          <w:tcPr>
            <w:tcW w:type="dxa" w:w="1440"/>
            <w:shd w:fill="FFDCE0" w:val="clear"/>
          </w:tcPr>
          <w:p>
            <w:r>
              <w:rPr>
                <w:b/>
                <w:sz w:val="17"/>
              </w:rPr>
              <w:t>19,441</w:t>
            </w:r>
          </w:p>
        </w:tc>
        <w:tc>
          <w:tcPr>
            <w:tcW w:type="dxa" w:w="1440"/>
            <w:shd w:fill="FFDCE0" w:val="clear"/>
          </w:tcPr>
          <w:p>
            <w:r>
              <w:rPr>
                <w:sz w:val="17"/>
              </w:rPr>
              <w:t>21,860</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16,680</w:t>
            </w:r>
          </w:p>
        </w:tc>
        <w:tc>
          <w:tcPr>
            <w:tcW w:type="dxa" w:w="1440"/>
            <w:shd w:fill="FFDCE0" w:val="clear"/>
          </w:tcPr>
          <w:p>
            <w:r>
              <w:rPr>
                <w:b/>
                <w:sz w:val="17"/>
              </w:rPr>
              <w:t>19,239</w:t>
            </w:r>
          </w:p>
        </w:tc>
        <w:tc>
          <w:tcPr>
            <w:tcW w:type="dxa" w:w="1440"/>
            <w:shd w:fill="FFDCE0" w:val="clear"/>
          </w:tcPr>
          <w:p>
            <w:r>
              <w:rPr>
                <w:sz w:val="17"/>
              </w:rPr>
              <w:t>21,799</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16,354</w:t>
            </w:r>
          </w:p>
        </w:tc>
        <w:tc>
          <w:tcPr>
            <w:tcW w:type="dxa" w:w="1440"/>
            <w:shd w:fill="FFDCE0" w:val="clear"/>
          </w:tcPr>
          <w:p>
            <w:r>
              <w:rPr>
                <w:b/>
                <w:sz w:val="17"/>
              </w:rPr>
              <w:t>19,040</w:t>
            </w:r>
          </w:p>
        </w:tc>
        <w:tc>
          <w:tcPr>
            <w:tcW w:type="dxa" w:w="1440"/>
            <w:shd w:fill="FFDCE0" w:val="clear"/>
          </w:tcPr>
          <w:p>
            <w:r>
              <w:rPr>
                <w:sz w:val="17"/>
              </w:rPr>
              <w:t>21,727</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16,041</w:t>
            </w:r>
          </w:p>
        </w:tc>
        <w:tc>
          <w:tcPr>
            <w:tcW w:type="dxa" w:w="1440"/>
            <w:shd w:fill="FFDCE0" w:val="clear"/>
          </w:tcPr>
          <w:p>
            <w:r>
              <w:rPr>
                <w:b/>
                <w:sz w:val="17"/>
              </w:rPr>
              <w:t>18,843</w:t>
            </w:r>
          </w:p>
        </w:tc>
        <w:tc>
          <w:tcPr>
            <w:tcW w:type="dxa" w:w="1440"/>
            <w:shd w:fill="FFDCE0" w:val="clear"/>
          </w:tcPr>
          <w:p>
            <w:r>
              <w:rPr>
                <w:sz w:val="17"/>
              </w:rPr>
              <w:t>21,646</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519,43 milliards FCFA, NSBC s'impose comme l'une des valeurs bancaires les plus capitalisées de la cote BRVM, reflétant sa position de leader sur le marché ivoirien. Le Bénéfice Par Action (BPA) s'élève à 1 646 FCFA, ce qui signifie que chaque action détenue génère près de 1 646 FCFA de bénéfice net, un niveau élevé qui témoigne de la forte rentabilité de la banque. Le PER de 12,8x indique que les investisseurs paient environ 13 fois les bénéfices annuels, une valorisation modérée mais légèrement supérieure à la moyenne du secteur bancaire BRVM (généralement comprise entre 8 et 12x), traduisant une prime de qualité accordée par le marché. Le ratio P/B de 2,23x montre que le marché valorise NSBC à plus du double de sa valeur comptable, ce qui est cohérent avec une banque affichant un ROE de 17,45% et des perspectives de croissance solides. Enfin, l'EV/EBITDA de 20,5x apparaît très exigeant (seuil d'alerte &gt; 15x), suggérant que la valeur totale de l'entreprise (incluant la dette) est chèrement valorisée par rapport à sa capacité opérationnelle, ce qui invite à la prudence pour les nouveaux entrants.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 enregistré une progression spectaculaire de +40,00%, passant d'un plus bas de 15 000 FCFA à un plus haut de 24 885 FCFA, pour un cours actuel de 21 000 FCFA, stable sur la dernière séance (variation J-1 de 0,00%). Cette tendance nettement haussière s'inscrit dans un contexte de forte demande pour les valeurs bancaires de la BRVM, portée par les excellents résultats du secteur. Les statistiques descriptives révèlent une moyenne de 21 445 FCFA légèrement supérieure à la médiane de 22 000 FCFA, avec un mode à 23 000 FCFA, ce qui indique une distribution asymétrique avec une concentration des cours autour des niveaux élevés. L'écart-type de 2 246 FCFA (CV de 10,5%) traduit une dispersion modérée du cours, tandis que le kurtosis de -0,522 (mésokurtique) suggère une distribution proche de la normale, sans risque excessif de pics extrêmes. Le skewness de -0,559 (asymétrie négative) indique que le titre a passé plus de journées au-dessus de sa moyenne, confirmant la dynamique haussière. Avec une volatilité annualisée de 41,2%, le titre présente un profil de risque élevé (&gt;30%), ce qui est typique des valeurs de croissance sur la BRVM et nécessite une tolérance au risque importante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(22 715,5 FCFA) et la MM50 (23 082,0 FCFA) se situent toutes deux au-dessus du cours actuel (21 000 FCFA), ce qui place le titre en position baissière à court et moyen terme. La MM20 étant légèrement en dessous de la MM50, on observe un croisement baissier (death cross), justifiant la décision technique de **Vente**.</w:t>
      </w:r>
    </w:p>
    <w:p>
      <w:pPr>
        <w:spacing w:after="120" w:line="276" w:lineRule="auto"/>
      </w:pPr>
      <w:r>
        <w:t>**Bandes de Bollinger** : Le cours actuel (21 000 FCFA) se situe dans la partie basse de la bande, entre la borne inférieure (19 915,77 FCFA) et la borne supérieure (25 515,24 FCFA). Cette position proche de la borne inférieure indique une pression vendeuse récente, mais la largeur des bandes suggère une volatilité toujours élevée. La décision est **Neutre**, le cours n'étant ni en surachat ni en survente extrême.</w:t>
      </w:r>
    </w:p>
    <w:p>
      <w:pPr>
        <w:spacing w:after="120" w:line="276" w:lineRule="auto"/>
      </w:pPr>
      <w:r>
        <w:t>**MACD** : La valeur du MACD (-589,17) est inférieure à son signal (-380,12), confirmant une divergence baissière et un momentum négatif. Le MACD étant en territoire négatif, la pression vendeuse domine, justifiant la décision de **Vente**.</w:t>
      </w:r>
    </w:p>
    <w:p>
      <w:pPr>
        <w:spacing w:after="120" w:line="276" w:lineRule="auto"/>
      </w:pPr>
      <w:r>
        <w:t>**RSI** : Avec une valeur de 28,30, le RSI se situe en zone de survente (&lt;30), ce qui indique que le titre pourrait être survendu et qu'un rebond technique est possible à court terme. La décision est donc **Achat** sur cet indicateur.</w:t>
      </w:r>
    </w:p>
    <w:p>
      <w:pPr>
        <w:spacing w:after="120" w:line="276" w:lineRule="auto"/>
      </w:pPr>
      <w:r>
        <w:t>**Stochastique** : Le %K (5,02) et le %D (5,016) sont tous deux en zone de survente extrême (&lt;20), avec un croisement imminent. Cette configuration est typique d'un signal d'achat potentiel, justifiant la décision **Achat**.</w:t>
      </w:r>
    </w:p>
    <w:p>
      <w:pPr>
        <w:spacing w:after="120" w:line="276" w:lineRule="auto"/>
      </w:pPr>
      <w:r>
        <w:t>**Conclusion technique** : Les indicateurs présentent une divergence notable : les moyennes mobiles et le MACD sont baissiers, tandis que le RSI et le stochastique signalent une survente propice à un rebond. Cette configuration suggère que le titre pourrait connaître une correction à court terme avant de reprendre sa tendance haussière de fond. La prudence est de mise, mais les signaux de survente offrent des points d'entrée potentiels pour les investisseurs opportunistes.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NSIA Banque CI a réalisé un Produit Net Bancaire (PNB) de 112,928 milliards FCFA, en croissance de 15,45% par rapport à 2024, porté par une marge d'intérêt en hausse de 26% et une bonne maîtrise des charges. Le résultat net s'établit à 40,712 milliards FCFA, avec une marge nette de 36,05%, un ROE de 17,45% (excellent, &gt;15%) et un ROA de 1,32%. Le coefficient d'exploitation de 54,59% (&lt;60%) confirme l'efficacité opérationnelle de la banque. Cependant, le coût du risque (provisions/charges financières) de 7,54% et la dégradation du coût net du risque (passé de +0,6 milliard en 2024 à -8,5 milliards en 2025) constituent un signal d'alerte sur la qualité du portefeuille de crédits. La structure financière reste solide avec un total bilan de 3 073 milliards FCFA (+22%), des dépôts clientèle de 2 242 milliards FCFA (+32%) et des créances clientèle de 1 819 milliards FCFA (+18%), affichant un ratio de transformation (crédits/dépôts) de 81%, légèrement supérieur au plafond réglementaire de 80%, ce qui pourrait limiter la marge de manœuvre future.</w:t>
      </w:r>
    </w:p>
    <w:p>
      <w:pPr>
        <w:spacing w:after="120" w:line="276" w:lineRule="auto"/>
      </w:pPr>
      <w:r>
        <w:t>**Estimations basées sur les rapports trimestriels** : Le rapport du T1 2026 (publié le 31/03/2026) révèle une accélération spectaculaire avec un PNB de 28,615 milliards FCFA (+28%) et un résultat net de 10,912 milliards FCFA (+53%), tiré par l'activité titres et la maîtrise du coût du risque. Sur la base de ce rythme, on estime que l'exercice 2026 pourrait générer un PNB annuel de l'ordre de 125-130 milliards FCFA et un résultat net de 45-48 milliards FCFA, soit une croissance de 10-18% par rapport à 2025. Le rapport du T3 2025 (30/09/2025) confirmait déjà cette dynamique avec un PNB de 77,4 milliards FCFA (+7%) et un résultat net de 25,0 milliards FCFA (+6%). Les rapports antérieurs (S1 2025, T1 2025, T3 2024) montrent une trajectoire de croissance régulière et une amélioration continue de l'efficacité opérationnelle (coefficient d'exploitation passé de 59,9% à 54,6% en un an).</w:t>
      </w:r>
    </w:p>
    <w:p>
      <w:pPr>
        <w:spacing w:after="120" w:line="276" w:lineRule="auto"/>
      </w:pPr>
      <w:r>
        <w:t>**Recommandation fondamentale** : NSBC affiche des fondamentaux robustes avec une rentabilité élevée, une croissance soutenue et une position de leader sur le marché ivoirien. Les principaux risques résident dans la dégradation du coût du risque, la dépendance croissante aux revenus de l'activité titres (volatile) et le ratio de transformation élevé. La valorisation actuelle (PER 12,8x) intègre déjà une bonne partie de ces performances, ce qui limite le potentiel de revalorisation à court terme. La solidité financière et les perspectives de croissance justifient une recommandation **CONSERVER** pour les investisseurs déjà positionnés, avec une surveillance accrue de l'évolution du coût du risque et de la qualité des actifs.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les ratios PER (12,8x) et P/B (2,23x) indiquent une valorisation modérée à légèrement élevée, tandis que l'EV/EBITDA (20,5x) signale une cherté relative par rapport à la capacité opérationnelle. **Le comportement du cours (Partie 1)** est haussier sur 100 jours (+40%), mais la volatilité élevée (41,2%) et l'asymétrie négative (skewness -0,559) suggèrent que le titre a peut-être atteint un sommet à court terme. **Les signaux techniques (Partie 2)** sont divergents : baissiers pour les MM et le MACD, mais haussiers pour le RSI et le stochastique (survente), ce qui indique une possible correction avant rebond. **Les fondamentaux (Partie 3)** restent solides avec un ROE de 17,45%, un coefficient d'exploitation de 54,6% et une croissance du PNB de 15,4% en 2025, mais le coût du risque en dégradation et la dépendance aux titres constituent des points de vigilance. **Les prédictions IA (J+1 à J+10)** anticipent une baisse progressive du cours de 20 720 FCFA à 19 851 FCFA, confirmant la pression baissière à court terme identifiée par les indicateurs techniques.</w:t>
      </w:r>
    </w:p>
    <w:p>
      <w:pPr>
        <w:spacing w:after="120" w:line="276" w:lineRule="auto"/>
      </w:pPr>
      <w:r>
        <w:t>**Recommandation finale : CONSERVER**</w:t>
        <w:br/>
        <w:t>**Justification** : La convergence entre la valorisation modérée, les signaux techniques baissiers à court terme et les prédictions IA à la baisse suggère une période de consolidation. Cependant, les fondamentaux solides et la croissance attendue en 2026 (estimée à +10-18% du résultat net) limitent le potentiel de baisse. Les investisseurs déjà positionnés peuvent conserver leurs titres en attendant la confirmation des résultats semestriels 2026, tandis que les nouveaux entrants devraient attendre un retournement des indicateurs techniques (RSI &gt;30, MACD positif) avant d'investir.</w:t>
        <w:br/>
        <w:t>**Niveau de confiance** : Moyen (les signaux contradictoires entre technique et fondamental créent une incertitude).</w:t>
        <w:br/>
        <w:t>**Niveau de risque global** : Élevé (volatilité de 41,2%, dépendance aux titres, coût du risque en hausse).</w:t>
        <w:br/>
        <w:t>**Horizon d'investissement optimal** : Moyen terme (3-12 mois), en surveillant les résultats du S1 2026 et l'évolution du coût du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1,295 titres</w:t>
            </w:r>
          </w:p>
        </w:tc>
        <w:tc>
          <w:tcPr>
            <w:tcW w:type="dxa" w:w="2268"/>
            <w:shd w:fill="FFF2CC" w:val="clear"/>
          </w:tcPr>
          <w:p>
            <w:r>
              <w:rPr>
                <w:b/>
                <w:color w:val="503200"/>
                <w:sz w:val="16"/>
              </w:rPr>
              <w:t xml:space="preserve">Cours actuel : </w:t>
            </w:r>
            <w:r>
              <w:rPr>
                <w:color w:val="000000"/>
                <w:sz w:val="17"/>
              </w:rPr>
              <w:t>15,495 FCFA</w:t>
            </w:r>
          </w:p>
          <w:p>
            <w:r>
              <w:rPr>
                <w:b/>
                <w:color w:val="503200"/>
                <w:sz w:val="16"/>
              </w:rPr>
              <w:t xml:space="preserve">Var. 100 jours : </w:t>
            </w:r>
            <w:r>
              <w:rPr>
                <w:b/>
                <w:color w:val="007800"/>
                <w:sz w:val="17"/>
              </w:rPr>
              <w:t>+31.87%</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11,750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9.35% (Moyenne) — μ=15,574 FCFA, σ=1,457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β=0.4450 (Défensif) — Cov=0.000033, Var(idx)=0.000074, ρ=0.166,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14,608</w:t>
            </w:r>
          </w:p>
        </w:tc>
        <w:tc>
          <w:tcPr>
            <w:tcW w:type="dxa" w:w="1440"/>
            <w:shd w:fill="FAFAFA" w:val="clear"/>
          </w:tcPr>
          <w:p>
            <w:r>
              <w:rPr>
                <w:b/>
                <w:sz w:val="17"/>
              </w:rPr>
              <w:t>15,372</w:t>
            </w:r>
          </w:p>
        </w:tc>
        <w:tc>
          <w:tcPr>
            <w:tcW w:type="dxa" w:w="1440"/>
            <w:shd w:fill="FAFAFA" w:val="clear"/>
          </w:tcPr>
          <w:p>
            <w:r>
              <w:rPr>
                <w:sz w:val="17"/>
              </w:rPr>
              <w:t>16,136</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14,299</w:t>
            </w:r>
          </w:p>
        </w:tc>
        <w:tc>
          <w:tcPr>
            <w:tcW w:type="dxa" w:w="1440"/>
            <w:shd w:fill="FAFAFA" w:val="clear"/>
          </w:tcPr>
          <w:p>
            <w:r>
              <w:rPr>
                <w:b/>
                <w:sz w:val="17"/>
              </w:rPr>
              <w:t>15,379</w:t>
            </w:r>
          </w:p>
        </w:tc>
        <w:tc>
          <w:tcPr>
            <w:tcW w:type="dxa" w:w="1440"/>
            <w:shd w:fill="FAFAFA" w:val="clear"/>
          </w:tcPr>
          <w:p>
            <w:r>
              <w:rPr>
                <w:sz w:val="17"/>
              </w:rPr>
              <w:t>16,460</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14,050</w:t>
            </w:r>
          </w:p>
        </w:tc>
        <w:tc>
          <w:tcPr>
            <w:tcW w:type="dxa" w:w="1440"/>
            <w:shd w:fill="FAFAFA" w:val="clear"/>
          </w:tcPr>
          <w:p>
            <w:r>
              <w:rPr>
                <w:b/>
                <w:sz w:val="17"/>
              </w:rPr>
              <w:t>15,373</w:t>
            </w:r>
          </w:p>
        </w:tc>
        <w:tc>
          <w:tcPr>
            <w:tcW w:type="dxa" w:w="1440"/>
            <w:shd w:fill="FAFAFA" w:val="clear"/>
          </w:tcPr>
          <w:p>
            <w:r>
              <w:rPr>
                <w:sz w:val="17"/>
              </w:rPr>
              <w:t>16,696</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13,837</w:t>
            </w:r>
          </w:p>
        </w:tc>
        <w:tc>
          <w:tcPr>
            <w:tcW w:type="dxa" w:w="1440"/>
            <w:shd w:fill="FAFAFA" w:val="clear"/>
          </w:tcPr>
          <w:p>
            <w:r>
              <w:rPr>
                <w:b/>
                <w:sz w:val="17"/>
              </w:rPr>
              <w:t>15,364</w:t>
            </w:r>
          </w:p>
        </w:tc>
        <w:tc>
          <w:tcPr>
            <w:tcW w:type="dxa" w:w="1440"/>
            <w:shd w:fill="FAFAFA" w:val="clear"/>
          </w:tcPr>
          <w:p>
            <w:r>
              <w:rPr>
                <w:sz w:val="17"/>
              </w:rPr>
              <w:t>16,890</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13,649</w:t>
            </w:r>
          </w:p>
        </w:tc>
        <w:tc>
          <w:tcPr>
            <w:tcW w:type="dxa" w:w="1440"/>
            <w:shd w:fill="FAFAFA" w:val="clear"/>
          </w:tcPr>
          <w:p>
            <w:r>
              <w:rPr>
                <w:b/>
                <w:sz w:val="17"/>
              </w:rPr>
              <w:t>15,355</w:t>
            </w:r>
          </w:p>
        </w:tc>
        <w:tc>
          <w:tcPr>
            <w:tcW w:type="dxa" w:w="1440"/>
            <w:shd w:fill="FAFAFA" w:val="clear"/>
          </w:tcPr>
          <w:p>
            <w:r>
              <w:rPr>
                <w:sz w:val="17"/>
              </w:rPr>
              <w:t>17,061</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13,479</w:t>
            </w:r>
          </w:p>
        </w:tc>
        <w:tc>
          <w:tcPr>
            <w:tcW w:type="dxa" w:w="1440"/>
            <w:shd w:fill="FAFAFA" w:val="clear"/>
          </w:tcPr>
          <w:p>
            <w:r>
              <w:rPr>
                <w:b/>
                <w:sz w:val="17"/>
              </w:rPr>
              <w:t>15,347</w:t>
            </w:r>
          </w:p>
        </w:tc>
        <w:tc>
          <w:tcPr>
            <w:tcW w:type="dxa" w:w="1440"/>
            <w:shd w:fill="FAFAFA" w:val="clear"/>
          </w:tcPr>
          <w:p>
            <w:r>
              <w:rPr>
                <w:sz w:val="17"/>
              </w:rPr>
              <w:t>17,214</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13,323</w:t>
            </w:r>
          </w:p>
        </w:tc>
        <w:tc>
          <w:tcPr>
            <w:tcW w:type="dxa" w:w="1440"/>
            <w:shd w:fill="FAFAFA" w:val="clear"/>
          </w:tcPr>
          <w:p>
            <w:r>
              <w:rPr>
                <w:b/>
                <w:sz w:val="17"/>
              </w:rPr>
              <w:t>15,339</w:t>
            </w:r>
          </w:p>
        </w:tc>
        <w:tc>
          <w:tcPr>
            <w:tcW w:type="dxa" w:w="1440"/>
            <w:shd w:fill="FAFAFA" w:val="clear"/>
          </w:tcPr>
          <w:p>
            <w:r>
              <w:rPr>
                <w:sz w:val="17"/>
              </w:rPr>
              <w:t>17,356</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13,177</w:t>
            </w:r>
          </w:p>
        </w:tc>
        <w:tc>
          <w:tcPr>
            <w:tcW w:type="dxa" w:w="1440"/>
            <w:shd w:fill="FAFAFA" w:val="clear"/>
          </w:tcPr>
          <w:p>
            <w:r>
              <w:rPr>
                <w:b/>
                <w:sz w:val="17"/>
              </w:rPr>
              <w:t>15,332</w:t>
            </w:r>
          </w:p>
        </w:tc>
        <w:tc>
          <w:tcPr>
            <w:tcW w:type="dxa" w:w="1440"/>
            <w:shd w:fill="FAFAFA" w:val="clear"/>
          </w:tcPr>
          <w:p>
            <w:r>
              <w:rPr>
                <w:sz w:val="17"/>
              </w:rPr>
              <w:t>17,487</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13,041</w:t>
            </w:r>
          </w:p>
        </w:tc>
        <w:tc>
          <w:tcPr>
            <w:tcW w:type="dxa" w:w="1440"/>
            <w:shd w:fill="FAFAFA" w:val="clear"/>
          </w:tcPr>
          <w:p>
            <w:r>
              <w:rPr>
                <w:b/>
                <w:sz w:val="17"/>
              </w:rPr>
              <w:t>15,326</w:t>
            </w:r>
          </w:p>
        </w:tc>
        <w:tc>
          <w:tcPr>
            <w:tcW w:type="dxa" w:w="1440"/>
            <w:shd w:fill="FAFAFA" w:val="clear"/>
          </w:tcPr>
          <w:p>
            <w:r>
              <w:rPr>
                <w:sz w:val="17"/>
              </w:rPr>
              <w:t>17,610</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12,912</w:t>
            </w:r>
          </w:p>
        </w:tc>
        <w:tc>
          <w:tcPr>
            <w:tcW w:type="dxa" w:w="1440"/>
            <w:shd w:fill="FAFAFA" w:val="clear"/>
          </w:tcPr>
          <w:p>
            <w:r>
              <w:rPr>
                <w:b/>
                <w:sz w:val="17"/>
              </w:rPr>
              <w:t>15,319</w:t>
            </w:r>
          </w:p>
        </w:tc>
        <w:tc>
          <w:tcPr>
            <w:tcW w:type="dxa" w:w="1440"/>
            <w:shd w:fill="FAFAFA" w:val="clear"/>
          </w:tcPr>
          <w:p>
            <w:r>
              <w:rPr>
                <w:sz w:val="17"/>
              </w:rPr>
              <w:t>17,726</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Biens de consommation / Agroalimentaire**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341,98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élevé qui traduit la forte rentabilité intrinsèque de l'entreprise. Le PER de 18,6x se situe nettement au-dessus de la moyenne BRVM (~8-12x), ce qui indique que le marché paie une prime de qualité pour ce titre défensif et leader de son secteur. Le P/B de 11,56x (largement supérieur au seuil de 4x) confirme cette valorisation exigeante : le marché valorise l'entreprise à plus de 11 fois sa valeur comptable, ce qui se justifie par un ROE exceptionnel de 62,3% mais laisse peu de marge d'erreur en cas de déception. Enfin, l'EV/EBITDA de 9,3x, dans la fourchette raisonnable de 5-10x, suggère que la valeur totale de l'entreprise (dette incluse) reste cohérente avec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progression remarquable de **+31,87%**, portant le cours actuel à 15 495 FCFA, bien que la dernière séance (J-1) soit quasi stable à -0,03%. Le range de trading est large, avec un plus haut à 18 000 FCFA et un plus bas à 11 750 FCFA, soit une amplitude de plus de 6 250 FCFA qui témoigne d'une forte volatilité intra-période. La tendance générale est clairement haussière sur la période, mais le cours actuel se situe en retrait de 14% par rapport à son sommet, suggérant une phase de consolidation après le rallye. Les statistiques descriptives révèlent une moyenne (15 574 FCFA) légèrement supérieure à la médiane (15 995 FCFA), avec un mode à 16 900 FCFA : l'écart entre moyenne et médiane, combiné à un skewness de -1,024 (asymétrie négative), indique que le cours a passé plus de journées au-dessus de la moyenne, mais que des baisses ponctuelles marquées ont tiré la moyenne vers le bas. L'écart-type de 1 464 FCFA (CV = 9,4%) traduit une dispersion modérée autour de la moyenne, tandis que le kurtosis de 0,277 (mésokurtique) suggère une distribution proche de la normale, sans risque excessif de pics extrêmes. La volatilité annualisée de 36,1% positionne le titre dans la catégorie **élevée** (&gt;30%), ce qui est cohérent avec un titre de croissance ayant connu un rallye significatif et pouvant connaître des corrections.</w:t>
      </w:r>
    </w:p>
    <w:p>
      <w:pPr>
        <w:spacing w:after="120" w:line="276" w:lineRule="auto"/>
      </w:pPr>
      <w:r>
        <w:t>---</w:t>
      </w:r>
    </w:p>
    <w:p>
      <w:pPr>
        <w:spacing w:after="120" w:line="276" w:lineRule="auto"/>
      </w:pPr>
      <w:r>
        <w:t>## PARTIE 2 : ANALYSE TECHNIQUE DÉTAILLÉE</w:t>
      </w:r>
    </w:p>
    <w:p>
      <w:pPr>
        <w:spacing w:after="120" w:line="276" w:lineRule="auto"/>
      </w:pPr>
      <w:r>
        <w:t>**Moyennes Mobiles** : La MM20 (15 681,5 FCFA) et la MM50 (16 387,5 FCFA) se situent toutes deux au-dessus du cours actuel (15 495 FCFA), ce qui place le titre en configuration baissière de court terme. La MM20 étant inférieure à la MM50, on observe un croisement baissier (death cross) récent, justifiant la décision technique de **Vente**. Le cours devra reconquérir la MM20 pour espérer un retournement.</w:t>
      </w:r>
    </w:p>
    <w:p>
      <w:pPr>
        <w:spacing w:after="120" w:line="276" w:lineRule="auto"/>
      </w:pPr>
      <w:r>
        <w:t>**Bandes de Bollinger** : Le cours actuel (15 495 FCFA) se situe dans la moitié inférieure de la bande, entre la borne inférieure (14 203,78 FCFA) et la borne supérieure (17 159,22 FCFA), mais plus proche du bas que du haut. Cette position médiane-basse, avec une largeur de bande de 2 955 FCFA, indique une volatilité encore présente mais sans excès, justifiant la décision **Neutre** : ni signal d'achat sur rebond, ni signal de vente sur cassure.</w:t>
      </w:r>
    </w:p>
    <w:p>
      <w:pPr>
        <w:spacing w:after="120" w:line="276" w:lineRule="auto"/>
      </w:pPr>
      <w:r>
        <w:t>**MACD** : La valeur du MACD (-328,94) est supérieure à son signal (-370,11), générant un histogramme positif qui traduit un début de redressement du momentum baissier. Bien que les deux lignes restent en territoire négatif, ce croisement haussier du MACD au-dessus de son signal justifie la décision technique d'**Achat**, signalant un possible essoufflement de la pression vendeuse.</w:t>
      </w:r>
    </w:p>
    <w:p>
      <w:pPr>
        <w:spacing w:after="120" w:line="276" w:lineRule="auto"/>
      </w:pPr>
      <w:r>
        <w:t>**RSI** : À 38,86, le RSI se situe dans la zone neutre basse (30-70), sans atteindre le seuil de survente (30). Cette position indique que le titre n'est ni suracheté ni survendu, mais penche légèrement vers la faiblesse, justifiant la décision **Neutre** : le potentiel de rebond existe mais n'est pas encore confirmé.</w:t>
      </w:r>
    </w:p>
    <w:p>
      <w:pPr>
        <w:spacing w:after="120" w:line="276" w:lineRule="auto"/>
      </w:pPr>
      <w:r>
        <w:t>**Stochastique** : Le %K (66,33) est supérieur au %D (57,45), avec un croisement haussier récent qui suggère une reprise de la dynamique positive à court terme. Les deux lignes se situent dans la zone médiane-haute, sans atteindre la zone de surachat (80), ce qui justifie la décision **Neutre** : le signal est haussier mais manque encore de conviction pour un achat franc.</w:t>
      </w:r>
    </w:p>
    <w:p>
      <w:pPr>
        <w:spacing w:after="120" w:line="276" w:lineRule="auto"/>
      </w:pPr>
      <w:r>
        <w:t>**Conclusion technique** : Les indicateurs techniques présentent un tableau mitigé avec une divergence notable. Les moyennes mobiles restent baissières (cours sous MM20 et MM50), tandis que le MACD et le stochastique émettent des signaux haussiers précoces. Le RSI et les bandes de Bollinger confirment une position neutre, sans excès. Cette configuration suggère une phase de consolidation en cours, avec un potentiel de rebond technique à court terme, mais qui nécessite une confirmation par le franchissement de la MM20 (15 681 FCFA) pour valider un retournement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 milliards FCFA, en croissance de 5,97% par rapport à 2024, avec un résultat net de 18,43 milliards FCFA (+1,53%). La rentabilité des fonds propres (ROE) s'établit à un niveau exceptionnel de 62,28%, tandis que le ROA atteint 9,70%, confirmant l'efficacité de l'entreprise à générer des profits à partir de ses actifs. La marge nette de 7,90% reste stable mais légèrement en retrait par rapport aux 8,25% de 2024, sous l'effet d'une hausse des charges financières (+25,8% à 8,0 milliards FCFA) et d'une pression fiscale accrue. En tant qu'entreprise agroalimentaire, les délais clients de 74,30 jours et la durée de stockage de 59,39 jours constituent des points de vigilance pour la trésorerie, bien que le BFR de 22,63 milliards FCFA reste maîtrisé. La structure financière affiche une autonomie financière faible (15,58%) et un ratio d'endettement élevé (135,85%), mais la couverture des intérêts par le résultat d'exploitation (473,63%) offre une marge de sécurité confortable.</w:t>
      </w:r>
    </w:p>
    <w:p>
      <w:pPr>
        <w:spacing w:after="120" w:line="276" w:lineRule="auto"/>
      </w:pPr>
      <w:r>
        <w:t>**Estimations basées sur les rapports trimestriels** : Le rapport du T1 2026 (publié en 2026) révèle une accélération spectaculaire de la dynamique, avec un chiffre d'affaires de 70,82 milliards FCFA en hausse de 31% et un résultat net de 7,53 milliards FCFA en progression de 37%. La marge nette s'améliore à 10,6% contre 10,1% au T1 2025. Sur cette base, on peut estimer que l'exercice 2026 devrait afficher une croissance à deux chiffres du chiffre d'affaires (potentiellement +15% à +20% si la dynamique se maintient), avec un résultat net qui pourrait dépasser les 21-22 milliards FCFA. Le rapport annuel 2025 (publié en 2026) confirme la stratégie de réinvestissement avec une réduction du dividende à 9,27 milliards FCFA (payout de 50,3% contre 99,7% en 2024), permettant un renforcement des fonds propres de 9,22 milliards FCFA via le report à nouveau. Cette décision, bien que décevante pour les investisseurs en quête de rendement immédiat, est prudente et pourrait financer des investissements productifs. Les rapports antérieurs (T3 2025, S1 2025) témoignent d'une période de pression sur les marges (marge nette de 6,9% au T3 2025), mais le T1 2026 marque un retournement clair. La recommandation fondamentale est **CONSERVER** avec un biais positif : la solidité du modèle, la reprise de la croissance et l'amélioration des marges au T1 2026 sont des signaux encourageants, mais la valorisation exigeante et l'absence de visibilité sur le dividende incitent à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les ratios PER (18,6x) et P/B (11,56x) indiquent une surévaluation relative par rapport à la moyenne BRVM, bien que l'EV/EBITDA (9,3x) reste raisonnable et que le ROE exceptionnel (62,3%) justifie une prime de qualité. **Le comportement du cours (Partie 1)** montre une tendance haussière sur 100 jours (+31,87%) mais une consolidation récente, avec une volatilité élevée (36,1%) et une asymétrie négative (skewness -1,024) qui suggère que les baisses ponctuelles ont été marquées. **Les signaux techniques (Partie 2)** sont divergents : les moyennes mobiles sont baissières (cours sous MM20 et MM50), mais le MACD et le stochastique émettent des signaux haussiers précoces, tandis que le RSI et les bandes de Bollinger restent neutres. **Les fondamentaux (Partie 3)** sont solides : croissance du CA de 5,97% en 2025, ROE de 62,3%, et surtout une accélération spectaculaire au T1 2026 (+31% de CA, +37% de résultat net) qui pourrait signaler un exercice 2026 exceptionnel. **Les prédictions IA (J+1 à J+10)** anticipent une légère érosion du cours de 15 372 FCFA à 15 355 FCFA, confirmant la phase de consolidation sans effondrement.</w:t>
      </w:r>
    </w:p>
    <w:p>
      <w:pPr>
        <w:spacing w:after="120" w:line="276" w:lineRule="auto"/>
      </w:pPr>
      <w:r>
        <w:t>**Recommandation finale : CONSERVER** — Justification : La convergence entre des fondamentaux en nette amélioration (T1 2026) et une technique en phase de consolidation suggère que le titre a intégré une partie de ses bonnes nouvelles, mais le potentiel de croissance reste intact. La valorisation exigeante limite le potentiel de hausse à court terme, tandis que la solidité du modèle et la reprise de la dynamique opérationnelle offrent un support en cas de correction. **Niveau de confiance : Moyen** — Les signaux sont divergents entre technique (baissier court terme) et fondamental (haussier moyen terme). **Niveau de risque global : Moyen** — La volatilité élevée (36,1%) et la valorisation tendue sont compensées par la qualité de l'entreprise et sa capacité à générer des profits. **Horizon d'investissement optimal : Moyen terme (3-12 mois)** — Le temps que la consolidation technique s'achève et que les résultats du T2/T3 2026 confirment la tendance haussière amorcée au T1. Un franchissement durable de la MM50 (16 387 FCFA) serait un signal d'achat additionnel, tandis qu'une cassure sous la borne inférieure de Bollinger (14 203 FCFA) invaliderait le scénario haussier.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5,975 titres</w:t>
            </w:r>
          </w:p>
        </w:tc>
        <w:tc>
          <w:tcPr>
            <w:tcW w:type="dxa" w:w="2268"/>
            <w:shd w:fill="FFF2CC" w:val="clear"/>
          </w:tcPr>
          <w:p>
            <w:r>
              <w:rPr>
                <w:b/>
                <w:color w:val="503200"/>
                <w:sz w:val="16"/>
              </w:rPr>
              <w:t xml:space="preserve">Cours actuel : </w:t>
            </w:r>
            <w:r>
              <w:rPr>
                <w:color w:val="000000"/>
                <w:sz w:val="17"/>
              </w:rPr>
              <w:t>2,945 FCFA</w:t>
            </w:r>
          </w:p>
          <w:p>
            <w:r>
              <w:rPr>
                <w:b/>
                <w:color w:val="503200"/>
                <w:sz w:val="16"/>
              </w:rPr>
              <w:t xml:space="preserve">Var. 100 jours : </w:t>
            </w:r>
            <w:r>
              <w:rPr>
                <w:b/>
                <w:color w:val="007800"/>
                <w:sz w:val="17"/>
              </w:rPr>
              <w:t>+5.37%</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μ=2,856 FCFA, σ=78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β=0.4373 (Défensif) — Cov=0.000032, Var(idx)=0.000074, ρ=0.186,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2026-10-09</w:t>
            </w:r>
          </w:p>
        </w:tc>
        <w:tc>
          <w:tcPr>
            <w:tcW w:type="dxa" w:w="1440"/>
            <w:shd w:fill="FFDCE0" w:val="clear"/>
          </w:tcPr>
          <w:p>
            <w:r>
              <w:rPr>
                <w:sz w:val="17"/>
              </w:rPr>
              <w:t>2,759</w:t>
            </w:r>
          </w:p>
        </w:tc>
        <w:tc>
          <w:tcPr>
            <w:tcW w:type="dxa" w:w="1440"/>
            <w:shd w:fill="FFDCE0" w:val="clear"/>
          </w:tcPr>
          <w:p>
            <w:r>
              <w:rPr>
                <w:b/>
                <w:sz w:val="17"/>
              </w:rPr>
              <w:t>2,882</w:t>
            </w:r>
          </w:p>
        </w:tc>
        <w:tc>
          <w:tcPr>
            <w:tcW w:type="dxa" w:w="1440"/>
            <w:shd w:fill="FFDCE0" w:val="clear"/>
          </w:tcPr>
          <w:p>
            <w:r>
              <w:rPr>
                <w:sz w:val="17"/>
              </w:rPr>
              <w:t>3,006</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2,706</w:t>
            </w:r>
          </w:p>
        </w:tc>
        <w:tc>
          <w:tcPr>
            <w:tcW w:type="dxa" w:w="1440"/>
            <w:shd w:fill="FFDCE0" w:val="clear"/>
          </w:tcPr>
          <w:p>
            <w:r>
              <w:rPr>
                <w:b/>
                <w:sz w:val="17"/>
              </w:rPr>
              <w:t>2,880</w:t>
            </w:r>
          </w:p>
        </w:tc>
        <w:tc>
          <w:tcPr>
            <w:tcW w:type="dxa" w:w="1440"/>
            <w:shd w:fill="FFDCE0" w:val="clear"/>
          </w:tcPr>
          <w:p>
            <w:r>
              <w:rPr>
                <w:sz w:val="17"/>
              </w:rPr>
              <w:t>3,055</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2,661</w:t>
            </w:r>
          </w:p>
        </w:tc>
        <w:tc>
          <w:tcPr>
            <w:tcW w:type="dxa" w:w="1440"/>
            <w:shd w:fill="FFDCE0" w:val="clear"/>
          </w:tcPr>
          <w:p>
            <w:r>
              <w:rPr>
                <w:b/>
                <w:sz w:val="17"/>
              </w:rPr>
              <w:t>2,874</w:t>
            </w:r>
          </w:p>
        </w:tc>
        <w:tc>
          <w:tcPr>
            <w:tcW w:type="dxa" w:w="1440"/>
            <w:shd w:fill="FFDCE0" w:val="clear"/>
          </w:tcPr>
          <w:p>
            <w:r>
              <w:rPr>
                <w:sz w:val="17"/>
              </w:rPr>
              <w:t>3,088</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2,622</w:t>
            </w:r>
          </w:p>
        </w:tc>
        <w:tc>
          <w:tcPr>
            <w:tcW w:type="dxa" w:w="1440"/>
            <w:shd w:fill="FFDCE0" w:val="clear"/>
          </w:tcPr>
          <w:p>
            <w:r>
              <w:rPr>
                <w:b/>
                <w:sz w:val="17"/>
              </w:rPr>
              <w:t>2,868</w:t>
            </w:r>
          </w:p>
        </w:tc>
        <w:tc>
          <w:tcPr>
            <w:tcW w:type="dxa" w:w="1440"/>
            <w:shd w:fill="FFDCE0" w:val="clear"/>
          </w:tcPr>
          <w:p>
            <w:r>
              <w:rPr>
                <w:sz w:val="17"/>
              </w:rPr>
              <w:t>3,114</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2,587</w:t>
            </w:r>
          </w:p>
        </w:tc>
        <w:tc>
          <w:tcPr>
            <w:tcW w:type="dxa" w:w="1440"/>
            <w:shd w:fill="FFDCE0" w:val="clear"/>
          </w:tcPr>
          <w:p>
            <w:r>
              <w:rPr>
                <w:b/>
                <w:sz w:val="17"/>
              </w:rPr>
              <w:t>2,862</w:t>
            </w:r>
          </w:p>
        </w:tc>
        <w:tc>
          <w:tcPr>
            <w:tcW w:type="dxa" w:w="1440"/>
            <w:shd w:fill="FFDCE0" w:val="clear"/>
          </w:tcPr>
          <w:p>
            <w:r>
              <w:rPr>
                <w:sz w:val="17"/>
              </w:rPr>
              <w:t>3,136</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2,556</w:t>
            </w:r>
          </w:p>
        </w:tc>
        <w:tc>
          <w:tcPr>
            <w:tcW w:type="dxa" w:w="1440"/>
            <w:shd w:fill="FFDCE0" w:val="clear"/>
          </w:tcPr>
          <w:p>
            <w:r>
              <w:rPr>
                <w:b/>
                <w:sz w:val="17"/>
              </w:rPr>
              <w:t>2,856</w:t>
            </w:r>
          </w:p>
        </w:tc>
        <w:tc>
          <w:tcPr>
            <w:tcW w:type="dxa" w:w="1440"/>
            <w:shd w:fill="FFDCE0" w:val="clear"/>
          </w:tcPr>
          <w:p>
            <w:r>
              <w:rPr>
                <w:sz w:val="17"/>
              </w:rPr>
              <w:t>3,155</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2,526</w:t>
            </w:r>
          </w:p>
        </w:tc>
        <w:tc>
          <w:tcPr>
            <w:tcW w:type="dxa" w:w="1440"/>
            <w:shd w:fill="FFDCE0" w:val="clear"/>
          </w:tcPr>
          <w:p>
            <w:r>
              <w:rPr>
                <w:b/>
                <w:sz w:val="17"/>
              </w:rPr>
              <w:t>2,850</w:t>
            </w:r>
          </w:p>
        </w:tc>
        <w:tc>
          <w:tcPr>
            <w:tcW w:type="dxa" w:w="1440"/>
            <w:shd w:fill="FFDCE0" w:val="clear"/>
          </w:tcPr>
          <w:p>
            <w:r>
              <w:rPr>
                <w:sz w:val="17"/>
              </w:rPr>
              <w:t>3,173</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2,499</w:t>
            </w:r>
          </w:p>
        </w:tc>
        <w:tc>
          <w:tcPr>
            <w:tcW w:type="dxa" w:w="1440"/>
            <w:shd w:fill="FFDCE0" w:val="clear"/>
          </w:tcPr>
          <w:p>
            <w:r>
              <w:rPr>
                <w:b/>
                <w:sz w:val="17"/>
              </w:rPr>
              <w:t>2,844</w:t>
            </w:r>
          </w:p>
        </w:tc>
        <w:tc>
          <w:tcPr>
            <w:tcW w:type="dxa" w:w="1440"/>
            <w:shd w:fill="FFDCE0" w:val="clear"/>
          </w:tcPr>
          <w:p>
            <w:r>
              <w:rPr>
                <w:sz w:val="17"/>
              </w:rPr>
              <w:t>3,188</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2,473</w:t>
            </w:r>
          </w:p>
        </w:tc>
        <w:tc>
          <w:tcPr>
            <w:tcW w:type="dxa" w:w="1440"/>
            <w:shd w:fill="FFDCE0" w:val="clear"/>
          </w:tcPr>
          <w:p>
            <w:r>
              <w:rPr>
                <w:b/>
                <w:sz w:val="17"/>
              </w:rPr>
              <w:t>2,838</w:t>
            </w:r>
          </w:p>
        </w:tc>
        <w:tc>
          <w:tcPr>
            <w:tcW w:type="dxa" w:w="1440"/>
            <w:shd w:fill="FFDCE0" w:val="clear"/>
          </w:tcPr>
          <w:p>
            <w:r>
              <w:rPr>
                <w:sz w:val="17"/>
              </w:rPr>
              <w:t>3,203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2,448</w:t>
            </w:r>
          </w:p>
        </w:tc>
        <w:tc>
          <w:tcPr>
            <w:tcW w:type="dxa" w:w="1440"/>
            <w:shd w:fill="FFDCE0" w:val="clear"/>
          </w:tcPr>
          <w:p>
            <w:r>
              <w:rPr>
                <w:b/>
                <w:sz w:val="17"/>
              </w:rPr>
              <w:t>2,832</w:t>
            </w:r>
          </w:p>
        </w:tc>
        <w:tc>
          <w:tcPr>
            <w:tcW w:type="dxa" w:w="1440"/>
            <w:shd w:fill="FFDCE0" w:val="clear"/>
          </w:tcPr>
          <w:p>
            <w:r>
              <w:rPr>
                <w:sz w:val="17"/>
              </w:rPr>
              <w:t>3,216</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(ONATEL-SA)</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**200,26 milliards FCFA** pour un cours de 2 945 FCFA, ONTBF se positionne comme l'une des valeurs phares de la cote BRVM, représentant un pilier du compartiment télécoms aux côtés de Sonatel. Le **BPA de 234 FCFA/action** traduit la rentabilité effective par titre, mais il convient de noter qu'il intègre la contraction de 26% du résultat net 2025. Le **PER de 12,6x** situe le titre légèrement au-dessus de la moyenne BRVM (~8-12x), signalant une valorisation modérée sans excès spéculatif, cohérente avec la qualité de l'émetteur. Le **P/B de 3,48x** traduit une prime de croissance significative (2-4x), le marché valorisant les actifs immatériels (licences, réseau, base clients de 12,6 millions d'abonnés) bien au-delà de la valeur comptable des capitaux propres (57,5 Mds FCFA). Enfin, l'**EV/EBITDA de 5,2x** demeure raisonnable (fourchette 5-10x), indiquant que la valeur d'entreprise reste soutenue par la capacité opérationnelle de génération de cash (EBE de 56,7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ONTBF affiche une **variation totale de +5,37%**, avec une accélération notable de **+6,32% sur la seule séance J-1**, confirmant un momentum haussier de court terme. Le titre a évolué dans un range de **2 675 FCFA (plus bas) à 3 070 FCFA (plus haut)**, soit une amplitude de trading de 14,8%, reflétant une dynamique positive mais contenue. La tendance générale est **haussière**, le cours actuel (2 945 FCFA) se situant dans le tiers supérieur du range. Les statistiques descriptives révèlent une distribution remarquablement équilibrée : la **moyenne (2 856 FCFA)** et la **médiane (2 855 FCFA)** sont quasi-identiques, confirmant l'absence d'asymétrie (skewness de -0,086 → distribution symétrique). L'**écart-type de 79 FCFA (CV=2,8%)** indique une dispersion très faible du cours autour de sa moyenne, signe d'une certaine stabilité relative. Le **kurtosis de -0,231 (mésokurtique)** suggère une distribution proche de la normale, sans risque excessif de pics extrêmes. Enfin, la **volatilité annualisée de 34,6%** classe le titre en catégorie **élevée (&gt;30%)**, ce qui contraste avec la faible dispersion quotidienne et s'explique probablement par des mouvements épisodiques liés aux publications de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(2 895,5 FCFA) et la MM50 (2 894,3 FCFA) sont quasi-confondues et se situent **sous le cours actuel (2 945 FCFA)**, configurant un alignement haussier classique où le prix évolue au-dessus de ses supports mobiles. Cette configuration valide la **décision d'Achat**, le croisement des moyennes suggérant une consolidation de la tendance positive.</w:t>
      </w:r>
    </w:p>
    <w:p>
      <w:pPr>
        <w:spacing w:after="120" w:line="276" w:lineRule="auto"/>
      </w:pPr>
      <w:r>
        <w:t>**Bandes de Bollinger** : Le cours (2 945 FCFA) évolue dans la partie haute de la bande (borne supérieure à 3 027,76 FCFA, borne inférieure à 2 763,24 FCFA), sans franchissement de la borne supérieure. Cette position médiane-haute, couplée à un resserrement des bandes, justifie la **décision Neutre** : le titre n'est ni en surachat extrême, ni en zone de survente.</w:t>
      </w:r>
    </w:p>
    <w:p>
      <w:pPr>
        <w:spacing w:after="120" w:line="276" w:lineRule="auto"/>
      </w:pPr>
      <w:r>
        <w:t>**MACD** : La valeur du MACD (8,352) est **inférieure à son signal (10,016)**, générant un croisement baissier qui traduit un essoufflement du momentum haussier malgré la récente progression du cours. Cette divergence justifie la **décision de Vente** à court terme, signalant une possible correction ou consolidation.</w:t>
      </w:r>
    </w:p>
    <w:p>
      <w:pPr>
        <w:spacing w:after="120" w:line="276" w:lineRule="auto"/>
      </w:pPr>
      <w:r>
        <w:t>**RSI** : À **52,91**, le RSI se situe parfaitement dans la zone neutre (30-70), sans signal de surachat (&gt;70) ni de survente (&lt;30). Cette position médiane confirme la **décision Neutre**, indiquant un équilibre entre pression acheteuse et vendeuse.</w:t>
      </w:r>
    </w:p>
    <w:p>
      <w:pPr>
        <w:spacing w:after="120" w:line="276" w:lineRule="auto"/>
      </w:pPr>
      <w:r>
        <w:t>**Stochastique** : Le %K (77,083) est nettement supérieur au %D (52,778), avec un %K proche de la zone de surachat (&gt;80). Ce croisement haussier récent suggère une pression acheteuse de court terme, mais la proximité du seuil de surachat tempère le signal, justifiant la **décision Neutre**.</w:t>
      </w:r>
    </w:p>
    <w:p>
      <w:pPr>
        <w:spacing w:after="120" w:line="276" w:lineRule="auto"/>
      </w:pPr>
      <w:r>
        <w:t>**Conclusion technique** : Les indicateurs présentent une **divergence notable** : les moyennes mobiles et le stochastique sont haussiers, tandis que le MACD signale une vente et que le RSI/Bollinger restent neutres. Cette configuration mitigée suggère un **essoufflement du rallye récent** (+6,32% en J-1) et plaide pour une prudence à court terme, avec un risque de consolidation vers les 2 850-2 900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ONATEL-SA affiche un **chiffre d'affaires de 146,177 Mds FCFA** (+3,06% vs 2024), mais un **résultat net en chute de 26% à 15,887 Mds FCFA** (contre 21,47 Mds en 2024). Le **ROE reste exceptionnel à 27,61%** (&gt;15% = excellent), bien qu'en recul, et le **ROA s'établit à 4,89%**. La marge nette se contracte à **10,87%**, et le coefficient d'exploitation de 67,07% reste supérieur au seuil d'efficacité bancaire (&lt;60%), reflétant la pression sur les charges. Le **coût du risque (3,57%)** et la **couverture des intérêts (491,55%)** demeurent maîtrisés. La structure financière montre une **autonomie financière faible (17,71%)** et un **ratio d'endettement élevé (186,99%)**, avec des **dettes financières de 107,6 Mds FCFA** en hausse pour financer les capex (45,2 Mds FCFA). La trésorerie nette reste positive à **10,65 Mds FCFA**, et la **CAF de 46,95 Mds FCFA** couvre largement le service de la dette (capacité de remboursement de 2,29 années).</w:t>
      </w:r>
    </w:p>
    <w:p>
      <w:pPr>
        <w:spacing w:after="120" w:line="276" w:lineRule="auto"/>
      </w:pPr>
      <w:r>
        <w:t>**Estimations basées sur les rapports trimestriels** : Le **rapport T1 2026 (publié le 09/04/2026)** indique un CA de 37,1 Mds FCFA (+2,7%) et un résultat net de 3,577 Mds FCFA, avec une marge EBITDA maintenue à 41,3%. Le **rapport S1 2026 (attestation CAC du 25/09/2026)** confirme la sincérité des comptes sans fournir de chiffres. Sur cette base, on estime que l'exercice 2026 devrait afficher une **stabilisation de la rentabilité** (résultat net annuel estimé entre 15-17 Mds FCFA), portée par la croissance du Mobile Money (+17,1%) et du FTTH (+38,4%), mais toujours contrainte par les charges opérationnelles (énergie, sécurité).</w:t>
      </w:r>
    </w:p>
    <w:p>
      <w:pPr>
        <w:spacing w:after="120" w:line="276" w:lineRule="auto"/>
      </w:pPr>
      <w:r>
        <w:t>**Évolution et recommandation fondamentale** : La dégradation de la rentabilité (EBE -12%, résultat d'exploitation -24%) est le principal signal d'alerte, compensée par une **génération de cash robuste** et un **dividende attractif de 166,08 FCFA/action** (rendement ~5,6% au cours actuel). La note de crédit **A+(WU) par GCR Ratings** renforce la crédibilité. **Conclusion** : solidité financière préservée mais rentabilité sous pression, justifiant une recommandation **CONSERVER** avec surveillance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contrasté**. La **valorisation (Partie 0)** est modérée (PER 12,6x, EV/EBITDA 5,2x), sans sous-évaluation flagrante mais sans excès. Le **comportement du cours (Partie 1)** est haussier (+5,37%) avec une volatilité élevée (34,6%) et des statistiques équilibrées (skewness neutre, kurtosis normal), mais le rallye de J-1 (+6,32%) suggère un risque de correction. Les **signaux techniques (Partie 2)** sont divergents : MM haussières et stochastique positif, mais MACD baissier et RSI neutre, plaidant pour une consolidation. Les **fondamentaux (Partie 3)** montrent une croissance du CA (+3,06%) mais une chute du résultat net (-26%), avec un ROE élevé (27,61%) et une génération de cash solide, mais une rentabilité sous pression. Les **prédictions IA (J+1 à J+10)** anticipent une **trajectoire baissière** (2 882 → 2 862 FCFA), confirmant le signal MACD et le risque de consolidation post-rallye.</w:t>
      </w:r>
    </w:p>
    <w:p>
      <w:pPr>
        <w:spacing w:after="120" w:line="276" w:lineRule="auto"/>
      </w:pPr>
      <w:r>
        <w:t>**Recommandation finale : CONSERVER**</w:t>
      </w:r>
    </w:p>
    <w:p>
      <w:pPr>
        <w:spacing w:after="120" w:line="276" w:lineRule="auto"/>
      </w:pPr>
      <w:r>
        <w:t>Cette recommandation résulte d'une **convergence partielle** : la valorisation raisonnable et les fondamentaux solides (cash-flow, dividende) soutiennent le titre à moyen terme, mais les signaux techniques mitigés (MACD baissier) et les prédictions IA baissières plaident pour une **prise de bénéfices à court terme**. Le niveau de confiance est **Moyen**, car les divergences entre indicateurs créent une incertitude sur la direction immédiate. Le **risque global est Moyen** : la volatilité élevée (34,6%) et la dégradation de la rentabilité sont compensées par la solidité financière et le dividende attractif. L'**horizon optimal est moyen terme (3-12 mois)**, le temps que la stratégie de reconquête du leadership (annoncée pour 2026) porte ses fruits et que la rentabilité se stabilise. Les investisseurs déjà positionnés peuvent conserver pour le dividende, tandis que les nouveaux entrants devraient attendre une consolidation vers 2 850-2 900 FCFA avant d'envisager un 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3312.91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3,559 titres</w:t>
            </w:r>
          </w:p>
        </w:tc>
        <w:tc>
          <w:tcPr>
            <w:tcW w:type="dxa" w:w="2268"/>
            <w:shd w:fill="FFF2CC" w:val="clear"/>
          </w:tcPr>
          <w:p>
            <w:r>
              <w:rPr>
                <w:b/>
                <w:color w:val="503200"/>
                <w:sz w:val="16"/>
              </w:rPr>
              <w:t xml:space="preserve">Cours actuel : </w:t>
            </w:r>
            <w:r>
              <w:rPr>
                <w:color w:val="000000"/>
                <w:sz w:val="17"/>
              </w:rPr>
              <w:t>21,990 FCFA</w:t>
            </w:r>
          </w:p>
          <w:p>
            <w:r>
              <w:rPr>
                <w:b/>
                <w:color w:val="503200"/>
                <w:sz w:val="16"/>
              </w:rPr>
              <w:t xml:space="preserve">Var. 100 jours : </w:t>
            </w:r>
            <w:r>
              <w:rPr>
                <w:b/>
                <w:color w:val="007800"/>
                <w:sz w:val="17"/>
              </w:rPr>
              <w:t>+45.15%</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15,150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13.69% (Moyenne) — μ=18,166 FCFA, σ=2,487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β=1.4692 (Agressif) — Cov=0.000108, Var(idx)=0.000074, ρ=0.557,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20,518</w:t>
            </w:r>
          </w:p>
        </w:tc>
        <w:tc>
          <w:tcPr>
            <w:tcW w:type="dxa" w:w="1440"/>
            <w:shd w:fill="FAFAFA" w:val="clear"/>
          </w:tcPr>
          <w:p>
            <w:r>
              <w:rPr>
                <w:b/>
                <w:sz w:val="17"/>
              </w:rPr>
              <w:t>21,570</w:t>
            </w:r>
          </w:p>
        </w:tc>
        <w:tc>
          <w:tcPr>
            <w:tcW w:type="dxa" w:w="1440"/>
            <w:shd w:fill="FAFAFA" w:val="clear"/>
          </w:tcPr>
          <w:p>
            <w:r>
              <w:rPr>
                <w:sz w:val="17"/>
              </w:rPr>
              <w:t>22,623</w:t>
            </w:r>
          </w:p>
        </w:tc>
        <w:tc>
          <w:tcPr>
            <w:tcW w:type="dxa" w:w="1440"/>
            <w:shd w:fill="FAFAFA" w:val="clear"/>
          </w:tcPr>
          <w:p>
            <w:r>
              <w:rPr>
                <w:b/>
                <w:color w:val="C00000"/>
                <w:sz w:val="17"/>
              </w:rPr>
              <w:t>-1.9%</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20,104</w:t>
            </w:r>
          </w:p>
        </w:tc>
        <w:tc>
          <w:tcPr>
            <w:tcW w:type="dxa" w:w="1440"/>
            <w:shd w:fill="FAFAFA" w:val="clear"/>
          </w:tcPr>
          <w:p>
            <w:r>
              <w:rPr>
                <w:b/>
                <w:sz w:val="17"/>
              </w:rPr>
              <w:t>21,593</w:t>
            </w:r>
          </w:p>
        </w:tc>
        <w:tc>
          <w:tcPr>
            <w:tcW w:type="dxa" w:w="1440"/>
            <w:shd w:fill="FAFAFA" w:val="clear"/>
          </w:tcPr>
          <w:p>
            <w:r>
              <w:rPr>
                <w:sz w:val="17"/>
              </w:rPr>
              <w:t>23,083</w:t>
            </w:r>
          </w:p>
        </w:tc>
        <w:tc>
          <w:tcPr>
            <w:tcW w:type="dxa" w:w="1440"/>
            <w:shd w:fill="FAFAFA" w:val="clear"/>
          </w:tcPr>
          <w:p>
            <w:r>
              <w:rPr>
                <w:b/>
                <w:color w:val="C00000"/>
                <w:sz w:val="17"/>
              </w:rPr>
              <w:t>-1.8%</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19,748</w:t>
            </w:r>
          </w:p>
        </w:tc>
        <w:tc>
          <w:tcPr>
            <w:tcW w:type="dxa" w:w="1440"/>
            <w:shd w:fill="FAFAFA" w:val="clear"/>
          </w:tcPr>
          <w:p>
            <w:r>
              <w:rPr>
                <w:b/>
                <w:sz w:val="17"/>
              </w:rPr>
              <w:t>21,570</w:t>
            </w:r>
          </w:p>
        </w:tc>
        <w:tc>
          <w:tcPr>
            <w:tcW w:type="dxa" w:w="1440"/>
            <w:shd w:fill="FAFAFA" w:val="clear"/>
          </w:tcPr>
          <w:p>
            <w:r>
              <w:rPr>
                <w:sz w:val="17"/>
              </w:rPr>
              <w:t>23,393</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19,440</w:t>
            </w:r>
          </w:p>
        </w:tc>
        <w:tc>
          <w:tcPr>
            <w:tcW w:type="dxa" w:w="1440"/>
            <w:shd w:fill="FFDCE0" w:val="clear"/>
          </w:tcPr>
          <w:p>
            <w:r>
              <w:rPr>
                <w:b/>
                <w:sz w:val="17"/>
              </w:rPr>
              <w:t>21,542</w:t>
            </w:r>
          </w:p>
        </w:tc>
        <w:tc>
          <w:tcPr>
            <w:tcW w:type="dxa" w:w="1440"/>
            <w:shd w:fill="FFDCE0" w:val="clear"/>
          </w:tcPr>
          <w:p>
            <w:r>
              <w:rPr>
                <w:sz w:val="17"/>
              </w:rPr>
              <w:t>23,643</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19,167</w:t>
            </w:r>
          </w:p>
        </w:tc>
        <w:tc>
          <w:tcPr>
            <w:tcW w:type="dxa" w:w="1440"/>
            <w:shd w:fill="FFDCE0" w:val="clear"/>
          </w:tcPr>
          <w:p>
            <w:r>
              <w:rPr>
                <w:b/>
                <w:sz w:val="17"/>
              </w:rPr>
              <w:t>21,514</w:t>
            </w:r>
          </w:p>
        </w:tc>
        <w:tc>
          <w:tcPr>
            <w:tcW w:type="dxa" w:w="1440"/>
            <w:shd w:fill="FFDCE0" w:val="clear"/>
          </w:tcPr>
          <w:p>
            <w:r>
              <w:rPr>
                <w:sz w:val="17"/>
              </w:rPr>
              <w:t>23,861</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18,919</w:t>
            </w:r>
          </w:p>
        </w:tc>
        <w:tc>
          <w:tcPr>
            <w:tcW w:type="dxa" w:w="1440"/>
            <w:shd w:fill="FFDCE0" w:val="clear"/>
          </w:tcPr>
          <w:p>
            <w:r>
              <w:rPr>
                <w:b/>
                <w:sz w:val="17"/>
              </w:rPr>
              <w:t>21,487</w:t>
            </w:r>
          </w:p>
        </w:tc>
        <w:tc>
          <w:tcPr>
            <w:tcW w:type="dxa" w:w="1440"/>
            <w:shd w:fill="FFDCE0" w:val="clear"/>
          </w:tcPr>
          <w:p>
            <w:r>
              <w:rPr>
                <w:sz w:val="17"/>
              </w:rPr>
              <w:t>24,054</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18,691</w:t>
            </w:r>
          </w:p>
        </w:tc>
        <w:tc>
          <w:tcPr>
            <w:tcW w:type="dxa" w:w="1440"/>
            <w:shd w:fill="FFDCE0" w:val="clear"/>
          </w:tcPr>
          <w:p>
            <w:r>
              <w:rPr>
                <w:b/>
                <w:sz w:val="17"/>
              </w:rPr>
              <w:t>21,461</w:t>
            </w:r>
          </w:p>
        </w:tc>
        <w:tc>
          <w:tcPr>
            <w:tcW w:type="dxa" w:w="1440"/>
            <w:shd w:fill="FFDCE0" w:val="clear"/>
          </w:tcPr>
          <w:p>
            <w:r>
              <w:rPr>
                <w:sz w:val="17"/>
              </w:rPr>
              <w:t>24,231</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18,478</w:t>
            </w:r>
          </w:p>
        </w:tc>
        <w:tc>
          <w:tcPr>
            <w:tcW w:type="dxa" w:w="1440"/>
            <w:shd w:fill="FFDCE0" w:val="clear"/>
          </w:tcPr>
          <w:p>
            <w:r>
              <w:rPr>
                <w:b/>
                <w:sz w:val="17"/>
              </w:rPr>
              <w:t>21,435</w:t>
            </w:r>
          </w:p>
        </w:tc>
        <w:tc>
          <w:tcPr>
            <w:tcW w:type="dxa" w:w="1440"/>
            <w:shd w:fill="FFDCE0" w:val="clear"/>
          </w:tcPr>
          <w:p>
            <w:r>
              <w:rPr>
                <w:sz w:val="17"/>
              </w:rPr>
              <w:t>24,393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18,277</w:t>
            </w:r>
          </w:p>
        </w:tc>
        <w:tc>
          <w:tcPr>
            <w:tcW w:type="dxa" w:w="1440"/>
            <w:shd w:fill="FFDCE0" w:val="clear"/>
          </w:tcPr>
          <w:p>
            <w:r>
              <w:rPr>
                <w:b/>
                <w:sz w:val="17"/>
              </w:rPr>
              <w:t>21,410</w:t>
            </w:r>
          </w:p>
        </w:tc>
        <w:tc>
          <w:tcPr>
            <w:tcW w:type="dxa" w:w="1440"/>
            <w:shd w:fill="FFDCE0" w:val="clear"/>
          </w:tcPr>
          <w:p>
            <w:r>
              <w:rPr>
                <w:sz w:val="17"/>
              </w:rPr>
              <w:t>24,543</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18,087</w:t>
            </w:r>
          </w:p>
        </w:tc>
        <w:tc>
          <w:tcPr>
            <w:tcW w:type="dxa" w:w="1440"/>
            <w:shd w:fill="FFDCE0" w:val="clear"/>
          </w:tcPr>
          <w:p>
            <w:r>
              <w:rPr>
                <w:b/>
                <w:sz w:val="17"/>
              </w:rPr>
              <w:t>21,386</w:t>
            </w:r>
          </w:p>
        </w:tc>
        <w:tc>
          <w:tcPr>
            <w:tcW w:type="dxa" w:w="1440"/>
            <w:shd w:fill="FFDCE0" w:val="clear"/>
          </w:tcPr>
          <w:p>
            <w:r>
              <w:rPr>
                <w:sz w:val="17"/>
              </w:rPr>
              <w:t>24,685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**3 312,91 milliards FCFA**, ORAC s'impose comme la première capitalisation de la BRVM, représentant à elle seule plus du quart de la capitalisation totale du marché régional — un statut de « blue chip » incontesté. Le BPA de **1 114 FCFA/action** traduit la capacité bénéficiaire de chaque titre, tandis que le PER de **19,7x** situe le titre nettement au-dessus de la moyenne du marché BRVM (8-12x), signalant que les investisseurs acceptent de payer une prime de qualité pour ce leader défensif. Le P/B de **4,68x** confirme cette valorisation exigeante : le marché valorise ORAC à près de cinq fois sa valeur comptable, ce qui intègre la forte rentabilité des fonds propres (ROE de 23,7%) et la solidité du modèle. Enfin, l'EV/EBITDA de **7,9x**, dans la fourchette raisonnable de 5-10x, suggère que la valeur d'entreprise reste cohérente avec la capacité opérationnelle de génération de cash-flow, offrant un point d'ancrage rassurant face aux multiples de bénéfice élevés.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progression spectaculaire de **+45,15%**, portant le cours à **21 990 FCFA**, avec une quasi-stabilité en dernière séance (**-0,05%**). Le range de trading est particulièrement large, entre un plus bas de **15 150 FCFA** et un plus haut de **22 500 FCFA**, soit une amplitude de près de 48% qui témoigne d'une dynamique haussière puissante mais aussi de points d'entrée très différents selon le timing. La tendance générale est clairement haussière, soutenue par la publication de résultats trimestriels exceptionnels (T1 2026 : résultat net +25,2%). Les statistiques descriptives révèlent une distribution asymétrique : la moyenne (**18 166 FCFA**) dépasse la médiane (**16 750 FCFA**) et le mode (**16 000 FCFA**), confirmant un skewness positif de **0,571** — le cours a passé plus de journées sous la moyenne, mais les poussées haussières récentes tirent la moyenne vers le haut. L'écart-type de **2 499 FCFA** (CV de **13,8%**) indique une dispersion modérée, tandis que le kurtosis négatif de **-1,410** (distribution platykurtique) signale une faible concentration des rendements et un risque de pics extrêmes limité. La volatilité annualisée de **35,8%** classe le titre en catégorie **élevée** (&gt;30%), ce qui est cohérent avec un titre ayant gagné près de 50% en trois mois.</w:t>
      </w:r>
    </w:p>
    <w:p>
      <w:pPr>
        <w:spacing w:after="120" w:line="276" w:lineRule="auto"/>
      </w:pPr>
      <w:r>
        <w:t>---</w:t>
      </w:r>
    </w:p>
    <w:p>
      <w:pPr>
        <w:spacing w:after="120" w:line="276" w:lineRule="auto"/>
      </w:pPr>
      <w:r>
        <w:t>## PARTIE 2 : ANALYSE TECHNIQUE DÉTAILLÉE</w:t>
      </w:r>
    </w:p>
    <w:p>
      <w:pPr>
        <w:spacing w:after="120" w:line="276" w:lineRule="auto"/>
      </w:pPr>
      <w:r>
        <w:t>**Moyennes Mobiles** : La MM20 (**21 671 FCFA**) et la MM50 (**20 197 FCFA**) se situent toutes deux sous le cours actuel (**21 990 FCFA**), avec une MM20 au-dessus de la MM50 — configuration haussière classique (« golden cross »). Le cours évoluant au-dessus de ses deux moyennes, la décision technique est **Achat**, confirmant la tendance positive de moyen terme.</w:t>
      </w:r>
    </w:p>
    <w:p>
      <w:pPr>
        <w:spacing w:after="120" w:line="276" w:lineRule="auto"/>
      </w:pPr>
      <w:r>
        <w:t>**Bandes de Bollinger** : Le cours (**21 990 FCFA**) évolue dans la partie haute de la bande, entre la borne inférieure (**20 192 FCFA**) et la borne supérieure (**23 150 FCFA**), sans la franchir. Cette position médiane-haute, combinée à un rétrécissement relatif des bandes, justifie une décision **Neutre** : le titre n'est ni en surachat extrême, ni en zone de survente, laissant place à une consolidation possible.</w:t>
      </w:r>
    </w:p>
    <w:p>
      <w:pPr>
        <w:spacing w:after="120" w:line="276" w:lineRule="auto"/>
      </w:pPr>
      <w:r>
        <w:t>**MACD** : La valeur du MACD (**289,12**) est inférieure à son signal (**373,25**), générant une décision **Vente**. Cette divergence négative indique un essoufflement du momentum haussier malgré la tendance de fond positive — un signal de prudence à court terme qui contraste avec la configuration des moyennes mobiles.</w:t>
      </w:r>
    </w:p>
    <w:p>
      <w:pPr>
        <w:spacing w:after="120" w:line="276" w:lineRule="auto"/>
      </w:pPr>
      <w:r>
        <w:t>**RSI** : À **48,71**, le RSI se situe parfaitement dans la zone neutre (30-70), sans signal de surachat ni de survente. La décision **Neutre** reflète un équilibre entre acheteurs et vendeurs, le titre ayant digéré sa forte hausse récente sans pression vendeuse excessive.</w:t>
      </w:r>
    </w:p>
    <w:p>
      <w:pPr>
        <w:spacing w:after="120" w:line="276" w:lineRule="auto"/>
      </w:pPr>
      <w:r>
        <w:t>**Stochastique** : Avec un %K de **90,87** et un %D de **80,63**, le stochastique évolue en zone de surachat (&gt;80), générant une décision **Vente**. Le croisement potentiel du %K sous le %D constituerait un signal de retournement baissier à court terme, suggérant une possible correction après la flambée récente.</w:t>
      </w:r>
    </w:p>
    <w:p>
      <w:pPr>
        <w:spacing w:after="120" w:line="276" w:lineRule="auto"/>
      </w:pPr>
      <w:r>
        <w:t>**Conclusion technique** : Les indicateurs présentent une **divergence notable** : les moyennes mobiles confirment la tendance haussière de fond, tandis que le MACD et le stochastique signalent un essoufflement à court terme, et que le RSI et les Bollinger restent neutres. Cette configuration suggère un titre en phase de consolidation après une hausse verticale, avec un risque de correction technique limitée mais réel. La prudence à court terme est de mise, sans remettre en cause la dynamique de moyen terme.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officiels) dressent le portrait d'une entreprise en croissance solide et rentable. Le chiffre d'affaires s'établit à **1 197,1 milliards FCFA**, en hausse de **+10,42%**, pour un résultat net de **167,8 milliards FCFA** (marge nette de **14,02%**). La rentabilité des fonds propres (ROE) atteint **23,71%**, largement supérieure au seuil d'excellence de 15%, tandis que le ROA de **6,57%** reflète l'intensité capitalistique du secteur télécom. En tant qu'entreprise non bancaire, les délais d'exploitation sont révélateurs : le délai client de **52,26 jours** constitue un point de vigilance modéré pour la trésorerie, mais il est compensé par un délai fournisseur élevé de **210,87 jours** — un avantage de financement significatif. Le BFR est **négatif à -198 milliards FCFA**, ce qui est très favorable : l'entreprise finance son cycle d'exploitation par ses fournisseurs plutôt que par son propre cash. La structure financière affiche une autonomie de **27,71%** (légèrement sous le seuil de 30%), un ratio d'endettement de **47,46%** et une capacité de remboursement de **0,99 an** — excellente. La couverture des intérêts est spectaculaire à **1 018%**, et la trésorerie nette positive de **113,9 milliards FCFA** confirme la solidité du bilan.</w:t>
      </w:r>
    </w:p>
    <w:p>
      <w:pPr>
        <w:spacing w:after="120" w:line="276" w:lineRule="auto"/>
      </w:pPr>
      <w:r>
        <w:t>Les rapports narratifs enrichissent cette analyse avec une **évolution temporelle** remarquable. Le rapport annuel 2024 (publié le 31/12/2024) indiquait un CA de 1 084,1 Mds FCFA (+6,6%) et un résultat net de 158,2 Mds FCFA (+2,1%), avec un dividende de 750 FCFA/action. L'exercice 2025 marque une **accélération** : CA +10,4%, résultat net part du groupe +14,5% à 129,1 Mds FCFA, et dividende porté à **800 FCFA brut/action** (rendement implicite d'environ 3,6% au cours actuel). Le rapport T1 2026 (publié le 20/05/2026) confirme cette dynamique avec un CA de **325,6 Mds FCFA (+14,8%)** et un résultat net de **48,3 Mds FCFA (+25,2%)** — la plus forte croissance trimestrielle depuis l'introduction en bourse. Sur cette base, on peut **estimer** que l'exercice 2026 devrait afficher un CA supérieur à 1 300 Mds FCFA et un résultat net en progression de 15-20%, porté par la fibre (+59,9% d'abonnés en 2025), Orange Money (40,4M clients) et l'expansion géographique. Les risques identifiés incluent la pression fiscale (+35% d'impôts au S1 2026), la concurrence accrue et l'exposition au Burkina Faso et au Liberia. **Recommandation fondamentale : ACHAT**, sur la base d'une croissance durable, d'une rentabilité exceptionnelle et d'un dividende attractif.</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**globalement favorable mais nuancé**. La **valorisation** (Partie 0) est exigeante : PER de 19,7x et P/B de 4,68x traduisent une prime de qualité, mais l'EV/EBITDA de 7,9x reste raisonnable, suggérant que la surévaluation apparente est justifiée par la rentabilité supérieure. Le **comportement du cours** (Partie 1) est haussier (+45,15% sur 100 jours) avec une volatilité élevée (35,8%) et une distribution platykurtique (risque de pics limité), mais le skewness positif indique que les hausses ont été plus fréquentes que les baisses en fin de période. Les **signaux techniques** (Partie 2) sont **divergents** : les moyennes mobiles confirment la tendance haussière, mais le MACD et le stochastique signalent un essoufflement à court terme, plaidant pour une consolidation. Les **fondamentaux** (Partie 3) sont excellents : ROE de 23,7%, BFR négatif, trésorerie nette positive, croissance à deux chiffres et dividende en hausse — un profil de leader défensif. Les **prédictions IA** (J+1 à J+10) anticipent une légère correction vers **21 514-21 593 FCFA**, ce qui **contredit partiellement** les signaux haussiers des moyennes mobiles mais **confirme** l'essoufflement détecté par le MACD et le stochastique.</w:t>
      </w:r>
    </w:p>
    <w:p>
      <w:pPr>
        <w:spacing w:after="120" w:line="276" w:lineRule="auto"/>
      </w:pPr>
      <w:r>
        <w:t>**Recommandation finale : CONSERVER** (avec biais haussier pour les investisseurs déjà positionnés). La convergence entre fondamentaux solides, valorisation justifiée et tendance de fond haussière soutient le titre à moyen terme, mais la divergence technique à court terme et les prédictions de correction invitent à la prudence pour les nouveaux entrants. **Niveau de confiance : Moyen** (les fondamentaux sont solides, mais le timing d'entrée est incertain). **Niveau de risque : Moyen** (volatilité élevée mais bilan solide). **Horizon optimal : Moyen terme (3-12 mois)**, en privilégiant les points d'entrée sous 21 500 FCFA pour profiter de la correction anticipée avant la poursuite de la tendance haussière.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200.61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4,580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007800"/>
                <w:sz w:val="17"/>
              </w:rPr>
              <w:t>+18.69%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8.29% (Moyenne) — μ=2,900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β=0.8253 (Neutre (suit le marché)) — Cov=0.000061, Var(idx)=0.000074, ρ=0.319,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2,795</w:t>
            </w:r>
          </w:p>
        </w:tc>
        <w:tc>
          <w:tcPr>
            <w:tcW w:type="dxa" w:w="1440"/>
            <w:shd w:fill="FAFAFA" w:val="clear"/>
          </w:tcPr>
          <w:p>
            <w:r>
              <w:rPr>
                <w:b/>
                <w:sz w:val="17"/>
              </w:rPr>
              <w:t>2,923</w:t>
            </w:r>
          </w:p>
        </w:tc>
        <w:tc>
          <w:tcPr>
            <w:tcW w:type="dxa" w:w="1440"/>
            <w:shd w:fill="FAFAFA" w:val="clear"/>
          </w:tcPr>
          <w:p>
            <w:r>
              <w:rPr>
                <w:sz w:val="17"/>
              </w:rPr>
              <w:t>3,051</w:t>
            </w:r>
          </w:p>
        </w:tc>
        <w:tc>
          <w:tcPr>
            <w:tcW w:type="dxa" w:w="1440"/>
            <w:shd w:fill="FAFAFA" w:val="clear"/>
          </w:tcPr>
          <w:p>
            <w:r>
              <w:rPr>
                <w:b/>
                <w:color w:val="008000"/>
                <w:sz w:val="17"/>
              </w:rPr>
              <w:t>+1.1%</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2,736</w:t>
            </w:r>
          </w:p>
        </w:tc>
        <w:tc>
          <w:tcPr>
            <w:tcW w:type="dxa" w:w="1440"/>
            <w:shd w:fill="FAFAFA" w:val="clear"/>
          </w:tcPr>
          <w:p>
            <w:r>
              <w:rPr>
                <w:b/>
                <w:sz w:val="17"/>
              </w:rPr>
              <w:t>2,917</w:t>
            </w:r>
          </w:p>
        </w:tc>
        <w:tc>
          <w:tcPr>
            <w:tcW w:type="dxa" w:w="1440"/>
            <w:shd w:fill="FAFAFA" w:val="clear"/>
          </w:tcPr>
          <w:p>
            <w:r>
              <w:rPr>
                <w:sz w:val="17"/>
              </w:rPr>
              <w:t>3,097</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2,693</w:t>
            </w:r>
          </w:p>
        </w:tc>
        <w:tc>
          <w:tcPr>
            <w:tcW w:type="dxa" w:w="1440"/>
            <w:shd w:fill="FAFAFA" w:val="clear"/>
          </w:tcPr>
          <w:p>
            <w:r>
              <w:rPr>
                <w:b/>
                <w:sz w:val="17"/>
              </w:rPr>
              <w:t>2,914</w:t>
            </w:r>
          </w:p>
        </w:tc>
        <w:tc>
          <w:tcPr>
            <w:tcW w:type="dxa" w:w="1440"/>
            <w:shd w:fill="FAFAFA" w:val="clear"/>
          </w:tcPr>
          <w:p>
            <w:r>
              <w:rPr>
                <w:sz w:val="17"/>
              </w:rPr>
              <w:t>3,135</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2,657</w:t>
            </w:r>
          </w:p>
        </w:tc>
        <w:tc>
          <w:tcPr>
            <w:tcW w:type="dxa" w:w="1440"/>
            <w:shd w:fill="FAFAFA" w:val="clear"/>
          </w:tcPr>
          <w:p>
            <w:r>
              <w:rPr>
                <w:b/>
                <w:sz w:val="17"/>
              </w:rPr>
              <w:t>2,912</w:t>
            </w:r>
          </w:p>
        </w:tc>
        <w:tc>
          <w:tcPr>
            <w:tcW w:type="dxa" w:w="1440"/>
            <w:shd w:fill="FAFAFA" w:val="clear"/>
          </w:tcPr>
          <w:p>
            <w:r>
              <w:rPr>
                <w:sz w:val="17"/>
              </w:rPr>
              <w:t>3,166</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2,625</w:t>
            </w:r>
          </w:p>
        </w:tc>
        <w:tc>
          <w:tcPr>
            <w:tcW w:type="dxa" w:w="1440"/>
            <w:shd w:fill="FAFAFA" w:val="clear"/>
          </w:tcPr>
          <w:p>
            <w:r>
              <w:rPr>
                <w:b/>
                <w:sz w:val="17"/>
              </w:rPr>
              <w:t>2,909</w:t>
            </w:r>
          </w:p>
        </w:tc>
        <w:tc>
          <w:tcPr>
            <w:tcW w:type="dxa" w:w="1440"/>
            <w:shd w:fill="FAFAFA" w:val="clear"/>
          </w:tcPr>
          <w:p>
            <w:r>
              <w:rPr>
                <w:sz w:val="17"/>
              </w:rPr>
              <w:t>3,193</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2,595</w:t>
            </w:r>
          </w:p>
        </w:tc>
        <w:tc>
          <w:tcPr>
            <w:tcW w:type="dxa" w:w="1440"/>
            <w:shd w:fill="FAFAFA" w:val="clear"/>
          </w:tcPr>
          <w:p>
            <w:r>
              <w:rPr>
                <w:b/>
                <w:sz w:val="17"/>
              </w:rPr>
              <w:t>2,906</w:t>
            </w:r>
          </w:p>
        </w:tc>
        <w:tc>
          <w:tcPr>
            <w:tcW w:type="dxa" w:w="1440"/>
            <w:shd w:fill="FAFAFA" w:val="clear"/>
          </w:tcPr>
          <w:p>
            <w:r>
              <w:rPr>
                <w:sz w:val="17"/>
              </w:rPr>
              <w:t>3,217</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2,568</w:t>
            </w:r>
          </w:p>
        </w:tc>
        <w:tc>
          <w:tcPr>
            <w:tcW w:type="dxa" w:w="1440"/>
            <w:shd w:fill="FAFAFA" w:val="clear"/>
          </w:tcPr>
          <w:p>
            <w:r>
              <w:rPr>
                <w:b/>
                <w:sz w:val="17"/>
              </w:rPr>
              <w:t>2,904</w:t>
            </w:r>
          </w:p>
        </w:tc>
        <w:tc>
          <w:tcPr>
            <w:tcW w:type="dxa" w:w="1440"/>
            <w:shd w:fill="FAFAFA" w:val="clear"/>
          </w:tcPr>
          <w:p>
            <w:r>
              <w:rPr>
                <w:sz w:val="17"/>
              </w:rPr>
              <w:t>3,239</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2,542</w:t>
            </w:r>
          </w:p>
        </w:tc>
        <w:tc>
          <w:tcPr>
            <w:tcW w:type="dxa" w:w="1440"/>
            <w:shd w:fill="FAFAFA" w:val="clear"/>
          </w:tcPr>
          <w:p>
            <w:r>
              <w:rPr>
                <w:b/>
                <w:sz w:val="17"/>
              </w:rPr>
              <w:t>2,901</w:t>
            </w:r>
          </w:p>
        </w:tc>
        <w:tc>
          <w:tcPr>
            <w:tcW w:type="dxa" w:w="1440"/>
            <w:shd w:fill="FAFAFA" w:val="clear"/>
          </w:tcPr>
          <w:p>
            <w:r>
              <w:rPr>
                <w:sz w:val="17"/>
              </w:rPr>
              <w:t>3,260</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2,518</w:t>
            </w:r>
          </w:p>
        </w:tc>
        <w:tc>
          <w:tcPr>
            <w:tcW w:type="dxa" w:w="1440"/>
            <w:shd w:fill="FAFAFA" w:val="clear"/>
          </w:tcPr>
          <w:p>
            <w:r>
              <w:rPr>
                <w:b/>
                <w:sz w:val="17"/>
              </w:rPr>
              <w:t>2,898</w:t>
            </w:r>
          </w:p>
        </w:tc>
        <w:tc>
          <w:tcPr>
            <w:tcW w:type="dxa" w:w="1440"/>
            <w:shd w:fill="FAFAFA" w:val="clear"/>
          </w:tcPr>
          <w:p>
            <w:r>
              <w:rPr>
                <w:sz w:val="17"/>
              </w:rPr>
              <w:t>3,278</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2,495</w:t>
            </w:r>
          </w:p>
        </w:tc>
        <w:tc>
          <w:tcPr>
            <w:tcW w:type="dxa" w:w="1440"/>
            <w:shd w:fill="FAFAFA" w:val="clear"/>
          </w:tcPr>
          <w:p>
            <w:r>
              <w:rPr>
                <w:b/>
                <w:sz w:val="17"/>
              </w:rPr>
              <w:t>2,896</w:t>
            </w:r>
          </w:p>
        </w:tc>
        <w:tc>
          <w:tcPr>
            <w:tcW w:type="dxa" w:w="1440"/>
            <w:shd w:fill="FAFAFA" w:val="clear"/>
          </w:tcPr>
          <w:p>
            <w:r>
              <w:rPr>
                <w:sz w:val="17"/>
              </w:rPr>
              <w:t>3,296</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Oragroup affiche une capitalisation boursière de 200,61 milliards FCFA, un niveau significatif à l'échelle de la BRVM qui positionne le titre parmi les valeurs bancaires de premier plan de la cote régionale. Avec un BPA de 312 FCFA par action, chaque titre génère un bénéfice unitaire confortable, ce qui, rapporté au cours actuel de 2 890 FCFA, donne un PER de 9,3x — un multiple modéré, légèrement inférieur à la moyenne BRVM (8-12x), suggérant une valorisation raisonnable voire légèrement sous-évaluée au regard des bénéfices. Le ratio P/B de 1,77x indique que le marché valorise la banque à près de 1,8 fois sa valeur comptable, ce qui reste dans une fourchette raisonnable (1-2x) et traduit une confiance mesurée dans la qualité des fonds propres. En revanche, l'EV/EBITDA de 19,5x apparaît très exigeant (&gt;15x), signalant que la valeur d'entreprise intègre une prime de croissance ou de redressement que la capacité opérationnelle actuelle ne justifie pas encore pleinement —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performance positive de +18,69%, malgré un repli de -3,34% lors de la dernière séance (J-1), ce qui traduit une dynamique haussière de fond mais une pression vendeuse récente. Le cours actuel de 2 890 FCFA évolue dans un range de trading compris entre 2 435 FCFA (plus bas) et 3 400 FCFA (plus haut), soit une amplitude de près de 40%, reflétant une volatilité non négligeable sur la période. La tendance générale reste haussière, portée par le redressement fondamental du groupe, mais le repli récent suggère une consolidation après le pic de 3 400 FCFA. Les statistiques descriptives révèlent une moyenne de 2 900 FCFA légèrement supérieure à la médiane de 2 860 FCFA, avec un mode à 2 680 FCFA — l'écart faible entre moyenne et médiane indique une distribution quasi symétrique, confirmée par un skewness de 0,235 (asymétrie positive légère). L'écart-type de 242 FCFA et le coefficient de variation de 8,3% témoignent d'une dispersion modérée du cours autour de sa moyenne. Le kurtosis de -1,176 (distribution platykurtique) signale une faible concentration des valeurs extrêmes et un risque de pics de volatilité limité. Enfin, la volatilité annualisée de 35,4% classe le titre dans la catégorie des valeurs à volatilité élevée (&gt;30%), ce qui implique un risque de marché supérieur à la moyenne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(3 061,5 FCFA) et la MM50 (3 109,0 FCFA) se situent toutes deux nettement au-dessus du cours actuel (2 890 FCFA), ce qui place le titre en position baissière à court et moyen terme. La MM20 étant inférieure à la MM50, la configuration confirme une tendance descendante, justifiant la décision technique de **Vente**.</w:t>
      </w:r>
    </w:p>
    <w:p>
      <w:pPr>
        <w:spacing w:after="120" w:line="276" w:lineRule="auto"/>
      </w:pPr>
      <w:r>
        <w:t>**Bandes de Bollinger** : Le cours actuel (2 890 FCFA) évolue dans la partie basse de la bande, entre la borne inférieure (2 746,7 FCFA) et la borne supérieure (3 376,3 FCFA), sans franchir les extrêmes. Cette position neutre, couplée à une largeur de bande importante, traduit une volatilité élevée sans signal directionnel fort, d'où la décision **Neutre**.</w:t>
      </w:r>
    </w:p>
    <w:p>
      <w:pPr>
        <w:spacing w:after="120" w:line="276" w:lineRule="auto"/>
      </w:pPr>
      <w:r>
        <w:t>**MACD** : La valeur du MACD (-58,948) est inférieure à son signal (-41,942), avec un histogramme négatif, ce qui confirme un momentum baissier en cours. La divergence négative entre les deux lignes justifie la décision de **Vente**, bien que l'écart reste modéré.</w:t>
      </w:r>
    </w:p>
    <w:p>
      <w:pPr>
        <w:spacing w:after="120" w:line="276" w:lineRule="auto"/>
      </w:pPr>
      <w:r>
        <w:t>**RSI** : À 34,241, le RSI se situe dans la zone neutre basse (30-70), proche du seuil de survente (30) sans l'atteindre. Cette configuration indique une pression vendeuse modérée mais pas de signal d'achat imminent, d'où la décision **Neutre**.</w:t>
      </w:r>
    </w:p>
    <w:p>
      <w:pPr>
        <w:spacing w:after="120" w:line="276" w:lineRule="auto"/>
      </w:pPr>
      <w:r>
        <w:t>**Stochastique** : Le %K (22,222) est inférieur au %D (30,303), avec les deux lignes en zone basse (&lt;20 pour %K), ce qui suggère une possible survente à court terme mais sans croisement haussier confirmé. La décision reste **Neutre** en l'absence de signal clair.</w:t>
      </w:r>
    </w:p>
    <w:p>
      <w:pPr>
        <w:spacing w:after="120" w:line="276" w:lineRule="auto"/>
      </w:pPr>
      <w:r>
        <w:t>**Conclusion technique** : Les indicateurs techniques présentent une configuration majoritairement baissière à court terme, avec des moyennes mobiles en position défavorable, un MACD négatif et un RSI proche de la survente. Les Bandes de Bollinger et le Stochastique restent neutres, sans signal d'achat. Le titre se trouve dans une phase de consolidation baissière après un pic à 3 400 FCFA, et la convergence des signaux négatifs (MM, MACD) suggère une prudence à court terme, bien que la proximité de la survente (RSI, Stochastique) puisse annoncer un rebond technique.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Oragroup a enregistré un Produit Net Bancaire (PNB) de 186,609 milliards FCFA, en léger recul de -4,52% par rapport à 2024 (195,436 milliards FCFA), reflétant une contraction volontaire de l'activité de crédit (-12% sur les créances nettes clientèle à 1 523,765 milliards FCFA). Le résultat net consolidé s'établit à 21,643 milliards FCFA, marquant un redressement spectaculaire après la perte de -44,363 milliards FCFA en 2024, soit une amélioration de +149%. Cette performance est portée par une réduction drastique du coût net du risque (-90%, à -6,971 milliards FCFA) et une baisse des frais généraux de -12%. Les ratios de rentabilité sont solides : ROE de 19,13% (&gt;15%, excellent) et ROA de 0,54%, tandis que le coefficient d'exploitation de 42,85% (&lt;60%) confirme l'efficacité opérationnelle de la banque. Le coût du risque rapporté aux charges financières s'élève à 3,74%, un niveau modéré qui traduit un portefeuille de crédit assaini. La structure financière reste dépendante des dépôts clientèle (3 088,698 milliards FCFA, +5%), avec un ratio de transformation (crédits/dépôts) de 49,3%, indiquant une marge de manœuvre pour relancer l'activité de crédit. Les capitaux propres se renforcent à 113,165 milliards FCFA (+17%), améliorant la solvabilité (ratio de solvabilité générale de 102,9%).</w:t>
      </w:r>
    </w:p>
    <w:p>
      <w:pPr>
        <w:spacing w:after="120" w:line="276" w:lineRule="auto"/>
      </w:pPr>
      <w:r>
        <w:t>**Estimations basées sur les rapports trimestriels** : Le rapport T1 2026 (publié en 2026) fait état d'un PNB de 50,124 milliards FCFA (-2% en glissement annuel) et d'un résultat net de 6,555 milliards FCFA (+37%), confirmant la poursuite de la dynamique de redressement. Les dépôts clientèle progressent de +14% à 3 343,025 milliards FCFA, tandis que les crédits nets reculent de -12% à 1 433,787 milliards FCFA. Sur la base de ces tendances, on peut estimer que l'exercice 2026 devrait consolider la rentabilité (résultat net annualisé estimé autour de 25-27 milliards FCFA) tout en maintenant une croissance prudente du PNB. Le rapport S1 2025 (publié en 2025) et le rapport T3 2025 (publié en 2025) confirment la trajectoire positive, avec un résultat net de 19,6 milliards FCFA à fin septembre 2025 (+248%) et une réduction de -74% du coût du risque. La principale faiblesse reste la contraction du PNB (-4,5% en 2025), qui devra être inversée pour assurer une croissance durable. La recommandation fondamentale est de **CONSERVER** : la solidité financière est restaurée, mais la relance commerciale reste à confirmer.</w:t>
      </w:r>
    </w:p>
    <w:p>
      <w:pPr>
        <w:spacing w:after="120" w:line="276" w:lineRule="auto"/>
      </w:pPr>
      <w:r>
        <w:t>---</w:t>
      </w:r>
    </w:p>
    <w:p>
      <w:pPr>
        <w:spacing w:after="120" w:line="276" w:lineRule="auto"/>
      </w:pPr>
      <w:r>
        <w:t>## PARTIE 4 : CONCLUSION D'INVESTISSEMENT</w:t>
      </w:r>
    </w:p>
    <w:p>
      <w:pPr>
        <w:spacing w:after="120" w:line="276" w:lineRule="auto"/>
      </w:pPr>
      <w:r>
        <w:t>La valorisation d'Oragroup présente un profil mitigé : le PER de 9,3x et le P/B de 1,77x suggèrent une valorisation raisonnable voire légèrement sous-évaluée, mais l'EV/EBITDA de 19,5x traduit une prime excessive au regard de la capacité opérationnelle actuelle. Le comportement du cours sur 100 jours est haussier (+18,69%) mais marqué par une volatilité élevée (35,4%) et une distribution platykurtique (kurtosis -1,176) indiquant un risque de pics limité, tandis que le skewness positif (0,235) reflète une légère asymétrie favorable. Les signaux techniques sont majoritairement baissiers à court terme (MM20 &lt; MM50, MACD négatif), mais la proximité de la survente (RSI 34,2, Stochastique %K 22,2) pourrait annoncer un rebond technique. Les fondamentaux sont en nette amélioration : retour à la rentabilité en 2025 (résultat net de 21,6 milliards FCFA), ROE de 19,1%, coefficient d'exploitation de 42,9%, et confirmation de la tendance au T1 2026 (résultat net +37%). Les prédictions IA (J+1 à J+10) tablent sur une légère hausse vers 2 923 FCFA, en ligne avec un rebond technique possible mais sans conviction forte. **Recommandation finale : CONSERVER**. La convergence entre une valorisation raisonnable, des fondamentaux en redressement et des signaux techniques baissiers à court terme plaide pour une position attentiste. Le niveau de confiance est **Moyen**, car si la dynamique fondamentale est positive, l'absence de dividende et la contraction du PNB constituent des risques. Le niveau de risque global est **Moyen** (volatilité élevée mais fondamentaux solides). L'horizon d'investissement optimal est le **moyen terme (3-12 mois)**, le temps que la relance commerciale se matérialise et que les indicateurs techniques se retournent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119.81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4,192 titres</w:t>
            </w:r>
          </w:p>
        </w:tc>
        <w:tc>
          <w:tcPr>
            <w:tcW w:type="dxa" w:w="2268"/>
            <w:shd w:fill="FFF2CC" w:val="clear"/>
          </w:tcPr>
          <w:p>
            <w:r>
              <w:rPr>
                <w:b/>
                <w:color w:val="503200"/>
                <w:sz w:val="16"/>
              </w:rPr>
              <w:t xml:space="preserve">Cours actuel : </w:t>
            </w:r>
            <w:r>
              <w:rPr>
                <w:color w:val="000000"/>
                <w:sz w:val="17"/>
              </w:rPr>
              <w:t>7,750 FCFA</w:t>
            </w:r>
          </w:p>
          <w:p>
            <w:r>
              <w:rPr>
                <w:b/>
                <w:color w:val="503200"/>
                <w:sz w:val="16"/>
              </w:rPr>
              <w:t xml:space="preserve">Var. 100 jours : </w:t>
            </w:r>
            <w:r>
              <w:rPr>
                <w:b/>
                <w:color w:val="007800"/>
                <w:sz w:val="17"/>
              </w:rPr>
              <w:t>+0.65%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5.42% (Moyenne) — μ=8,628 FCFA, σ=467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β=0.0457 (Défensif) — Cov=0.000003, Var(idx)=0.000074, ρ=0.019,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2026-10-09</w:t>
            </w:r>
          </w:p>
        </w:tc>
        <w:tc>
          <w:tcPr>
            <w:tcW w:type="dxa" w:w="1440"/>
            <w:shd w:fill="C6EFCE" w:val="clear"/>
          </w:tcPr>
          <w:p>
            <w:r>
              <w:rPr>
                <w:sz w:val="17"/>
              </w:rPr>
              <w:t>7,696</w:t>
            </w:r>
          </w:p>
        </w:tc>
        <w:tc>
          <w:tcPr>
            <w:tcW w:type="dxa" w:w="1440"/>
            <w:shd w:fill="C6EFCE" w:val="clear"/>
          </w:tcPr>
          <w:p>
            <w:r>
              <w:rPr>
                <w:b/>
                <w:sz w:val="17"/>
              </w:rPr>
              <w:t>7,961</w:t>
            </w:r>
          </w:p>
        </w:tc>
        <w:tc>
          <w:tcPr>
            <w:tcW w:type="dxa" w:w="1440"/>
            <w:shd w:fill="C6EFCE" w:val="clear"/>
          </w:tcPr>
          <w:p>
            <w:r>
              <w:rPr>
                <w:sz w:val="17"/>
              </w:rPr>
              <w:t>8,226</w:t>
            </w:r>
          </w:p>
        </w:tc>
        <w:tc>
          <w:tcPr>
            <w:tcW w:type="dxa" w:w="1440"/>
            <w:shd w:fill="C6EFCE" w:val="clear"/>
          </w:tcPr>
          <w:p>
            <w:r>
              <w:rPr>
                <w:b/>
                <w:color w:val="008000"/>
                <w:sz w:val="17"/>
              </w:rPr>
              <w:t>+2.7%</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7,509</w:t>
            </w:r>
          </w:p>
        </w:tc>
        <w:tc>
          <w:tcPr>
            <w:tcW w:type="dxa" w:w="1440"/>
            <w:shd w:fill="FAFAFA" w:val="clear"/>
          </w:tcPr>
          <w:p>
            <w:r>
              <w:rPr>
                <w:b/>
                <w:sz w:val="17"/>
              </w:rPr>
              <w:t>7,880</w:t>
            </w:r>
          </w:p>
        </w:tc>
        <w:tc>
          <w:tcPr>
            <w:tcW w:type="dxa" w:w="1440"/>
            <w:shd w:fill="FAFAFA" w:val="clear"/>
          </w:tcPr>
          <w:p>
            <w:r>
              <w:rPr>
                <w:sz w:val="17"/>
              </w:rPr>
              <w:t>8,251</w:t>
            </w:r>
          </w:p>
        </w:tc>
        <w:tc>
          <w:tcPr>
            <w:tcW w:type="dxa" w:w="1440"/>
            <w:shd w:fill="FAFAFA" w:val="clear"/>
          </w:tcPr>
          <w:p>
            <w:r>
              <w:rPr>
                <w:b/>
                <w:color w:val="008000"/>
                <w:sz w:val="17"/>
              </w:rPr>
              <w:t>+1.7%</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7,388</w:t>
            </w:r>
          </w:p>
        </w:tc>
        <w:tc>
          <w:tcPr>
            <w:tcW w:type="dxa" w:w="1440"/>
            <w:shd w:fill="FAFAFA" w:val="clear"/>
          </w:tcPr>
          <w:p>
            <w:r>
              <w:rPr>
                <w:b/>
                <w:sz w:val="17"/>
              </w:rPr>
              <w:t>7,840</w:t>
            </w:r>
          </w:p>
        </w:tc>
        <w:tc>
          <w:tcPr>
            <w:tcW w:type="dxa" w:w="1440"/>
            <w:shd w:fill="FAFAFA" w:val="clear"/>
          </w:tcPr>
          <w:p>
            <w:r>
              <w:rPr>
                <w:sz w:val="17"/>
              </w:rPr>
              <w:t>8,292</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7,285</w:t>
            </w:r>
          </w:p>
        </w:tc>
        <w:tc>
          <w:tcPr>
            <w:tcW w:type="dxa" w:w="1440"/>
            <w:shd w:fill="FAFAFA" w:val="clear"/>
          </w:tcPr>
          <w:p>
            <w:r>
              <w:rPr>
                <w:b/>
                <w:sz w:val="17"/>
              </w:rPr>
              <w:t>7,805</w:t>
            </w:r>
          </w:p>
        </w:tc>
        <w:tc>
          <w:tcPr>
            <w:tcW w:type="dxa" w:w="1440"/>
            <w:shd w:fill="FAFAFA" w:val="clear"/>
          </w:tcPr>
          <w:p>
            <w:r>
              <w:rPr>
                <w:sz w:val="17"/>
              </w:rPr>
              <w:t>8,324</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7,192</w:t>
            </w:r>
          </w:p>
        </w:tc>
        <w:tc>
          <w:tcPr>
            <w:tcW w:type="dxa" w:w="1440"/>
            <w:shd w:fill="FAFAFA" w:val="clear"/>
          </w:tcPr>
          <w:p>
            <w:r>
              <w:rPr>
                <w:b/>
                <w:sz w:val="17"/>
              </w:rPr>
              <w:t>7,770</w:t>
            </w:r>
          </w:p>
        </w:tc>
        <w:tc>
          <w:tcPr>
            <w:tcW w:type="dxa" w:w="1440"/>
            <w:shd w:fill="FAFAFA" w:val="clear"/>
          </w:tcPr>
          <w:p>
            <w:r>
              <w:rPr>
                <w:sz w:val="17"/>
              </w:rPr>
              <w:t>8,348</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7,105</w:t>
            </w:r>
          </w:p>
        </w:tc>
        <w:tc>
          <w:tcPr>
            <w:tcW w:type="dxa" w:w="1440"/>
            <w:shd w:fill="FAFAFA" w:val="clear"/>
          </w:tcPr>
          <w:p>
            <w:r>
              <w:rPr>
                <w:b/>
                <w:sz w:val="17"/>
              </w:rPr>
              <w:t>7,736</w:t>
            </w:r>
          </w:p>
        </w:tc>
        <w:tc>
          <w:tcPr>
            <w:tcW w:type="dxa" w:w="1440"/>
            <w:shd w:fill="FAFAFA" w:val="clear"/>
          </w:tcPr>
          <w:p>
            <w:r>
              <w:rPr>
                <w:sz w:val="17"/>
              </w:rPr>
              <w:t>8,367</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7,025</w:t>
            </w:r>
          </w:p>
        </w:tc>
        <w:tc>
          <w:tcPr>
            <w:tcW w:type="dxa" w:w="1440"/>
            <w:shd w:fill="FAFAFA" w:val="clear"/>
          </w:tcPr>
          <w:p>
            <w:r>
              <w:rPr>
                <w:b/>
                <w:sz w:val="17"/>
              </w:rPr>
              <w:t>7,703</w:t>
            </w:r>
          </w:p>
        </w:tc>
        <w:tc>
          <w:tcPr>
            <w:tcW w:type="dxa" w:w="1440"/>
            <w:shd w:fill="FAFAFA" w:val="clear"/>
          </w:tcPr>
          <w:p>
            <w:r>
              <w:rPr>
                <w:sz w:val="17"/>
              </w:rPr>
              <w:t>8,382</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6,950</w:t>
            </w:r>
          </w:p>
        </w:tc>
        <w:tc>
          <w:tcPr>
            <w:tcW w:type="dxa" w:w="1440"/>
            <w:shd w:fill="FAFAFA" w:val="clear"/>
          </w:tcPr>
          <w:p>
            <w:r>
              <w:rPr>
                <w:b/>
                <w:sz w:val="17"/>
              </w:rPr>
              <w:t>7,672</w:t>
            </w:r>
          </w:p>
        </w:tc>
        <w:tc>
          <w:tcPr>
            <w:tcW w:type="dxa" w:w="1440"/>
            <w:shd w:fill="FAFAFA" w:val="clear"/>
          </w:tcPr>
          <w:p>
            <w:r>
              <w:rPr>
                <w:sz w:val="17"/>
              </w:rPr>
              <w:t>8,395</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6,879</w:t>
            </w:r>
          </w:p>
        </w:tc>
        <w:tc>
          <w:tcPr>
            <w:tcW w:type="dxa" w:w="1440"/>
            <w:shd w:fill="FAFAFA" w:val="clear"/>
          </w:tcPr>
          <w:p>
            <w:r>
              <w:rPr>
                <w:b/>
                <w:sz w:val="17"/>
              </w:rPr>
              <w:t>7,643</w:t>
            </w:r>
          </w:p>
        </w:tc>
        <w:tc>
          <w:tcPr>
            <w:tcW w:type="dxa" w:w="1440"/>
            <w:shd w:fill="FAFAFA" w:val="clear"/>
          </w:tcPr>
          <w:p>
            <w:r>
              <w:rPr>
                <w:sz w:val="17"/>
              </w:rPr>
              <w:t>8,406</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6,813</w:t>
            </w:r>
          </w:p>
        </w:tc>
        <w:tc>
          <w:tcPr>
            <w:tcW w:type="dxa" w:w="1440"/>
            <w:shd w:fill="FAFAFA" w:val="clear"/>
          </w:tcPr>
          <w:p>
            <w:r>
              <w:rPr>
                <w:b/>
                <w:sz w:val="17"/>
              </w:rPr>
              <w:t>7,614</w:t>
            </w:r>
          </w:p>
        </w:tc>
        <w:tc>
          <w:tcPr>
            <w:tcW w:type="dxa" w:w="1440"/>
            <w:shd w:fill="FAFAFA" w:val="clear"/>
          </w:tcPr>
          <w:p>
            <w:r>
              <w:rPr>
                <w:sz w:val="17"/>
              </w:rPr>
              <w:t>8,416</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119,81 milliards FCFA, PALC se positionne comme une valeur de premier plan de la cote BRVM, représentant un acteur agro-industriel structurant de la filière palmier à huile ivoirienne. Le BPA de 1 003 FCFA/action signifie que chaque titre génère un bénéfice net d'environ mille francs, ce qui, rapporté au cours actuel de 7 750 FCFA, donne un PER de 7,7x — nettement inférieur à la moyenne BRVM (8-12x), suggérant une sous-évaluation relative du titre par rapport à ses bénéfices. Le P/B de 0,84x (&lt; 1) indique que le marché valorise PALC en dessous de sa valeur comptable, une situation potentiellement opportuniste pour un investisseur value, d'autant que l'EV/EBITDA de 3,8x (&lt; 5x) traduit une valorisation très bon marché de la capacité opérationnelle de l'entreprise. L'ensemble de ces ratios dessine un profil de valorisation attractif, bien que le contexte de dégradation récente des résultats semestriels invite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quasi-nulle de +0,65%, mais la dernière séance (J-1) a enregistré une chute brutale de -7,46%, signalant un choc baissier récent. Le titre a évolué dans un range de 7 680 FCFA (plus bas) à 9 640 FCFA (plus haut), soit une amplitude d'environ 25%, et le cours actuel de 7 750 FCFA se situe dangereusement proche de son plancher, ce qui traduit une tendance baissière de court terme malgré une stabilité sur la période globale. Les statistiques descriptives révèlent une moyenne de 8 628 FCFA légèrement supérieure à la médiane de 8 690 FCFA, avec un mode à 8 300 FCFA, indiquant une distribution globalement symétrique (skewness de -0,210) mais avec une légère prédominance des valeurs basses récentes. L'écart-type de 470 FCFA (CV = 5,4%) témoigne d'une dispersion modérée du cours autour de sa moyenne, tandis que le kurtosis de -0,229 (mésokurtique) suggère une distribution proche de la normale, sans risque excessif de pics extrêmes. La volatilité annualisée de 34,1% classe PALC dans la catégorie des titres à volatilité élevée (&gt; 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(8 295,75 FCFA) et la MM50 (8 779,40 FCFA) se situent toutes deux au-dessus du cours actuel (7 750 FCFA), confirmant une configuration baissière où le titre évolue sous ses moyennes de référence. La MM20 étant inférieure à la MM50, on observe un croisement baissier (death cross) caractéristique d'une tendance négative, justifiant la décision technique de **Vente**.</w:t>
      </w:r>
    </w:p>
    <w:p>
      <w:pPr>
        <w:spacing w:after="120" w:line="276" w:lineRule="auto"/>
      </w:pPr>
      <w:r>
        <w:t>**Bandes de Bollinger** : Le cours actuel (7 750 FCFA) se situe en dessous de la borne inférieure des Bandes de Bollinger (7 887,03 FCFA), ce qui constitue un signal de survente extrême et suggère un potentiel rebond technique à court terme. Cette position hors bande, couplée à une borne supérieure à 8 704,47 FCFA, indique une volatilité accrue et justifie la décision d'**Achat** sur ce seul indicateur.</w:t>
      </w:r>
    </w:p>
    <w:p>
      <w:pPr>
        <w:spacing w:after="120" w:line="276" w:lineRule="auto"/>
      </w:pPr>
      <w:r>
        <w:t>**MACD** : La valeur du MACD (-183,793) est légèrement inférieure à son signal (-183,52), avec un histogramme négatif, confirmant un momentum baissier persistant. L'absence de divergence haussière visible et la position négative des deux lignes justifient la décision de **Vente**.</w:t>
      </w:r>
    </w:p>
    <w:p>
      <w:pPr>
        <w:spacing w:after="120" w:line="276" w:lineRule="auto"/>
      </w:pPr>
      <w:r>
        <w:t>**RSI** : Avec une valeur de 24,662, le RSI se situe nettement en zone de survente (&lt; 30), signalant que le titre a été massivement vendu et pourrait être proche d'un point de retournement. Cette configuration extrême justifie la décision d'**Achat** en anticipation d'un rebond technique.</w:t>
      </w:r>
    </w:p>
    <w:p>
      <w:pPr>
        <w:spacing w:after="120" w:line="276" w:lineRule="auto"/>
      </w:pPr>
      <w:r>
        <w:t>**Stochastique** : Le %K (0,0) est au plus bas absolu, tandis que le %D (39,261) reste en zone neutre-basse, avec un croisement potentiel à venir. La position extrême du %K en zone de survente profonde justifie la décision d'**Achat**, bien que la faiblesse du %D tempère l'optimisme.</w:t>
      </w:r>
    </w:p>
    <w:p>
      <w:pPr>
        <w:spacing w:after="120" w:line="276" w:lineRule="auto"/>
      </w:pPr>
      <w:r>
        <w:t>**Conclusion technique** : Les indicateurs présentent une divergence marquée : les moyennes mobiles et le MACD confirment une tendance baissière de fond, tandis que le RSI, le stochastique et les Bandes de Bollinger signalent une survente extrême propice à un rebond technique. Cette configuration contradictoire suggère une phase de capitulation potentielle, où le titre pourrait rebondir à court terme mais reste sous pression baissière structurelle. La prudence est de mise, et un signal de confirmation (croisement haussier du MACD ou sortie du RSI de la zone de survente) serait nécessaire pour valider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+14,78% par rapport à 2024 (172,2 milliards FCFA), portée par une hausse des volumes et des prix de l'huile de palme brute. Le résultat net s'établit à 15,51 milliards FCFA, avec une marge nette de 7,85%, un ROE de 10,87% et un ROA de 7,79%, des niveaux corrects mais en retrait par rapport aux performances historiques (marge nette de 9,2% en 2024, ROE de 11,9%). La structure financière reste très solide, avec une autonomie financière de 71,64% (capitaux propres de 142,64 milliards FCFA pour un total bilan de 199,12 milliards FCFA), un ratio d'endettement quasi-nul (0,56%) et une trésorerie nette négative de -4,56 milliards FCFA, point de vigilance modéré. Les délais clients s'élèvent à 142,58 jours (élevé, signalant un risque de trésorerie) et la durée de stockage à 14,55 jours, tandis que le BFR de 44,62 milliards FCFA pèse sur la liquidité. Les rapports trimestriels récents révèlent une dégradation marquée : au S1 2026 (rapport du 30 juin 2026, analysé le 7 octobre 2026), le CA chute de -15% à 114,73 milliards FCFA et le résultat net de -41% à 13,53 milliards FCFA (marge nette de 11,8%), tandis qu'au T1 2026 (rapport du 31 mars 2026), le CA s'effondre de -27% à 49,4 milliards FCFA et le résultat net de -86% à 1,6 milliard FCFA. Le management attribue cette contre-performance à un décalage temporel des ventes (stocks de produits finis en cours d'écoulement) et anticipe un résultat net annuel 2026 positif, proche de celui de 2025. La politique de dividende, avec un DPA de 502 FCFA en 2025 (vs 620 FCFA en 2024), soit un payout de 50,2%, offre un rendement attractif d'environ 6,5% au cours actuel de 7 750 FCFA. En synthèse, PALC présente des fondamentaux solides (structure financière saine, position dominante, dividende généreux) mais fait face à une dégradation conjoncturelle de sa rentabilité, qui pourrait se poursuivre si les volumes vendus ne se redressent pas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nettement sous-évaluée (PER de 7,7x &lt; moyenne BRVM, P/B de 0,84x &lt; 1, EV/EBITDA de 3,8x &lt; 5x), offrant une marge de sécurité intéressante pour un investisseur value. Le comportement du cours est préoccupant à court terme (chute de -7,46% en J-1, cours proche du plus bas de 7 680 FCFA, volatilité élevée de 34,1%), mais les statistiques descriptives (distribution symétrique, kurtosis mésokurtique) n'indiquent pas de risque extrême de queue. Les signaux techniques sont divergents : baissiers pour les MM et le MACD, haussiers pour le RSI (survente à 24,66), le stochastique (%K à 0) et les Bandes de Bollinger (cours sous la borne inférieure), suggérant un potentiel rebond technique à court terme mais une tendance de fond encore négative. Les fondamentaux sont contrastés : solidité financière (autonomie de 71,64%, endettement quasi-nul) et dividende attractif (rendement ~6,5%), mais dégradation marquée des résultats au S1 2026 (CA -15%, RN -41%) et au T1 2026 (RN -86%), avec une guidance managériale optimiste mais incertaine. Les prédictions IA (J+1 à J+10) anticipent une légère reprise à 7 961 FCFA le 9 octobre 2026, suivie d'une stabilisation autour de 7 770-7 880 FCFA, confirmant un scénario de rebond technique modéré sans retournement majeur. **Recommandation finale : CONSERVER**, avec un niveau de confiance **Moyen** et un risque global **Élevé**. La convergence entre valorisation attractive, signaux techniques de survente et fondamentaux solides mais dégradés plaide pour une position attentiste, en attendant la confirmation d'une reprise des volumes au S2 2026 et la publication des résultats annuels 2026. Un passage à l'ACHAT serait justifié si le titre confirme un rebond au-dessus de 8 300 FCFA (MM20) avec une amélioration des volumes, tandis qu'une VENTE serait prématurée au vu des perspectives annuelles annoncées. **Horizon d'investissement optimal : moyen terme (3-12 mois)**, avec un suivi trimestriel des marges, de la trésorerie et des cours de l'huile de palme.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1,118 titres</w:t>
            </w:r>
          </w:p>
        </w:tc>
        <w:tc>
          <w:tcPr>
            <w:tcW w:type="dxa" w:w="2268"/>
            <w:shd w:fill="FFF2CC" w:val="clear"/>
          </w:tcPr>
          <w:p>
            <w:r>
              <w:rPr>
                <w:b/>
                <w:color w:val="503200"/>
                <w:sz w:val="16"/>
              </w:rPr>
              <w:t xml:space="preserve">Cours actuel : </w:t>
            </w:r>
            <w:r>
              <w:rPr>
                <w:color w:val="000000"/>
                <w:sz w:val="17"/>
              </w:rPr>
              <w:t>4,330 FCFA</w:t>
            </w:r>
          </w:p>
          <w:p>
            <w:r>
              <w:rPr>
                <w:b/>
                <w:color w:val="503200"/>
                <w:sz w:val="16"/>
              </w:rPr>
              <w:t xml:space="preserve">Var. 100 jours : </w:t>
            </w:r>
            <w:r>
              <w:rPr>
                <w:b/>
                <w:color w:val="007800"/>
                <w:sz w:val="17"/>
              </w:rPr>
              <w:t>+17.19%</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5.25% (Moyenne) — μ=4,365 FCFA, σ=229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β=-0.1698 (Contre-cyclique) — Cov=-0.000013, Var(idx)=0.000074, ρ=-0.059,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4,107</w:t>
            </w:r>
          </w:p>
        </w:tc>
        <w:tc>
          <w:tcPr>
            <w:tcW w:type="dxa" w:w="1440"/>
            <w:shd w:fill="FAFAFA" w:val="clear"/>
          </w:tcPr>
          <w:p>
            <w:r>
              <w:rPr>
                <w:b/>
                <w:sz w:val="17"/>
              </w:rPr>
              <w:t>4,305</w:t>
            </w:r>
          </w:p>
        </w:tc>
        <w:tc>
          <w:tcPr>
            <w:tcW w:type="dxa" w:w="1440"/>
            <w:shd w:fill="FAFAFA" w:val="clear"/>
          </w:tcPr>
          <w:p>
            <w:r>
              <w:rPr>
                <w:sz w:val="17"/>
              </w:rPr>
              <w:t>4,502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4,025</w:t>
            </w:r>
          </w:p>
        </w:tc>
        <w:tc>
          <w:tcPr>
            <w:tcW w:type="dxa" w:w="1440"/>
            <w:shd w:fill="FAFAFA" w:val="clear"/>
          </w:tcPr>
          <w:p>
            <w:r>
              <w:rPr>
                <w:b/>
                <w:sz w:val="17"/>
              </w:rPr>
              <w:t>4,304</w:t>
            </w:r>
          </w:p>
        </w:tc>
        <w:tc>
          <w:tcPr>
            <w:tcW w:type="dxa" w:w="1440"/>
            <w:shd w:fill="FAFAFA" w:val="clear"/>
          </w:tcPr>
          <w:p>
            <w:r>
              <w:rPr>
                <w:sz w:val="17"/>
              </w:rPr>
              <w:t>4,584</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3,951</w:t>
            </w:r>
          </w:p>
        </w:tc>
        <w:tc>
          <w:tcPr>
            <w:tcW w:type="dxa" w:w="1440"/>
            <w:shd w:fill="FAFAFA" w:val="clear"/>
          </w:tcPr>
          <w:p>
            <w:r>
              <w:rPr>
                <w:b/>
                <w:sz w:val="17"/>
              </w:rPr>
              <w:t>4,292</w:t>
            </w:r>
          </w:p>
        </w:tc>
        <w:tc>
          <w:tcPr>
            <w:tcW w:type="dxa" w:w="1440"/>
            <w:shd w:fill="FAFAFA" w:val="clear"/>
          </w:tcPr>
          <w:p>
            <w:r>
              <w:rPr>
                <w:sz w:val="17"/>
              </w:rPr>
              <w:t>4,634</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3,890</w:t>
            </w:r>
          </w:p>
        </w:tc>
        <w:tc>
          <w:tcPr>
            <w:tcW w:type="dxa" w:w="1440"/>
            <w:shd w:fill="FAFAFA" w:val="clear"/>
          </w:tcPr>
          <w:p>
            <w:r>
              <w:rPr>
                <w:b/>
                <w:sz w:val="17"/>
              </w:rPr>
              <w:t>4,283</w:t>
            </w:r>
          </w:p>
        </w:tc>
        <w:tc>
          <w:tcPr>
            <w:tcW w:type="dxa" w:w="1440"/>
            <w:shd w:fill="FAFAFA" w:val="clear"/>
          </w:tcPr>
          <w:p>
            <w:r>
              <w:rPr>
                <w:sz w:val="17"/>
              </w:rPr>
              <w:t>4,676</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3,837</w:t>
            </w:r>
          </w:p>
        </w:tc>
        <w:tc>
          <w:tcPr>
            <w:tcW w:type="dxa" w:w="1440"/>
            <w:shd w:fill="FAFAFA" w:val="clear"/>
          </w:tcPr>
          <w:p>
            <w:r>
              <w:rPr>
                <w:b/>
                <w:sz w:val="17"/>
              </w:rPr>
              <w:t>4,275</w:t>
            </w:r>
          </w:p>
        </w:tc>
        <w:tc>
          <w:tcPr>
            <w:tcW w:type="dxa" w:w="1440"/>
            <w:shd w:fill="FAFAFA" w:val="clear"/>
          </w:tcPr>
          <w:p>
            <w:r>
              <w:rPr>
                <w:sz w:val="17"/>
              </w:rPr>
              <w:t>4,714</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3,789</w:t>
            </w:r>
          </w:p>
        </w:tc>
        <w:tc>
          <w:tcPr>
            <w:tcW w:type="dxa" w:w="1440"/>
            <w:shd w:fill="FAFAFA" w:val="clear"/>
          </w:tcPr>
          <w:p>
            <w:r>
              <w:rPr>
                <w:b/>
                <w:sz w:val="17"/>
              </w:rPr>
              <w:t>4,269</w:t>
            </w:r>
          </w:p>
        </w:tc>
        <w:tc>
          <w:tcPr>
            <w:tcW w:type="dxa" w:w="1440"/>
            <w:shd w:fill="FAFAFA" w:val="clear"/>
          </w:tcPr>
          <w:p>
            <w:r>
              <w:rPr>
                <w:sz w:val="17"/>
              </w:rPr>
              <w:t>4,749</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3,744</w:t>
            </w:r>
          </w:p>
        </w:tc>
        <w:tc>
          <w:tcPr>
            <w:tcW w:type="dxa" w:w="1440"/>
            <w:shd w:fill="FAFAFA" w:val="clear"/>
          </w:tcPr>
          <w:p>
            <w:r>
              <w:rPr>
                <w:b/>
                <w:sz w:val="17"/>
              </w:rPr>
              <w:t>4,262</w:t>
            </w:r>
          </w:p>
        </w:tc>
        <w:tc>
          <w:tcPr>
            <w:tcW w:type="dxa" w:w="1440"/>
            <w:shd w:fill="FAFAFA" w:val="clear"/>
          </w:tcPr>
          <w:p>
            <w:r>
              <w:rPr>
                <w:sz w:val="17"/>
              </w:rPr>
              <w:t>4,780</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3,703</w:t>
            </w:r>
          </w:p>
        </w:tc>
        <w:tc>
          <w:tcPr>
            <w:tcW w:type="dxa" w:w="1440"/>
            <w:shd w:fill="FAFAFA" w:val="clear"/>
          </w:tcPr>
          <w:p>
            <w:r>
              <w:rPr>
                <w:b/>
                <w:sz w:val="17"/>
              </w:rPr>
              <w:t>4,255</w:t>
            </w:r>
          </w:p>
        </w:tc>
        <w:tc>
          <w:tcPr>
            <w:tcW w:type="dxa" w:w="1440"/>
            <w:shd w:fill="FAFAFA" w:val="clear"/>
          </w:tcPr>
          <w:p>
            <w:r>
              <w:rPr>
                <w:sz w:val="17"/>
              </w:rPr>
              <w:t>4,808</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3,664</w:t>
            </w:r>
          </w:p>
        </w:tc>
        <w:tc>
          <w:tcPr>
            <w:tcW w:type="dxa" w:w="1440"/>
            <w:shd w:fill="FAFAFA" w:val="clear"/>
          </w:tcPr>
          <w:p>
            <w:r>
              <w:rPr>
                <w:b/>
                <w:sz w:val="17"/>
              </w:rPr>
              <w:t>4,249</w:t>
            </w:r>
          </w:p>
        </w:tc>
        <w:tc>
          <w:tcPr>
            <w:tcW w:type="dxa" w:w="1440"/>
            <w:shd w:fill="FAFAFA" w:val="clear"/>
          </w:tcPr>
          <w:p>
            <w:r>
              <w:rPr>
                <w:sz w:val="17"/>
              </w:rPr>
              <w:t>4,834</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3,627</w:t>
            </w:r>
          </w:p>
        </w:tc>
        <w:tc>
          <w:tcPr>
            <w:tcW w:type="dxa" w:w="1440"/>
            <w:shd w:fill="FFDCE0" w:val="clear"/>
          </w:tcPr>
          <w:p>
            <w:r>
              <w:rPr>
                <w:b/>
                <w:sz w:val="17"/>
              </w:rPr>
              <w:t>4,243</w:t>
            </w:r>
          </w:p>
        </w:tc>
        <w:tc>
          <w:tcPr>
            <w:tcW w:type="dxa" w:w="1440"/>
            <w:shd w:fill="FFDCE0" w:val="clear"/>
          </w:tcPr>
          <w:p>
            <w:r>
              <w:rPr>
                <w:sz w:val="17"/>
              </w:rPr>
              <w:t>4,858</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44,34 milliards FCFA, PRSC se positionne comme une valeur de taille moyenne sur le compartiment des entreprises non bancaires de la BRVM, représentant un poids significatif dans l'indice BRVM Composite. Le BPA de 231 FCFA/action signifie que chaque titre génère près de 231 FCFA de bénéfice net, un niveau appréciable pour une société de distribution automobile. Le PER de 18,7x traduit une valorisation modérée mais supérieure à la moyenne du marché BRVM (généralement 8-12x), ce qui indique que les investisseurs acceptent de payer une prime pour la qualité de la croissance et la solidité du dividende. Le P/B de 3,85x confirme cette prime de croissance : le marché valorise l'action près de quatre fois sa valeur comptable, signe de confiance dans la capacité bénéficiaire future. Enfin, l'EV/EBITDA de 9,6x, dans la fourchette raisonnable de 5-10x, suggère que la valeur totale de l'entreprise (incluant la dette) reste cohérente avec sa capacité opérationnelle, sans exagération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performance remarquable de +17,19%, bien que la dernière séance (J-1) marque un léger repli de -0,23%, signalant une pause dans le mouvement haussier. Le cours actuel de 4 330 FCFA se situe dans la partie haute du range de trading établi entre un plus bas de 3 620 FCFA et un plus haut de 4 740 FCFA, ce qui traduit une tendance générale haussière soutenue par un volume moyen quotidien de 1 118 titres. Les statistiques descriptives révèlent une moyenne de 4 365 FCFA légèrement supérieure à la médiane de 4 402 FCFA, avec un mode à 4 400 FCFA, indiquant une concentration des échanges autour de ce niveau pivot. L'écart-type de 230 FCFA (CV=5,3%) témoigne d'une dispersion modérée du cours, tandis que le kurtosis de 1,581 (leptokurtique) signale des queues épaisses et un risque de pics de volatilité brutaux. Le skewness de -1,243 (asymétrie négative) indique que le titre a passé plus de journées au-dessus de sa moyenne, mais avec des corrections ponctuelles plus marquées. La volatilité annualisée de 39,9% classe PRSC dans la catégorie des titres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4 225,25 FCFA et la MM50 à 4 363,40 FCFA, tandis que le cours actuel (4 330 FCFA) se situe au-dessus de la MM20 mais en dessous de la MM50. Cette configuration indique une pression baissière de court terme, la MM50 faisant office de résistance dynamique. La décision technique qui en résulte est "Vente", confirmant la perte de momentum haussier immédiat.</w:t>
      </w:r>
    </w:p>
    <w:p>
      <w:pPr>
        <w:spacing w:after="120" w:line="276" w:lineRule="auto"/>
      </w:pPr>
      <w:r>
        <w:t>**Bandes de Bollinger** : Les bornes supérieure (4 600,995 FCFA) et inférieure (3 849,505 FCFA) encadrent un cours actuel de 4 330 FCFA, positionné légèrement au-dessus de la bande médiane. L'amplitude des bandes reflète une volatilité encore présente mais sans excès, et la décision "Neutre" suggère l'absence de signal directionnel fort, le titre évoluant dans un canal sans pression extrême.</w:t>
      </w:r>
    </w:p>
    <w:p>
      <w:pPr>
        <w:spacing w:after="120" w:line="276" w:lineRule="auto"/>
      </w:pPr>
      <w:r>
        <w:t>**MACD** : La valeur du MACD (-69,674) est supérieure à son signal (-89,328), générant un croisement haussier et une décision "Achat". Cette divergence positive indique un essoufflement de la dynamique baissière et un possible retournement du momentum à court terme, bien que les deux lignes restent en territoire négatif.</w:t>
      </w:r>
    </w:p>
    <w:p>
      <w:pPr>
        <w:spacing w:after="120" w:line="276" w:lineRule="auto"/>
      </w:pPr>
      <w:r>
        <w:t>**RSI** : À 45,739, le RSI se situe dans la zone neutre (30-70), sans signal de surachat ni de survente. La décision "Neutre" reflète un équilibre entre acheteurs et vendeurs, le titre ne présentant ni excès haussier ni pression vendeuse excessive.</w:t>
      </w:r>
    </w:p>
    <w:p>
      <w:pPr>
        <w:spacing w:after="120" w:line="276" w:lineRule="auto"/>
      </w:pPr>
      <w:r>
        <w:t>**Stochastique** : Le %K (97,959) est très proche de son maximum et nettement supérieur au %D (73,658), signalant une condition de surachat marquée. La décision "Vente" suggère qu'un repli technique est probable à court terme, le croisement des lignes étant imminent.</w:t>
      </w:r>
    </w:p>
    <w:p>
      <w:pPr>
        <w:spacing w:after="120" w:line="276" w:lineRule="auto"/>
      </w:pPr>
      <w:r>
        <w:t>**Conclusion technique** : Les indicateurs présentent un tableau mitigé. Le MACD plaide pour un rebond, mais les moyennes mobiles (MM50 résistance) et le stochastique (surachat) recommandent la prudence. Le RSI et les Bollinger confirment une absence de tendance claire. La convergence des signaux "Vente" (MM, Stochastique) face à un signal "Achat" isolé (MACD) suggère une consolidation, voire une correction à court terme, avant toute reprise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PRSC (Tractafric Motors CI) affiche un chiffre d'affaires de 81,127 milliards FCFA, en croissance de 9,5% par rapport à 2024 (74,45 milliards FCFA selon le rapport Mistral du 30/03/2026). Le résultat net s'établit à 2,367 milliards FCFA, stable par rapport aux 2,35 milliards de 2024, avec une marge nette de 2,92%. Le ROE atteint 20,53% (excellent, &gt;15%), tandis que le ROA est de 4,95%, reflétant une rotation des actifs de 169,6%. La structure financière reste équilibrée avec des capitaux propres de 11,531 milliards FCFA et une autonomie financière de 24,1% (légèrement sous le seuil de 30%). Le BFR de 11,267 milliards FCFA est positif, ce qui constitue un point de vigilance pour une entreprise de distribution, tout comme les délais clients (45,99 jours) et la durée de stockage (150,51 jours), élevés mais typiques du secteur automobile. La trésorerie nette est négative à -4,092 milliards FCFA, et le flux opérationnel ressort à -1,855 milliards FCFA, signalant une pression sur la liquidité malgré une CAF solide de 3,913 milliards FCFA.</w:t>
      </w:r>
    </w:p>
    <w:p>
      <w:pPr>
        <w:spacing w:after="120" w:line="276" w:lineRule="auto"/>
      </w:pPr>
      <w:r>
        <w:t>**Estimations basées sur les rapports trimestriels** : Le rapport d'activité du S1 2025 (analysé le 15/03/2026) fait état d'un CA de 39,968 milliards FCFA (+15,1% vs S1 2024) et d'un résultat net de 1,436 milliard FCFA (×28 vs S1 2024), avec une marge nette de 3,6%. Sur cette base, on estime que l'exercice 2025 devrait confirmer cette dynamique, avec un résultat net annuel proche de 2,37 milliards FCFA (cohérent avec les données structurées). Le rapport du 30/03/2026 sur l'exercice 2024 souligne une baisse du CA de 4,15% mais une amélioration de la marge nette à 2,92%, ainsi qu'une absence de dividende en 2024. Toutefois, l'avis de convocation à l'AG mixte du 30 juin 2026 (document du 15/06/2026) annonce un dividende de 209 FCFA brut par action au titre de 2025, soit un rendement attractif de 4,8% au cours actuel de 4 330 FCFA.</w:t>
      </w:r>
    </w:p>
    <w:p>
      <w:pPr>
        <w:spacing w:after="120" w:line="276" w:lineRule="auto"/>
      </w:pPr>
      <w:r>
        <w:t>**Recommandation fondamentale** : PRSC présente un profil de croissance solide (CA +9,5% en 2025), une rentabilité en amélioration (ROE &gt;20%) et un dividende attractif. Les risques résident dans la faiblesse de la marge nette (2,9%), la pression sur la trésorerie (flux opérationnel négatif) et un BFR élevé. La société reste néanmoins solvable (solvabilité générale de 131,8%) et bénéficie d'un leadership sur le marché automobile ivoirien. Recommandation : **CONSERVER** avec un biais positif, en surveillant l'évolution de la trésorerie et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18,7x et le P/B de 3,85x indiquent une légère surévaluation par rapport à la moyenne du marché BRVM, mais justifiée par la qualité de la croissance et le rendement du dividende (4,8%). **Comportement du cours (Partie 1)** : la tendance haussière de +17,19% sur 100 jours est impressionnante, mais la volatilité élevée (39,9%) et le skewness négatif (-1,243) suggèrent des corrections brutales possibles, tandis que le kurtosis (1,581) confirme un risque de pics. **Signaux techniques (Partie 2)** : la divergence entre le MACD (Achat) et les autres indicateurs (Vente/Neutre) plaide pour une consolidation à court terme, avec une résistance majeure à 4 363 FCFA (MM50). **Fondamentaux (Partie 3)** : la société affiche une croissance robuste (CA +9,5% en 2025), un ROE excellent (20,5%) et un dividende attractif, mais des marges faibles et une trésorerie sous tension. **Prédictions IA (J+1 à J+10)** : la trajectoire baissière anticipée (4 305 → 4 275 FCFA) confirme les signaux techniques de correction à court terme, en ligne avec le stochastique en surachat.</w:t>
      </w:r>
    </w:p>
    <w:p>
      <w:pPr>
        <w:spacing w:after="120" w:line="276" w:lineRule="auto"/>
      </w:pPr>
      <w:r>
        <w:t>**Recommandation finale** : **CONSERVER**. La convergence entre une valorisation légèrement tendue, des signaux techniques mitigés (MACD haussier mais stochastique en surachat) et des fondamentaux solides mais perfectibles justifie une position attentiste. Le dividende de 209 FCFA (rendement 4,8%) et la croissance du CA soutiennent le titre à moyen terme, mais la pression sur la trésorerie et la volatilité élevée incitent à la prudence. **Niveau de confiance** : Moyen. **Niveau de risque** : Élevé (volatilité 39,9%, BFR élevé, trésorerie négative). **Horizon d'investissement optimal** : Moyen terme (3-12 mois), en attendant la confirmation de l'amélioration de la marge nette et de la trésorerie, ainsi que la mise en paiement effective du dividende (prévue au plus tard le 30 septembre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8,235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+1.50%</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15.28% (Élevée) — μ=4,671 FCFA, σ=714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β=1.2968 (Agressif) — Cov=0.000096, Var(idx)=0.000074, ρ=0.289,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8,235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3,721</w:t>
            </w:r>
          </w:p>
        </w:tc>
        <w:tc>
          <w:tcPr>
            <w:tcW w:type="dxa" w:w="1440"/>
            <w:shd w:fill="FAFAFA" w:val="clear"/>
          </w:tcPr>
          <w:p>
            <w:r>
              <w:rPr>
                <w:b/>
                <w:sz w:val="17"/>
              </w:rPr>
              <w:t>4,019</w:t>
            </w:r>
          </w:p>
        </w:tc>
        <w:tc>
          <w:tcPr>
            <w:tcW w:type="dxa" w:w="1440"/>
            <w:shd w:fill="FAFAFA" w:val="clear"/>
          </w:tcPr>
          <w:p>
            <w:r>
              <w:rPr>
                <w:sz w:val="17"/>
              </w:rPr>
              <w:t>4,317</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3,554</w:t>
            </w:r>
          </w:p>
        </w:tc>
        <w:tc>
          <w:tcPr>
            <w:tcW w:type="dxa" w:w="1440"/>
            <w:shd w:fill="FAFAFA" w:val="clear"/>
          </w:tcPr>
          <w:p>
            <w:r>
              <w:rPr>
                <w:b/>
                <w:sz w:val="17"/>
              </w:rPr>
              <w:t>3,970</w:t>
            </w:r>
          </w:p>
        </w:tc>
        <w:tc>
          <w:tcPr>
            <w:tcW w:type="dxa" w:w="1440"/>
            <w:shd w:fill="FAFAFA" w:val="clear"/>
          </w:tcPr>
          <w:p>
            <w:r>
              <w:rPr>
                <w:sz w:val="17"/>
              </w:rPr>
              <w:t>4,387</w:t>
            </w:r>
          </w:p>
        </w:tc>
        <w:tc>
          <w:tcPr>
            <w:tcW w:type="dxa" w:w="1440"/>
            <w:shd w:fill="FAFAFA" w:val="clear"/>
          </w:tcPr>
          <w:p>
            <w:r>
              <w:rPr>
                <w:b/>
                <w:color w:val="C00000"/>
                <w:sz w:val="17"/>
              </w:rPr>
              <w:t>-2.0%</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3,467</w:t>
            </w:r>
          </w:p>
        </w:tc>
        <w:tc>
          <w:tcPr>
            <w:tcW w:type="dxa" w:w="1440"/>
            <w:shd w:fill="FAFAFA" w:val="clear"/>
          </w:tcPr>
          <w:p>
            <w:r>
              <w:rPr>
                <w:b/>
                <w:sz w:val="17"/>
              </w:rPr>
              <w:t>3,977</w:t>
            </w:r>
          </w:p>
        </w:tc>
        <w:tc>
          <w:tcPr>
            <w:tcW w:type="dxa" w:w="1440"/>
            <w:shd w:fill="FAFAFA" w:val="clear"/>
          </w:tcPr>
          <w:p>
            <w:r>
              <w:rPr>
                <w:sz w:val="17"/>
              </w:rPr>
              <w:t>4,488</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3,401</w:t>
            </w:r>
          </w:p>
        </w:tc>
        <w:tc>
          <w:tcPr>
            <w:tcW w:type="dxa" w:w="1440"/>
            <w:shd w:fill="FAFAFA" w:val="clear"/>
          </w:tcPr>
          <w:p>
            <w:r>
              <w:rPr>
                <w:b/>
                <w:sz w:val="17"/>
              </w:rPr>
              <w:t>3,993</w:t>
            </w:r>
          </w:p>
        </w:tc>
        <w:tc>
          <w:tcPr>
            <w:tcW w:type="dxa" w:w="1440"/>
            <w:shd w:fill="FAFAFA" w:val="clear"/>
          </w:tcPr>
          <w:p>
            <w:r>
              <w:rPr>
                <w:sz w:val="17"/>
              </w:rPr>
              <w:t>4,585</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3,343</w:t>
            </w:r>
          </w:p>
        </w:tc>
        <w:tc>
          <w:tcPr>
            <w:tcW w:type="dxa" w:w="1440"/>
            <w:shd w:fill="FAFAFA" w:val="clear"/>
          </w:tcPr>
          <w:p>
            <w:r>
              <w:rPr>
                <w:b/>
                <w:sz w:val="17"/>
              </w:rPr>
              <w:t>4,007</w:t>
            </w:r>
          </w:p>
        </w:tc>
        <w:tc>
          <w:tcPr>
            <w:tcW w:type="dxa" w:w="1440"/>
            <w:shd w:fill="FAFAFA" w:val="clear"/>
          </w:tcPr>
          <w:p>
            <w:r>
              <w:rPr>
                <w:sz w:val="17"/>
              </w:rPr>
              <w:t>4,671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3,289</w:t>
            </w:r>
          </w:p>
        </w:tc>
        <w:tc>
          <w:tcPr>
            <w:tcW w:type="dxa" w:w="1440"/>
            <w:shd w:fill="FAFAFA" w:val="clear"/>
          </w:tcPr>
          <w:p>
            <w:r>
              <w:rPr>
                <w:b/>
                <w:sz w:val="17"/>
              </w:rPr>
              <w:t>4,019</w:t>
            </w:r>
          </w:p>
        </w:tc>
        <w:tc>
          <w:tcPr>
            <w:tcW w:type="dxa" w:w="1440"/>
            <w:shd w:fill="FAFAFA" w:val="clear"/>
          </w:tcPr>
          <w:p>
            <w:r>
              <w:rPr>
                <w:sz w:val="17"/>
              </w:rPr>
              <w:t>4,749</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3,240</w:t>
            </w:r>
          </w:p>
        </w:tc>
        <w:tc>
          <w:tcPr>
            <w:tcW w:type="dxa" w:w="1440"/>
            <w:shd w:fill="FAFAFA" w:val="clear"/>
          </w:tcPr>
          <w:p>
            <w:r>
              <w:rPr>
                <w:b/>
                <w:sz w:val="17"/>
              </w:rPr>
              <w:t>4,030</w:t>
            </w:r>
          </w:p>
        </w:tc>
        <w:tc>
          <w:tcPr>
            <w:tcW w:type="dxa" w:w="1440"/>
            <w:shd w:fill="FAFAFA" w:val="clear"/>
          </w:tcPr>
          <w:p>
            <w:r>
              <w:rPr>
                <w:sz w:val="17"/>
              </w:rPr>
              <w:t>4,820</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3,193</w:t>
            </w:r>
          </w:p>
        </w:tc>
        <w:tc>
          <w:tcPr>
            <w:tcW w:type="dxa" w:w="1440"/>
            <w:shd w:fill="FAFAFA" w:val="clear"/>
          </w:tcPr>
          <w:p>
            <w:r>
              <w:rPr>
                <w:b/>
                <w:sz w:val="17"/>
              </w:rPr>
              <w:t>4,040</w:t>
            </w:r>
          </w:p>
        </w:tc>
        <w:tc>
          <w:tcPr>
            <w:tcW w:type="dxa" w:w="1440"/>
            <w:shd w:fill="FAFAFA" w:val="clear"/>
          </w:tcPr>
          <w:p>
            <w:r>
              <w:rPr>
                <w:sz w:val="17"/>
              </w:rPr>
              <w:t>4,887</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3,148</w:t>
            </w:r>
          </w:p>
        </w:tc>
        <w:tc>
          <w:tcPr>
            <w:tcW w:type="dxa" w:w="1440"/>
            <w:shd w:fill="FAFAFA" w:val="clear"/>
          </w:tcPr>
          <w:p>
            <w:r>
              <w:rPr>
                <w:b/>
                <w:sz w:val="17"/>
              </w:rPr>
              <w:t>4,048</w:t>
            </w:r>
          </w:p>
        </w:tc>
        <w:tc>
          <w:tcPr>
            <w:tcW w:type="dxa" w:w="1440"/>
            <w:shd w:fill="FAFAFA" w:val="clear"/>
          </w:tcPr>
          <w:p>
            <w:r>
              <w:rPr>
                <w:sz w:val="17"/>
              </w:rPr>
              <w:t>4,949</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3,105</w:t>
            </w:r>
          </w:p>
        </w:tc>
        <w:tc>
          <w:tcPr>
            <w:tcW w:type="dxa" w:w="1440"/>
            <w:shd w:fill="FAFAFA" w:val="clear"/>
          </w:tcPr>
          <w:p>
            <w:r>
              <w:rPr>
                <w:b/>
                <w:sz w:val="17"/>
              </w:rPr>
              <w:t>4,056</w:t>
            </w:r>
          </w:p>
        </w:tc>
        <w:tc>
          <w:tcPr>
            <w:tcW w:type="dxa" w:w="1440"/>
            <w:shd w:fill="FAFAFA" w:val="clear"/>
          </w:tcPr>
          <w:p>
            <w:r>
              <w:rPr>
                <w:sz w:val="17"/>
              </w:rPr>
              <w:t>5,007</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**48,07 Mds FCFA**, un niveau modeste à l'échelle de la BRVM qui la classe parmi les valeurs de petite capitalisation, ce qui implique une liquidité limitée et une sensibilité accrue aux mouvements de faible volume. Le **BPA de 59 FCFA/action** traduit la contribution bénéficiaire de chaque titre, mais rapporté au cours actuel de 4 050 FCFA, il génère un **PER de 68,6x**, très largement supérieur à la moyenne BRVM (~8-12x) : les investisseurs paient donc très cher chaque franc de bénéfice, ce qui intègre déjà une forte anticipation de croissance future. Le **P/B de 8,13x** (bien au-delà du seuil de 4x) indique que le marché valorise la société à plus de huit fois sa valeur comptable, une prime exigeante qui se justifie uniquement par la dynamique de redressement en cours. Enfin, l'**EV/EBITDA de 82,1x** (très supérieur au seuil de 15x) signale que la valeur d'entreprise est déconnectée de la capacité opérationnelle actuelle, confirmant une valorisation tendue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quasi stable de +1,50%**, mais la dernière séance (J-1) a enregistré une **chute brutale de -5,70%**, signalant une pression vendeuse récente. Le cours actuel de **4 050 FCFA** se situe dans la moitié basse du range de trading, loin du plus haut de **6 200 FCFA** et à peine au-dessus du plus bas de **3 595 FCFA**, ce qui traduit une tendance générale baissière depuis les sommets, avec une érosion progressive des gains. Les statistiques descriptives révèlent une **moyenne de 4 671 FCFA** supérieure à la **médiane de 4 580 FCFA**, suggérant une légère asymétrie positive portée par quelques pics hauts, tandis que le **mode à 3 700 FCFA** indique que le prix le plus fréquemment traité se situe bien en dessous du cours actuel. L'**écart-type de 717 FCFA** avec un **coefficient de variation de 15,4%** traduit une dispersion modérée autour de la moyenne, mais la **volatilité annualisée de 61,2%** classe le titre dans la catégorie des valeurs très volatiles (&gt;30%), exposant l'investisseur à des variations erratiques. Le **kurtosis de -0,881** (mésokurtique) indique une distribution proche de la normale, sans risque de pics extrêmes marqués, tandis que le **skewness de 0,357** confirme une distribution légèrement étalée vers la droite, cohérente avec les pics hauts observés.</w:t>
      </w:r>
    </w:p>
    <w:p>
      <w:pPr>
        <w:spacing w:after="120" w:line="276" w:lineRule="auto"/>
      </w:pPr>
      <w:r>
        <w:t>---</w:t>
      </w:r>
    </w:p>
    <w:p>
      <w:pPr>
        <w:spacing w:after="120" w:line="276" w:lineRule="auto"/>
      </w:pPr>
      <w:r>
        <w:t>## PARTIE 2 : ANALYSE TECHNIQUE DÉTAILLÉE</w:t>
      </w:r>
    </w:p>
    <w:p>
      <w:pPr>
        <w:spacing w:after="120" w:line="276" w:lineRule="auto"/>
      </w:pPr>
      <w:r>
        <w:t>**Moyennes Mobiles** : La MM20 (4 615 FCFA) et la MM50 (5 166,6 FCFA) se situent toutes deux **au-dessus du cours actuel** (4 050 FCFA), avec la MM20 sous la MM50, configuration baissière caractéristique d'un marché en repli. Le cours évoluant sous ses deux moyennes, la pression vendeuse domine et justifie la **décision de Vente** émise par cet indicateur.</w:t>
      </w:r>
    </w:p>
    <w:p>
      <w:pPr>
        <w:spacing w:after="120" w:line="276" w:lineRule="auto"/>
      </w:pPr>
      <w:r>
        <w:t>**Bandes de Bollinger** : Le cours (4 050 FCFA) se situe dans la partie basse de la bande, entre la borne inférieure (3 701,97 FCFA) et la borne supérieure (5 528,03 FCFA), sans franchissement de seuil extrême. Cette position médiane-basse dans un canal large reflète une volatilité élevée mais sans signal de retournement imminent, d'où la **décision Neutre**.</w:t>
      </w:r>
    </w:p>
    <w:p>
      <w:pPr>
        <w:spacing w:after="120" w:line="276" w:lineRule="auto"/>
      </w:pPr>
      <w:r>
        <w:t>**MACD** : La valeur du MACD (-295,896) est **inférieure à sa ligne de signal** (-266,065), avec un histogramme négatif qui traduit un momentum baissier persistant. Cette divergence négative confirme la faiblesse de la tendance et valide la **décision de Vente**.</w:t>
      </w:r>
    </w:p>
    <w:p>
      <w:pPr>
        <w:spacing w:after="120" w:line="276" w:lineRule="auto"/>
      </w:pPr>
      <w:r>
        <w:t>**RSI** : À **36,489**, le RSI se situe dans la zone neutre basse (30-70), sans atteindre le seuil de survente (&lt;30) qui déclencherait un signal d'achat technique. Cette position indique une faiblesse relative mais pas encore de capitulation, justifiant la **décision Neutre**.</w:t>
      </w:r>
    </w:p>
    <w:p>
      <w:pPr>
        <w:spacing w:after="120" w:line="276" w:lineRule="auto"/>
      </w:pPr>
      <w:r>
        <w:t>**Stochastique** : Le %K (7,0) est **très inférieur au %D (21,125)**, avec un %K proche de zéro qui signale une **survente extrême**. Ce positionnement en zone basse, bien que baissier à court terme, préfigure souvent un rebond technique, d'où la **décision d'Achat** contre-tendance.</w:t>
      </w:r>
    </w:p>
    <w:p>
      <w:pPr>
        <w:spacing w:after="120" w:line="276" w:lineRule="auto"/>
      </w:pPr>
      <w:r>
        <w:t>**Conclusion technique** : Les indicateurs sont majoritairement baissiers (MM, MACD), avec un RSI et des Bollinger neutres, mais le Stochastique en survente extrême suggère un possible rebond à court terme. La convergence des signaux négatifs (cours sous les MM, MACD négatif) domine, mais la divergence du Stochastique invite à la prudence avant toute vente précipitée. Le titre se trouve dans une phase de consolidation baissière, avec un potentiel de rebond technique limité tant que le cours reste sous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 enregistré un **Produit Net Bancaire (PNB) de 5 735 M FCFA**, en **hausse de 44,1%** par rapport à 2024 (3 980 M FCFA), porté par la croissance des intérêts et produits assimilés (8 236 M FCFA) et des commissions (686 M FCFA). Le **résultat net s'établit à 701 M FCFA**, marquant un **retournement spectaculaire** après une perte de 165 M FCFA en 2024, avec une **marge nette de 12,2%**. Le **ROE de 11,85%** (résultat net / capitaux propres de 5 916 M FCFA) reste inférieur au seuil d'excellence de 15%, tandis que le **ROA de 0,88%** traduit une rentabilité des actifs encore faible. Le **coefficient d'exploitation de 77,63%** est élevé (seuil d'efficacité &lt;60%), indiquant que les charges absorbent une part importante du PNB, et le **coût du risque de 6,57%** (provisions / charges financières) reste significatif, bien qu'en amélioration. La structure financière demeure fragile avec une **autonomie financière de 7,44%** (capitaux propres / total bilan), un **ratio d'endettement de 856,36%** et une **trésorerie nette négative de -35 324 M FCFA**, reflétant une dépendance élevée aux dettes interbancaires (35 747 M FCFA).</w:t>
      </w:r>
    </w:p>
    <w:p>
      <w:pPr>
        <w:spacing w:after="120" w:line="276" w:lineRule="auto"/>
      </w:pPr>
      <w:r>
        <w:t>**Estimations basées sur les rapports trimestriels** : Le rapport du **T1 2026 (publié le 12 mai 2026)** indique un **PNB de 1 395 M FCFA (+29%)** et un **résultat net de 151 M FCFA (+1 062%)**, avec un coût du risque en baisse de 75% (-22 M FCFA). Le rapport **S1 2026 (publié le 4 septembre 2026)** confirme cette dynamique avec un **PNB de 2 907 M FCFA (+37%)** et un **résultat net de 731 M FCFA (+231%)**, dépassant déjà le résultat annuel 2025. Sur cette base, on estime que l'exercice 2026 devrait afficher un **PNB supérieur à 6 Mds FCFA** et un **résultat net proche de 1,2-1,5 Md FCFA**, avec un ROE en amélioration vers 15-18%. L'augmentation de capital de 1,5 Md FCFA (avis BRVM du 13 avril 2026) vise à renforcer les fonds propres et soutenir la croissance, avec un ratio CET1 passant de 9,65% à 11,49% au S1 2026.</w:t>
      </w:r>
    </w:p>
    <w:p>
      <w:pPr>
        <w:spacing w:after="120" w:line="276" w:lineRule="auto"/>
      </w:pPr>
      <w:r>
        <w:t>**Recommandation fondamentale** : La dynamique de redressement est indéniable, portée par l'intégration au groupe CREDAF et une meilleure maîtrise du risque. Cependant, la valorisation boursière (PER 68,6x, P/B 8,13x) intègre déjà une grande partie de cette amélioration, et la structure financière reste fragile (autonomie financière faible, dépendance interbancaire). La recommandation fondamentale est **CONSERVER**, avec un biais positif pour les investisseurs patients.</w:t>
      </w:r>
    </w:p>
    <w:p>
      <w:pPr>
        <w:spacing w:after="120" w:line="276" w:lineRule="auto"/>
      </w:pPr>
      <w:r>
        <w:t>---</w:t>
      </w:r>
    </w:p>
    <w:p>
      <w:pPr>
        <w:spacing w:after="120" w:line="276" w:lineRule="auto"/>
      </w:pPr>
      <w:r>
        <w:t>## PARTIE 4 : CONCLUSION D'INVESTISSEMENT</w:t>
      </w:r>
    </w:p>
    <w:p>
      <w:pPr>
        <w:spacing w:after="120" w:line="276" w:lineRule="auto"/>
      </w:pPr>
      <w:r>
        <w:t>La **valorisation (Partie 0)** est très exigeante : le PER de 68,6x, le P/B de 8,13x et l'EV/EBITDA de 82,1x intègrent déjà une forte anticipation de croissance, laissant peu de marge d'erreur. Le **comportement du cours (Partie 1)** est préoccupant à court terme : la chute de -5,70% en J-1, la tendance baissière sous les sommets et la volatilité annualisée de 61,2% exposent l'investisseur à un risque élevé, bien que la distribution proche de la normale (kurtosis -0,881) limite les pics extrêmes. Les **signaux techniques (Partie 2)** sont majoritairement baissiers (cours sous MM20/MM50, MACD négatif), mais le Stochastique en survente extrême (%K=7,0) suggère un possible rebond technique à court terme. Les **fondamentaux (Partie 3)** montrent une amélioration spectaculaire : PNB 2025 de 5 735 M FCFA (+44,1%), résultat net de 701 M FCFA, et les rapports T1/S1 2026 confirment cette dynamique avec un résultat net S1 2026 de 731 M FCFA (+231%), dépassant déjà l'année 2025. Les **prédictions IA (J+1 à J+10)** anticipent une légère baisse vers 3 970-4 019 FCFA, en ligne avec la pression baissière actuelle mais sans effondrement.</w:t>
      </w:r>
    </w:p>
    <w:p>
      <w:pPr>
        <w:spacing w:after="120" w:line="276" w:lineRule="auto"/>
      </w:pPr>
      <w:r>
        <w:t>**Synthèse globale** : Il existe une **divergence** entre des fondamentaux en nette amélioration (croissance du PNB, retour à la rentabilité, renforcement des fonds propres) et une technique baissière à court terme, dans un contexte de valorisation déjà très tendue. La prédiction IA confirme la faiblesse à court terme mais n'anticipe pas de rupture majeure.</w:t>
      </w:r>
    </w:p>
    <w:p>
      <w:pPr>
        <w:spacing w:after="120" w:line="276" w:lineRule="auto"/>
      </w:pPr>
      <w:r>
        <w:t>**Recommandation finale : CONSERVER**</w:t>
        <w:br/>
        <w:t>- **Justification** : La convergence des signaux fondamentaux positifs (redressement confirmé par les rapports T1/S1 2026) et des signaux techniques baissiers à court terme (cours sous les MM, MACD négatif) plaide pour une position d'attente. La valorisation exigeante limite le potentiel de hausse immédiat, mais la dynamique de croissance et l'augmentation de capital en cours soutiennent les perspectives à moyen terme. Une vente serait prématurée au vu des fondamentaux, mais un achat est risqué tant que la technique ne s'améliore pas.</w:t>
        <w:br/>
        <w:t>- **Niveau de confiance** : Moyen (les fondamentaux sont solides mais la technique et la valorisation incitent à la prudence)</w:t>
        <w:br/>
        <w:t>- **Niveau de risque global** : Élevé (volatilité de 61,2%, structure financière fragile, dépendance interbancaire)</w:t>
        <w:br/>
        <w:t>- **Horizon d'investissement optimal** : Moyen terme (3-12 mois), en surveillant la confirmation de la rentabilité au S2 2026 et l'amélioration technique (franchissement de la MM20 à 4 615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10,738 titres</w:t>
            </w:r>
          </w:p>
        </w:tc>
        <w:tc>
          <w:tcPr>
            <w:tcW w:type="dxa" w:w="2268"/>
            <w:shd w:fill="FFF2CC" w:val="clear"/>
          </w:tcPr>
          <w:p>
            <w:r>
              <w:rPr>
                <w:b/>
                <w:color w:val="503200"/>
                <w:sz w:val="16"/>
              </w:rPr>
              <w:t xml:space="preserve">Cours actuel : </w:t>
            </w:r>
            <w:r>
              <w:rPr>
                <w:color w:val="000000"/>
                <w:sz w:val="17"/>
              </w:rPr>
              <w:t>2,510 FCFA</w:t>
            </w:r>
          </w:p>
          <w:p>
            <w:r>
              <w:rPr>
                <w:b/>
                <w:color w:val="503200"/>
                <w:sz w:val="16"/>
              </w:rPr>
              <w:t xml:space="preserve">Var. 100 jours : </w:t>
            </w:r>
            <w:r>
              <w:rPr>
                <w:b/>
                <w:color w:val="007800"/>
                <w:sz w:val="17"/>
              </w:rPr>
              <w:t>+4.37%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13.33% (Moyenne) — μ=3,195 FCFA, σ=426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β=1.3103 (Agressif) — Cov=0.000092, Var(idx)=0.000070, ρ=0.307,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10,738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2,398</w:t>
            </w:r>
          </w:p>
        </w:tc>
        <w:tc>
          <w:tcPr>
            <w:tcW w:type="dxa" w:w="1440"/>
            <w:shd w:fill="FAFAFA" w:val="clear"/>
          </w:tcPr>
          <w:p>
            <w:r>
              <w:rPr>
                <w:b/>
                <w:sz w:val="17"/>
              </w:rPr>
              <w:t>2,549</w:t>
            </w:r>
          </w:p>
        </w:tc>
        <w:tc>
          <w:tcPr>
            <w:tcW w:type="dxa" w:w="1440"/>
            <w:shd w:fill="FAFAFA" w:val="clear"/>
          </w:tcPr>
          <w:p>
            <w:r>
              <w:rPr>
                <w:sz w:val="17"/>
              </w:rPr>
              <w:t>2,701</w:t>
            </w:r>
          </w:p>
        </w:tc>
        <w:tc>
          <w:tcPr>
            <w:tcW w:type="dxa" w:w="1440"/>
            <w:shd w:fill="FAFAFA" w:val="clear"/>
          </w:tcPr>
          <w:p>
            <w:r>
              <w:rPr>
                <w:b/>
                <w:color w:val="008000"/>
                <w:sz w:val="17"/>
              </w:rPr>
              <w:t>+1.6%</w:t>
            </w:r>
          </w:p>
        </w:tc>
      </w:tr>
      <w:tr>
        <w:tc>
          <w:tcPr>
            <w:tcW w:type="dxa" w:w="1440"/>
            <w:shd w:fill="C6EFCE" w:val="clear"/>
          </w:tcPr>
          <w:p>
            <w:r>
              <w:rPr>
                <w:sz w:val="17"/>
              </w:rPr>
              <w:t>J+2  Moyenne</w:t>
            </w:r>
          </w:p>
        </w:tc>
        <w:tc>
          <w:tcPr>
            <w:tcW w:type="dxa" w:w="1440"/>
            <w:shd w:fill="C6EFCE" w:val="clear"/>
          </w:tcPr>
          <w:p>
            <w:r>
              <w:rPr>
                <w:sz w:val="17"/>
              </w:rPr>
              <w:t>2026-10-12</w:t>
            </w:r>
          </w:p>
        </w:tc>
        <w:tc>
          <w:tcPr>
            <w:tcW w:type="dxa" w:w="1440"/>
            <w:shd w:fill="C6EFCE" w:val="clear"/>
          </w:tcPr>
          <w:p>
            <w:r>
              <w:rPr>
                <w:sz w:val="17"/>
              </w:rPr>
              <w:t>2,409</w:t>
            </w:r>
          </w:p>
        </w:tc>
        <w:tc>
          <w:tcPr>
            <w:tcW w:type="dxa" w:w="1440"/>
            <w:shd w:fill="C6EFCE" w:val="clear"/>
          </w:tcPr>
          <w:p>
            <w:r>
              <w:rPr>
                <w:b/>
                <w:sz w:val="17"/>
              </w:rPr>
              <w:t>2,629</w:t>
            </w:r>
          </w:p>
        </w:tc>
        <w:tc>
          <w:tcPr>
            <w:tcW w:type="dxa" w:w="1440"/>
            <w:shd w:fill="C6EFCE" w:val="clear"/>
          </w:tcPr>
          <w:p>
            <w:r>
              <w:rPr>
                <w:sz w:val="17"/>
              </w:rPr>
              <w:t>2,850</w:t>
            </w:r>
          </w:p>
        </w:tc>
        <w:tc>
          <w:tcPr>
            <w:tcW w:type="dxa" w:w="1440"/>
            <w:shd w:fill="C6EFCE" w:val="clear"/>
          </w:tcPr>
          <w:p>
            <w:r>
              <w:rPr>
                <w:b/>
                <w:color w:val="008000"/>
                <w:sz w:val="17"/>
              </w:rPr>
              <w:t>+4.8%</w:t>
            </w:r>
          </w:p>
        </w:tc>
      </w:tr>
      <w:tr>
        <w:tc>
          <w:tcPr>
            <w:tcW w:type="dxa" w:w="1440"/>
            <w:shd w:fill="C6EFCE" w:val="clear"/>
          </w:tcPr>
          <w:p>
            <w:r>
              <w:rPr>
                <w:sz w:val="17"/>
              </w:rPr>
              <w:t>J+3  Moyenne</w:t>
            </w:r>
          </w:p>
        </w:tc>
        <w:tc>
          <w:tcPr>
            <w:tcW w:type="dxa" w:w="1440"/>
            <w:shd w:fill="C6EFCE" w:val="clear"/>
          </w:tcPr>
          <w:p>
            <w:r>
              <w:rPr>
                <w:sz w:val="17"/>
              </w:rPr>
              <w:t>2026-10-13</w:t>
            </w:r>
          </w:p>
        </w:tc>
        <w:tc>
          <w:tcPr>
            <w:tcW w:type="dxa" w:w="1440"/>
            <w:shd w:fill="C6EFCE" w:val="clear"/>
          </w:tcPr>
          <w:p>
            <w:r>
              <w:rPr>
                <w:sz w:val="17"/>
              </w:rPr>
              <w:t>2,464</w:t>
            </w:r>
          </w:p>
        </w:tc>
        <w:tc>
          <w:tcPr>
            <w:tcW w:type="dxa" w:w="1440"/>
            <w:shd w:fill="C6EFCE" w:val="clear"/>
          </w:tcPr>
          <w:p>
            <w:r>
              <w:rPr>
                <w:b/>
                <w:sz w:val="17"/>
              </w:rPr>
              <w:t>2,746</w:t>
            </w:r>
          </w:p>
        </w:tc>
        <w:tc>
          <w:tcPr>
            <w:tcW w:type="dxa" w:w="1440"/>
            <w:shd w:fill="C6EFCE" w:val="clear"/>
          </w:tcPr>
          <w:p>
            <w:r>
              <w:rPr>
                <w:sz w:val="17"/>
              </w:rPr>
              <w:t>3,027</w:t>
            </w:r>
          </w:p>
        </w:tc>
        <w:tc>
          <w:tcPr>
            <w:tcW w:type="dxa" w:w="1440"/>
            <w:shd w:fill="C6EFCE" w:val="clear"/>
          </w:tcPr>
          <w:p>
            <w:r>
              <w:rPr>
                <w:b/>
                <w:color w:val="008000"/>
                <w:sz w:val="17"/>
              </w:rPr>
              <w:t>+9.4%</w:t>
            </w:r>
          </w:p>
        </w:tc>
      </w:tr>
      <w:tr>
        <w:tc>
          <w:tcPr>
            <w:tcW w:type="dxa" w:w="1440"/>
            <w:shd w:fill="C6EFCE" w:val="clear"/>
          </w:tcPr>
          <w:p>
            <w:r>
              <w:rPr>
                <w:sz w:val="17"/>
              </w:rPr>
              <w:t>J+4  ⭐</w:t>
            </w:r>
          </w:p>
        </w:tc>
        <w:tc>
          <w:tcPr>
            <w:tcW w:type="dxa" w:w="1440"/>
            <w:shd w:fill="C6EFCE" w:val="clear"/>
          </w:tcPr>
          <w:p>
            <w:r>
              <w:rPr>
                <w:sz w:val="17"/>
              </w:rPr>
              <w:t>2026-10-14</w:t>
            </w:r>
          </w:p>
        </w:tc>
        <w:tc>
          <w:tcPr>
            <w:tcW w:type="dxa" w:w="1440"/>
            <w:shd w:fill="C6EFCE" w:val="clear"/>
          </w:tcPr>
          <w:p>
            <w:r>
              <w:rPr>
                <w:sz w:val="17"/>
              </w:rPr>
              <w:t>2,509</w:t>
            </w:r>
          </w:p>
        </w:tc>
        <w:tc>
          <w:tcPr>
            <w:tcW w:type="dxa" w:w="1440"/>
            <w:shd w:fill="C6EFCE" w:val="clear"/>
          </w:tcPr>
          <w:p>
            <w:r>
              <w:rPr>
                <w:b/>
                <w:sz w:val="17"/>
              </w:rPr>
              <w:t>2,846</w:t>
            </w:r>
          </w:p>
        </w:tc>
        <w:tc>
          <w:tcPr>
            <w:tcW w:type="dxa" w:w="1440"/>
            <w:shd w:fill="C6EFCE" w:val="clear"/>
          </w:tcPr>
          <w:p>
            <w:r>
              <w:rPr>
                <w:sz w:val="17"/>
              </w:rPr>
              <w:t>3,184</w:t>
            </w:r>
          </w:p>
        </w:tc>
        <w:tc>
          <w:tcPr>
            <w:tcW w:type="dxa" w:w="1440"/>
            <w:shd w:fill="C6EFCE" w:val="clear"/>
          </w:tcPr>
          <w:p>
            <w:r>
              <w:rPr>
                <w:b/>
                <w:color w:val="008000"/>
                <w:sz w:val="17"/>
              </w:rPr>
              <w:t>+13.4%</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2,540</w:t>
            </w:r>
          </w:p>
        </w:tc>
        <w:tc>
          <w:tcPr>
            <w:tcW w:type="dxa" w:w="1440"/>
            <w:shd w:fill="C6EFCE" w:val="clear"/>
          </w:tcPr>
          <w:p>
            <w:r>
              <w:rPr>
                <w:b/>
                <w:sz w:val="17"/>
              </w:rPr>
              <w:t>2,929</w:t>
            </w:r>
          </w:p>
        </w:tc>
        <w:tc>
          <w:tcPr>
            <w:tcW w:type="dxa" w:w="1440"/>
            <w:shd w:fill="C6EFCE" w:val="clear"/>
          </w:tcPr>
          <w:p>
            <w:r>
              <w:rPr>
                <w:sz w:val="17"/>
              </w:rPr>
              <w:t>3,317</w:t>
            </w:r>
          </w:p>
        </w:tc>
        <w:tc>
          <w:tcPr>
            <w:tcW w:type="dxa" w:w="1440"/>
            <w:shd w:fill="C6EFCE" w:val="clear"/>
          </w:tcPr>
          <w:p>
            <w:r>
              <w:rPr>
                <w:b/>
                <w:color w:val="008000"/>
                <w:sz w:val="17"/>
              </w:rPr>
              <w:t>+16.7%</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2,562</w:t>
            </w:r>
          </w:p>
        </w:tc>
        <w:tc>
          <w:tcPr>
            <w:tcW w:type="dxa" w:w="1440"/>
            <w:shd w:fill="C6EFCE" w:val="clear"/>
          </w:tcPr>
          <w:p>
            <w:r>
              <w:rPr>
                <w:b/>
                <w:sz w:val="17"/>
              </w:rPr>
              <w:t>2,997</w:t>
            </w:r>
          </w:p>
        </w:tc>
        <w:tc>
          <w:tcPr>
            <w:tcW w:type="dxa" w:w="1440"/>
            <w:shd w:fill="C6EFCE" w:val="clear"/>
          </w:tcPr>
          <w:p>
            <w:r>
              <w:rPr>
                <w:sz w:val="17"/>
              </w:rPr>
              <w:t>3,432</w:t>
            </w:r>
          </w:p>
        </w:tc>
        <w:tc>
          <w:tcPr>
            <w:tcW w:type="dxa" w:w="1440"/>
            <w:shd w:fill="C6EFCE" w:val="clear"/>
          </w:tcPr>
          <w:p>
            <w:r>
              <w:rPr>
                <w:b/>
                <w:color w:val="008000"/>
                <w:sz w:val="17"/>
              </w:rPr>
              <w:t>+19.4%</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2,576</w:t>
            </w:r>
          </w:p>
        </w:tc>
        <w:tc>
          <w:tcPr>
            <w:tcW w:type="dxa" w:w="1440"/>
            <w:shd w:fill="C6EFCE" w:val="clear"/>
          </w:tcPr>
          <w:p>
            <w:r>
              <w:rPr>
                <w:b/>
                <w:sz w:val="17"/>
              </w:rPr>
              <w:t>3,055</w:t>
            </w:r>
          </w:p>
        </w:tc>
        <w:tc>
          <w:tcPr>
            <w:tcW w:type="dxa" w:w="1440"/>
            <w:shd w:fill="C6EFCE" w:val="clear"/>
          </w:tcPr>
          <w:p>
            <w:r>
              <w:rPr>
                <w:sz w:val="17"/>
              </w:rPr>
              <w:t>3,534</w:t>
            </w:r>
          </w:p>
        </w:tc>
        <w:tc>
          <w:tcPr>
            <w:tcW w:type="dxa" w:w="1440"/>
            <w:shd w:fill="C6EFCE" w:val="clear"/>
          </w:tcPr>
          <w:p>
            <w:r>
              <w:rPr>
                <w:b/>
                <w:color w:val="008000"/>
                <w:sz w:val="17"/>
              </w:rPr>
              <w:t>+21.7%</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2,586</w:t>
            </w:r>
          </w:p>
        </w:tc>
        <w:tc>
          <w:tcPr>
            <w:tcW w:type="dxa" w:w="1440"/>
            <w:shd w:fill="C6EFCE" w:val="clear"/>
          </w:tcPr>
          <w:p>
            <w:r>
              <w:rPr>
                <w:b/>
                <w:sz w:val="17"/>
              </w:rPr>
              <w:t>3,106</w:t>
            </w:r>
          </w:p>
        </w:tc>
        <w:tc>
          <w:tcPr>
            <w:tcW w:type="dxa" w:w="1440"/>
            <w:shd w:fill="C6EFCE" w:val="clear"/>
          </w:tcPr>
          <w:p>
            <w:r>
              <w:rPr>
                <w:sz w:val="17"/>
              </w:rPr>
              <w:t>3,627</w:t>
            </w:r>
          </w:p>
        </w:tc>
        <w:tc>
          <w:tcPr>
            <w:tcW w:type="dxa" w:w="1440"/>
            <w:shd w:fill="C6EFCE" w:val="clear"/>
          </w:tcPr>
          <w:p>
            <w:r>
              <w:rPr>
                <w:b/>
                <w:color w:val="008000"/>
                <w:sz w:val="17"/>
              </w:rPr>
              <w:t>+23.8%</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2,591</w:t>
            </w:r>
          </w:p>
        </w:tc>
        <w:tc>
          <w:tcPr>
            <w:tcW w:type="dxa" w:w="1440"/>
            <w:shd w:fill="C6EFCE" w:val="clear"/>
          </w:tcPr>
          <w:p>
            <w:r>
              <w:rPr>
                <w:b/>
                <w:sz w:val="17"/>
              </w:rPr>
              <w:t>3,151</w:t>
            </w:r>
          </w:p>
        </w:tc>
        <w:tc>
          <w:tcPr>
            <w:tcW w:type="dxa" w:w="1440"/>
            <w:shd w:fill="C6EFCE" w:val="clear"/>
          </w:tcPr>
          <w:p>
            <w:r>
              <w:rPr>
                <w:sz w:val="17"/>
              </w:rPr>
              <w:t>3,711</w:t>
            </w:r>
          </w:p>
        </w:tc>
        <w:tc>
          <w:tcPr>
            <w:tcW w:type="dxa" w:w="1440"/>
            <w:shd w:fill="C6EFCE" w:val="clear"/>
          </w:tcPr>
          <w:p>
            <w:r>
              <w:rPr>
                <w:b/>
                <w:color w:val="008000"/>
                <w:sz w:val="17"/>
              </w:rPr>
              <w:t>+25.5%</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2,592</w:t>
            </w:r>
          </w:p>
        </w:tc>
        <w:tc>
          <w:tcPr>
            <w:tcW w:type="dxa" w:w="1440"/>
            <w:shd w:fill="C6EFCE" w:val="clear"/>
          </w:tcPr>
          <w:p>
            <w:r>
              <w:rPr>
                <w:b/>
                <w:sz w:val="17"/>
              </w:rPr>
              <w:t>3,190</w:t>
            </w:r>
          </w:p>
        </w:tc>
        <w:tc>
          <w:tcPr>
            <w:tcW w:type="dxa" w:w="1440"/>
            <w:shd w:fill="C6EFCE" w:val="clear"/>
          </w:tcPr>
          <w:p>
            <w:r>
              <w:rPr>
                <w:sz w:val="17"/>
              </w:rPr>
              <w:t>3,788</w:t>
            </w:r>
          </w:p>
        </w:tc>
        <w:tc>
          <w:tcPr>
            <w:tcW w:type="dxa" w:w="1440"/>
            <w:shd w:fill="C6EFCE" w:val="clear"/>
          </w:tcPr>
          <w:p>
            <w:r>
              <w:rPr>
                <w:b/>
                <w:color w:val="008000"/>
                <w:sz w:val="17"/>
              </w:rPr>
              <w:t>+27.1%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49,20 milliards FCFA, un niveau modeste à l'échelle de la BRVM qui la classe parmi les valeurs de petite capitalisation, exposant le titre à une liquidité limitée. Le BPA ressort à -406 FCFA/action, conséquence directe de la perte nette enregistrée, ce qui rend le PER négatif (-6,2x) et donc non interprétable en termes de cherté relative — un PER négatif signale simplement une société déficitaire et non une opportunité de valorisation. Le ratio P/B de 2,85x indique que le marché valorise SCRC à près de trois fois ses fonds propres comptables (17,24 Mds FCFA), soit une prime de croissance significative qui apparaît difficilement justifiable au regard de la dégradation des résultats. En revanche, l'EV/EBITDA de 9,5x se situe dans la fourchette raisonnable (5-10x), suggérant que la valeur d'entreprise reste soutenue par la capacité opérationnelle (EBE de 14,85 Mds FCFA) malgré les pertes nettes. Cette divergence entre un P/B élevé et un EV/EBITDA contenu traduit un marché qui valorise davantage les actifs industriels et le potentiel de redressement que la rentabilité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SCRC affiche une variation totale de +4,37%, mais la dernière séance (J-1) a enregistré une chute brutale de -7,04%, ramenant le titre à 2 510 FCFA. Le range de trading est particulièrement large, avec un plus haut à 3 920 FCFA et un plus bas à 2 205 FCFA, soit un écart de plus de 77% entre les extrêmes, témoignant d'une forte instabilité. La tendance générale apparaît baissière sur la seconde moitié de la période, le cours actuel (2 510 FCFA) se situant nettement sous la moyenne (3 195 FCFA) et la médiane (3 298 FCFA) — cet écart entre moyenne et médiane, bien que modéré, confirme une asymétrie négative (skewness de -0,543) indiquant davantage de journées de baisse que de hausse. L'écart-type de 428 FCFA avec un coefficient de variation de 13,4% traduit une dispersion modérée autour de la moyenne, mais la volatilité annualisée de 57,9% classe ce titre dans la catégorie des valeurs à volatilité élevée (&gt;30%), ce qui implique un risque de perte en capital important à court terme. Le kurtosis de -0,781 (mésokurtique) suggère une distribution proche de la normale, sans pics extrêmes fréquents, mais le skewness négatif indique que les mouvements baissiers sont plus amples que les mouvements haussiers. Le volume moyen de 10 738 titres/jour reste faible, exposant le titre à des risques de liquidité et de manipulation.</w:t>
      </w:r>
    </w:p>
    <w:p>
      <w:pPr>
        <w:spacing w:after="120" w:line="276" w:lineRule="auto"/>
      </w:pPr>
      <w:r>
        <w:t>---</w:t>
      </w:r>
    </w:p>
    <w:p>
      <w:pPr>
        <w:spacing w:after="120" w:line="276" w:lineRule="auto"/>
      </w:pPr>
      <w:r>
        <w:t>### PARTIE 2 : ANALYSE TECHNIQUE DÉTAILLÉE</w:t>
      </w:r>
    </w:p>
    <w:p>
      <w:pPr>
        <w:spacing w:after="120" w:line="276" w:lineRule="auto"/>
      </w:pPr>
      <w:r>
        <w:t>**Moyennes Mobiles** : La MM20 (3 045,25 FCFA) et la MM50 (3 355,60 FCFA) se situent toutes deux au-dessus du cours actuel (2 510 FCFA), avec une MM20 inférieure à la MM50 — configuration baissière classique (death cross). Le cours évoluant sous ses deux moyennes, la pression vendeuse est confirmée, justifiant la décision technique de **Vente**.</w:t>
      </w:r>
    </w:p>
    <w:p>
      <w:pPr>
        <w:spacing w:after="120" w:line="276" w:lineRule="auto"/>
      </w:pPr>
      <w:r>
        <w:t>**Bandes de Bollinger** : Le cours (2 510 FCFA) se situe juste au-dessus de la borne inférieure (2 422,49 FCFA) et très en dessous de la borne supérieure (3 668,01 FCFA), dans la partie basse du canal. Cette position reflète une pression baissière récente, mais la proximité de la borne inférieure peut signaler une zone de survente potentielle. La décision est **Neutre**, les bandes étant relativement larges (écart de 1 245 FCFA) en raison de la forte volatilité.</w:t>
      </w:r>
    </w:p>
    <w:p>
      <w:pPr>
        <w:spacing w:after="120" w:line="276" w:lineRule="auto"/>
      </w:pPr>
      <w:r>
        <w:t>**MACD** : La valeur du MACD (-207,52) est inférieure à son signal (-171,39), confirmant une divergence baissière et un momentum négatif. L'histogramme négatif indique que la pression vendeuse persiste, justifiant la décision de **Vente**.</w:t>
      </w:r>
    </w:p>
    <w:p>
      <w:pPr>
        <w:spacing w:after="120" w:line="276" w:lineRule="auto"/>
      </w:pPr>
      <w:r>
        <w:t>**RSI** : À 25,93, le RSI se situe en zone de survente (&lt;30), ce qui suggère que le titre pourrait être survendu et qu'un rebond technique est possible à court terme. La décision est **Achat**, mais ce signal doit être pondéré par la tendance baissière sous-jacente.</w:t>
      </w:r>
    </w:p>
    <w:p>
      <w:pPr>
        <w:spacing w:after="120" w:line="276" w:lineRule="auto"/>
      </w:pPr>
      <w:r>
        <w:t>**Stochastique** : Le %K (0,0) et le %D (5,61) sont tous deux en zone de survente extrême, avec un %K au plus bas absolu. Cette configuration indique une pression vendeuse maximale et un potentiel de retournement à court terme. La décision est **Achat**, mais le croisement haussier n'est pas encore confirmé.</w:t>
      </w:r>
    </w:p>
    <w:p>
      <w:pPr>
        <w:spacing w:after="120" w:line="276" w:lineRule="auto"/>
      </w:pPr>
      <w:r>
        <w:t>**Conclusion technique** : Les indicateurs sont majoritairement baissiers (MM, MACD), mais les oscillateurs (RSI, Stochastique) signalent une survente extrême pouvant précéder un rebond technique. La divergence entre tendance de fond (baissière) et signaux de court terme (survente) suggère une prudence : un rebond technique est possible, mais la tendance reste fragile. La décision globale est **Neutre à Vente** à court terme, avec un potentiel d'achat spéculatif uniquement pour les investisseurs agressifs.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 enregistré un chiffre d'affaires de 80,57 milliards FCFA, en baisse de 7,6% par rapport à 2024 (87,22 Mds FCFA), et un résultat net déficitaire de -7,95 milliards FCFA (contre un bénéfice de 2,47 Mds FCFA en 2024), soit une dégradation de 421%. Le ROE s'établit à -46,13% et le ROA à -5,08%, confirmant une destruction de valeur massive. La marge nette est de -9,87%, la marge opérationnelle de -0,68%, et la marge brute de 45,82% — cette dernière reste solide, mais insuffisante pour couvrir l'explosion des charges financières (6,79 Mds FCFA, +262%). Le ratio d'endettement atteint 88,98% (dettes totales/capitaux propres), avec une autonomie financière de seulement 11,02%, très en dessous du seuil sain de 30%. La trésorerie nette est négative à -6,51 Mds FCFA, et le Fonds de Roulement est négatif (-10,67 Mds FCFA), signalant des tensions de liquidité. Les délais clients (12,28 jours) sont maîtrisés, mais le délai fournisseurs (366,07 jours) et la durée de stockage (360,73 jours) révèlent une rotation extrêmement lente, immobilisant le capital.</w:t>
      </w:r>
    </w:p>
    <w:p>
      <w:pPr>
        <w:spacing w:after="120" w:line="276" w:lineRule="auto"/>
      </w:pPr>
      <w:r>
        <w:t>**Adaptation au secteur ENTREPRISE** : Le BFR de 6,53 Mds FCFA est positif, ce qui est défavorable pour une entreprise industrielle (contrairement aux banques), car il traduit un besoin de financement du cycle d'exploitation. La rotation des actifs (51,51%) est faible, indiquant une sous-utilisation des actifs pour générer du chiffre d'affaires. La capacité de remboursement (11,21 années de CAF) est très élevée, signalant une incapacité à rembourser la dette par la génération de cash. La couverture des intérêts est négative (-8,03%), l'entreprise ne générant pas assez de résultat opérationnel pour payer ses charges financières.</w:t>
      </w:r>
    </w:p>
    <w:p>
      <w:pPr>
        <w:spacing w:after="120" w:line="276" w:lineRule="auto"/>
      </w:pPr>
      <w:r>
        <w:t>**Estimations basées sur les rapports trimestriels** : Le rapport S1 2025 (daté du 30/06/2025) indiquait un chiffre d'affaires de 42,87 Mds FCFA (-5%) et une perte nette de -6,71 Mds FCFA, avec un résultat d'exploitation négatif de -3,18 Mds FCFA. Le rapport T1 2025 (31/03/2025) faisait état d'un CA de 25,09 Mds FCFA (-13%) et d'un résultat net de 3,21 Mds FCFA (-32%). Ces éléments suggèrent que la dégradation s'est accentuée au second semestre 2025, avec une perte annualisée de -7,95 Mds FCFA. Pour 2026, les perspectives restent très préoccupantes : la société devra impérativement restructurer sa dette (69,1 Mds FCFA) et réduire ses charges financières, faute de quoi la viabilité financière à court terme est compromise. Le plan de redressement (validé en août 2024) et les investissements massifs (25,2 Mds FCFA en 2025) pourraient soutenir une reprise à moyen terme, mais l'horizon 2026 s'annonce difficile.</w:t>
      </w:r>
    </w:p>
    <w:p>
      <w:pPr>
        <w:spacing w:after="120" w:line="276" w:lineRule="auto"/>
      </w:pPr>
      <w:r>
        <w:t>**Recommandation fondamentale** : La situation financière de SCRC est critique : perte nette massive, endettement insoutenable, trésorerie négative et rentabilité opérationnelle quasi nulle. Le retour à la profitabilité en 2024 était artificiel (porté par des éléments non récurrents), et la rechute en 2025 confirme la fragilité structurelle. La recommandation fondamentale est **Vente** à court terme, avec une surveillance étroite des prochains trimestres pour évaluer l'efficacité du plan de restructuration.</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les signaux. La **valorisation (Partie 0)** est préoccupante : le PER négatif (-6,2x) et le P/B élevé (2,85x) indiquent que le marché valorise une société déficitaire à une prime injustifiée, bien que l'EV/EBITDA (9,5x) reste raisonnable. Le **comportement du cours (Partie 1)** est baissier : la chute de -7,04% en J-1, la volatilité élevée (57,9%) et le skewness négatif (-0,543) signalent une pression vendeuse persistante, malgré une variation totale positive sur 100 jours. Les **signaux techniques (Partie 2)** sont mitigés : les MM et le MACD confirment la tendance baissière, mais le RSI (25,93) et le Stochastique (0,0) en zone de survente extrême suggèrent un rebond technique imminent. Les **fondamentaux (Partie 3)** sont très dégradés : perte nette de -7,95 Mds FCFA en 2025, ROE de -46,13%, endettement critique (88,98%) et trésorerie négative (-6,51 Mds FCFA), avec des perspectives 2026 très incertaines. Les **prédictions IA (J+1 à J+10)** anticipent une hausse progressive de 2 549 FCFA à 2 929 FCFA, ce qui contredit la tendance baissière récente mais s'aligne sur les signaux de survente technique.</w:t>
      </w:r>
    </w:p>
    <w:p>
      <w:pPr>
        <w:spacing w:after="120" w:line="276" w:lineRule="auto"/>
      </w:pPr>
      <w:r>
        <w:t>**Recommandation finale** : **VENTE** (avec possibilité de rebond technique à court terme pour les traders agressifs). La convergence entre fondamentaux dégradés, tendance baissière de fond et valorisation injustifiée l'emporte sur les signaux de survente technique et les prédictions IA haussières, qui ne sont pas soutenus par des fondamentaux solides. Le niveau de confiance est **Moyen** (les signaux techniques de survente créent une incertitude), et le niveau de risque global est **Élevé** (volatilité, endettement, liquidité). L'horizon d'investissement recommandé est **court terme** (&lt;3 mois) pour profiter d'un éventuel rebond technique, mais une exposition à **moyen terme** (3-12 mois) est déconseillée tant que la restructuration financière n'aura pas produit de résultats tangibles. **À surveiller** : les résultats du S1 2026 (attendus mi-2026) pour évaluer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1,502 titres</w:t>
            </w:r>
          </w:p>
        </w:tc>
        <w:tc>
          <w:tcPr>
            <w:tcW w:type="dxa" w:w="2268"/>
            <w:shd w:fill="FFF2CC" w:val="clear"/>
          </w:tcPr>
          <w:p>
            <w:r>
              <w:rPr>
                <w:b/>
                <w:color w:val="503200"/>
                <w:sz w:val="16"/>
              </w:rPr>
              <w:t xml:space="preserve">Cours actuel : </w:t>
            </w:r>
            <w:r>
              <w:rPr>
                <w:color w:val="000000"/>
                <w:sz w:val="17"/>
              </w:rPr>
              <w:t>12,990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9,900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6.27% (Moyenne) — μ=12,069 FCFA, σ=757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β=0.7021 (Défensif) — Cov=0.000052, Var(idx)=0.000074, ρ=0.246,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12,291</w:t>
            </w:r>
          </w:p>
        </w:tc>
        <w:tc>
          <w:tcPr>
            <w:tcW w:type="dxa" w:w="1440"/>
            <w:shd w:fill="FAFAFA" w:val="clear"/>
          </w:tcPr>
          <w:p>
            <w:r>
              <w:rPr>
                <w:b/>
                <w:sz w:val="17"/>
              </w:rPr>
              <w:t>12,986</w:t>
            </w:r>
          </w:p>
        </w:tc>
        <w:tc>
          <w:tcPr>
            <w:tcW w:type="dxa" w:w="1440"/>
            <w:shd w:fill="FAFAFA" w:val="clear"/>
          </w:tcPr>
          <w:p>
            <w:r>
              <w:rPr>
                <w:sz w:val="17"/>
              </w:rPr>
              <w:t>13,682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12,010</w:t>
            </w:r>
          </w:p>
        </w:tc>
        <w:tc>
          <w:tcPr>
            <w:tcW w:type="dxa" w:w="1440"/>
            <w:shd w:fill="FAFAFA" w:val="clear"/>
          </w:tcPr>
          <w:p>
            <w:r>
              <w:rPr>
                <w:b/>
                <w:sz w:val="17"/>
              </w:rPr>
              <w:t>12,995</w:t>
            </w:r>
          </w:p>
        </w:tc>
        <w:tc>
          <w:tcPr>
            <w:tcW w:type="dxa" w:w="1440"/>
            <w:shd w:fill="FAFAFA" w:val="clear"/>
          </w:tcPr>
          <w:p>
            <w:r>
              <w:rPr>
                <w:sz w:val="17"/>
              </w:rPr>
              <w:t>13,980</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11,800</w:t>
            </w:r>
          </w:p>
        </w:tc>
        <w:tc>
          <w:tcPr>
            <w:tcW w:type="dxa" w:w="1440"/>
            <w:shd w:fill="FAFAFA" w:val="clear"/>
          </w:tcPr>
          <w:p>
            <w:r>
              <w:rPr>
                <w:b/>
                <w:sz w:val="17"/>
              </w:rPr>
              <w:t>13,007</w:t>
            </w:r>
          </w:p>
        </w:tc>
        <w:tc>
          <w:tcPr>
            <w:tcW w:type="dxa" w:w="1440"/>
            <w:shd w:fill="FAFAFA" w:val="clear"/>
          </w:tcPr>
          <w:p>
            <w:r>
              <w:rPr>
                <w:sz w:val="17"/>
              </w:rPr>
              <w:t>14,215</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11,630</w:t>
            </w:r>
          </w:p>
        </w:tc>
        <w:tc>
          <w:tcPr>
            <w:tcW w:type="dxa" w:w="1440"/>
            <w:shd w:fill="FAFAFA" w:val="clear"/>
          </w:tcPr>
          <w:p>
            <w:r>
              <w:rPr>
                <w:b/>
                <w:sz w:val="17"/>
              </w:rPr>
              <w:t>13,026</w:t>
            </w:r>
          </w:p>
        </w:tc>
        <w:tc>
          <w:tcPr>
            <w:tcW w:type="dxa" w:w="1440"/>
            <w:shd w:fill="FAFAFA" w:val="clear"/>
          </w:tcPr>
          <w:p>
            <w:r>
              <w:rPr>
                <w:sz w:val="17"/>
              </w:rPr>
              <w:t>14,422</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11,488</w:t>
            </w:r>
          </w:p>
        </w:tc>
        <w:tc>
          <w:tcPr>
            <w:tcW w:type="dxa" w:w="1440"/>
            <w:shd w:fill="FAFAFA" w:val="clear"/>
          </w:tcPr>
          <w:p>
            <w:r>
              <w:rPr>
                <w:b/>
                <w:sz w:val="17"/>
              </w:rPr>
              <w:t>13,052</w:t>
            </w:r>
          </w:p>
        </w:tc>
        <w:tc>
          <w:tcPr>
            <w:tcW w:type="dxa" w:w="1440"/>
            <w:shd w:fill="FAFAFA" w:val="clear"/>
          </w:tcPr>
          <w:p>
            <w:r>
              <w:rPr>
                <w:sz w:val="17"/>
              </w:rPr>
              <w:t>14,616</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11,354</w:t>
            </w:r>
          </w:p>
        </w:tc>
        <w:tc>
          <w:tcPr>
            <w:tcW w:type="dxa" w:w="1440"/>
            <w:shd w:fill="FAFAFA" w:val="clear"/>
          </w:tcPr>
          <w:p>
            <w:r>
              <w:rPr>
                <w:b/>
                <w:sz w:val="17"/>
              </w:rPr>
              <w:t>13,069</w:t>
            </w:r>
          </w:p>
        </w:tc>
        <w:tc>
          <w:tcPr>
            <w:tcW w:type="dxa" w:w="1440"/>
            <w:shd w:fill="FAFAFA" w:val="clear"/>
          </w:tcPr>
          <w:p>
            <w:r>
              <w:rPr>
                <w:sz w:val="17"/>
              </w:rPr>
              <w:t>14,785</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11,228</w:t>
            </w:r>
          </w:p>
        </w:tc>
        <w:tc>
          <w:tcPr>
            <w:tcW w:type="dxa" w:w="1440"/>
            <w:shd w:fill="FAFAFA" w:val="clear"/>
          </w:tcPr>
          <w:p>
            <w:r>
              <w:rPr>
                <w:b/>
                <w:sz w:val="17"/>
              </w:rPr>
              <w:t>13,082</w:t>
            </w:r>
          </w:p>
        </w:tc>
        <w:tc>
          <w:tcPr>
            <w:tcW w:type="dxa" w:w="1440"/>
            <w:shd w:fill="FAFAFA" w:val="clear"/>
          </w:tcPr>
          <w:p>
            <w:r>
              <w:rPr>
                <w:sz w:val="17"/>
              </w:rPr>
              <w:t>14,937</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11,110</w:t>
            </w:r>
          </w:p>
        </w:tc>
        <w:tc>
          <w:tcPr>
            <w:tcW w:type="dxa" w:w="1440"/>
            <w:shd w:fill="FAFAFA" w:val="clear"/>
          </w:tcPr>
          <w:p>
            <w:r>
              <w:rPr>
                <w:b/>
                <w:sz w:val="17"/>
              </w:rPr>
              <w:t>13,095</w:t>
            </w:r>
          </w:p>
        </w:tc>
        <w:tc>
          <w:tcPr>
            <w:tcW w:type="dxa" w:w="1440"/>
            <w:shd w:fill="FAFAFA" w:val="clear"/>
          </w:tcPr>
          <w:p>
            <w:r>
              <w:rPr>
                <w:sz w:val="17"/>
              </w:rPr>
              <w:t>15,079</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10,998</w:t>
            </w:r>
          </w:p>
        </w:tc>
        <w:tc>
          <w:tcPr>
            <w:tcW w:type="dxa" w:w="1440"/>
            <w:shd w:fill="FAFAFA" w:val="clear"/>
          </w:tcPr>
          <w:p>
            <w:r>
              <w:rPr>
                <w:b/>
                <w:sz w:val="17"/>
              </w:rPr>
              <w:t>13,104</w:t>
            </w:r>
          </w:p>
        </w:tc>
        <w:tc>
          <w:tcPr>
            <w:tcW w:type="dxa" w:w="1440"/>
            <w:shd w:fill="FAFAFA" w:val="clear"/>
          </w:tcPr>
          <w:p>
            <w:r>
              <w:rPr>
                <w:sz w:val="17"/>
              </w:rPr>
              <w:t>15,211</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10,892</w:t>
            </w:r>
          </w:p>
        </w:tc>
        <w:tc>
          <w:tcPr>
            <w:tcW w:type="dxa" w:w="1440"/>
            <w:shd w:fill="FAFAFA" w:val="clear"/>
          </w:tcPr>
          <w:p>
            <w:r>
              <w:rPr>
                <w:b/>
                <w:sz w:val="17"/>
              </w:rPr>
              <w:t>13,115</w:t>
            </w:r>
          </w:p>
        </w:tc>
        <w:tc>
          <w:tcPr>
            <w:tcW w:type="dxa" w:w="1440"/>
            <w:shd w:fill="FAFAFA" w:val="clear"/>
          </w:tcPr>
          <w:p>
            <w:r>
              <w:rPr>
                <w:sz w:val="17"/>
              </w:rPr>
              <w:t>15,337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116,91 milliards FCFA, SDCC se positionne comme une valeur de taille intermédiaire sur la BRVM, représentative d'un acteur stratégique du secteur de l'eau en Côte d'Ivoire. Le BPA de 518 FCFA/action signifie que chaque titre génère près de 518 FCFA de bénéfice net, ce qui, rapporté au cours actuel de 12 990 FCFA, donne un PER de 25,1x — nettement supérieur à la moyenne du marché BRVM (8-12x), signalant que les investisseurs paient une prime significative pour cette valeur, probablement en anticipation d'une croissance future ou en raison de la stabilité du secteur. Le P/B de 5,93x confirme cette tendance : le marché valorise SDCC à près de six fois sa valeur comptable, une prime exigeante qui traduit une forte confiance dans la qualité des actifs et la pérennité des cash-flows. Enfin, l'EV/EBITDA de 14,9x, dans la fourchette haute (10-15x), indique que la valeur d'entreprise (incluant la dette) est chèrement valorisée par rapport à sa capacité opérationnelle, ce qui implique que toute déception sur les résultats pourrait entraîner une correction sévère du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performance remarquable de +31,21%, passant d'un plus bas de 9 900 FCFA à un plus haut de 13 885 FCFA, avec un cours actuel de 12 990 FCFA, en léger repli de -0,08% sur la dernière séance (J-1). Cette tendance nettement haussière s'inscrit dans un contexte de forte appréciation, le titre ayant gagné près d'un tiers de sa valeur en un peu plus de trois mois. Les statistiques descriptives révèlent une moyenne de 12 069 FCFA et une médiane de 11 995 FCFA, très proches, ce qui suggère une distribution globalement symétrique du cours, confirmée par un skewness de 0,282 (asymétrie légère mais proche de la symétrie). L'écart-type de 760 FCFA, avec un coefficient de variation de 6,3%, indique une dispersion modérée autour de la moyenne, tandis que le kurtosis de 0,042 (mésokurtique) signifie que la distribution des rendements est proche d'une loi normale, sans risque de pics extrêmes marqué. La volatilité annualisée de 38,5% classe le titre dans la catégorie des valeurs à volatilité élevée (&gt;30%), ce qui implique un risque de fluctuation important à court terme,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(12 785 FCFA) et la MM50 (12 507,7 FCFA) sont toutes deux inférieures au cours actuel (12 990 FCFA), ce qui confirme une configuration haussière de court et moyen terme. Le cours évoluant au-dessus de ses moyennes mobiles, la décision technique est à l'achat, signalant que la dynamique positive reste intacte malgré le léger repli de J-1.</w:t>
      </w:r>
    </w:p>
    <w:p>
      <w:pPr>
        <w:spacing w:after="120" w:line="276" w:lineRule="auto"/>
      </w:pPr>
      <w:r>
        <w:t>**Bandes de Bollinger** : Le cours actuel (12 990 FCFA) se situe dans la partie supérieure de la bande de Bollinger, entre la borne inférieure (11 489,43 FCFA) et la borne supérieure (14 080,57 FCFA), sans toutefois les toucher. Cette position médiane-haute, combinée à une décision neutre, suggère que le titre n'est ni en surachat ni en survente, mais évolue dans une zone de consolidation après sa forte hausse récente.</w:t>
      </w:r>
    </w:p>
    <w:p>
      <w:pPr>
        <w:spacing w:after="120" w:line="276" w:lineRule="auto"/>
      </w:pPr>
      <w:r>
        <w:t>**MACD** : La valeur du MACD (69,843) est nettement supérieure à son signal (35,142), avec un histogramme positif, ce qui confirme un momentum haussier robuste. La décision d'achat est justifiée par cette divergence positive persistante, indiquant que la tendance haussière pourrait se poursuivre à court terme.</w:t>
      </w:r>
    </w:p>
    <w:p>
      <w:pPr>
        <w:spacing w:after="120" w:line="276" w:lineRule="auto"/>
      </w:pPr>
      <w:r>
        <w:t>**RSI** : À 44,175, le RSI se situe dans la zone neutre (30-70), sans signal de surachat ni de survente. Cette valeur modérée, en légère baisse par rapport aux niveaux de surachat potentiels, suggère que le titre a digéré sa récente hausse et pourrait reprendre son élan, justifiant une décision neutre avec un biais haussier.</w:t>
      </w:r>
    </w:p>
    <w:p>
      <w:pPr>
        <w:spacing w:after="120" w:line="276" w:lineRule="auto"/>
      </w:pPr>
      <w:r>
        <w:t>**Stochastique** : Le %K (99,455) est très proche de son maximum et nettement supérieur au %D (84,654), ce qui place l'indicateur en zone de surachat extrême. La décision de vente est justifiée par ce signal de retournement potentiel à court terme, le croisement %K/%D en zone haute suggérant une possible correction imminente.</w:t>
      </w:r>
    </w:p>
    <w:p>
      <w:pPr>
        <w:spacing w:after="120" w:line="276" w:lineRule="auto"/>
      </w:pPr>
      <w:r>
        <w:t>**Conclusion technique** : Les indicateurs techniques présentent un tableau mitigé mais globalement haussier : les moyennes mobiles et le MACD confirment la tendance positive, tandis que le RSI neutre et le stochastique en surachat appellent à la prudence. La convergence des signaux d'achat à moyen terme et des signaux de vente à court terme suggère une phase de consolidation possible avant une nouvelle impulsion haussière. Un repli vers la MM20 (12 785 FCFA) constituerait une opportunité d'achat pour les investisseurs cherchant à se positionner sur la tendance de fond.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 réalisé un chiffre d'affaires de 189,430 milliards FCFA, en croissance de +9,98% par rapport à 2024, portée par la dynamique des ventes d'eau et l'augmentation du nombre de clients (+6,14% à 2,27 millions). Le résultat net s'établit à 4,663 milliards FCFA, en progression de +31% par rapport à 2024 (3,6 milliards FCFA), avec une marge nette de 2,46% et un ROE de 23,65% — un niveau excellent (&gt;15%) qui témoigne d'une rentabilité des fonds propres très solide. Le ROA, à 0,99%, reste faible en raison de l'intensité capitalistique du secteur (total actif de 472,672 milliards FCFA), mais la rotation des actifs de 40,08% indique une bonne efficacité dans l'utilisation des ressources. La structure financière présente des signaux contrastés : l'autonomie financière est très faible (4,17%), avec un ratio d'endettement de 95,83% et une dépendance financière de 740,21%, ce qui traduit une forte levière financière. Le BFR de 104,748 milliards FCFA est positif (défavorable), principalement dû à des délais clients très élevés de 749,25 jours — un risque majeur de trésorerie — et à une durée de stockage de 59,86 jours. La trésorerie nette est négative (-61,710 milliards FCFA) et le flux opérationnel est également négatif (-36,655 milliards FCFA), ce qui explique les tensions de liquidité persistantes. Les rapports trimestriels récents confirment cette dynamique : le T1 2026 (rapport du 31/03/2026) affiche un chiffre d'affaires de 40 916 millions FCFA (-2%) mais un résultat net en bond spectaculaire de +118% à 1 318 millions FCFA, grâce à une meilleure maîtrise des charges opérationnelles (résultat d'exploitation multiplié par 2,5 à 2 730 millions FCFA). Sur la base de ce T1 2026, on peut estimer que l'exercice 2026 devrait bénéficier d'une amélioration significative de la rentabilité, avec un résultat net potentiellement supérieur à 5 milliards FCFA si la dynamique se poursuit. Le dividende proposé pour 2025 est de 525 FCFA par action, offrant un rendement d'environ 4,04% au cours actuel de 12 990 FCFA — un niveau attractif pour une valeur de rendement. En synthèse, SDCC présente une solidité opérationnelle et une rentabilité en forte amélioration, mais des fragilités structurelles persistantes (endettement élevé, trésorerie négative, délais clients excessifs) qui nécessitent une surveillance accrue. La recommandation fondamentale est de conserver le titre, avec un biais positif à moyen terme, en attendant la confirmation du redressement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SDCC. Sur le plan de la **valorisation (Partie 0)**, les ratios PER (25,1x), P/B (5,93x) et EV/EBITDA (14,9x) indiquent une surévaluation manifeste par rapport aux moyennes du marché BRVM, ce qui limite le potentiel de hausse à court terme et expose le titre à un risque de correction si les résultats déçoivent. Le **comportement du cours (Partie 1)** est nettement haussier (+31,21% sur 100 jours), avec une volatilité élevée (38,5%) et une distribution symétrique (skewness 0,282, kurtosis 0,042), ce qui est favorable pour la tendance mais préoccupant pour la gestion du risque. Les **signaux techniques (Partie 2)** sont divergents : les moyennes mobiles et le MACD sont haussiers, tandis que le stochastique en surachat extrême (%K=99,455) et le RSI neutre (44,175) suggèrent une consolidation imminente. Les **fondamentaux (Partie 3)** révèlent une amélioration spectaculaire de la rentabilité (ROE 23,65%, résultat net +31% en 2025, +118% au T1 2026) mais des fragilités structurelles persistantes (endettement de 95,83%, trésorerie nette de -61,710 milliards FCFA, délais clients de 749 jours). Les **prédictions IA (J+1 à J+10)** anticipent une légère hausse vers 13 052 FCFA d'ici le 15 octobre 2026, confirmant la tendance haussière de fond mais sans accélération majeure. Sur la base de cette synthèse, la recommandation finale est **CONSERVER**, avec un niveau de confiance **Moyen** et un risque global **Élevé**. La convergence entre la dynamique fondamentale positive (amélioration de la rentabilité) et les signaux techniques haussiers (MM, MACD) est contrariée par la surévaluation boursière et le signal de vente du stochastique, ce qui justifie une position d'attente plutôt qu'un achat agressif. L'horizon d'investissement optimal est le **moyen terme (3-12 mois)**, en surveillant attentivement la publication des résultats du S1 2026 et l'évolution de la trésorerie, qui constituera le principal catalyseur de réévaluation du titre.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160.58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17,358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+68.57%</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16.22% (Élevée) — μ=2,542 FCFA, σ=412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β=0.5110 (Défensif) — Cov=0.000038, Var(idx)=0.000074,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17,358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2,792</w:t>
            </w:r>
          </w:p>
        </w:tc>
        <w:tc>
          <w:tcPr>
            <w:tcW w:type="dxa" w:w="1440"/>
            <w:shd w:fill="FAFAFA" w:val="clear"/>
          </w:tcPr>
          <w:p>
            <w:r>
              <w:rPr>
                <w:b/>
                <w:sz w:val="17"/>
              </w:rPr>
              <w:t>2,938</w:t>
            </w:r>
          </w:p>
        </w:tc>
        <w:tc>
          <w:tcPr>
            <w:tcW w:type="dxa" w:w="1440"/>
            <w:shd w:fill="FAFAFA" w:val="clear"/>
          </w:tcPr>
          <w:p>
            <w:r>
              <w:rPr>
                <w:sz w:val="17"/>
              </w:rPr>
              <w:t>3,084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2,732</w:t>
            </w:r>
          </w:p>
        </w:tc>
        <w:tc>
          <w:tcPr>
            <w:tcW w:type="dxa" w:w="1440"/>
            <w:shd w:fill="FAFAFA" w:val="clear"/>
          </w:tcPr>
          <w:p>
            <w:r>
              <w:rPr>
                <w:b/>
                <w:sz w:val="17"/>
              </w:rPr>
              <w:t>2,939</w:t>
            </w:r>
          </w:p>
        </w:tc>
        <w:tc>
          <w:tcPr>
            <w:tcW w:type="dxa" w:w="1440"/>
            <w:shd w:fill="FAFAFA" w:val="clear"/>
          </w:tcPr>
          <w:p>
            <w:r>
              <w:rPr>
                <w:sz w:val="17"/>
              </w:rPr>
              <w:t>3,146</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2,688</w:t>
            </w:r>
          </w:p>
        </w:tc>
        <w:tc>
          <w:tcPr>
            <w:tcW w:type="dxa" w:w="1440"/>
            <w:shd w:fill="FAFAFA" w:val="clear"/>
          </w:tcPr>
          <w:p>
            <w:r>
              <w:rPr>
                <w:b/>
                <w:sz w:val="17"/>
              </w:rPr>
              <w:t>2,941</w:t>
            </w:r>
          </w:p>
        </w:tc>
        <w:tc>
          <w:tcPr>
            <w:tcW w:type="dxa" w:w="1440"/>
            <w:shd w:fill="FAFAFA" w:val="clear"/>
          </w:tcPr>
          <w:p>
            <w:r>
              <w:rPr>
                <w:sz w:val="17"/>
              </w:rPr>
              <w:t>3,194</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2,648</w:t>
            </w:r>
          </w:p>
        </w:tc>
        <w:tc>
          <w:tcPr>
            <w:tcW w:type="dxa" w:w="1440"/>
            <w:shd w:fill="FAFAFA" w:val="clear"/>
          </w:tcPr>
          <w:p>
            <w:r>
              <w:rPr>
                <w:b/>
                <w:sz w:val="17"/>
              </w:rPr>
              <w:t>2,940</w:t>
            </w:r>
          </w:p>
        </w:tc>
        <w:tc>
          <w:tcPr>
            <w:tcW w:type="dxa" w:w="1440"/>
            <w:shd w:fill="FAFAFA" w:val="clear"/>
          </w:tcPr>
          <w:p>
            <w:r>
              <w:rPr>
                <w:sz w:val="17"/>
              </w:rPr>
              <w:t>3,233</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2,612</w:t>
            </w:r>
          </w:p>
        </w:tc>
        <w:tc>
          <w:tcPr>
            <w:tcW w:type="dxa" w:w="1440"/>
            <w:shd w:fill="FAFAFA" w:val="clear"/>
          </w:tcPr>
          <w:p>
            <w:r>
              <w:rPr>
                <w:b/>
                <w:sz w:val="17"/>
              </w:rPr>
              <w:t>2,938</w:t>
            </w:r>
          </w:p>
        </w:tc>
        <w:tc>
          <w:tcPr>
            <w:tcW w:type="dxa" w:w="1440"/>
            <w:shd w:fill="FAFAFA" w:val="clear"/>
          </w:tcPr>
          <w:p>
            <w:r>
              <w:rPr>
                <w:sz w:val="17"/>
              </w:rPr>
              <w:t>3,265</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2,578</w:t>
            </w:r>
          </w:p>
        </w:tc>
        <w:tc>
          <w:tcPr>
            <w:tcW w:type="dxa" w:w="1440"/>
            <w:shd w:fill="FAFAFA" w:val="clear"/>
          </w:tcPr>
          <w:p>
            <w:r>
              <w:rPr>
                <w:b/>
                <w:sz w:val="17"/>
              </w:rPr>
              <w:t>2,935</w:t>
            </w:r>
          </w:p>
        </w:tc>
        <w:tc>
          <w:tcPr>
            <w:tcW w:type="dxa" w:w="1440"/>
            <w:shd w:fill="FAFAFA" w:val="clear"/>
          </w:tcPr>
          <w:p>
            <w:r>
              <w:rPr>
                <w:sz w:val="17"/>
              </w:rPr>
              <w:t>3,293</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2,547</w:t>
            </w:r>
          </w:p>
        </w:tc>
        <w:tc>
          <w:tcPr>
            <w:tcW w:type="dxa" w:w="1440"/>
            <w:shd w:fill="FAFAFA" w:val="clear"/>
          </w:tcPr>
          <w:p>
            <w:r>
              <w:rPr>
                <w:b/>
                <w:sz w:val="17"/>
              </w:rPr>
              <w:t>2,932</w:t>
            </w:r>
          </w:p>
        </w:tc>
        <w:tc>
          <w:tcPr>
            <w:tcW w:type="dxa" w:w="1440"/>
            <w:shd w:fill="FAFAFA" w:val="clear"/>
          </w:tcPr>
          <w:p>
            <w:r>
              <w:rPr>
                <w:sz w:val="17"/>
              </w:rPr>
              <w:t>3,318</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2,517</w:t>
            </w:r>
          </w:p>
        </w:tc>
        <w:tc>
          <w:tcPr>
            <w:tcW w:type="dxa" w:w="1440"/>
            <w:shd w:fill="FAFAFA" w:val="clear"/>
          </w:tcPr>
          <w:p>
            <w:r>
              <w:rPr>
                <w:b/>
                <w:sz w:val="17"/>
              </w:rPr>
              <w:t>2,929</w:t>
            </w:r>
          </w:p>
        </w:tc>
        <w:tc>
          <w:tcPr>
            <w:tcW w:type="dxa" w:w="1440"/>
            <w:shd w:fill="FAFAFA" w:val="clear"/>
          </w:tcPr>
          <w:p>
            <w:r>
              <w:rPr>
                <w:sz w:val="17"/>
              </w:rPr>
              <w:t>3,341</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2,490</w:t>
            </w:r>
          </w:p>
        </w:tc>
        <w:tc>
          <w:tcPr>
            <w:tcW w:type="dxa" w:w="1440"/>
            <w:shd w:fill="FAFAFA" w:val="clear"/>
          </w:tcPr>
          <w:p>
            <w:r>
              <w:rPr>
                <w:b/>
                <w:sz w:val="17"/>
              </w:rPr>
              <w:t>2,926</w:t>
            </w:r>
          </w:p>
        </w:tc>
        <w:tc>
          <w:tcPr>
            <w:tcW w:type="dxa" w:w="1440"/>
            <w:shd w:fill="FAFAFA" w:val="clear"/>
          </w:tcPr>
          <w:p>
            <w:r>
              <w:rPr>
                <w:sz w:val="17"/>
              </w:rPr>
              <w:t>3,363</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2,464</w:t>
            </w:r>
          </w:p>
        </w:tc>
        <w:tc>
          <w:tcPr>
            <w:tcW w:type="dxa" w:w="1440"/>
            <w:shd w:fill="FAFAFA" w:val="clear"/>
          </w:tcPr>
          <w:p>
            <w:r>
              <w:rPr>
                <w:b/>
                <w:sz w:val="17"/>
              </w:rPr>
              <w:t>2,924</w:t>
            </w:r>
          </w:p>
        </w:tc>
        <w:tc>
          <w:tcPr>
            <w:tcW w:type="dxa" w:w="1440"/>
            <w:shd w:fill="FAFAFA" w:val="clear"/>
          </w:tcPr>
          <w:p>
            <w:r>
              <w:rPr>
                <w:sz w:val="17"/>
              </w:rPr>
              <w:t>3,383</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160,58 milliards FCFA, SDSC s'impose comme une valeur de premier plan de la cote BRVM, représentant un poids significatif dans l'indice composite. Le BPA de 14 FCFA/action traduit une rentabilité nette par titre extrêmement faible, conséquence directe de l'effondrement du résultat net 2025 à 784,97 millions FCFA. Le PER de 204,6x constitue un signal d'alerte majeur : les investisseurs paient plus de 200 fois les bénéfices courants, très loin de la moyenne BRVM (8-12x), ce qui traduit soit une anticipation de forte reprise bénéficiaire, soit une décorrélation préoccupante entre le cours et les fondamentaux. Le P/B de 2,18x indique que le marché valorise l'action à plus du double de sa valeur comptable (capitaux propres de 73,55 Mds FCFA), accordant une prime de croissance qui paraît difficilement justifiable au regard de la marge nette de 0,85%. Enfin, l'EV/EBITDA de 22,5x, très supérieur au seuil de 15x, confirme que la valeur d'entreprise intègre une prime spéculative déconnectée de la capacité opérationnelle actuelle (EBE de 4,26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SDSC a enregistré une progression spectaculaire de +68,57%, passant d'un plus bas de 1 650 FCFA à un plus haut de 3 205 FCFA, avant de clôturer à 2 950 FCFA, soit un repli de -3,44% sur la dernière séance. Ce range de trading de 1 555 FCFA (amplitude de 94%) témoigne d'une dynamique nettement haussière, portée par un volume moyen quotidien de 17 358 titres, signe d'un intérêt soutenu des investisseurs. Les statistiques descriptives révèlent une moyenne de 2 542 FCFA légèrement inférieure à la médiane de 2 645 FCFA, avec un mode à 2 800 FCFA : cet écart indique une distribution asymétrique où le cours a passé davantage de séances au-dessus de la moyenne, cohérent avec le skewness négatif de -0,578 (plus de journées de hausse que de baisse, mais avec des corrections ponctuelles marquées). L'écart-type de 415 FCFA et le coefficient de variation de 16,3% traduisent une dispersion modérée du cours autour de sa tendance, tandis que le kurtosis de -0,615 (mésokurtique) suggère une distribution proche de la normale, sans risque excessif de pics extrêmes. La volatilité annualisée de 51,8% classe toutefois SDSC dans la catégorie des titres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(2 972,75 FCFA) et la MM50 (2 845,20 FCFA) se situent toutes deux sous le cours actuel (2 950 FCFA), avec une MM20 légèrement supérieure à la MM50, configuration typique d'une tendance haussière de court terme. Le cours évoluant au-dessus de ses deux moyennes, la décision technique est à l'**Achat**, bien que la proximité immédiate du cours avec la MM20 (écart de seulement 0,8%) suggère une possible consolidation.</w:t>
      </w:r>
    </w:p>
    <w:p>
      <w:pPr>
        <w:spacing w:after="120" w:line="276" w:lineRule="auto"/>
      </w:pPr>
      <w:r>
        <w:t>**Bandes de Bollinger** : Le cours (2 950 FCFA) se situe à mi-chemin entre la borne supérieure (3 177,60 FCFA) et la borne inférieure (2 767,90 FCFA), dans la zone médiane des bandes. Cette position centrale, couplée à un rétrécissement relatif de l'amplitude, indique une phase de consolidation sans direction claire, justifiant la décision **Neutre** : ni signal d'achat (pas de rebond sur la borne basse), ni signal de vente (pas de rejet de la borne haute).</w:t>
      </w:r>
    </w:p>
    <w:p>
      <w:pPr>
        <w:spacing w:after="120" w:line="276" w:lineRule="auto"/>
      </w:pPr>
      <w:r>
        <w:t>**MACD** : La ligne MACD (37,98) est passée sous sa ligne de signal (42,01), générant un croisement baissier qui traduit un essoufflement du momentum haussier. Cette divergence négative, bien que modérée, justifie la décision de **Vente** technique à court terme, suggérant que la dynamique positive des 100 derniers jours pourrait s'inverser ou marquer une pause.</w:t>
      </w:r>
    </w:p>
    <w:p>
      <w:pPr>
        <w:spacing w:after="120" w:line="276" w:lineRule="auto"/>
      </w:pPr>
      <w:r>
        <w:t>**RSI** : À 48,15, le RSI se situe parfaitement dans la zone neutre (30-70), sans signal de surachat (&gt;70) ni de survente (&lt;30). Cette valeur médiane indique un équilibre entre acheteurs et vendeurs, sans pression directionnelle dominante, d'où la décision **Neutre** : le titre n'est ni à acheter en urgence, ni à vendre précipitamment.</w:t>
      </w:r>
    </w:p>
    <w:p>
      <w:pPr>
        <w:spacing w:after="120" w:line="276" w:lineRule="auto"/>
      </w:pPr>
      <w:r>
        <w:t>**Stochastique** : Le %K (50,85) est nettement inférieur au %D (70,06), configuration baissière où la ligne rapide passe sous la ligne lente, signalant un essoufflement de la dynamique haussière. Le %D en zone haute (&gt;70) suggère que le titre sort progressivement d'une phase de surachat, justifiant la décision **Neutre** avec un biais baissier à court terme.</w:t>
      </w:r>
    </w:p>
    <w:p>
      <w:pPr>
        <w:spacing w:after="120" w:line="276" w:lineRule="auto"/>
      </w:pPr>
      <w:r>
        <w:t>**Conclusion technique** : Les indicateurs présentent un tableau mitigé. Si les moyennes mobiles restent haussières (cours &gt; MM20 &gt; MM50), le MACD baissier et le croisement stochastique négatif signalent un essoufflement du momentum. Le RSI neutre et les Bandes de Bollinger en zone médiane confirment l'absence de signal directionnel fort. La convergence des signaux suggère une phase de consolidation, voire une correction modérée, après la forte hausse de +68,57% sur 100 jours.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AGL Côte d'Ivoire (SDSC) affiche un chiffre d'affaires de 92,004 milliards FCFA, en croissance de +7,43% par rapport à 2024 (85,643 Mds FCFA), portée par le dynamisme des métiers logistiques (transit export cacao, entreposage, gestion de base logistique). Cependant, cette performance commerciale masque une dégradation alarmante de la rentabilité : le résultat net s'effondre à 784,97 millions FCFA contre 21,069 milliards en 2024, soit une chute de -96,3%, et le résultat d'exploitation devient négatif à -2,271 milliards FCFA. Cette contre-performance s'explique par une hausse des dotations aux amortissements (+41% à 9,043 Mds FCFA), une augmentation des charges de personnel (36,205 Mds FCFA) et un résultat financier en repli de 66% (7,080 Mds FCFA), privé des dividendes exceptionnels des filiales perçus en 2024. Les ratios de rentabilité se dégradent en conséquence : le ROE s'établit à 1,07% (très loin du seuil de 15% considéré comme excellent) et le ROA à 0,30%, tandis que la marge nette s'écrase à 0,85% (contre 24,6% en 2024). Sur le plan structurel, la société conserve des fondamentaux solides : capitaux propres de 73,55 Mds FCFA, trésorerie nette de 74,78 Mds FCFA, flux opérationnels de 83,198 Mds FCFA et un BFR négatif de -57,339 Mds FCFA (favorable). Toutefois, l'autonomie financière (28,35%) reste légèrement inférieure au seuil de 30%, et la couverture des intérêts est négative (-289,33%), signalant que le résultat d'exploitation ne couvre plus les charges financières. Les rapports trimestriels 2025 confirment cette tendance : le T1 2025 (rapport du 31/03/2025) affichait un résultat net de -193 millions FCFA, le S1 2025 (rapport du 30/06/2025) une perte de -427 millions, et le T3 2025 (rapport du 30/09/2025) un résultat net de 4,341 milliards en chute de -77% sur un an. Sur la base de ces tendances, on estime que l'exercice 2026 devrait rester sous pression, la reprise de la rentabilité dépendant de la capacité de la direction à restaurer les marges opérationnelles et à compenser l'absence de dividendes exceptionnels des filiales. La recommandation fondamentale est de **CONSERVER** le titre : la solidité du bilan et la croissance du CA incitent à ne pas vendre, mais la faiblesse de la rentabilité et la réduction drastique du dividende (544,35 millions FCFA proposés, contre 5,008 milliards en 2024, soit -89%) justifient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Sur le plan de la **valorisation (Partie 0)**, les ratios PER (204,6x), P/B (2,18x) et EV/EBITDA (22,5x) indiquent une surévaluation manifeste : le marché valorise le titre bien au-delà de ses bénéfices et de sa valeur comptable, ce qui est difficilement justifiable au regard de la marge nette de 0,85%. Le **comportement du cours (Partie 1)** est paradoxal : malgré une hausse spectaculaire de +68,57% sur 100 jours, la volatilité élevée (51,8%) et le skewness négatif (-0,578) suggèrent que la dynamique haussière pourrait s'essouffler, d'autant que la dernière séance affiche un repli de -3,44%. Les **signaux techniques (Partie 2)** sont mitigés : si les moyennes mobiles restent haussières, le MACD baissier et le croisement stochastique négatif signalent un essoufflement du momentum, tandis que le RSI neutre (48,15) et les Bandes de Bollinger en zone médiane confirment l'absence de direction claire. Les **fondamentaux (Partie 3)** sont préoccupants : la chute de -96% du résultat net, le résultat d'exploitation négatif et la marge nette de 0,85% contrastent avec la solidité du bilan (trésorerie de 74,78 Mds FCFA, BFR négatif). Les **prédictions IA (J+1 à J+10)** anticipent une stabilisation du cours autour de 2 938-2 941 FCFA, confirmant l'absence de dynamique haussière à court terme. Sur la base de cette synthèse, la recommandation finale est de **CONSERVER** le titre, avec un **niveau de confiance moyen** et un **risque global élevé**. La convergence des signaux techniques baissiers à court terme et la surévaluation fondamentale plaident contre un achat immédiat, tandis que la solidité du bilan et la croissance du chiffre d'affaires interdisent une vente précipitée. L'horizon d'investissement optimal est le **moyen terme (3-12 mois)**, en surveillant attentivement la capacité de la direction à restaurer les marges opérationnelles et à clarifier sa politique de dividende lors de la publication des résultats du S1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β=1.1261 (Neutre (suit le marché)) — Cov=0.000042, Var(idx)=0.000038, ρ=0.235, n=85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(EVIOSYS PACKAGING SIEM)**</w:t>
        <w:br/>
        <w:t>**Bourse Régionale des Valeurs Mobilières (BRVM) — Côte d'Ivoire**</w:t>
        <w:br/>
        <w:t>*Date d'analyse : sur la base des données de marché des 100 derniers jours et des rapports financiers disponibles*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intermédiaire à l'échelle de la BRVM qui positionne le titre parmi les valeurs industrielles de taille moyenne, loin des mastodontes bancaires et télécoms de la cote. Les ratios de valorisation classiques (BPA, PER, P/B, EV/EBITDA) ne sont pas calculables en l'état, faute de données financières structurées exploitables dans la base (résultat net par action, capitaux propres par action, EBITDA). Cette absence empêche toute comparaison directe avec le PER moyen de la BRVM (8-12x) et prive l'investisseur d'un repère essentiel pour juger si le marché paie le titre au-dessus ou en-dessous de sa valeur intrinsèque. On peut toutefois noter que la capitalisation de 37,66 Mds FCFA, rapportée aux résultats historiques connus (bénéfice net 2023 de 1,01 Md FCFA selon le rapport du 31/12/2023), suggère un multiple de capitalisation élevé, ce qui traduit une valorisation tendue au regard de la rentabilité actuelle. En l'absence de ratios fiables, l'analyse doit s'appuyer sur les fondamentaux narratifs et les signaux techniques.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dynamique baissière persistante. Le cours actuel de **1 495 FCFA** se situe dans la moitié basse du range de trading, dont le plus haut atteint **1 800 FCFA** et le plus bas **1 350 FCFA**, soit une amplitude de 450 FCFA (33% du plus bas) qui témoigne d'une réelle nervosité. La tendance générale est clairement baissière sur la période, le titre ayant cédé près d'un sixième de sa valeur. Les statistiques descriptives révèlent une moyenne de **1 527 FCFA** légèrement supérieure à la médiane de **1 520 FCFA**, avec un mode à **1 500 FCFA** : l'écart faible entre moyenne et médiane indique une distribution globalement équilibrée, mais le skewness positif de **0,558** signale que les journées sous la moyenne sont plus fréquentes, avec quelques pics haussiers isolés. L'écart-type de **69 FCFA** (CV de **4,5%**) traduit une dispersion modérée du cours autour de sa moyenne, tandis que le kurtosis de **1,652** (leptokurtique) avertit sur un risque de queues épaisses, c'est-à-dire de mouvements brusques et amplifiés. La volatilité annualisée de **47,2%** classe le titre dans la catégorie **élevée** (&gt;30%), ce qui est cohérent avec un marché peu liquide (volume moyen de 6 046 titres/jour) où les variations peuvent être amples.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juste sous la MM50 et nettement sous la MM20. Cette configuration — cours sous les deux moyennes — est théoriquement baissière, mais la décision affichée est "Achat", probablement parce que la MM50 sert de support dynamique et que le cours reste proche de cette zone. La prudence s'impose néanmoins, car la MM20 en repli au-dessus du cours constitue une résistance immédiate.</w:t>
      </w:r>
    </w:p>
    <w:p>
      <w:pPr>
        <w:spacing w:after="120" w:line="276" w:lineRule="auto"/>
      </w:pPr>
      <w:r>
        <w:t>**Bandes de Bollinger** : Le cours (1 495 FCFA) se situe dans la partie basse de la bande, entre la borne inférieure (1 459,69 FCFA) et la borne supérieure (1 621,81 FCFA), sans en toucher les extrêmes. Cette position médiane-basse, combinée à une largeur de bande relativement contenue, traduit une volatilité en cours de normalisation après le mouvement baissier. La décision "Neutre" est cohérente : ni signal de survente (proche borne basse), ni signal de surachat.</w:t>
      </w:r>
    </w:p>
    <w:p>
      <w:pPr>
        <w:spacing w:after="120" w:line="276" w:lineRule="auto"/>
      </w:pPr>
      <w:r>
        <w:t>**MACD** : La valeur du MACD (7,042) est inférieure à son signal (11,288), ce qui génère un croisement baissier et une décision "Vente". Le momentum est clairement négatif, l'histogramme (différence MACD-Signal) étant en territoire négatif. Ce signal confirme la pression vendeuse à court terme et invite à la prudence tant que le MACD ne repasse pas au-dessus de son signal.</w:t>
      </w:r>
    </w:p>
    <w:p>
      <w:pPr>
        <w:spacing w:after="120" w:line="276" w:lineRule="auto"/>
      </w:pPr>
      <w:r>
        <w:t>**RSI** : À **49,533**, le RSI se situe exactement dans la zone neutre (30-70), sans divergence ni excès. La décision "Neutre" reflète un équilibre entre acheteurs et vendeurs, sans force directionnelle dominante. Le titre n'est ni survendu (ce qui aurait pu justifier un rebond technique), ni suracheté.</w:t>
      </w:r>
    </w:p>
    <w:p>
      <w:pPr>
        <w:spacing w:after="120" w:line="276" w:lineRule="auto"/>
      </w:pPr>
      <w:r>
        <w:t>**Stochastique** : Le %K (34,615) est nettement inférieur au %D (57,692), ce qui indique un croisement baissier récent et une perte de momentum. La décision "Neutre" masque une dynamique défavorable : le %K en zone basse (proche de 20) suggère une pression vendeuse persistante, sans encore atteindre la zone de survente extrême.</w:t>
      </w:r>
    </w:p>
    <w:p>
      <w:pPr>
        <w:spacing w:after="120" w:line="276" w:lineRule="auto"/>
      </w:pPr>
      <w:r>
        <w:t>**Conclusion technique** : Les indicateurs sont majoritairement baissiers ou neutres — MACD en vente, Stochastique en croisement baissier, cours sous les moyennes mobiles — tandis que le RSI et les Bandes de Bollinger restent neutres. Seule la décision "Achat" des moyennes mobiles apporte une note positive, mais elle est fragile car le cours évolue sous la MM20. La convergence des signaux négatifs (MACD, Stochastique) l'emporte sur les signaux neutres, suggérant une poursuite de la consolidation baissière à court terme, avec un support potentiel autour de 1 459 FCFA (borne basse de Bollinger) et 1 350 FCFA (plus bas de la période).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officiels fournissent des éléments essentiels. **Selon le rapport du 31/12/2023**, SEMC (ex-Eviosys Packaging SIEM) a enregistré un chiffre d'affaires de **27,88 milliards FCFA** en 2023, en **baisse de 6%** par rapport aux 29,60 milliards FCFA de 2022. Le résultat net s'est effondré à **1,01 milliard FCFA**, contre 3,86 milliards FCFA en 2022, soit une **chute de 74%**, avec une marge nette réduite à **3,6%** (contre 13,0% en 2022). Cette dégradation s'explique par la perte de clients clés (AIRONE, secteur Tomate), la concurrence du PET, et des charges fixes élevées. Le rapport du **31/12/2022** (exercice 2022) faisait état d'un CA de 125,4 milliards FCFA et d'un résultat net de 12,8 milliards FCFA — des chiffres qui semblent toutefois issus d'une analyse antérieure et possiblement mal calibrés pour SEMC, ce qui invite à la prudence sur leur comparabilité. Le rapport du **T1 2023** (publié le 31/03/2023) indiquait un CA de 7,65 milliards FCFA (+16,5%) et un bénéfice net de 855,65 millions FCFA (+37,9%), avec une marge nette de 11,2% — mais cette dynamique ne s'est pas confirmée sur l'année pleine. La politique de dividende est inexistante : **0 FCFA par action** en 2023 comme en 2022, le résultat étant intégralement reporté pour financer les investissements et faire face à la suspension de la cote BRVM (flottant insuffisant de 10,42% contre 15% requis). Le rachat par **Sonoco Products Company** (finalisé en décembre 2024) constitue un événement majeur, susceptible d'apporter capitaux et expertise, mais aussi de diluer les actionnaires existants. **En synthèse**, les fondamentaux 2023 sont dégradés (CA en baisse, rentabilité effondrée, dividende nul), mais les perspectives 2024 (objectif de CA de 32 milliards FCFA, +18%) et l'arrivée de Sonoco offrent des leviers de relance. La recommandation fondamentale est de **CONSERVER avec vigilance**, en surveillant la levée de la suspension BRVM et l'exécution du plan 2024.</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et globalement défavorable à court terme. **En valorisation (Partie 0)**, l'absence de ratios PER/P/B/EV-EBITDA empêche toute conclusion ferme, mais la capitalisation de 37,66 Mds FCFA rapportée à un bénéfice net de 1,01 Md FCFA (2023) suggère une valorisation tendue, voire surévaluée. **Le comportement du cours (Partie 1)** est préoccupant : tendance baissière (-16,94%), volatilité élevée (47,2%), kurtosis leptokurtique (risque de pics) et skewness positif (pression vendeuse fréquente). **Les signaux techniques (Partie 2)** sont majoritairement baissiers ou neutres — MACD en vente, Stochastique en croisement baissier, cours sous les moyennes mobiles — sans convergence haussière. **Les fondamentaux (Partie 3)** sont dégradés pour 2023 (CA -6%, résultat net -74%, marge nette à 3,6%, dividende nul), même si les perspectives 2024 et le rachat par Sonoco apportent un espoir de relance. **Les prédictions IA (J+1 à J+10)** ne sont pas disponibles, ce qui ne permet pas de confirmer ou d'infirmer les autres signaux. Sur la base de cette synthèse, la recommandation finale est **CONSERVER** (avec un biais baissier à court terme), justifiée par la convergence des signaux techniques négatifs et des fondamentaux 2023 dégradés, tempérée par les perspectives de relance et l'arrivée d'un actionnaire industriel de premier plan. Le niveau de confiance est **Moyen** (absence de prédictions IA et de ratios de valorisation), et le niveau de risque global est **Élevé** (volatilité forte, liquidité faible, suspension de cote, incertitudes stratégiques). L'horizon d'investissement optimal est **moyen terme (3-12 mois)**, le temps de voir se matérialiser (ou non) les effets du plan 2024 et de la reprise en main par Sonoco, avec un suivi rapproché des indicateurs de performance et de la levée de la suspension BRVM.</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1219.56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5,103 titres</w:t>
            </w:r>
          </w:p>
        </w:tc>
        <w:tc>
          <w:tcPr>
            <w:tcW w:type="dxa" w:w="2268"/>
            <w:shd w:fill="FFF2CC" w:val="clear"/>
          </w:tcPr>
          <w:p>
            <w:r>
              <w:rPr>
                <w:b/>
                <w:color w:val="503200"/>
                <w:sz w:val="16"/>
              </w:rPr>
              <w:t xml:space="preserve">Cours actuel : </w:t>
            </w:r>
            <w:r>
              <w:rPr>
                <w:color w:val="000000"/>
                <w:sz w:val="17"/>
              </w:rPr>
              <w:t>39,200 FCFA</w:t>
            </w:r>
          </w:p>
          <w:p>
            <w:r>
              <w:rPr>
                <w:b/>
                <w:color w:val="503200"/>
                <w:sz w:val="16"/>
              </w:rPr>
              <w:t xml:space="preserve">Var. 100 jours : </w:t>
            </w:r>
            <w:r>
              <w:rPr>
                <w:b/>
                <w:color w:val="007800"/>
                <w:sz w:val="17"/>
              </w:rPr>
              <w:t>+8.93%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35,985 FCFA</w:t>
            </w:r>
          </w:p>
          <w:p>
            <w:r>
              <w:rPr>
                <w:b/>
                <w:color w:val="503200"/>
                <w:sz w:val="16"/>
              </w:rPr>
              <w:t xml:space="preserve">Volatilité ann. : </w:t>
            </w:r>
            <w:r>
              <w:rPr>
                <w:color w:val="000000"/>
                <w:sz w:val="17"/>
              </w:rPr>
              <w:t>21.0%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2.21% (Faible) — μ=38,319 FCFA, σ=845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β=0.4629 (Défensif) — Cov=0.000034, Var(idx)=0.000074, ρ=0.297,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37,908</w:t>
            </w:r>
          </w:p>
        </w:tc>
        <w:tc>
          <w:tcPr>
            <w:tcW w:type="dxa" w:w="1440"/>
            <w:shd w:fill="FAFAFA" w:val="clear"/>
          </w:tcPr>
          <w:p>
            <w:r>
              <w:rPr>
                <w:b/>
                <w:sz w:val="17"/>
              </w:rPr>
              <w:t>38,762</w:t>
            </w:r>
          </w:p>
        </w:tc>
        <w:tc>
          <w:tcPr>
            <w:tcW w:type="dxa" w:w="1440"/>
            <w:shd w:fill="FAFAFA" w:val="clear"/>
          </w:tcPr>
          <w:p>
            <w:r>
              <w:rPr>
                <w:sz w:val="17"/>
              </w:rPr>
              <w:t>39,616</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37,488</w:t>
            </w:r>
          </w:p>
        </w:tc>
        <w:tc>
          <w:tcPr>
            <w:tcW w:type="dxa" w:w="1440"/>
            <w:shd w:fill="FAFAFA" w:val="clear"/>
          </w:tcPr>
          <w:p>
            <w:r>
              <w:rPr>
                <w:b/>
                <w:sz w:val="17"/>
              </w:rPr>
              <w:t>38,694</w:t>
            </w:r>
          </w:p>
        </w:tc>
        <w:tc>
          <w:tcPr>
            <w:tcW w:type="dxa" w:w="1440"/>
            <w:shd w:fill="FAFAFA" w:val="clear"/>
          </w:tcPr>
          <w:p>
            <w:r>
              <w:rPr>
                <w:sz w:val="17"/>
              </w:rPr>
              <w:t>39,900</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37,144</w:t>
            </w:r>
          </w:p>
        </w:tc>
        <w:tc>
          <w:tcPr>
            <w:tcW w:type="dxa" w:w="1440"/>
            <w:shd w:fill="FAFAFA" w:val="clear"/>
          </w:tcPr>
          <w:p>
            <w:r>
              <w:rPr>
                <w:b/>
                <w:sz w:val="17"/>
              </w:rPr>
              <w:t>38,618</w:t>
            </w:r>
          </w:p>
        </w:tc>
        <w:tc>
          <w:tcPr>
            <w:tcW w:type="dxa" w:w="1440"/>
            <w:shd w:fill="FAFAFA" w:val="clear"/>
          </w:tcPr>
          <w:p>
            <w:r>
              <w:rPr>
                <w:sz w:val="17"/>
              </w:rPr>
              <w:t>40,092</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2026-10-14</w:t>
            </w:r>
          </w:p>
        </w:tc>
        <w:tc>
          <w:tcPr>
            <w:tcW w:type="dxa" w:w="1440"/>
            <w:shd w:fill="FAFAFA" w:val="clear"/>
          </w:tcPr>
          <w:p>
            <w:r>
              <w:rPr>
                <w:sz w:val="17"/>
              </w:rPr>
              <w:t>36,847</w:t>
            </w:r>
          </w:p>
        </w:tc>
        <w:tc>
          <w:tcPr>
            <w:tcW w:type="dxa" w:w="1440"/>
            <w:shd w:fill="FAFAFA" w:val="clear"/>
          </w:tcPr>
          <w:p>
            <w:r>
              <w:rPr>
                <w:b/>
                <w:sz w:val="17"/>
              </w:rPr>
              <w:t>38,546</w:t>
            </w:r>
          </w:p>
        </w:tc>
        <w:tc>
          <w:tcPr>
            <w:tcW w:type="dxa" w:w="1440"/>
            <w:shd w:fill="FAFAFA" w:val="clear"/>
          </w:tcPr>
          <w:p>
            <w:r>
              <w:rPr>
                <w:sz w:val="17"/>
              </w:rPr>
              <w:t>40,245</w:t>
            </w:r>
          </w:p>
        </w:tc>
        <w:tc>
          <w:tcPr>
            <w:tcW w:type="dxa" w:w="1440"/>
            <w:shd w:fill="FAFAFA" w:val="clear"/>
          </w:tcPr>
          <w:p>
            <w:r>
              <w:rPr>
                <w:b/>
                <w:color w:val="C00000"/>
                <w:sz w:val="17"/>
              </w:rPr>
              <w:t>-1.7%</w:t>
            </w:r>
          </w:p>
        </w:tc>
      </w:tr>
      <w:tr>
        <w:tc>
          <w:tcPr>
            <w:tcW w:type="dxa" w:w="1440"/>
            <w:shd w:fill="FAFAFA" w:val="clear"/>
          </w:tcPr>
          <w:p>
            <w:r>
              <w:rPr>
                <w:sz w:val="17"/>
              </w:rPr>
              <w:t>J+5  Moyenne</w:t>
            </w:r>
          </w:p>
        </w:tc>
        <w:tc>
          <w:tcPr>
            <w:tcW w:type="dxa" w:w="1440"/>
            <w:shd w:fill="FAFAFA" w:val="clear"/>
          </w:tcPr>
          <w:p>
            <w:r>
              <w:rPr>
                <w:sz w:val="17"/>
              </w:rPr>
              <w:t>2026-10-15</w:t>
            </w:r>
          </w:p>
        </w:tc>
        <w:tc>
          <w:tcPr>
            <w:tcW w:type="dxa" w:w="1440"/>
            <w:shd w:fill="FAFAFA" w:val="clear"/>
          </w:tcPr>
          <w:p>
            <w:r>
              <w:rPr>
                <w:sz w:val="17"/>
              </w:rPr>
              <w:t>36,583</w:t>
            </w:r>
          </w:p>
        </w:tc>
        <w:tc>
          <w:tcPr>
            <w:tcW w:type="dxa" w:w="1440"/>
            <w:shd w:fill="FAFAFA" w:val="clear"/>
          </w:tcPr>
          <w:p>
            <w:r>
              <w:rPr>
                <w:b/>
                <w:sz w:val="17"/>
              </w:rPr>
              <w:t>38,479</w:t>
            </w:r>
          </w:p>
        </w:tc>
        <w:tc>
          <w:tcPr>
            <w:tcW w:type="dxa" w:w="1440"/>
            <w:shd w:fill="FAFAFA" w:val="clear"/>
          </w:tcPr>
          <w:p>
            <w:r>
              <w:rPr>
                <w:sz w:val="17"/>
              </w:rPr>
              <w:t>40,376</w:t>
            </w:r>
          </w:p>
        </w:tc>
        <w:tc>
          <w:tcPr>
            <w:tcW w:type="dxa" w:w="1440"/>
            <w:shd w:fill="FAFAFA" w:val="clear"/>
          </w:tcPr>
          <w:p>
            <w:r>
              <w:rPr>
                <w:b/>
                <w:color w:val="C00000"/>
                <w:sz w:val="17"/>
              </w:rPr>
              <w:t>-1.8%</w:t>
            </w:r>
          </w:p>
        </w:tc>
      </w:tr>
      <w:tr>
        <w:tc>
          <w:tcPr>
            <w:tcW w:type="dxa" w:w="1440"/>
            <w:shd w:fill="FFDCE0" w:val="clear"/>
          </w:tcPr>
          <w:p>
            <w:r>
              <w:rPr>
                <w:sz w:val="17"/>
              </w:rPr>
              <w:t>J+6  Moyenne</w:t>
            </w:r>
          </w:p>
        </w:tc>
        <w:tc>
          <w:tcPr>
            <w:tcW w:type="dxa" w:w="1440"/>
            <w:shd w:fill="FFDCE0" w:val="clear"/>
          </w:tcPr>
          <w:p>
            <w:r>
              <w:rPr>
                <w:sz w:val="17"/>
              </w:rPr>
              <w:t>2026-10-16</w:t>
            </w:r>
          </w:p>
        </w:tc>
        <w:tc>
          <w:tcPr>
            <w:tcW w:type="dxa" w:w="1440"/>
            <w:shd w:fill="FFDCE0" w:val="clear"/>
          </w:tcPr>
          <w:p>
            <w:r>
              <w:rPr>
                <w:sz w:val="17"/>
              </w:rPr>
              <w:t>36,341</w:t>
            </w:r>
          </w:p>
        </w:tc>
        <w:tc>
          <w:tcPr>
            <w:tcW w:type="dxa" w:w="1440"/>
            <w:shd w:fill="FFDCE0" w:val="clear"/>
          </w:tcPr>
          <w:p>
            <w:r>
              <w:rPr>
                <w:b/>
                <w:sz w:val="17"/>
              </w:rPr>
              <w:t>38,415</w:t>
            </w:r>
          </w:p>
        </w:tc>
        <w:tc>
          <w:tcPr>
            <w:tcW w:type="dxa" w:w="1440"/>
            <w:shd w:fill="FFDCE0" w:val="clear"/>
          </w:tcPr>
          <w:p>
            <w:r>
              <w:rPr>
                <w:sz w:val="17"/>
              </w:rPr>
              <w:t>40,489</w:t>
            </w:r>
          </w:p>
        </w:tc>
        <w:tc>
          <w:tcPr>
            <w:tcW w:type="dxa" w:w="1440"/>
            <w:shd w:fill="FFDCE0"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2026-10-19</w:t>
            </w:r>
          </w:p>
        </w:tc>
        <w:tc>
          <w:tcPr>
            <w:tcW w:type="dxa" w:w="1440"/>
            <w:shd w:fill="FFDCE0" w:val="clear"/>
          </w:tcPr>
          <w:p>
            <w:r>
              <w:rPr>
                <w:sz w:val="17"/>
              </w:rPr>
              <w:t>36,117</w:t>
            </w:r>
          </w:p>
        </w:tc>
        <w:tc>
          <w:tcPr>
            <w:tcW w:type="dxa" w:w="1440"/>
            <w:shd w:fill="FFDCE0" w:val="clear"/>
          </w:tcPr>
          <w:p>
            <w:r>
              <w:rPr>
                <w:b/>
                <w:sz w:val="17"/>
              </w:rPr>
              <w:t>38,353</w:t>
            </w:r>
          </w:p>
        </w:tc>
        <w:tc>
          <w:tcPr>
            <w:tcW w:type="dxa" w:w="1440"/>
            <w:shd w:fill="FFDCE0" w:val="clear"/>
          </w:tcPr>
          <w:p>
            <w:r>
              <w:rPr>
                <w:sz w:val="17"/>
              </w:rPr>
              <w:t>40,590</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2026-10-20</w:t>
            </w:r>
          </w:p>
        </w:tc>
        <w:tc>
          <w:tcPr>
            <w:tcW w:type="dxa" w:w="1440"/>
            <w:shd w:fill="FFDCE0" w:val="clear"/>
          </w:tcPr>
          <w:p>
            <w:r>
              <w:rPr>
                <w:sz w:val="17"/>
              </w:rPr>
              <w:t>35,906</w:t>
            </w:r>
          </w:p>
        </w:tc>
        <w:tc>
          <w:tcPr>
            <w:tcW w:type="dxa" w:w="1440"/>
            <w:shd w:fill="FFDCE0" w:val="clear"/>
          </w:tcPr>
          <w:p>
            <w:r>
              <w:rPr>
                <w:b/>
                <w:sz w:val="17"/>
              </w:rPr>
              <w:t>38,293</w:t>
            </w:r>
          </w:p>
        </w:tc>
        <w:tc>
          <w:tcPr>
            <w:tcW w:type="dxa" w:w="1440"/>
            <w:shd w:fill="FFDCE0" w:val="clear"/>
          </w:tcPr>
          <w:p>
            <w:r>
              <w:rPr>
                <w:sz w:val="17"/>
              </w:rPr>
              <w:t>40,680</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2026-10-21</w:t>
            </w:r>
          </w:p>
        </w:tc>
        <w:tc>
          <w:tcPr>
            <w:tcW w:type="dxa" w:w="1440"/>
            <w:shd w:fill="FFDCE0" w:val="clear"/>
          </w:tcPr>
          <w:p>
            <w:r>
              <w:rPr>
                <w:sz w:val="17"/>
              </w:rPr>
              <w:t>35,706</w:t>
            </w:r>
          </w:p>
        </w:tc>
        <w:tc>
          <w:tcPr>
            <w:tcW w:type="dxa" w:w="1440"/>
            <w:shd w:fill="FFDCE0" w:val="clear"/>
          </w:tcPr>
          <w:p>
            <w:r>
              <w:rPr>
                <w:b/>
                <w:sz w:val="17"/>
              </w:rPr>
              <w:t>38,234</w:t>
            </w:r>
          </w:p>
        </w:tc>
        <w:tc>
          <w:tcPr>
            <w:tcW w:type="dxa" w:w="1440"/>
            <w:shd w:fill="FFDCE0" w:val="clear"/>
          </w:tcPr>
          <w:p>
            <w:r>
              <w:rPr>
                <w:sz w:val="17"/>
              </w:rPr>
              <w:t>40,762</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2026-10-22</w:t>
            </w:r>
          </w:p>
        </w:tc>
        <w:tc>
          <w:tcPr>
            <w:tcW w:type="dxa" w:w="1440"/>
            <w:shd w:fill="FFDCE0" w:val="clear"/>
          </w:tcPr>
          <w:p>
            <w:r>
              <w:rPr>
                <w:sz w:val="17"/>
              </w:rPr>
              <w:t>35,516</w:t>
            </w:r>
          </w:p>
        </w:tc>
        <w:tc>
          <w:tcPr>
            <w:tcW w:type="dxa" w:w="1440"/>
            <w:shd w:fill="FFDCE0" w:val="clear"/>
          </w:tcPr>
          <w:p>
            <w:r>
              <w:rPr>
                <w:b/>
                <w:sz w:val="17"/>
              </w:rPr>
              <w:t>38,176</w:t>
            </w:r>
          </w:p>
        </w:tc>
        <w:tc>
          <w:tcPr>
            <w:tcW w:type="dxa" w:w="1440"/>
            <w:shd w:fill="FFDCE0" w:val="clear"/>
          </w:tcPr>
          <w:p>
            <w:r>
              <w:rPr>
                <w:sz w:val="17"/>
              </w:rPr>
              <w:t>40,837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1 219,56 milliards FCFA, SGBC figure parmi les poids lourds de la cote BRVM, ce qui en fait un titre incontournable pour les investisseurs institutionnels régionaux. Le BPA de 3 258 FCFA par action signifie que chaque titre génère un bénéfice net de plus de 3 000 FCFA, un niveau remarquable qui traduit la forte rentabilité de la banque. Le PER de 12,0x se situe dans la fourchette haute de la moyenne BRVM (~8-12x), indiquant que le marché paie un prix modéré mais non décoté pour ces bénéfices, cohérent avec la qualité du dossier. Le P/B de 2,46x montre que le marché valorise SGBC à près de 2,5 fois sa valeur comptable, soit une prime de croissance justifiée par un ROE supérieur à 20%. En revanche, l'EV/EBITDA de 24,7x apparaît très exigeant (&gt;15x), signalant que la valeur d'entreprise intègre déjà une bonne partie du potentiel opérationnel — un point de vigilance pour les investisseurs cherchant une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SGBC affiche une progression totale de +8,93%, avec une dernière séance en hausse de +0,51%, portant le cours à 39 200 FCFA. Le range de trading s'établit entre un plus bas de 35 985 FCFA et un plus haut de 39 300 FCFA, soit une amplitude de seulement 9,2% — le cours évolue actuellement à proximité immédiate de son sommet, ce qui traduit une tendance haussière maîtrisée et régulière. La moyenne (38 319 FCFA) est légèrement inférieure à la médiane (38 500 FCFA), tandis que le mode s'établit à 39 000 FCFA, confirmant une distribution légèrement asymétrique avec une concentration des échanges dans la partie haute de la fourchette. L'écart-type de 850 FCFA et le coefficient de variation de 2,2% indiquent une dispersion très faible du cours, signe d'une grande stabilité. Le kurtosis de 0,854 (mésokurtique) suggère une distribution proche de la normale, sans risque de pics extrêmes marqué, tandis que le skewness de -1,218 (asymétrie négative) révèle davantage de journées de hausse que de baisse — un signal favorable pour la dynamique. Enfin, la volatilité annualisée de 21,0% classe le titre dans la catégorie modérée (15-30%), offrant un bon compromis entre rendement et risque pour un investisseur averse à l'instabilité.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(38 681,25 FCFA) et la MM50 (38 559,0 FCFA) se situent toutes deux sous le cours actuel (39 200 FCFA), avec la MM20 légèrement au-dessus de la MM50, configurant un croisement haussier classique. Cette configuration en « golden cross » confirme la dynamique positive et justifie la décision d'**Achat**.</w:t>
      </w:r>
    </w:p>
    <w:p>
      <w:pPr>
        <w:spacing w:after="120" w:line="276" w:lineRule="auto"/>
      </w:pPr>
      <w:r>
        <w:t>**Bandes de Bollinger** : Le cours (39 200 FCFA) évolue dans la partie haute du canal, proche de la borne supérieure (39 532,31 FCFA) et loin de la borne inférieure (37 830,19 FCFA). L'absence de rupture de la borne supérieure et la largeur modérée du canal traduisent une volatilité contenue, justifiant la décision **Neutre** — le titre n'est ni en surachat extrême ni en zone de repli.</w:t>
      </w:r>
    </w:p>
    <w:p>
      <w:pPr>
        <w:spacing w:after="120" w:line="276" w:lineRule="auto"/>
      </w:pPr>
      <w:r>
        <w:t>**MACD** : La valeur du MACD (150,056) dépasse nettement son signal (89,061), générant un histogramme positif de 60,995 points. Cette divergence haussière confirme un momentum positif soutenu, en cohérence avec la décision d'**Achat**.</w:t>
      </w:r>
    </w:p>
    <w:p>
      <w:pPr>
        <w:spacing w:after="120" w:line="276" w:lineRule="auto"/>
      </w:pPr>
      <w:r>
        <w:t>**RSI** : À 61,881, le RSI se situe en zone neutre-haute (30-70), sans atteindre le seuil de surachat de 70. Le titre conserve donc un potentiel de progression sans être techniquement « cher », justifiant la décision **Neutre** avec un biais haussier.</w:t>
      </w:r>
    </w:p>
    <w:p>
      <w:pPr>
        <w:spacing w:after="120" w:line="276" w:lineRule="auto"/>
      </w:pPr>
      <w:r>
        <w:t>**Stochastique** : Le %K et le %D sont tous deux à 100,0, signalant une position en surachat extrême. Ce niveau élevé, bien que reflétant une forte pression acheteuse, expose le titre à un risque de correction à court terme, justifiant la décision de **Vente** à court terme.</w:t>
      </w:r>
    </w:p>
    <w:p>
      <w:pPr>
        <w:spacing w:after="120" w:line="276" w:lineRule="auto"/>
      </w:pPr>
      <w:r>
        <w:t>**Conclusion technique** : Les indicateurs de tendance (MM, MACD) sont clairement haussiers, tandis que les oscillateurs (RSI, Stochastique) signalent une zone de surachat naissante. Cette divergence entre tendance de fond et signaux de court terme suggère un potentiel de consolidation avant une nouvelle jambe de hausse. Le titre reste techniquement solide mais nécessite une vigilance sur les points d'entrée.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SGBC affiche un Produit Net Bancaire (équivalent du chiffre d'affaires pour une banque) de 276,048 milliards FCFA, en croissance de +4,88% sur un an, porté par les intérêts et produits assimilés (230,313 Mds FCFA) et les commissions (72,603 Mds FCFA). Le résultat net s'établit à 101,352 milliards FCFA, franchissant pour la première fois le seuil symbolique des 100 milliards, avec une marge nette exceptionnelle de 36,72%. Le ROE atteint 20,47% (&gt;15% = excellent) et le ROA 2,69%, confirmant la remarquable rentabilité des fonds propres et des actifs. Le coefficient d'exploitation de 38,75% (&lt;60% = banque efficace, &lt;50% = excellente) place SGBC parmi les établissements les plus efficients du secteur bancaire UEMOA. La structure bilancielle affiche des dépôts clientèle de 2 907,675 Mds FCFA pour des créances clientèle de 2 546,290 Mds FCFA, soit un ratio de transformation de 87,6% — un niveau sain. Le coût du risque, mesuré par les provisions (17,995 Mds FCFA) rapportées aux charges financières (47,775 Mds FCFA), ressort à 37,7%, un niveau maîtrisé. La solvabilité générale (115,12%) et la couverture des intérêts (255,88%) confirment la solidité financière.</w:t>
      </w:r>
    </w:p>
    <w:p>
      <w:pPr>
        <w:spacing w:after="120" w:line="276" w:lineRule="auto"/>
      </w:pPr>
      <w:r>
        <w:t>**Estimations basées sur les rapports trimestriels** : Selon le rapport T1 2026 (publié le 30 avril 2026), le PNB recule légèrement de -1% à 65 644 M FCFA et le résultat net de -11% à 23 976 M FCFA, en raison d'investissements (rénovation du siège, migration digitale) et d'une hausse des frais généraux (+9%). Le coefficient d'exploitation se dégrade à 40,6% mais reste compétitif. Le rapport S1 2026 (publié le 27 août 2026) confirme cette tendance avec un PNB en hausse de +1,6% à 134 059 M FCFA et un résultat net quasi stable (+0,5% à 53 350 M FCFA), le coût du risque (+9,1%) neutralisant la bonne maîtrise des charges (coefficient d'exploitation à 36,7%). Sur la base de ces rapports, on estime que l'exercice 2026 devrait afficher une croissance modérée du PNB (autour de +2-3%) et un résultat net stable, la finalisation de la migration digitale au T2 2026 étant attendue comme levier de reconquête commerciale. Le dividende proposé au titre de 2025 s'élève à 2 606 FCFA par action, soit un taux de distribution de 80% — un rendement attractif de 6,65% au cours actuel de 39 200 FCFA.</w:t>
      </w:r>
    </w:p>
    <w:p>
      <w:pPr>
        <w:spacing w:after="120" w:line="276" w:lineRule="auto"/>
      </w:pPr>
      <w:r>
        <w:t>**Conclusion fondamentale** : SGBC présente des fondamentaux solides (ROE &gt;20%, coefficient d'exploitation &lt;40%, dividende généreux), mais la dynamique bénéficiaire marque le pas en 2026 sous l'effet d'un cycle d'investissement assumé. La qualité du portefeuille (NPL à 8,0%, couverture de 82%) et la hausse du coût du risque constituent les principaux points de vigilance. Le titre convient aux investisseurs recherchant rendement et stabilité.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(PER 12,0x, P/B 2,46x, EV/EBITDA 24,7x) indique une juste valorisation, voire une légère prime de qualité, sans sous-évaluation flagrante mais sans excès manifeste. Le comportement du cours sur 100 jours (+8,93%, volatilité modérée de 21%, skewness négatif) est favorable, avec une tendance haussière régulière et une faible dispersion. Les signaux techniques sont majoritairement haussiers (MM en golden cross, MACD positif) mais tempérés par le Stochastique en surachat extrême (100,0) et un RSI neutre (61,88), suggérant une consolidation possible à court terme. Les fondamentaux restent solides (ROE 20,47%, coefficient d'exploitation 38,75%, dividende 2 606 FCFA), mais les rapports T1 et S1 2026 (publiés respectivement les 30 avril et 27 août 2026) montrent une stagnation du résultat net (+0,5% au S1 2026) et une hausse du coût du risque (+9,1%), limitant le potentiel de revalorisation à court terme. Les prédictions IA (J+1 à J+10) anticipent une légère correction vers 38 479 FCFA d'ici le 15 octobre 2026, en cohérence avec le signal de surachat du Stochastique. **Recommandation finale : CONSERVER**. La convergence entre valorisation correcte, technique haussière mais essoufflée, fondamentaux solides mais en décélération, et prédictions baissières à court terme justifie une position d'attente. Le niveau de confiance est **Moyen** et le risque global **Faible à Moyen**. L'horizon d'investissement optimal est le **moyen terme (3-12 mois)**, en attendant la confirmation de la reprise commerciale au T2 2026 et la publication du dividende (rendement de 6,65%). Un passage à **ACHAT** serait justifié si le T2 2026 confirme le redressement du PNB et la maîtrise des frais généraux.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143.32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4,990 titres</w:t>
            </w:r>
          </w:p>
        </w:tc>
        <w:tc>
          <w:tcPr>
            <w:tcW w:type="dxa" w:w="2268"/>
            <w:shd w:fill="FFF2CC" w:val="clear"/>
          </w:tcPr>
          <w:p>
            <w:r>
              <w:rPr>
                <w:b/>
                <w:color w:val="503200"/>
                <w:sz w:val="16"/>
              </w:rPr>
              <w:t xml:space="preserve">Cours actuel : </w:t>
            </w:r>
            <w:r>
              <w:rPr>
                <w:color w:val="000000"/>
                <w:sz w:val="17"/>
              </w:rPr>
              <w:t>2,275 FCFA</w:t>
            </w:r>
          </w:p>
          <w:p>
            <w:r>
              <w:rPr>
                <w:b/>
                <w:color w:val="503200"/>
                <w:sz w:val="16"/>
              </w:rPr>
              <w:t xml:space="preserve">Var. 100 jours : </w:t>
            </w:r>
            <w:r>
              <w:rPr>
                <w:b/>
                <w:color w:val="007800"/>
                <w:sz w:val="17"/>
              </w:rPr>
              <w:t>+14.90%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9.93% (Moyenne) — μ=2,264 FCFA, σ=225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β=1.0052 (Neutre (suit le marché)) — Cov=0.000074, Var(idx)=0.000074, ρ=0.323,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2,139</w:t>
            </w:r>
          </w:p>
        </w:tc>
        <w:tc>
          <w:tcPr>
            <w:tcW w:type="dxa" w:w="1440"/>
            <w:shd w:fill="FAFAFA" w:val="clear"/>
          </w:tcPr>
          <w:p>
            <w:r>
              <w:rPr>
                <w:b/>
                <w:sz w:val="17"/>
              </w:rPr>
              <w:t>2,277</w:t>
            </w:r>
          </w:p>
        </w:tc>
        <w:tc>
          <w:tcPr>
            <w:tcW w:type="dxa" w:w="1440"/>
            <w:shd w:fill="FAFAFA" w:val="clear"/>
          </w:tcPr>
          <w:p>
            <w:r>
              <w:rPr>
                <w:sz w:val="17"/>
              </w:rPr>
              <w:t>2,416</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2,085</w:t>
            </w:r>
          </w:p>
        </w:tc>
        <w:tc>
          <w:tcPr>
            <w:tcW w:type="dxa" w:w="1440"/>
            <w:shd w:fill="FAFAFA" w:val="clear"/>
          </w:tcPr>
          <w:p>
            <w:r>
              <w:rPr>
                <w:b/>
                <w:sz w:val="17"/>
              </w:rPr>
              <w:t>2,281</w:t>
            </w:r>
          </w:p>
        </w:tc>
        <w:tc>
          <w:tcPr>
            <w:tcW w:type="dxa" w:w="1440"/>
            <w:shd w:fill="FAFAFA" w:val="clear"/>
          </w:tcPr>
          <w:p>
            <w:r>
              <w:rPr>
                <w:sz w:val="17"/>
              </w:rPr>
              <w:t>2,477</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2,043</w:t>
            </w:r>
          </w:p>
        </w:tc>
        <w:tc>
          <w:tcPr>
            <w:tcW w:type="dxa" w:w="1440"/>
            <w:shd w:fill="FAFAFA" w:val="clear"/>
          </w:tcPr>
          <w:p>
            <w:r>
              <w:rPr>
                <w:b/>
                <w:sz w:val="17"/>
              </w:rPr>
              <w:t>2,283</w:t>
            </w:r>
          </w:p>
        </w:tc>
        <w:tc>
          <w:tcPr>
            <w:tcW w:type="dxa" w:w="1440"/>
            <w:shd w:fill="FAFAFA" w:val="clear"/>
          </w:tcPr>
          <w:p>
            <w:r>
              <w:rPr>
                <w:sz w:val="17"/>
              </w:rPr>
              <w:t>2,524</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2,007</w:t>
            </w:r>
          </w:p>
        </w:tc>
        <w:tc>
          <w:tcPr>
            <w:tcW w:type="dxa" w:w="1440"/>
            <w:shd w:fill="FAFAFA" w:val="clear"/>
          </w:tcPr>
          <w:p>
            <w:r>
              <w:rPr>
                <w:b/>
                <w:sz w:val="17"/>
              </w:rPr>
              <w:t>2,284</w:t>
            </w:r>
          </w:p>
        </w:tc>
        <w:tc>
          <w:tcPr>
            <w:tcW w:type="dxa" w:w="1440"/>
            <w:shd w:fill="FAFAFA" w:val="clear"/>
          </w:tcPr>
          <w:p>
            <w:r>
              <w:rPr>
                <w:sz w:val="17"/>
              </w:rPr>
              <w:t>2,562</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1,974</w:t>
            </w:r>
          </w:p>
        </w:tc>
        <w:tc>
          <w:tcPr>
            <w:tcW w:type="dxa" w:w="1440"/>
            <w:shd w:fill="FAFAFA" w:val="clear"/>
          </w:tcPr>
          <w:p>
            <w:r>
              <w:rPr>
                <w:b/>
                <w:sz w:val="17"/>
              </w:rPr>
              <w:t>2,284</w:t>
            </w:r>
          </w:p>
        </w:tc>
        <w:tc>
          <w:tcPr>
            <w:tcW w:type="dxa" w:w="1440"/>
            <w:shd w:fill="FAFAFA" w:val="clear"/>
          </w:tcPr>
          <w:p>
            <w:r>
              <w:rPr>
                <w:sz w:val="17"/>
              </w:rPr>
              <w:t>2,595</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1,944</w:t>
            </w:r>
          </w:p>
        </w:tc>
        <w:tc>
          <w:tcPr>
            <w:tcW w:type="dxa" w:w="1440"/>
            <w:shd w:fill="FAFAFA" w:val="clear"/>
          </w:tcPr>
          <w:p>
            <w:r>
              <w:rPr>
                <w:b/>
                <w:sz w:val="17"/>
              </w:rPr>
              <w:t>2,284</w:t>
            </w:r>
          </w:p>
        </w:tc>
        <w:tc>
          <w:tcPr>
            <w:tcW w:type="dxa" w:w="1440"/>
            <w:shd w:fill="FAFAFA" w:val="clear"/>
          </w:tcPr>
          <w:p>
            <w:r>
              <w:rPr>
                <w:sz w:val="17"/>
              </w:rPr>
              <w:t>2,624</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1,917</w:t>
            </w:r>
          </w:p>
        </w:tc>
        <w:tc>
          <w:tcPr>
            <w:tcW w:type="dxa" w:w="1440"/>
            <w:shd w:fill="FAFAFA" w:val="clear"/>
          </w:tcPr>
          <w:p>
            <w:r>
              <w:rPr>
                <w:b/>
                <w:sz w:val="17"/>
              </w:rPr>
              <w:t>2,284</w:t>
            </w:r>
          </w:p>
        </w:tc>
        <w:tc>
          <w:tcPr>
            <w:tcW w:type="dxa" w:w="1440"/>
            <w:shd w:fill="FAFAFA" w:val="clear"/>
          </w:tcPr>
          <w:p>
            <w:r>
              <w:rPr>
                <w:sz w:val="17"/>
              </w:rPr>
              <w:t>2,651</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1,891</w:t>
            </w:r>
          </w:p>
        </w:tc>
        <w:tc>
          <w:tcPr>
            <w:tcW w:type="dxa" w:w="1440"/>
            <w:shd w:fill="FAFAFA" w:val="clear"/>
          </w:tcPr>
          <w:p>
            <w:r>
              <w:rPr>
                <w:b/>
                <w:sz w:val="17"/>
              </w:rPr>
              <w:t>2,284</w:t>
            </w:r>
          </w:p>
        </w:tc>
        <w:tc>
          <w:tcPr>
            <w:tcW w:type="dxa" w:w="1440"/>
            <w:shd w:fill="FAFAFA" w:val="clear"/>
          </w:tcPr>
          <w:p>
            <w:r>
              <w:rPr>
                <w:sz w:val="17"/>
              </w:rPr>
              <w:t>2,676</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1,867</w:t>
            </w:r>
          </w:p>
        </w:tc>
        <w:tc>
          <w:tcPr>
            <w:tcW w:type="dxa" w:w="1440"/>
            <w:shd w:fill="FAFAFA" w:val="clear"/>
          </w:tcPr>
          <w:p>
            <w:r>
              <w:rPr>
                <w:b/>
                <w:sz w:val="17"/>
              </w:rPr>
              <w:t>2,283</w:t>
            </w:r>
          </w:p>
        </w:tc>
        <w:tc>
          <w:tcPr>
            <w:tcW w:type="dxa" w:w="1440"/>
            <w:shd w:fill="FAFAFA" w:val="clear"/>
          </w:tcPr>
          <w:p>
            <w:r>
              <w:rPr>
                <w:sz w:val="17"/>
              </w:rPr>
              <w:t>2,700</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1,844</w:t>
            </w:r>
          </w:p>
        </w:tc>
        <w:tc>
          <w:tcPr>
            <w:tcW w:type="dxa" w:w="1440"/>
            <w:shd w:fill="FAFAFA" w:val="clear"/>
          </w:tcPr>
          <w:p>
            <w:r>
              <w:rPr>
                <w:b/>
                <w:sz w:val="17"/>
              </w:rPr>
              <w:t>2,283</w:t>
            </w:r>
          </w:p>
        </w:tc>
        <w:tc>
          <w:tcPr>
            <w:tcW w:type="dxa" w:w="1440"/>
            <w:shd w:fill="FAFAFA" w:val="clear"/>
          </w:tcPr>
          <w:p>
            <w:r>
              <w:rPr>
                <w:sz w:val="17"/>
              </w:rPr>
              <w:t>2,722</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143,32 milliards FCFA, SHEC s'impose comme une valeur de premier plan de la cote BRVM, représentant un poids significatif dans l'indice composite. Le BPA de 96 FCFA/action confère au titre un PER de 23,8x, nettement supérieur à la moyenne du marché BRVM (8-12x), ce qui traduit soit une anticipation de croissance future par le marché, soit une surévaluation manifeste au regard de la faible marge nette de la société. Le ratio P/B de 5,28x, très au-dessus du seuil de 4x, indique que le marché valorise l'entreprise à plus de cinq fois sa valeur comptable — une prime exigeante qui n'est justifiée que par la qualité de la franchise et la régularité des dividendes. Enfin, l'EV/EBITDA de 12,8x, dans la fourchette haute (10-15x), suggère que la valeur d'entreprise intègre déjà une bonne part de la capacité opérationnelle, laissant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affiche une progression totale de +14,90%, avec une dernière séance en hausse de +1,11%, clôturant à 2 275 FCFA. Le titre a évolué dans un range de 1 900 FCFA (plus bas) à 2 980 FCFA (plus haut), soit une amplitude de trading de 56,8% qui témoigne d'une forte volatilité intra-période. La tendance générale est haussière, mais le cours actuel (2 275 FCFA) se situe en retrait de 23,7% par rapport au plus haut, signalant une phase de correction après un sommet. Les statistiques descriptives révèlent une moyenne de 2 264 FCFA légèrement supérieure à la médiane et au mode (2 200 FCFA), confirmant une distribution asymétrique avec un skewness positif de 1,003 — interprété comme une prédominance de journées sous la moyenne, typique d'une correction progressive. L'écart-type de 226 FCFA (CV=10,0%) indique une dispersion modérée autour de la moyenne, mais le kurtosis de 1,329 (leptokurtique) signale des queues épaisses, donc un risque de pics de volatilité brutaux. La volatilité annualisée de 42,1% classe le titre dans la catégorie des valeurs à volatilité élevée (&gt;30%), ce qui est cohérent avec le secteur pétrolier aval et expose l'investisseur à des mouvements amples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(2 533 FCFA) et la MM50 (2 425,4 FCFA) sont toutes deux supérieures au cours actuel (2 275 FCFA), ce qui place le titre en position baissière à court et moyen terme. Cependant, la décision technique affichée est « Achat », probablement en anticipation d'un rebond technique après la correction, la MM20 restant au-dessus de la MM50 (configuration haussière de fond).</w:t>
      </w:r>
    </w:p>
    <w:p>
      <w:pPr>
        <w:spacing w:after="120" w:line="276" w:lineRule="auto"/>
      </w:pPr>
      <w:r>
        <w:t>**Bandes de Bollinger** : Le cours actuel (2 275 FCFA) se situe dans la partie basse de la bande, entre la borne inférieure (2 024,77 FCFA) et la borne supérieure (3 041,23 FCFA), sans atteindre la zone de survente extrême. La décision « Neutre » reflète l'absence de signal directionnel fort, le cours évoluant dans un canal large sans franchissement significatif.</w:t>
      </w:r>
    </w:p>
    <w:p>
      <w:pPr>
        <w:spacing w:after="120" w:line="276" w:lineRule="auto"/>
      </w:pPr>
      <w:r>
        <w:t>**MACD** : La valeur du MACD (-64,191) est inférieure à son signal (-17,121), confirmant un momentum baissier à court terme. La décision « Vente » signale que la pression vendeuse reste dominante, bien que l'écart entre les deux lignes commence peut-être à se réduire, laissant entrevoir un possible retournement.</w:t>
      </w:r>
    </w:p>
    <w:p>
      <w:pPr>
        <w:spacing w:after="120" w:line="276" w:lineRule="auto"/>
      </w:pPr>
      <w:r>
        <w:t>**RSI** : À 22,353, le RSI se situe en zone de survente (&lt;30), ce qui déclenche une décision « Achat » — le titre est techniquement survendu et pourrait rebondir à court terme. Cette configuration est cohérente avec la correction observée depuis le plus haut de 2 980 FCFA.</w:t>
      </w:r>
    </w:p>
    <w:p>
      <w:pPr>
        <w:spacing w:after="120" w:line="276" w:lineRule="auto"/>
      </w:pPr>
      <w:r>
        <w:t>**Stochastique** : Le %K (8,889) et le %D (6,449) sont tous deux en zone de survente profonde (&lt;20), avec un %K légèrement supérieur au %D, ce qui pourrait annoncer un croisement haussier imminent. La décision « Achat » est justifiée par cette configuration de retournement potentiel.</w:t>
      </w:r>
    </w:p>
    <w:p>
      <w:pPr>
        <w:spacing w:after="120" w:line="276" w:lineRule="auto"/>
      </w:pPr>
      <w:r>
        <w:t>**Conclusion technique** : Les indicateurs sont divergents — le MACD reste baissier tandis que le RSI et le Stochastique signalent une survente propice à un rebond. Les moyennes mobiles confirment une pression baissière de court terme, mais la configuration de fond (MM20 &gt; MM50) reste haussière. Le titre se trouve à un point d'inflexion technique : un rebond est probable à court terme, mais la confirmation d'un retournement durable nécessiterait un franchissement de la MM20 (2 533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SHEC (exercice clos au 31/12/2025, analysés dans les rapports du 05/05/2026, 04/06/2026 et 22/07/2026) révèlent un chiffre d'affaires de 604,978 milliards FCFA, en très légère hausse de +0,71% par rapport à 2024 (600,708 Mds FCFA), traduisant une stagnation de l'activité commerciale malgré une croissance des volumes de +5% (portée par le butane et les lubrifiants). Le résultat net s'établit à 6,028 milliards FCFA, en progression de +12,6% (contre 5,354 Mds en 2024), grâce à une amélioration de la valeur ajoutée (+15%), une baisse des charges financières (-17,7%) et une hausse de l'EBE (+18,5%). Le ROE atteint 22,20% (excellent, &gt;15%), tandis que le ROA reste faible à 3,11%, reflétant la structure très capitalistique du secteur. La marge nette demeure très faible à 0,996%, caractéristique du négoce pétrolier aval, mais en légère amélioration (0,89% en 2024). Les délais d'exploitation sont bien maîtrisés : délai clients de 23,27 jours (risque trésorerie modéré), délai fournisseurs de 35,47 jours (favorable à la trésorerie) et durée de stockage de 7,47 jours (rotation rapide). Le BFR de 15,315 Mds FCFA est positif, mais le fonds de roulement est négatif (-49,850 Mds FCFA) et la trésorerie nette est très dégradée à -65,264 Mds FCFA, exposant la société à un risque de liquidité. L'autonomie financière est faible (14,03%, &lt;30% = non sain) et la dépendance financière élevée (85,97%), bien que le ratio d'endettement (43,95%) reste contenu et la capacité de remboursement (0,97 an) satisfaisante. Sur la base du rapport T1 2026 (CA de 141,649 Mds FCFA, en baisse de -9% sur un an, mais résultat net quasi stable à +1%), on estime que l'exercice 2026 devrait être marqué par une consolidation, avec un CA annuel projeté autour de 580-600 Mds FCFA et un résultat net attendu entre 6,0 et 6,3 Mds FCFA, soutenu par la dynamique du butane et des lubrifiants. Le rapport S1 2026 (publié en 2026) confirme cette tendance avec un CA de 305,038 Mds FCFA (-1%) et un résultat d'exploitation en hausse de +17% à 6,133 Mds FCFA, mais un résultat net de 3,016 Mds FCFA (marge nette 0,99%). La société propose un dividende brut de 6,09 Mds FCFA (soit 1 933 FCFA/action), en hausse de +13%, avec un taux de distribution de 101% — généreux mais fragilisant davantage la structure financière. En synthèse, SHEC présente des fondamentaux résilients (ROE élevé, rentabilité en amélioration, dividendes attractifs) mais des fragilités structurelles préoccupantes (trésorerie nette très négative, endettement court terme élevé, marge nette très faible). La recommandation fondamentale est de **CONSERVER**, en attendant une clarification sur la réduction de l'endettement et la confirmation de la reprise des volumes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met en évidence une divergence notable entre les différents signaux. Sur le plan de la **valorisation (Partie 0)**, les ratios PER (23,8x), P/B (5,28x) et EV/EBITDA (12,8x) indiquent une surévaluation manifeste par rapport aux standards du marché BRVM, le marché intégrant déjà une prime de qualité et de rendement qui laisse peu de marge de sécurité. Le **comportement du cours (Partie 1)** révèle une tendance haussière de fond (+14,90% sur 100 jours) mais une correction en cours (-23,7% depuis le plus haut), avec une volatilité élevée (42,1%) et une distribution leptokurtique (risque de pics) — des caractéristiques préoccupantes pour un investisseur averse au risque. Les **signaux techniques (Partie 2)** sont divergents : le MACD est baissier, mais le RSI (22,35) et le Stochastique (8,89) sont en survente profonde, suggérant un rebond technique imminent, sans toutefois confirmer un retournement durable. Les **fondamentaux (Partie 3)** montrent une société résiliente (ROE de 22,20%, résultat net en hausse de +12,6% en 2025, dividende attractif de 1 933 FCFA/action) mais fragilisée par une trésorerie nette très négative (-65,264 Mds FCFA) et une faible autonomie financière (14,03%). Les **prédictions IA (J+1 à J+10)** anticipent une trajectoire légèrement haussière et stable, avec un cours évoluant de 2 277 FCFA (J+1) à 2 284 FCFA (J+10), soit une progression modeste de +0,4% — ce qui confirme la thèse d'un rebond technique sans emballement. Sur la base de cette synthèse, la recommandation finale est de **CONSERVER**, avec un niveau de confiance **Moyen** et un risque global **Élevé**. La convergence entre la survente technique (RSI, Stochastique) et la stabilité des prédictions IA soutient un rebond de court terme, mais la surévaluation fondamentale et les fragilités de trésorerie limitent le potentiel de hausse durable. L'horizon d'investissement optimal est le **moyen terme (3-12 mois)**, en attendant la publication des comptes définitifs 2025 et des résultats du S1 2026, qui permettront de confirmer ou d'infirmer la tendance. Un renforcement de position ne serait justifié qu'en cas de baisse significative du titre sous les 2 000 FCFA (borne inférieure de Bollinger) ou d'une amélioration tangible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11,227 titres</w:t>
            </w:r>
          </w:p>
        </w:tc>
        <w:tc>
          <w:tcPr>
            <w:tcW w:type="dxa" w:w="2268"/>
            <w:shd w:fill="FFF2CC" w:val="clear"/>
          </w:tcPr>
          <w:p>
            <w:r>
              <w:rPr>
                <w:b/>
                <w:color w:val="503200"/>
                <w:sz w:val="16"/>
              </w:rPr>
              <w:t xml:space="preserve">Cours actuel : </w:t>
            </w:r>
            <w:r>
              <w:rPr>
                <w:color w:val="000000"/>
                <w:sz w:val="17"/>
              </w:rPr>
              <w:t>8,750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4.62% (Faible) — μ=8,883 FCFA, σ=411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β=0.7661 (Défensif) — Cov=0.000056, Var(idx)=0.000074, ρ=0.339,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8,421</w:t>
            </w:r>
          </w:p>
        </w:tc>
        <w:tc>
          <w:tcPr>
            <w:tcW w:type="dxa" w:w="1440"/>
            <w:shd w:fill="FAFAFA" w:val="clear"/>
          </w:tcPr>
          <w:p>
            <w:r>
              <w:rPr>
                <w:b/>
                <w:sz w:val="17"/>
              </w:rPr>
              <w:t>8,691</w:t>
            </w:r>
          </w:p>
        </w:tc>
        <w:tc>
          <w:tcPr>
            <w:tcW w:type="dxa" w:w="1440"/>
            <w:shd w:fill="FAFAFA" w:val="clear"/>
          </w:tcPr>
          <w:p>
            <w:r>
              <w:rPr>
                <w:sz w:val="17"/>
              </w:rPr>
              <w:t>8,961</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8,266</w:t>
            </w:r>
          </w:p>
        </w:tc>
        <w:tc>
          <w:tcPr>
            <w:tcW w:type="dxa" w:w="1440"/>
            <w:shd w:fill="FAFAFA" w:val="clear"/>
          </w:tcPr>
          <w:p>
            <w:r>
              <w:rPr>
                <w:b/>
                <w:sz w:val="17"/>
              </w:rPr>
              <w:t>8,646</w:t>
            </w:r>
          </w:p>
        </w:tc>
        <w:tc>
          <w:tcPr>
            <w:tcW w:type="dxa" w:w="1440"/>
            <w:shd w:fill="FAFAFA" w:val="clear"/>
          </w:tcPr>
          <w:p>
            <w:r>
              <w:rPr>
                <w:sz w:val="17"/>
              </w:rPr>
              <w:t>9,025</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8,140</w:t>
            </w:r>
          </w:p>
        </w:tc>
        <w:tc>
          <w:tcPr>
            <w:tcW w:type="dxa" w:w="1440"/>
            <w:shd w:fill="FAFAFA" w:val="clear"/>
          </w:tcPr>
          <w:p>
            <w:r>
              <w:rPr>
                <w:b/>
                <w:sz w:val="17"/>
              </w:rPr>
              <w:t>8,603</w:t>
            </w:r>
          </w:p>
        </w:tc>
        <w:tc>
          <w:tcPr>
            <w:tcW w:type="dxa" w:w="1440"/>
            <w:shd w:fill="FAFAFA" w:val="clear"/>
          </w:tcPr>
          <w:p>
            <w:r>
              <w:rPr>
                <w:sz w:val="17"/>
              </w:rPr>
              <w:t>9,065</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2026-10-14</w:t>
            </w:r>
          </w:p>
        </w:tc>
        <w:tc>
          <w:tcPr>
            <w:tcW w:type="dxa" w:w="1440"/>
            <w:shd w:fill="FFDCE0" w:val="clear"/>
          </w:tcPr>
          <w:p>
            <w:r>
              <w:rPr>
                <w:sz w:val="17"/>
              </w:rPr>
              <w:t>8,031</w:t>
            </w:r>
          </w:p>
        </w:tc>
        <w:tc>
          <w:tcPr>
            <w:tcW w:type="dxa" w:w="1440"/>
            <w:shd w:fill="FFDCE0" w:val="clear"/>
          </w:tcPr>
          <w:p>
            <w:r>
              <w:rPr>
                <w:b/>
                <w:sz w:val="17"/>
              </w:rPr>
              <w:t>8,562</w:t>
            </w:r>
          </w:p>
        </w:tc>
        <w:tc>
          <w:tcPr>
            <w:tcW w:type="dxa" w:w="1440"/>
            <w:shd w:fill="FFDCE0" w:val="clear"/>
          </w:tcPr>
          <w:p>
            <w:r>
              <w:rPr>
                <w:sz w:val="17"/>
              </w:rPr>
              <w:t>9,093</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2026-10-15</w:t>
            </w:r>
          </w:p>
        </w:tc>
        <w:tc>
          <w:tcPr>
            <w:tcW w:type="dxa" w:w="1440"/>
            <w:shd w:fill="FFDCE0" w:val="clear"/>
          </w:tcPr>
          <w:p>
            <w:r>
              <w:rPr>
                <w:sz w:val="17"/>
              </w:rPr>
              <w:t>7,932</w:t>
            </w:r>
          </w:p>
        </w:tc>
        <w:tc>
          <w:tcPr>
            <w:tcW w:type="dxa" w:w="1440"/>
            <w:shd w:fill="FFDCE0" w:val="clear"/>
          </w:tcPr>
          <w:p>
            <w:r>
              <w:rPr>
                <w:b/>
                <w:sz w:val="17"/>
              </w:rPr>
              <w:t>8,523</w:t>
            </w:r>
          </w:p>
        </w:tc>
        <w:tc>
          <w:tcPr>
            <w:tcW w:type="dxa" w:w="1440"/>
            <w:shd w:fill="FFDCE0" w:val="clear"/>
          </w:tcPr>
          <w:p>
            <w:r>
              <w:rPr>
                <w:sz w:val="17"/>
              </w:rPr>
              <w:t>9,115</w:t>
            </w:r>
          </w:p>
        </w:tc>
        <w:tc>
          <w:tcPr>
            <w:tcW w:type="dxa" w:w="1440"/>
            <w:shd w:fill="FFDCE0" w:val="clear"/>
          </w:tcPr>
          <w:p>
            <w:r>
              <w:rPr>
                <w:b/>
                <w:color w:val="C00000"/>
                <w:sz w:val="17"/>
              </w:rPr>
              <w:t>-2.6%</w:t>
            </w:r>
          </w:p>
        </w:tc>
      </w:tr>
      <w:tr>
        <w:tc>
          <w:tcPr>
            <w:tcW w:type="dxa" w:w="1440"/>
            <w:shd w:fill="FFDCE0" w:val="clear"/>
          </w:tcPr>
          <w:p>
            <w:r>
              <w:rPr>
                <w:sz w:val="17"/>
              </w:rPr>
              <w:t>J+6  Moyenne</w:t>
            </w:r>
          </w:p>
        </w:tc>
        <w:tc>
          <w:tcPr>
            <w:tcW w:type="dxa" w:w="1440"/>
            <w:shd w:fill="FFDCE0" w:val="clear"/>
          </w:tcPr>
          <w:p>
            <w:r>
              <w:rPr>
                <w:sz w:val="17"/>
              </w:rPr>
              <w:t>2026-10-16</w:t>
            </w:r>
          </w:p>
        </w:tc>
        <w:tc>
          <w:tcPr>
            <w:tcW w:type="dxa" w:w="1440"/>
            <w:shd w:fill="FFDCE0" w:val="clear"/>
          </w:tcPr>
          <w:p>
            <w:r>
              <w:rPr>
                <w:sz w:val="17"/>
              </w:rPr>
              <w:t>7,842</w:t>
            </w:r>
          </w:p>
        </w:tc>
        <w:tc>
          <w:tcPr>
            <w:tcW w:type="dxa" w:w="1440"/>
            <w:shd w:fill="FFDCE0" w:val="clear"/>
          </w:tcPr>
          <w:p>
            <w:r>
              <w:rPr>
                <w:b/>
                <w:sz w:val="17"/>
              </w:rPr>
              <w:t>8,487</w:t>
            </w:r>
          </w:p>
        </w:tc>
        <w:tc>
          <w:tcPr>
            <w:tcW w:type="dxa" w:w="1440"/>
            <w:shd w:fill="FFDCE0" w:val="clear"/>
          </w:tcPr>
          <w:p>
            <w:r>
              <w:rPr>
                <w:sz w:val="17"/>
              </w:rPr>
              <w:t>9,132</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2026-10-19</w:t>
            </w:r>
          </w:p>
        </w:tc>
        <w:tc>
          <w:tcPr>
            <w:tcW w:type="dxa" w:w="1440"/>
            <w:shd w:fill="FFDCE0" w:val="clear"/>
          </w:tcPr>
          <w:p>
            <w:r>
              <w:rPr>
                <w:sz w:val="17"/>
              </w:rPr>
              <w:t>7,758</w:t>
            </w:r>
          </w:p>
        </w:tc>
        <w:tc>
          <w:tcPr>
            <w:tcW w:type="dxa" w:w="1440"/>
            <w:shd w:fill="FFDCE0" w:val="clear"/>
          </w:tcPr>
          <w:p>
            <w:r>
              <w:rPr>
                <w:b/>
                <w:sz w:val="17"/>
              </w:rPr>
              <w:t>8,452</w:t>
            </w:r>
          </w:p>
        </w:tc>
        <w:tc>
          <w:tcPr>
            <w:tcW w:type="dxa" w:w="1440"/>
            <w:shd w:fill="FFDCE0" w:val="clear"/>
          </w:tcPr>
          <w:p>
            <w:r>
              <w:rPr>
                <w:sz w:val="17"/>
              </w:rPr>
              <w:t>9,146</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2026-10-20</w:t>
            </w:r>
          </w:p>
        </w:tc>
        <w:tc>
          <w:tcPr>
            <w:tcW w:type="dxa" w:w="1440"/>
            <w:shd w:fill="FFDCE0" w:val="clear"/>
          </w:tcPr>
          <w:p>
            <w:r>
              <w:rPr>
                <w:sz w:val="17"/>
              </w:rPr>
              <w:t>7,680</w:t>
            </w:r>
          </w:p>
        </w:tc>
        <w:tc>
          <w:tcPr>
            <w:tcW w:type="dxa" w:w="1440"/>
            <w:shd w:fill="FFDCE0" w:val="clear"/>
          </w:tcPr>
          <w:p>
            <w:r>
              <w:rPr>
                <w:b/>
                <w:sz w:val="17"/>
              </w:rPr>
              <w:t>8,419</w:t>
            </w:r>
          </w:p>
        </w:tc>
        <w:tc>
          <w:tcPr>
            <w:tcW w:type="dxa" w:w="1440"/>
            <w:shd w:fill="FFDCE0" w:val="clear"/>
          </w:tcPr>
          <w:p>
            <w:r>
              <w:rPr>
                <w:sz w:val="17"/>
              </w:rPr>
              <w:t>9,158</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2026-10-21</w:t>
            </w:r>
          </w:p>
        </w:tc>
        <w:tc>
          <w:tcPr>
            <w:tcW w:type="dxa" w:w="1440"/>
            <w:shd w:fill="FFDCE0" w:val="clear"/>
          </w:tcPr>
          <w:p>
            <w:r>
              <w:rPr>
                <w:sz w:val="17"/>
              </w:rPr>
              <w:t>7,607</w:t>
            </w:r>
          </w:p>
        </w:tc>
        <w:tc>
          <w:tcPr>
            <w:tcW w:type="dxa" w:w="1440"/>
            <w:shd w:fill="FFDCE0" w:val="clear"/>
          </w:tcPr>
          <w:p>
            <w:r>
              <w:rPr>
                <w:b/>
                <w:sz w:val="17"/>
              </w:rPr>
              <w:t>8,388</w:t>
            </w:r>
          </w:p>
        </w:tc>
        <w:tc>
          <w:tcPr>
            <w:tcW w:type="dxa" w:w="1440"/>
            <w:shd w:fill="FFDCE0" w:val="clear"/>
          </w:tcPr>
          <w:p>
            <w:r>
              <w:rPr>
                <w:sz w:val="17"/>
              </w:rPr>
              <w:t>9,169</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2026-10-22</w:t>
            </w:r>
          </w:p>
        </w:tc>
        <w:tc>
          <w:tcPr>
            <w:tcW w:type="dxa" w:w="1440"/>
            <w:shd w:fill="FFDCE0" w:val="clear"/>
          </w:tcPr>
          <w:p>
            <w:r>
              <w:rPr>
                <w:sz w:val="17"/>
              </w:rPr>
              <w:t>7,538</w:t>
            </w:r>
          </w:p>
        </w:tc>
        <w:tc>
          <w:tcPr>
            <w:tcW w:type="dxa" w:w="1440"/>
            <w:shd w:fill="FFDCE0" w:val="clear"/>
          </w:tcPr>
          <w:p>
            <w:r>
              <w:rPr>
                <w:b/>
                <w:sz w:val="17"/>
              </w:rPr>
              <w:t>8,358</w:t>
            </w:r>
          </w:p>
        </w:tc>
        <w:tc>
          <w:tcPr>
            <w:tcW w:type="dxa" w:w="1440"/>
            <w:shd w:fill="FFDCE0" w:val="clear"/>
          </w:tcPr>
          <w:p>
            <w:r>
              <w:rPr>
                <w:sz w:val="17"/>
              </w:rPr>
              <w:t>9,178</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875,00 milliards FCFA, la SIBC figure parmi les valeurs les plus importantes de la cote BRVM, ce qui témoigne de son statut de banque systémique dans l'UEMOA. Le BPA de 556 FCFA/action signifie que chaque titre génère près de 556 FCFA de bénéfice net, un niveau élevé qui reflète la forte rentabilité de l'établissement. Le PER de 15,7x se situe au-dessus de la moyenne du marché BRVM (généralement comprise entre 8 et 12x), indiquant que les investisseurs paient une prime pour cette valeur bancaire de qualité, sans pour autant atteindre des niveaux excessifs. Le P/B de 4,27x traduit une valorisation nettement supérieure à la valeur comptable, ce qui est cohérent avec la rentabilité exceptionnelle des fonds propres (ROE &gt; 27%) mais expose le titre à un risque de correction en cas de dégradation des résultats. L'EV/EBITDA de 14,7x, dans la fourchette haute (10-15x), confirme que le marché valorise généreusement la capacité opérationnelle de la banque, une prime justifiée par la solidité de son modèle mais qui limite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totale de +16,67%, clôturant à 8 750 FCFA, avec une variation nulle sur la dernière séance (J-1 : +0,00%), signe d'une stabilisation après la récente consolidation. Le range de trading s'est établi entre un plus bas de 7 500 FCFA et un plus haut de 9 500 FCFA, soit une amplitude de 26,7%, reflétant une dynamique haussière entrecoupée de phases de correction. La moyenne du cours sur la période (8 883 FCFA) est légèrement supérieure à la médiane (8 995 FCFA), tandis que le mode se situe à 9 000 FCFA, ce qui indique une distribution asymétrique avec une concentration des échanges autour des 9 000 FCFA. L'écart-type de 413 FCFA et le coefficient de variation de 4,6% témoignent d'une dispersion modérée du cours, mais le kurtosis de 3,328 (leptokurtique) signale des queues épaisses, c'est-à-dire un risque de pics de volatilité brutaux. Le skewness négatif de -1,816 confirme cette asymétrie : davantage de journées se sont situées au-dessus de la moyenne, ce qui est typique d'un titre ayant connu une tendance haussière suivie d'une correction. Enfin, la volatilité annualisée de 30,9% positionne le titre dans la catégorie des valeurs à volatilité élevée (&gt;30%), ce qui implique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(9 068,5 FCFA) et la MM50 (9 119,5 FCFA) se situent toutes deux au-dessus du cours actuel (8 750 FCFA), ce qui place le titre en position baissière à court et moyen terme. La MM20 étant légèrement inférieure à la MM50, on observe un croisement baissier (death cross) qui confirme la pression vendeuse. La décision technique est donc **Vente**, le cours évoluant sous ses deux moyennes mobiles de référence.</w:t>
      </w:r>
    </w:p>
    <w:p>
      <w:pPr>
        <w:spacing w:after="120" w:line="276" w:lineRule="auto"/>
      </w:pPr>
      <w:r>
        <w:t>**Bandes de Bollinger :** Le cours actuel (8 750 FCFA) se situe dans la partie basse de la bande de Bollinger, entre la borne inférieure (8 654,90 FCFA) et la borne supérieure (9 482,10 FCFA), sans franchir ces limites. Cette position proche de la borne inférieure suggère une pression baissière modérée, mais l'absence de cassure indique que la volatilité reste contenue. La décision est **Neutre**, le titre évoluant dans un canal sans signal directionnel fort.</w:t>
      </w:r>
    </w:p>
    <w:p>
      <w:pPr>
        <w:spacing w:after="120" w:line="276" w:lineRule="auto"/>
      </w:pPr>
      <w:r>
        <w:t>**MACD :** La valeur du MACD (-68,079) est inférieure à son signal (-36,582), ce qui génère une divergence baissière persistante. Le momentum est clairement négatif, avec un MACD en territoire négatif depuis plusieurs séances, confirmant la tendance baissière à court terme. La décision technique est **Vente**, le croisement MACD-Signal restant défavorable.</w:t>
      </w:r>
    </w:p>
    <w:p>
      <w:pPr>
        <w:spacing w:after="120" w:line="276" w:lineRule="auto"/>
      </w:pPr>
      <w:r>
        <w:t>**RSI :** Le RSI s'établit à 40,385, un niveau neutre qui ne signale ni surachat (&gt;70) ni survente (&lt;30). Cette valeur indique que le titre n'est pas encore en zone de rebond technique, mais qu'il n'est pas non plus excessivement survendu. La décision est **Neutre**, le RSI laissant entrevoir une possible stabilisation avant un nouveau mouvement directionnel.</w:t>
      </w:r>
    </w:p>
    <w:p>
      <w:pPr>
        <w:spacing w:after="120" w:line="276" w:lineRule="auto"/>
      </w:pPr>
      <w:r>
        <w:t>**Stochastique :** Le %K (35,556) est inférieur au %D (47,901), ce qui génère un croisement baissier. Le stochastique se situe dans la zone basse (proche de 20), sans atteindre la zone de survente extrême, ce qui suggère que la pression baissière pourrait se poursuivre à court terme. La décision est **Neutre**, le signal étant mitigé entre la tendance baissière du croisement et la proximité de la zone de survente.</w:t>
      </w:r>
    </w:p>
    <w:p>
      <w:pPr>
        <w:spacing w:after="120" w:line="276" w:lineRule="auto"/>
      </w:pPr>
      <w:r>
        <w:t>**Conclusion technique :** La convergence des signaux baissiers (MM, MACD) et neutres (Bollinger, RSI, Stochastique) indique que le titre SIBC se trouve dans une phase de consolidation baissière à court terme. Le cours évolue sous ses moyennes mobiles, avec un MACD négatif et un stochastique en croisement baissier, ce qui suggère une poursuite de la pression vendeuse à court terme. Toutefois, la proximité de la borne inférieure de Bollinger et le RSI neutre laissent entrevoir un possible rebond technique si le cours parvient à se stabiliser au-dessus de 8 650 FCFA. La prudence reste de mise pour les investisseurs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la SIBC affiche un Produit Net Bancaire (PNB) de 108,663 milliards FCFA, un résultat net de 55,623 milliards FCFA, un ROE exceptionnel de 27,16% et un ROA de 2,96%. Le coefficient d'exploitation s'établit à 38,59%, un niveau nettement inférieur au seuil de 60% qui caractérise une banque efficace, confirmant l'excellence opérationnelle de l'établissement. Le coût du risque, bien que non détaillé dans les données structurées, est estimé à un niveau faible au regard de la qualité du portefeuille, avec des provisions de 14,124 milliards FCFA pour un résultat avant impôt de 62,988 milliards FCFA. La structure financière montre une autonomie financière de 10,88% (capitaux propres/total bilan), un ratio d'endettement de 50,92% et une solvabilité générale de 112,21%, indiquant une capacité à couvrir ses engagements. Le ratio dépôts/crédits s'élève à 1 503,441/1 226,720 = 1,23x, ce qui signifie que la banque dispose d'une base de dépôts excédentaire par rapport à ses crédits, une position de liquidité confortable.</w:t>
      </w:r>
    </w:p>
    <w:p>
      <w:pPr>
        <w:spacing w:after="120" w:line="276" w:lineRule="auto"/>
      </w:pPr>
      <w:r>
        <w:t>**Estimations basées sur les rapports trimestriels :** Le rapport du T1 2026 (publié le 07/05/2026) indique un PNB de 27,7 milliards FCFA (+4% en glissement annuel) et un résultat net de 15,2 milliards FCFA (+11%). Le rapport du S1 2026 (publié le 29/09/2026) confirme cette dynamique avec un PNB de 56,592 milliards FCFA (+4,2%) et un résultat net de 32,140 milliards FCFA (+9,3%). Sur la base de ces performances semestrielles, on peut estimer que l'exercice 2026 devrait afficher un PNB annuel d'environ 113-115 milliards FCFA et un résultat net de l'ordre de 64-66 milliards FCFA, en progression de 15-18% par rapport à 2025. Le coût du risque s'est fortement amélioré au S1 2026 (287 millions FCFA, -75,3%), ce qui devrait soutenir la rentabilité annuelle. Le rapport annuel 2024 (publié le 31/12/2024) faisait état d'un ROE de 30,56% et d'un coefficient d'exploitation de 39,05%, confirmant la tendance à l'amélioration de l'efficacité opérationnelle. La politique de dividende, bien que non précisée dans les rapports trimestriels, était de 375 FCFA/action pour l'exercice 2024, soit un rendement d'environ 4,3% sur la base du cours actuel (8 750 FCFA).</w:t>
      </w:r>
    </w:p>
    <w:p>
      <w:pPr>
        <w:spacing w:after="120" w:line="276" w:lineRule="auto"/>
      </w:pPr>
      <w:r>
        <w:t>**Recommandation fondamentale :** La SIBC présente des fondamentaux solides, portés par une croissance régulière de son PNB (+4% au S1 2026), une rentabilité exceptionnelle (ROE &gt; 27%) et une maîtrise des risques (coût du risque en forte baisse). Le plan stratégique « IMPULSION 2028 » et la digitalisation en cours devraient soutenir la croissance future. Toutefois, la valorisation exigeante (PER 15,7x, P/B 4,27x) et l'absence de visibilité sur le dividende 2026 limitent le potentiel de revalorisation à court terme. La recommandation fondamentale est **CONSERVER**, avec un biais positif pour les investisseurs à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contrastée. **Sur le plan de la valorisation (Partie 0)** , les ratios PER (15,7x) et P/B (4,27x) indiquent une surévaluation relative par rapport à la moyenne du marché BRVM, bien que justifiée par la rentabilité exceptionnelle de la banque. **Le comportement du cours (Partie 1)** montre une tendance haussière sur 100 jours (+16,67%) mais une volatilité élevée (30,9%) et un skewness négatif (-1,816) qui signalent un risque de correction brutal. **Les signaux techniques (Partie 2)** sont majoritairement baissiers à court terme (MM, MACD), avec des indicateurs neutres (Bollinger, RSI, Stochastique) qui n'offrent pas de signal de rebond immédiat. **Les fondamentaux (Partie 3)** restent solides, avec une croissance du PNB et du résultat net confirmée par les rapports trimestriels 2026, mais la valorisation exigeante limite le potentiel de hausse. **Les prédictions IA (J+1 à J+10)** anticipent une poursuite de la baisse du cours, de 8 691 FCFA (J+1) à 8 523 FCFA (J+10), ce qui confirme les signaux techniques baissiers à court terme.</w:t>
      </w:r>
    </w:p>
    <w:p>
      <w:pPr>
        <w:spacing w:after="120" w:line="276" w:lineRule="auto"/>
      </w:pPr>
      <w:r>
        <w:t>**Recommandation finale : CONSERVER.** La convergence entre la valorisation exigeante, les signaux techniques baissiers et les prédictions IA à la baisse suggère une période de consolidation à court terme. Toutefois, la solidité des fondamentaux et la croissance régulière de l'activité justifient une position de conservation pour les investisseurs déjà en portefeuille, avec un potentiel de passage à **ACHAT** en cas de correction significative du cours (sous 8 200 FCFA). Le niveau de confiance est **Moyen**, en raison de la divergence entre les fondamentaux solides et les signaux techniques baissiers. Le niveau de risque global est **Moyen**, la volatilité élevée et la valorisation exigeante étant compensées par la qualité des fondamentaux. L'horizon d'investissement optimal est le **moyen terme (3-12 mois)** , le temps que la consolidation technique s'achève et que les résultats annuels 2026 confirment la tendance haussière des bénéfices.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β=-1.1164 (Contre-cyclique) — Cov=-0.000042, Var(idx)=0.000038, ρ=-0.181, n=85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**Bourse Régionale des Valeurs Mobilières (BRVM) — Secteur Agro-industriel**</w:t>
        <w:br/>
        <w:t>**Date d'analyse : Mai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récentes et fiables dans la base, ce qui limite l'évaluation comparative directe avec les standards du marché (PER BRVM moyen estimé entre 8x et 12x). Cette absence de ratios constitue en soi un signal de vigilance : elle traduit une opacité relative de la communication financière et une difficulté pour le marché de valoriser correctement les bénéfices. L'investisseur doit donc s'appuyer principalement sur l'analyse technique et les rapports narratifs disponibles pour apprécier le potentiel de l'action.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performance spectaculaire de +95,35%, bien que la dernière séance (J-1) marque une légère correction de -1,12%, signe d'une prise de profit après un rallye exceptionnel. Le cours actuel de 8 400 FCFA se situe dans la partie haute du range de trading, le plus haut ayant atteint 10 200 FCFA et le plus bas 3 985 FCFA — soit un écart de plus de 156% entre les extrêmes, illustrant une tendance nettement haussière mais très volatile. Les statistiques descriptives révèlent une moyenne de 5 815 FCFA nettement supérieure à la médiane de 5 022 FCFA, confirmant une distribution asymétrique positive (skewness de +0,913) : le cours a passé plus de journées sous la moyenne, mais quelques séances de forte hausse ont tiré la moyenne vers le haut. L'écart-type de 1 813 FCFA avec un coefficient de variation de 31,2% traduit une dispersion élevée du cours, tandis que le kurtosis de -0,630 (mésokurtique) indique une distribution proche de la normale, sans pics extrêmes fréquents. La volatilité annualisée de 58,2% classe ce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se situent toutes deux sous le cours actuel de 8 400 FCFA pour la MM20 (léger écart) et nettement en dessous pour la MM50, configurant un alignement haussier classique (cours &gt; MM20 &gt; MM50). La décision technique est à l'**Achat**, portée par ce croisement doré et la dynamique positive des moyennes.</w:t>
      </w:r>
    </w:p>
    <w:p>
      <w:pPr>
        <w:spacing w:after="120" w:line="276" w:lineRule="auto"/>
      </w:pPr>
      <w:r>
        <w:t>**Bandes de Bollinger** : Le cours (8 400 FCFA) évolue dans la partie supérieure de la bande (borne supérieure à 9 589,72 FCFA, borne inférieure à 7 354,78 FCFA), sans toutefois toucher la borne haute. La décision est **Neutre**, suggérant que le titre n'est ni en situation de surachat extrême ni de survente, avec une volatilité contenue dans les bandes.</w:t>
      </w:r>
    </w:p>
    <w:p>
      <w:pPr>
        <w:spacing w:after="120" w:line="276" w:lineRule="auto"/>
      </w:pPr>
      <w:r>
        <w:t>**MACD** : La valeur du MACD (270,217) est inférieure à son signal (360,734), générant une configuration baissière avec une décision de **Vente**. Cette divergence négative indique un essoufflement du momentum haussier, bien que le MACD reste en territoire positif, ce qui tempère le signal baissier.</w:t>
      </w:r>
    </w:p>
    <w:p>
      <w:pPr>
        <w:spacing w:after="120" w:line="276" w:lineRule="auto"/>
      </w:pPr>
      <w:r>
        <w:t>**RSI** : À 61,157, le RSI se situe en zone neutre haute (entre 30 et 70), sans atteindre le seuil de surachat de 70. La décision est **Neutre**, reflétant une dynamique positive mais non excessive, avec un potentiel de hausse résiduel.</w:t>
      </w:r>
    </w:p>
    <w:p>
      <w:pPr>
        <w:spacing w:after="120" w:line="276" w:lineRule="auto"/>
      </w:pPr>
      <w:r>
        <w:t>**Stochastique** : Le %K (85,714) et le %D (94,762) sont tous deux en zone de surachat (&gt;80), avec un %K inférieur au %D, signalant un croisement baissier imminent. La décision est à la **Vente**, indiquant une probabilité élevée de correction à court terme.</w:t>
      </w:r>
    </w:p>
    <w:p>
      <w:pPr>
        <w:spacing w:after="120" w:line="276" w:lineRule="auto"/>
      </w:pPr>
      <w:r>
        <w:t>**Conclusion technique** : Les indicateurs présentent une divergence notable. Les moyennes mobiles restent haussières et le RSI est neutre, mais le MACD et le stochastique émettent des signaux de vente, suggérant un essoufflement de la tendance après le rallye de +95%. La configuration globale est celle d'un titre en phase de consolidation potentielle, avec un risque de correction à court terme mais une tendance de fond encore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narratifs officiels fournissent des informations précieuses sur l'évolution de la SICOR. Selon le rapport de l'exercice 2023 (analysé le 15 mars 2026), le chiffre d'affaires s'est établi à **701,09 millions FCFA**, en baisse de 38,4% par rapport aux 1 138,17 millions FCFA de 2022. Malgré cette contraction, la société a renoué avec la profitabilité en dégageant un **résultat net positif de 19,25 millions FCFA** (marge nette de 2,75%), contre une perte de 39,95 millions FCFA en 2022. Cette amélioration résulte d'une réduction drastique des charges (-43,68%), incluant une baisse de 39,24% des charges de personnel suite au transfert de 50% des effectifs vers la SIPAL. Le rapport 2022 (analysé le 15 mars 2026) révélait une perte nette de 39,95 millions FCFA (marge nette de -3,51%) pour un CA de 1 138,17 millions FCFA, marquant une inversion de tendance après quatre années de bénéfices (2018-2021). Les rapports plus anciens (2015-2017) montrent une société historiquement rentable mais fragile : résultat net de 100,57 millions FCFA en 2017 (marge de 6,44%), 53,31 millions FCFA en 2016 (marge de 3,39%), et 434,87 millions FCFA en 2015. La structure financière reste préoccupante avec des **pertes cumulées de 689,86 millions FCFA** en 2023, expliquant l'absence de dividende depuis 2017. La trésorerie demeure tendue, avec des découverts bancaires multipliés par 14 en 2023 (+1 319%). Les risques opérationnels sont significatifs : vols de noix de coco ayant entraîné l'arrêt du site de Boulay, dépendance aux cours mondiaux du coprah, et concurrence accrue. La recommandation fondamentale est de **CONSERVER avec vigilance** : le retour à la profitabilité en 2023 est encourageant, mais la fragilité des marges, l'absence de dividende et les risques opérationnels limitent le potentiel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difficile à apprécier faute de ratios calculables, mais la capitalisation modeste de 5,04 milliards FCFA et l'absence de PER/P/B exploitables suggèrent une opacité qui pénalise l'évaluation. Le **comportement du cours (Partie 1)** est exceptionnellement haussier (+95,35% sur 100 jours) mais accompagné d'une volatilité élevée (58,2%) et d'une asymétrie positive (skewness +0,913) indiquant que la performance récente repose sur quelques séances exceptionnelles. Les **signaux techniques (Partie 2)** sont divergents : les moyennes mobiles et le RSI restent constructifs, mais le MACD et le stochastique émettent des signaux de vente, plaidant pour une consolidation imminente. Les **fondamentaux (Partie 3)** montrent une amélioration en 2023 (retour à la profitabilité avec 19,25 millions FCFA de résultat net) mais une fragilité persistante (pertes cumulées de 689,86 millions FCFA, absence de dividende, trésorerie tendue). Les **prédictions IA** ne sont pas disponibles, ce qui prive l'analyse d'un élément de confirmation à court terme. Sur la base de cette synthèse, la recommandation finale est **CONSERVER** avec un niveau de confiance **Moyen** et un risque global **Élevé**. La convergence entre le rallye technique récent et l'amélioration fondamentale de 2023 justifie de ne pas vendre, mais la divergence des indicateurs techniques (MACD et stochastique baissiers) et l'absence de dividende incitent à la prudence. L'horizon d'investissement optimal est **moyen terme (3-12 mois)**, en surveillant les prochains rapports financiers (exercice 2024) et la capacité de la société à confirmer son redressement et à résorber ses pertes cumulées.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5,397 titres</w:t>
            </w:r>
          </w:p>
        </w:tc>
        <w:tc>
          <w:tcPr>
            <w:tcW w:type="dxa" w:w="2268"/>
            <w:shd w:fill="FFF2CC" w:val="clear"/>
          </w:tcPr>
          <w:p>
            <w:r>
              <w:rPr>
                <w:b/>
                <w:color w:val="503200"/>
                <w:sz w:val="16"/>
              </w:rPr>
              <w:t xml:space="preserve">Cours actuel : </w:t>
            </w:r>
            <w:r>
              <w:rPr>
                <w:color w:val="000000"/>
                <w:sz w:val="17"/>
              </w:rPr>
              <w:t>1,930 FCFA</w:t>
            </w:r>
          </w:p>
          <w:p>
            <w:r>
              <w:rPr>
                <w:b/>
                <w:color w:val="503200"/>
                <w:sz w:val="16"/>
              </w:rPr>
              <w:t xml:space="preserve">Var. 100 jours : </w:t>
            </w:r>
            <w:r>
              <w:rPr>
                <w:b/>
                <w:color w:val="B40000"/>
                <w:sz w:val="17"/>
              </w:rPr>
              <w:t>-32.28%</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11.86% (Moyenne) — μ=2,406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β=0.4828 (Défensif) — Cov=0.000036, Var(idx)=0.000074, ρ=0.121,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2026-10-09</w:t>
            </w:r>
          </w:p>
        </w:tc>
        <w:tc>
          <w:tcPr>
            <w:tcW w:type="dxa" w:w="1440"/>
            <w:shd w:fill="C6EFCE" w:val="clear"/>
          </w:tcPr>
          <w:p>
            <w:r>
              <w:rPr>
                <w:sz w:val="17"/>
              </w:rPr>
              <w:t>1,886</w:t>
            </w:r>
          </w:p>
        </w:tc>
        <w:tc>
          <w:tcPr>
            <w:tcW w:type="dxa" w:w="1440"/>
            <w:shd w:fill="C6EFCE" w:val="clear"/>
          </w:tcPr>
          <w:p>
            <w:r>
              <w:rPr>
                <w:b/>
                <w:sz w:val="17"/>
              </w:rPr>
              <w:t>1,986</w:t>
            </w:r>
          </w:p>
        </w:tc>
        <w:tc>
          <w:tcPr>
            <w:tcW w:type="dxa" w:w="1440"/>
            <w:shd w:fill="C6EFCE" w:val="clear"/>
          </w:tcPr>
          <w:p>
            <w:r>
              <w:rPr>
                <w:sz w:val="17"/>
              </w:rPr>
              <w:t>2,085</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2026-10-12</w:t>
            </w:r>
          </w:p>
        </w:tc>
        <w:tc>
          <w:tcPr>
            <w:tcW w:type="dxa" w:w="1440"/>
            <w:shd w:fill="C6EFCE" w:val="clear"/>
          </w:tcPr>
          <w:p>
            <w:r>
              <w:rPr>
                <w:sz w:val="17"/>
              </w:rPr>
              <w:t>1,843</w:t>
            </w:r>
          </w:p>
        </w:tc>
        <w:tc>
          <w:tcPr>
            <w:tcW w:type="dxa" w:w="1440"/>
            <w:shd w:fill="C6EFCE" w:val="clear"/>
          </w:tcPr>
          <w:p>
            <w:r>
              <w:rPr>
                <w:b/>
                <w:sz w:val="17"/>
              </w:rPr>
              <w:t>1,983</w:t>
            </w:r>
          </w:p>
        </w:tc>
        <w:tc>
          <w:tcPr>
            <w:tcW w:type="dxa" w:w="1440"/>
            <w:shd w:fill="C6EFCE" w:val="clear"/>
          </w:tcPr>
          <w:p>
            <w:r>
              <w:rPr>
                <w:sz w:val="17"/>
              </w:rPr>
              <w:t>2,124</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2026-10-13</w:t>
            </w:r>
          </w:p>
        </w:tc>
        <w:tc>
          <w:tcPr>
            <w:tcW w:type="dxa" w:w="1440"/>
            <w:shd w:fill="C6EFCE" w:val="clear"/>
          </w:tcPr>
          <w:p>
            <w:r>
              <w:rPr>
                <w:sz w:val="17"/>
              </w:rPr>
              <w:t>1,814</w:t>
            </w:r>
          </w:p>
        </w:tc>
        <w:tc>
          <w:tcPr>
            <w:tcW w:type="dxa" w:w="1440"/>
            <w:shd w:fill="C6EFCE" w:val="clear"/>
          </w:tcPr>
          <w:p>
            <w:r>
              <w:rPr>
                <w:b/>
                <w:sz w:val="17"/>
              </w:rPr>
              <w:t>1,986</w:t>
            </w:r>
          </w:p>
        </w:tc>
        <w:tc>
          <w:tcPr>
            <w:tcW w:type="dxa" w:w="1440"/>
            <w:shd w:fill="C6EFCE" w:val="clear"/>
          </w:tcPr>
          <w:p>
            <w:r>
              <w:rPr>
                <w:sz w:val="17"/>
              </w:rPr>
              <w:t>2,158</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2026-10-14</w:t>
            </w:r>
          </w:p>
        </w:tc>
        <w:tc>
          <w:tcPr>
            <w:tcW w:type="dxa" w:w="1440"/>
            <w:shd w:fill="C6EFCE" w:val="clear"/>
          </w:tcPr>
          <w:p>
            <w:r>
              <w:rPr>
                <w:sz w:val="17"/>
              </w:rPr>
              <w:t>1,790</w:t>
            </w:r>
          </w:p>
        </w:tc>
        <w:tc>
          <w:tcPr>
            <w:tcW w:type="dxa" w:w="1440"/>
            <w:shd w:fill="C6EFCE" w:val="clear"/>
          </w:tcPr>
          <w:p>
            <w:r>
              <w:rPr>
                <w:b/>
                <w:sz w:val="17"/>
              </w:rPr>
              <w:t>1,990</w:t>
            </w:r>
          </w:p>
        </w:tc>
        <w:tc>
          <w:tcPr>
            <w:tcW w:type="dxa" w:w="1440"/>
            <w:shd w:fill="C6EFCE" w:val="clear"/>
          </w:tcPr>
          <w:p>
            <w:r>
              <w:rPr>
                <w:sz w:val="17"/>
              </w:rPr>
              <w:t>2,190</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1,771</w:t>
            </w:r>
          </w:p>
        </w:tc>
        <w:tc>
          <w:tcPr>
            <w:tcW w:type="dxa" w:w="1440"/>
            <w:shd w:fill="C6EFCE" w:val="clear"/>
          </w:tcPr>
          <w:p>
            <w:r>
              <w:rPr>
                <w:b/>
                <w:sz w:val="17"/>
              </w:rPr>
              <w:t>1,994</w:t>
            </w:r>
          </w:p>
        </w:tc>
        <w:tc>
          <w:tcPr>
            <w:tcW w:type="dxa" w:w="1440"/>
            <w:shd w:fill="C6EFCE" w:val="clear"/>
          </w:tcPr>
          <w:p>
            <w:r>
              <w:rPr>
                <w:sz w:val="17"/>
              </w:rPr>
              <w:t>2,218</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1,753</w:t>
            </w:r>
          </w:p>
        </w:tc>
        <w:tc>
          <w:tcPr>
            <w:tcW w:type="dxa" w:w="1440"/>
            <w:shd w:fill="C6EFCE" w:val="clear"/>
          </w:tcPr>
          <w:p>
            <w:r>
              <w:rPr>
                <w:b/>
                <w:sz w:val="17"/>
              </w:rPr>
              <w:t>1,999</w:t>
            </w:r>
          </w:p>
        </w:tc>
        <w:tc>
          <w:tcPr>
            <w:tcW w:type="dxa" w:w="1440"/>
            <w:shd w:fill="C6EFCE" w:val="clear"/>
          </w:tcPr>
          <w:p>
            <w:r>
              <w:rPr>
                <w:sz w:val="17"/>
              </w:rPr>
              <w:t>2,244</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1,737</w:t>
            </w:r>
          </w:p>
        </w:tc>
        <w:tc>
          <w:tcPr>
            <w:tcW w:type="dxa" w:w="1440"/>
            <w:shd w:fill="C6EFCE" w:val="clear"/>
          </w:tcPr>
          <w:p>
            <w:r>
              <w:rPr>
                <w:b/>
                <w:sz w:val="17"/>
              </w:rPr>
              <w:t>2,003</w:t>
            </w:r>
          </w:p>
        </w:tc>
        <w:tc>
          <w:tcPr>
            <w:tcW w:type="dxa" w:w="1440"/>
            <w:shd w:fill="C6EFCE" w:val="clear"/>
          </w:tcPr>
          <w:p>
            <w:r>
              <w:rPr>
                <w:sz w:val="17"/>
              </w:rPr>
              <w:t>2,269</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1,723</w:t>
            </w:r>
          </w:p>
        </w:tc>
        <w:tc>
          <w:tcPr>
            <w:tcW w:type="dxa" w:w="1440"/>
            <w:shd w:fill="C6EFCE" w:val="clear"/>
          </w:tcPr>
          <w:p>
            <w:r>
              <w:rPr>
                <w:b/>
                <w:sz w:val="17"/>
              </w:rPr>
              <w:t>2,007</w:t>
            </w:r>
          </w:p>
        </w:tc>
        <w:tc>
          <w:tcPr>
            <w:tcW w:type="dxa" w:w="1440"/>
            <w:shd w:fill="C6EFCE" w:val="clear"/>
          </w:tcPr>
          <w:p>
            <w:r>
              <w:rPr>
                <w:sz w:val="17"/>
              </w:rPr>
              <w:t>2,292</w:t>
            </w:r>
          </w:p>
        </w:tc>
        <w:tc>
          <w:tcPr>
            <w:tcW w:type="dxa" w:w="1440"/>
            <w:shd w:fill="C6EFCE" w:val="clear"/>
          </w:tcPr>
          <w:p>
            <w:r>
              <w:rPr>
                <w:b/>
                <w:color w:val="008000"/>
                <w:sz w:val="17"/>
              </w:rPr>
              <w:t>+4.0%</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1,709</w:t>
            </w:r>
          </w:p>
        </w:tc>
        <w:tc>
          <w:tcPr>
            <w:tcW w:type="dxa" w:w="1440"/>
            <w:shd w:fill="C6EFCE" w:val="clear"/>
          </w:tcPr>
          <w:p>
            <w:r>
              <w:rPr>
                <w:b/>
                <w:sz w:val="17"/>
              </w:rPr>
              <w:t>2,012</w:t>
            </w:r>
          </w:p>
        </w:tc>
        <w:tc>
          <w:tcPr>
            <w:tcW w:type="dxa" w:w="1440"/>
            <w:shd w:fill="C6EFCE" w:val="clear"/>
          </w:tcPr>
          <w:p>
            <w:r>
              <w:rPr>
                <w:sz w:val="17"/>
              </w:rPr>
              <w:t>2,314</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1,696</w:t>
            </w:r>
          </w:p>
        </w:tc>
        <w:tc>
          <w:tcPr>
            <w:tcW w:type="dxa" w:w="1440"/>
            <w:shd w:fill="C6EFCE" w:val="clear"/>
          </w:tcPr>
          <w:p>
            <w:r>
              <w:rPr>
                <w:b/>
                <w:sz w:val="17"/>
              </w:rPr>
              <w:t>2,016</w:t>
            </w:r>
          </w:p>
        </w:tc>
        <w:tc>
          <w:tcPr>
            <w:tcW w:type="dxa" w:w="1440"/>
            <w:shd w:fill="C6EFCE" w:val="clear"/>
          </w:tcPr>
          <w:p>
            <w:r>
              <w:rPr>
                <w:sz w:val="17"/>
              </w:rPr>
              <w:t>2,335</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 ERIUM COTE D'IVOIRE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16,86 Mds FCFA, ERIUM CI se situe dans la catégorie des petites capitalisations de la BRVM, ce qui implique une liquidité limitée et une sensibilité accrue aux mouvements de marché. Le BPA de 21 FCFA/action, rapporté au cours actuel de 1 930 FCFA, génère un PER de 94,0x — un niveau extrêmement élevé comparé à la moyenne BRVM (8-12x), signifiant que les investisseurs paient près de 94 fois les bénéfices annuels pour détenir le titre, ce qui traduit une anticipation de forte croissance ou, plus probablement, une décorrélation entre le prix et la rentabilité effective. Le P/B de 6,67x (largement supérieur au seuil de 4x) indique que le marché valorise l'entreprise à plus de six fois sa valeur comptable, une prime exigeante qui n'est justifiée ni par la rentabilité (ROE de 7,1%) ni par la structure financière. Enfin, l'EV/EBITDA de 16,8x (au-dessus du seuil de 15x) confirme que la valeur d'entreprise intègre une prime spéculative importante par rapport à la capacité opérationnelle réelle de génération de cash-flow. L'ensemble de ces ratios signale une **surévaluation manifeste** du titre au regard de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SIVC/ERIUM CI a enregistré une chute spectaculaire de **-32,28%**, avec une dernière séance en repli de -2,77%, portant le cours à 1 930 FCFA. Le range de trading s'étend du plus haut de 2 875 FCFA au plus bas de 1 920 FCFA — le cours actuel évolue donc à proximité immédiate de son plancher, ce qui traduit une pression vendeuse persistante et l'absence de support solide. La tendance générale est clairement **baissière**, avec une accélération du mouvement à la baisse sur les dernières séances. Les statistiques descriptives révèlent une moyenne de 2 406 FCFA contre une médiane de 2 368 FCFA, un écart modéré qui suggère une légère asymétrie positive (confirmée par le skewness de 0,288, indiquant une distribution quasi-symétrique avec quelques valeurs hautes résiduelles). L'écart-type de 287 FCFA (CV = 11,9%) traduit une dispersion modérée autour de la moyenne, mais le kurtosis de -1,024 (distribution platykurtique) indique une faible concentration des valeurs autour de la moyenne — autrement dit, le cours a évolué de manière relativement étalée sans pics extrêmes marqués, ce qui est cohérent avec une tendance baissière progressive plutôt qu'un krach brutal. La **volatilité annualisée de 53,8%** classe ce titre dans la catégorie **très volatile** (seuil &gt;30%), ce qui expose l'investisseur à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(2 104 FCFA) et la MM50 (2 231,7 FCFA) se situent toutes deux au-dessus du cours actuel (1 930 FCFA), avec une MM20 inférieure à la MM50 — configuration baissière classique. Le cours évolue sous ses deux moyennes, confirmant la pression vendeuse, et la décision technique est **Vente**.</w:t>
      </w:r>
    </w:p>
    <w:p>
      <w:pPr>
        <w:spacing w:after="120" w:line="276" w:lineRule="auto"/>
      </w:pPr>
      <w:r>
        <w:t>**Bandes de Bollinger** : La borne supérieure est à 2 385,96 FCFA et la borne inférieure à 1 822,04 FCFA, avec un cours actuel de 1 930 FCFA qui se situe dans la moitié basse du canal. Le prix n'a pas encore touché la borne inférieure, ce qui laisse un potentiel de baisse résiduel ; la décision est **Neutre**, traduisant une absence de signal extrême malgré la tendance baissière.</w:t>
      </w:r>
    </w:p>
    <w:p>
      <w:pPr>
        <w:spacing w:after="120" w:line="276" w:lineRule="auto"/>
      </w:pPr>
      <w:r>
        <w:t>**MACD** : La valeur du MACD (-88,068) est inférieure à son signal (-78,627), avec un histogramme négatif — configuration baissière confirmée. Le momentum est clairement négatif et la divergence MACD-Signal ne montre aucun signe de retournement imminent ; la décision est **Vente**.</w:t>
      </w:r>
    </w:p>
    <w:p>
      <w:pPr>
        <w:spacing w:after="120" w:line="276" w:lineRule="auto"/>
      </w:pPr>
      <w:r>
        <w:t>**RSI** : À 30,872, le RSI se situe juste au-dessus du seuil de survente (30), ce qui indique que le titre approche d'une zone de survente sans y être encore entré. La décision est **Neutre**, mais la proximité du seuil de 30 suggère qu'un rebond technique pourrait se produire à court terme.</w:t>
      </w:r>
    </w:p>
    <w:p>
      <w:pPr>
        <w:spacing w:after="120" w:line="276" w:lineRule="auto"/>
      </w:pPr>
      <w:r>
        <w:t>**Stochastique** : Les valeurs %K et %D sont toutes deux à 0,0, ce qui place l'indicateur en zone de survente extrême. La décision est **Achat**, signalant un possible retournement à la hausse à très court terme, bien que ce signal doive être confirmé par les autres indicateurs.</w:t>
      </w:r>
    </w:p>
    <w:p>
      <w:pPr>
        <w:spacing w:after="120" w:line="276" w:lineRule="auto"/>
      </w:pPr>
      <w:r>
        <w:t>**Conclusion technique** : Les indicateurs techniques présentent une divergence notable — les moyennes mobiles et le MACD confirment une tendance baissière, tandis que le RSI (proche de la survente) et le stochastique (survente extrême) suggèrent un rebond technique imminent. Cette configuration est typique d'un marché survendu à court terme, mais la tendance de fond reste baissière tant que le cours n'aura pas repris la MM20 (2 104 FCFA).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d'ERIUM CI (ex-SIVC) affichent un chiffre d'affaires de 10,075 Mds FCFA, en hausse de +8,53% par rapport à 2024 (9,283 Mds FCFA), porté par une dynamique commerciale soutenue. Cependant, le résultat net chute de -52,4% à 179,29 M FCFA (contre 376,96 M FCFA en 2024), et la marge nette se dégrade à 1,78% (contre 4,06% en 2024). Le ROE s'établit à 7,10% (bien en deçà du seuil de 15% considéré comme excellent) et le ROA à 1,23%, traduisant une rentabilité très faible des actifs. En tant qu'entreprise industrielle, les délais d'exploitation révèlent des tensions : le délai clients est de 79,30 jours (risque de trésorerie modéré), le délai fournisseurs de 323,35 jours (favorable à la trésorerie) et la durée de stockage de 189,26 jours (immobilisation de capital importante). Le BFR est négatif à -470,79 M FCFA (favorable), mais le fonds de roulement est négatif à -2,132 Mds FCFA et la trésorerie nette s'établit à -1,661 Mds FCFA, exposant la société à un risque de liquidité. L'endettement est élevé : ratio d'endettement de 228,41%, autonomie financière de seulement 17,29% (seuil sain &gt;30%) et capacité de remboursement de 6,64 années. Les rapports trimestriels 2025 (S1 et T3) fournissent des estimations intéressantes : au S1 2025 (rapport certifié du 30/06/2025), le CA s'élevait à 4 897,5 M FCFA (+8,8%) et le résultat net à 512,9 M FCFA (+4,6%) ; au T3 2025 (rapport du 30/09/2025), le CA cumulé atteignait 7 584,7 M FCFA (+13%) et le résultat net 832,5 M FCFA (+58%). **On estime donc que l'exercice 2025 devrait clôturer avec un résultat net annuel compris entre 900 M et 1 000 M FCFA** — mais les états financiers annuels définitifs publiés (rapport du 31/12/2025) font état d'un résultat net de seulement 179,29 M FCFA, ce qui suggère un **ajustement négatif majeur au T4 2025** (probablement des charges exceptionnelles ou des dépréciations). La recommandation fondamentale est **CONSERVER avec surveillance renforcée** : la croissance du CA est réelle, mais la dégradation de la rentabilité, l'endettement élevé et la trésorerie négative constituent des signaux d'alerte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entre les signaux. La valorisation (Partie 0) est manifestement surévaluée : PER de 94x, P/B de 6,67x et EV/EBITDA de 16,8x sont incompatibles avec un ROE de 7,1% et une marge nette de 1,78%. Le comportement du cours (Partie 1) est baissier (-32,28% sur 100 jours), avec une volatilité très élevée (53,8%) et un cours proche de son plus bas — les statistiques (kurtosis platykurtique, skewness symétrique) indiquent une tendance baissière progressive sans pic de capitulation, ce qui laisse craindre une poursuite de la baisse. Les signaux techniques (Partie 2) sont mitigés : baissiers pour les MM et le MACD, mais survendus pour le RSI et le stochastique, suggérant un rebond technique possible à très court terme. Les fondamentaux (Partie 3) sont fragiles : croissance du CA (+8,53%) mais effondrement du résultat net (-52,4%), endettement élevé (228,41%) et trésorerie négative (-1,661 Mds FCFA). Les prédictions IA (J+1 à J+10) tablent sur une légère reprise (1 986 FCFA le 09/10, puis 1 994 FCFA le 15/10), ce qui **contredit partiellement** les signaux baissiers mais reste cohérent avec un rebond technique survendu. **Recommandation finale : VENTE** — la convergence entre une valorisation surévaluée, une tendance baissière persistante et des fondamentaux dégradés l'emporte sur le rebond technique attendu. Le niveau de confiance est **Moyen** (en raison de la divergence des indicateurs) et le niveau de risque global est **Élevé**. L'horizon d'investissement optimal est **court terme (&lt;3 mois)** pour profiter d'un éventuel rebond technique, mais **moyen terme (3-12 mois)** pour une éventuelle stabilisation des fondamentaux — en l'état, une exposition prolongée n'est pas recommandée.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610.53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1,419 titres</w:t>
            </w:r>
          </w:p>
        </w:tc>
        <w:tc>
          <w:tcPr>
            <w:tcW w:type="dxa" w:w="2268"/>
            <w:shd w:fill="FFF2CC" w:val="clear"/>
          </w:tcPr>
          <w:p>
            <w:r>
              <w:rPr>
                <w:b/>
                <w:color w:val="503200"/>
                <w:sz w:val="16"/>
              </w:rPr>
              <w:t xml:space="preserve">Cours actuel : </w:t>
            </w:r>
            <w:r>
              <w:rPr>
                <w:color w:val="000000"/>
                <w:sz w:val="17"/>
              </w:rPr>
              <w:t>37,090 FCFA</w:t>
            </w:r>
          </w:p>
          <w:p>
            <w:r>
              <w:rPr>
                <w:b/>
                <w:color w:val="503200"/>
                <w:sz w:val="16"/>
              </w:rPr>
              <w:t xml:space="preserve">Var. 100 jours : </w:t>
            </w:r>
            <w:r>
              <w:rPr>
                <w:b/>
                <w:color w:val="B40000"/>
                <w:sz w:val="17"/>
              </w:rPr>
              <w:t>-2.14%</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μ=38,262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β=0.0191 (Défensif) — Cov=0.000001, Var(idx)=0.000074, ρ=0.011,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37,055</w:t>
            </w:r>
          </w:p>
        </w:tc>
        <w:tc>
          <w:tcPr>
            <w:tcW w:type="dxa" w:w="1440"/>
            <w:shd w:fill="FAFAFA" w:val="clear"/>
          </w:tcPr>
          <w:p>
            <w:r>
              <w:rPr>
                <w:b/>
                <w:sz w:val="17"/>
              </w:rPr>
              <w:t>37,571</w:t>
            </w:r>
          </w:p>
        </w:tc>
        <w:tc>
          <w:tcPr>
            <w:tcW w:type="dxa" w:w="1440"/>
            <w:shd w:fill="FAFAFA" w:val="clear"/>
          </w:tcPr>
          <w:p>
            <w:r>
              <w:rPr>
                <w:sz w:val="17"/>
              </w:rPr>
              <w:t>38,087</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36,946</w:t>
            </w:r>
          </w:p>
        </w:tc>
        <w:tc>
          <w:tcPr>
            <w:tcW w:type="dxa" w:w="1440"/>
            <w:shd w:fill="FAFAFA" w:val="clear"/>
          </w:tcPr>
          <w:p>
            <w:r>
              <w:rPr>
                <w:b/>
                <w:sz w:val="17"/>
              </w:rPr>
              <w:t>37,677</w:t>
            </w:r>
          </w:p>
        </w:tc>
        <w:tc>
          <w:tcPr>
            <w:tcW w:type="dxa" w:w="1440"/>
            <w:shd w:fill="FAFAFA" w:val="clear"/>
          </w:tcPr>
          <w:p>
            <w:r>
              <w:rPr>
                <w:sz w:val="17"/>
              </w:rPr>
              <w:t>38,409</w:t>
            </w:r>
          </w:p>
        </w:tc>
        <w:tc>
          <w:tcPr>
            <w:tcW w:type="dxa" w:w="1440"/>
            <w:shd w:fill="FAFAFA" w:val="clear"/>
          </w:tcPr>
          <w:p>
            <w:r>
              <w:rPr>
                <w:b/>
                <w:color w:val="008000"/>
                <w:sz w:val="17"/>
              </w:rPr>
              <w:t>+1.6%</w:t>
            </w:r>
          </w:p>
        </w:tc>
      </w:tr>
      <w:tr>
        <w:tc>
          <w:tcPr>
            <w:tcW w:type="dxa" w:w="1440"/>
            <w:shd w:fill="C6EFCE" w:val="clear"/>
          </w:tcPr>
          <w:p>
            <w:r>
              <w:rPr>
                <w:sz w:val="17"/>
              </w:rPr>
              <w:t>J+3  ⭐⭐⭐</w:t>
            </w:r>
          </w:p>
        </w:tc>
        <w:tc>
          <w:tcPr>
            <w:tcW w:type="dxa" w:w="1440"/>
            <w:shd w:fill="C6EFCE" w:val="clear"/>
          </w:tcPr>
          <w:p>
            <w:r>
              <w:rPr>
                <w:sz w:val="17"/>
              </w:rPr>
              <w:t>2026-10-13</w:t>
            </w:r>
          </w:p>
        </w:tc>
        <w:tc>
          <w:tcPr>
            <w:tcW w:type="dxa" w:w="1440"/>
            <w:shd w:fill="C6EFCE" w:val="clear"/>
          </w:tcPr>
          <w:p>
            <w:r>
              <w:rPr>
                <w:sz w:val="17"/>
              </w:rPr>
              <w:t>36,937</w:t>
            </w:r>
          </w:p>
        </w:tc>
        <w:tc>
          <w:tcPr>
            <w:tcW w:type="dxa" w:w="1440"/>
            <w:shd w:fill="C6EFCE" w:val="clear"/>
          </w:tcPr>
          <w:p>
            <w:r>
              <w:rPr>
                <w:b/>
                <w:sz w:val="17"/>
              </w:rPr>
              <w:t>37,837</w:t>
            </w:r>
          </w:p>
        </w:tc>
        <w:tc>
          <w:tcPr>
            <w:tcW w:type="dxa" w:w="1440"/>
            <w:shd w:fill="C6EFCE" w:val="clear"/>
          </w:tcPr>
          <w:p>
            <w:r>
              <w:rPr>
                <w:sz w:val="17"/>
              </w:rPr>
              <w:t>38,737</w:t>
            </w:r>
          </w:p>
        </w:tc>
        <w:tc>
          <w:tcPr>
            <w:tcW w:type="dxa" w:w="1440"/>
            <w:shd w:fill="C6EFCE" w:val="clear"/>
          </w:tcPr>
          <w:p>
            <w:r>
              <w:rPr>
                <w:b/>
                <w:color w:val="008000"/>
                <w:sz w:val="17"/>
              </w:rPr>
              <w:t>+2.0%</w:t>
            </w:r>
          </w:p>
        </w:tc>
      </w:tr>
      <w:tr>
        <w:tc>
          <w:tcPr>
            <w:tcW w:type="dxa" w:w="1440"/>
            <w:shd w:fill="C6EFCE" w:val="clear"/>
          </w:tcPr>
          <w:p>
            <w:r>
              <w:rPr>
                <w:sz w:val="17"/>
              </w:rPr>
              <w:t>J+4  Moyenne</w:t>
            </w:r>
          </w:p>
        </w:tc>
        <w:tc>
          <w:tcPr>
            <w:tcW w:type="dxa" w:w="1440"/>
            <w:shd w:fill="C6EFCE" w:val="clear"/>
          </w:tcPr>
          <w:p>
            <w:r>
              <w:rPr>
                <w:sz w:val="17"/>
              </w:rPr>
              <w:t>2026-10-14</w:t>
            </w:r>
          </w:p>
        </w:tc>
        <w:tc>
          <w:tcPr>
            <w:tcW w:type="dxa" w:w="1440"/>
            <w:shd w:fill="C6EFCE" w:val="clear"/>
          </w:tcPr>
          <w:p>
            <w:r>
              <w:rPr>
                <w:sz w:val="17"/>
              </w:rPr>
              <w:t>36,958</w:t>
            </w:r>
          </w:p>
        </w:tc>
        <w:tc>
          <w:tcPr>
            <w:tcW w:type="dxa" w:w="1440"/>
            <w:shd w:fill="C6EFCE" w:val="clear"/>
          </w:tcPr>
          <w:p>
            <w:r>
              <w:rPr>
                <w:b/>
                <w:sz w:val="17"/>
              </w:rPr>
              <w:t>38,002</w:t>
            </w:r>
          </w:p>
        </w:tc>
        <w:tc>
          <w:tcPr>
            <w:tcW w:type="dxa" w:w="1440"/>
            <w:shd w:fill="C6EFCE" w:val="clear"/>
          </w:tcPr>
          <w:p>
            <w:r>
              <w:rPr>
                <w:sz w:val="17"/>
              </w:rPr>
              <w:t>39,046</w:t>
            </w:r>
          </w:p>
        </w:tc>
        <w:tc>
          <w:tcPr>
            <w:tcW w:type="dxa" w:w="1440"/>
            <w:shd w:fill="C6EFCE" w:val="clear"/>
          </w:tcPr>
          <w:p>
            <w:r>
              <w:rPr>
                <w:b/>
                <w:color w:val="008000"/>
                <w:sz w:val="17"/>
              </w:rPr>
              <w:t>+2.5%</w:t>
            </w:r>
          </w:p>
        </w:tc>
      </w:tr>
      <w:tr>
        <w:tc>
          <w:tcPr>
            <w:tcW w:type="dxa" w:w="1440"/>
            <w:shd w:fill="C6EFCE" w:val="clear"/>
          </w:tcPr>
          <w:p>
            <w:r>
              <w:rPr>
                <w:sz w:val="17"/>
              </w:rPr>
              <w:t>J+5  Moyenne</w:t>
            </w:r>
          </w:p>
        </w:tc>
        <w:tc>
          <w:tcPr>
            <w:tcW w:type="dxa" w:w="1440"/>
            <w:shd w:fill="C6EFCE" w:val="clear"/>
          </w:tcPr>
          <w:p>
            <w:r>
              <w:rPr>
                <w:sz w:val="17"/>
              </w:rPr>
              <w:t>2026-10-15</w:t>
            </w:r>
          </w:p>
        </w:tc>
        <w:tc>
          <w:tcPr>
            <w:tcW w:type="dxa" w:w="1440"/>
            <w:shd w:fill="C6EFCE" w:val="clear"/>
          </w:tcPr>
          <w:p>
            <w:r>
              <w:rPr>
                <w:sz w:val="17"/>
              </w:rPr>
              <w:t>36,991</w:t>
            </w:r>
          </w:p>
        </w:tc>
        <w:tc>
          <w:tcPr>
            <w:tcW w:type="dxa" w:w="1440"/>
            <w:shd w:fill="C6EFCE" w:val="clear"/>
          </w:tcPr>
          <w:p>
            <w:r>
              <w:rPr>
                <w:b/>
                <w:sz w:val="17"/>
              </w:rPr>
              <w:t>38,162</w:t>
            </w:r>
          </w:p>
        </w:tc>
        <w:tc>
          <w:tcPr>
            <w:tcW w:type="dxa" w:w="1440"/>
            <w:shd w:fill="C6EFCE" w:val="clear"/>
          </w:tcPr>
          <w:p>
            <w:r>
              <w:rPr>
                <w:sz w:val="17"/>
              </w:rPr>
              <w:t>39,334</w:t>
            </w:r>
          </w:p>
        </w:tc>
        <w:tc>
          <w:tcPr>
            <w:tcW w:type="dxa" w:w="1440"/>
            <w:shd w:fill="C6EFCE" w:val="clear"/>
          </w:tcPr>
          <w:p>
            <w:r>
              <w:rPr>
                <w:b/>
                <w:color w:val="008000"/>
                <w:sz w:val="17"/>
              </w:rPr>
              <w:t>+2.9%</w:t>
            </w:r>
          </w:p>
        </w:tc>
      </w:tr>
      <w:tr>
        <w:tc>
          <w:tcPr>
            <w:tcW w:type="dxa" w:w="1440"/>
            <w:shd w:fill="C6EFCE" w:val="clear"/>
          </w:tcPr>
          <w:p>
            <w:r>
              <w:rPr>
                <w:sz w:val="17"/>
              </w:rPr>
              <w:t>J+6  Moyenne</w:t>
            </w:r>
          </w:p>
        </w:tc>
        <w:tc>
          <w:tcPr>
            <w:tcW w:type="dxa" w:w="1440"/>
            <w:shd w:fill="C6EFCE" w:val="clear"/>
          </w:tcPr>
          <w:p>
            <w:r>
              <w:rPr>
                <w:sz w:val="17"/>
              </w:rPr>
              <w:t>2026-10-16</w:t>
            </w:r>
          </w:p>
        </w:tc>
        <w:tc>
          <w:tcPr>
            <w:tcW w:type="dxa" w:w="1440"/>
            <w:shd w:fill="C6EFCE" w:val="clear"/>
          </w:tcPr>
          <w:p>
            <w:r>
              <w:rPr>
                <w:sz w:val="17"/>
              </w:rPr>
              <w:t>37,028</w:t>
            </w:r>
          </w:p>
        </w:tc>
        <w:tc>
          <w:tcPr>
            <w:tcW w:type="dxa" w:w="1440"/>
            <w:shd w:fill="C6EFCE" w:val="clear"/>
          </w:tcPr>
          <w:p>
            <w:r>
              <w:rPr>
                <w:b/>
                <w:sz w:val="17"/>
              </w:rPr>
              <w:t>38,317</w:t>
            </w:r>
          </w:p>
        </w:tc>
        <w:tc>
          <w:tcPr>
            <w:tcW w:type="dxa" w:w="1440"/>
            <w:shd w:fill="C6EFCE" w:val="clear"/>
          </w:tcPr>
          <w:p>
            <w:r>
              <w:rPr>
                <w:sz w:val="17"/>
              </w:rPr>
              <w:t>39,606</w:t>
            </w:r>
          </w:p>
        </w:tc>
        <w:tc>
          <w:tcPr>
            <w:tcW w:type="dxa" w:w="1440"/>
            <w:shd w:fill="C6EFCE" w:val="clear"/>
          </w:tcPr>
          <w:p>
            <w:r>
              <w:rPr>
                <w:b/>
                <w:color w:val="008000"/>
                <w:sz w:val="17"/>
              </w:rPr>
              <w:t>+3.3%</w:t>
            </w:r>
          </w:p>
        </w:tc>
      </w:tr>
      <w:tr>
        <w:tc>
          <w:tcPr>
            <w:tcW w:type="dxa" w:w="1440"/>
            <w:shd w:fill="C6EFCE" w:val="clear"/>
          </w:tcPr>
          <w:p>
            <w:r>
              <w:rPr>
                <w:sz w:val="17"/>
              </w:rPr>
              <w:t>J+7  Moyenne</w:t>
            </w:r>
          </w:p>
        </w:tc>
        <w:tc>
          <w:tcPr>
            <w:tcW w:type="dxa" w:w="1440"/>
            <w:shd w:fill="C6EFCE" w:val="clear"/>
          </w:tcPr>
          <w:p>
            <w:r>
              <w:rPr>
                <w:sz w:val="17"/>
              </w:rPr>
              <w:t>2026-10-19</w:t>
            </w:r>
          </w:p>
        </w:tc>
        <w:tc>
          <w:tcPr>
            <w:tcW w:type="dxa" w:w="1440"/>
            <w:shd w:fill="C6EFCE" w:val="clear"/>
          </w:tcPr>
          <w:p>
            <w:r>
              <w:rPr>
                <w:sz w:val="17"/>
              </w:rPr>
              <w:t>37,069</w:t>
            </w:r>
          </w:p>
        </w:tc>
        <w:tc>
          <w:tcPr>
            <w:tcW w:type="dxa" w:w="1440"/>
            <w:shd w:fill="C6EFCE" w:val="clear"/>
          </w:tcPr>
          <w:p>
            <w:r>
              <w:rPr>
                <w:b/>
                <w:sz w:val="17"/>
              </w:rPr>
              <w:t>38,466</w:t>
            </w:r>
          </w:p>
        </w:tc>
        <w:tc>
          <w:tcPr>
            <w:tcW w:type="dxa" w:w="1440"/>
            <w:shd w:fill="C6EFCE" w:val="clear"/>
          </w:tcPr>
          <w:p>
            <w:r>
              <w:rPr>
                <w:sz w:val="17"/>
              </w:rPr>
              <w:t>39,864</w:t>
            </w:r>
          </w:p>
        </w:tc>
        <w:tc>
          <w:tcPr>
            <w:tcW w:type="dxa" w:w="1440"/>
            <w:shd w:fill="C6EFCE" w:val="clear"/>
          </w:tcPr>
          <w:p>
            <w:r>
              <w:rPr>
                <w:b/>
                <w:color w:val="008000"/>
                <w:sz w:val="17"/>
              </w:rPr>
              <w:t>+3.7%</w:t>
            </w:r>
          </w:p>
        </w:tc>
      </w:tr>
      <w:tr>
        <w:tc>
          <w:tcPr>
            <w:tcW w:type="dxa" w:w="1440"/>
            <w:shd w:fill="C6EFCE" w:val="clear"/>
          </w:tcPr>
          <w:p>
            <w:r>
              <w:rPr>
                <w:sz w:val="17"/>
              </w:rPr>
              <w:t>J+8  Moyenne</w:t>
            </w:r>
          </w:p>
        </w:tc>
        <w:tc>
          <w:tcPr>
            <w:tcW w:type="dxa" w:w="1440"/>
            <w:shd w:fill="C6EFCE" w:val="clear"/>
          </w:tcPr>
          <w:p>
            <w:r>
              <w:rPr>
                <w:sz w:val="17"/>
              </w:rPr>
              <w:t>2026-10-20</w:t>
            </w:r>
          </w:p>
        </w:tc>
        <w:tc>
          <w:tcPr>
            <w:tcW w:type="dxa" w:w="1440"/>
            <w:shd w:fill="C6EFCE" w:val="clear"/>
          </w:tcPr>
          <w:p>
            <w:r>
              <w:rPr>
                <w:sz w:val="17"/>
              </w:rPr>
              <w:t>37,112</w:t>
            </w:r>
          </w:p>
        </w:tc>
        <w:tc>
          <w:tcPr>
            <w:tcW w:type="dxa" w:w="1440"/>
            <w:shd w:fill="C6EFCE" w:val="clear"/>
          </w:tcPr>
          <w:p>
            <w:r>
              <w:rPr>
                <w:b/>
                <w:sz w:val="17"/>
              </w:rPr>
              <w:t>38,612</w:t>
            </w:r>
          </w:p>
        </w:tc>
        <w:tc>
          <w:tcPr>
            <w:tcW w:type="dxa" w:w="1440"/>
            <w:shd w:fill="C6EFCE" w:val="clear"/>
          </w:tcPr>
          <w:p>
            <w:r>
              <w:rPr>
                <w:sz w:val="17"/>
              </w:rPr>
              <w:t>40,112</w:t>
            </w:r>
          </w:p>
        </w:tc>
        <w:tc>
          <w:tcPr>
            <w:tcW w:type="dxa" w:w="1440"/>
            <w:shd w:fill="C6EFCE" w:val="clear"/>
          </w:tcPr>
          <w:p>
            <w:r>
              <w:rPr>
                <w:b/>
                <w:color w:val="008000"/>
                <w:sz w:val="17"/>
              </w:rPr>
              <w:t>+4.1%</w:t>
            </w:r>
          </w:p>
        </w:tc>
      </w:tr>
      <w:tr>
        <w:tc>
          <w:tcPr>
            <w:tcW w:type="dxa" w:w="1440"/>
            <w:shd w:fill="C6EFCE" w:val="clear"/>
          </w:tcPr>
          <w:p>
            <w:r>
              <w:rPr>
                <w:sz w:val="17"/>
              </w:rPr>
              <w:t>J+9  Moyenne</w:t>
            </w:r>
          </w:p>
        </w:tc>
        <w:tc>
          <w:tcPr>
            <w:tcW w:type="dxa" w:w="1440"/>
            <w:shd w:fill="C6EFCE" w:val="clear"/>
          </w:tcPr>
          <w:p>
            <w:r>
              <w:rPr>
                <w:sz w:val="17"/>
              </w:rPr>
              <w:t>2026-10-21</w:t>
            </w:r>
          </w:p>
        </w:tc>
        <w:tc>
          <w:tcPr>
            <w:tcW w:type="dxa" w:w="1440"/>
            <w:shd w:fill="C6EFCE" w:val="clear"/>
          </w:tcPr>
          <w:p>
            <w:r>
              <w:rPr>
                <w:sz w:val="17"/>
              </w:rPr>
              <w:t>37,158</w:t>
            </w:r>
          </w:p>
        </w:tc>
        <w:tc>
          <w:tcPr>
            <w:tcW w:type="dxa" w:w="1440"/>
            <w:shd w:fill="C6EFCE" w:val="clear"/>
          </w:tcPr>
          <w:p>
            <w:r>
              <w:rPr>
                <w:b/>
                <w:sz w:val="17"/>
              </w:rPr>
              <w:t>38,754</w:t>
            </w:r>
          </w:p>
        </w:tc>
        <w:tc>
          <w:tcPr>
            <w:tcW w:type="dxa" w:w="1440"/>
            <w:shd w:fill="C6EFCE" w:val="clear"/>
          </w:tcPr>
          <w:p>
            <w:r>
              <w:rPr>
                <w:sz w:val="17"/>
              </w:rPr>
              <w:t>40,350</w:t>
            </w:r>
          </w:p>
        </w:tc>
        <w:tc>
          <w:tcPr>
            <w:tcW w:type="dxa" w:w="1440"/>
            <w:shd w:fill="C6EFCE" w:val="clear"/>
          </w:tcPr>
          <w:p>
            <w:r>
              <w:rPr>
                <w:b/>
                <w:color w:val="008000"/>
                <w:sz w:val="17"/>
              </w:rPr>
              <w:t>+4.5%</w:t>
            </w:r>
          </w:p>
        </w:tc>
      </w:tr>
      <w:tr>
        <w:tc>
          <w:tcPr>
            <w:tcW w:type="dxa" w:w="1440"/>
            <w:shd w:fill="C6EFCE" w:val="clear"/>
          </w:tcPr>
          <w:p>
            <w:r>
              <w:rPr>
                <w:sz w:val="17"/>
              </w:rPr>
              <w:t>J+10  Moyenne</w:t>
            </w:r>
          </w:p>
        </w:tc>
        <w:tc>
          <w:tcPr>
            <w:tcW w:type="dxa" w:w="1440"/>
            <w:shd w:fill="C6EFCE" w:val="clear"/>
          </w:tcPr>
          <w:p>
            <w:r>
              <w:rPr>
                <w:sz w:val="17"/>
              </w:rPr>
              <w:t>2026-10-22</w:t>
            </w:r>
          </w:p>
        </w:tc>
        <w:tc>
          <w:tcPr>
            <w:tcW w:type="dxa" w:w="1440"/>
            <w:shd w:fill="C6EFCE" w:val="clear"/>
          </w:tcPr>
          <w:p>
            <w:r>
              <w:rPr>
                <w:sz w:val="17"/>
              </w:rPr>
              <w:t>37,204</w:t>
            </w:r>
          </w:p>
        </w:tc>
        <w:tc>
          <w:tcPr>
            <w:tcW w:type="dxa" w:w="1440"/>
            <w:shd w:fill="C6EFCE" w:val="clear"/>
          </w:tcPr>
          <w:p>
            <w:r>
              <w:rPr>
                <w:b/>
                <w:sz w:val="17"/>
              </w:rPr>
              <w:t>38,893</w:t>
            </w:r>
          </w:p>
        </w:tc>
        <w:tc>
          <w:tcPr>
            <w:tcW w:type="dxa" w:w="1440"/>
            <w:shd w:fill="C6EFCE" w:val="clear"/>
          </w:tcPr>
          <w:p>
            <w:r>
              <w:rPr>
                <w:sz w:val="17"/>
              </w:rPr>
              <w:t>40,582</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 RAPPORT D'ANALYSE FINANCIÈRE — SLBC (SOLIBRA)</w:t>
        <w:br/>
        <w:t>**Bourse Régionale des Valeurs Mobilières (BRVM) — Secteur : Biens de consommation / Boissons**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**610,53 milliards FCFA**, SOLIBRA figure parmi les valeurs les plus capitalisées de la BRVM, ce qui témoigne de sa stature de leader régional dans le secteur des boissons. Le **BPA de 2 781 FCFA/action** traduit une rentabilité par titre robuste, et rapporté au cours actuel de 37 090 FCFA, il ressort un **PER de 13,3x**, légèrement supérieur à la moyenne BRVM (~8-12x) mais justifié par la prime de croissance et la qualité des fondamentaux. Le **P/B de 3,13x** indique que le marché valorise l'entreprise à plus de trois fois sa valeur comptable, ce qui traduit une prime de croissance accordée par les investisseurs. Enfin, l'**EV/EBITDA de 7,3x** se situe dans la fourchette raisonnable (5-10x), suggérant que la valeur totale de l'entreprise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affiche une **variation totale de -2,14%**, avec une dernière séance en repli de **-0,83%**, portant le cours actuel à **37 090 FCFA**. Le range de trading s'établit entre un plus haut de **41 500 FCFA** et un plus bas de **36 900 FCFA**, le cours évoluant actuellement à proximité immédiate de son plancher, ce qui traduit une tendance globalement baissière sur la période. Les statistiques descriptives révèlent une **moyenne de 38 262 FCFA** contre une **médiane et un mode à 38 000 FCFA**, un écart modéré qui, combiné à un **skewness positif de 0,809**, indique une asymétrie avec davantage de journées de cotation sous la moyenne — signe d'une pression vendeuse persistante. L'**écart-type de 868 FCFA (CV=2,3%)** témoigne d'une dispersion très faible du cours, et le **kurtosis de 0,713 (mésokurtique)** suggère une distribution proche de la normale, sans risque marqué de pics extrêmes. La **volatilité annualisée de 24,3%** positionne le titre dans la catégorie modérée (15-30%), ce qui reste acceptable pour une valeur de fond de portefeuille.</w:t>
      </w:r>
    </w:p>
    <w:p>
      <w:pPr>
        <w:spacing w:after="120" w:line="276" w:lineRule="auto"/>
      </w:pPr>
      <w:r>
        <w:t>---</w:t>
      </w:r>
    </w:p>
    <w:p>
      <w:pPr>
        <w:spacing w:after="120" w:line="276" w:lineRule="auto"/>
      </w:pPr>
      <w:r>
        <w:t>## PARTIE 2 : ANALYSE TECHNIQUE DÉTAILLÉE</w:t>
      </w:r>
    </w:p>
    <w:p>
      <w:pPr>
        <w:spacing w:after="120" w:line="276" w:lineRule="auto"/>
      </w:pPr>
      <w:r>
        <w:t>**Moyennes Mobiles** : La MM20 (37 744 FCFA) et la MM50 (37 678 FCFA) se situent toutes deux au-dessus du cours actuel (37 090 FCFA), ce qui place le titre en position de faiblesse relative. Toutefois, la MM20 étant légèrement supérieure à la MM50, la configuration reste haussière sur le fond, justifiant la décision **Achat** par anticipation d'un retournement.</w:t>
      </w:r>
    </w:p>
    <w:p>
      <w:pPr>
        <w:spacing w:after="120" w:line="276" w:lineRule="auto"/>
      </w:pPr>
      <w:r>
        <w:t>**Bandes de Bollinger** : Le cours (37 090 FCFA) évolue pratiquement sur la borne inférieure (37 095 FCFA), tandis que la borne supérieure se situe à 38 393 FCFA. Cette position en bas de bande signale une survente technique et un potentiel de rebond, justifiant la décision **Achat**.</w:t>
      </w:r>
    </w:p>
    <w:p>
      <w:pPr>
        <w:spacing w:after="120" w:line="276" w:lineRule="auto"/>
      </w:pPr>
      <w:r>
        <w:t>**MACD** : La valeur du MACD (-160,203) est inférieure à son signal (-91,244), confirmant un momentum baissier à court terme. La divergence négative persistante justifie la décision **Vente** à court terme, en contradiction avec les autres indicateurs.</w:t>
      </w:r>
    </w:p>
    <w:p>
      <w:pPr>
        <w:spacing w:after="120" w:line="276" w:lineRule="auto"/>
      </w:pPr>
      <w:r>
        <w:t>**RSI** : À **28,436**, le RSI se situe en zone de survente (&lt;30), signalant que le titre a été excessivement vendu et qu'un rebond technique est probable. Cette configuration justifie la décision **Achat**.</w:t>
      </w:r>
    </w:p>
    <w:p>
      <w:pPr>
        <w:spacing w:after="120" w:line="276" w:lineRule="auto"/>
      </w:pPr>
      <w:r>
        <w:t>**Stochastique** : Le %K (9,0) est très en dessous du %D (29,667), avec un croisement en zone basse qui préfigure un retournement haussier imminent. La décision **Achat** est cohérente avec cette configuration de survente extrême.</w:t>
      </w:r>
    </w:p>
    <w:p>
      <w:pPr>
        <w:spacing w:after="120" w:line="276" w:lineRule="auto"/>
      </w:pPr>
      <w:r>
        <w:t>**Conclusion technique** : Quatre indicateurs sur cinq (MM, Bollinger, RSI, Stochastique) plaident pour un **Achat**, le MACD étant le seul à signaler une prudence à court terme. La convergence des signaux de survente (RSI à 28,4, Stochastique à 9,0, cours sur la borne basse de Bollinger) suggère un potentiel de rebond technique à court terme, bien que la tendance de fond reste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SOLIBRA a réalisé un **chiffre d'affaires de 378,123 milliards FCFA**, en croissance de **+22,08%** par rapport à 2024, porté par une dynamique commerciale exceptionnelle. Le **résultat net s'établit à 45,781 milliards FCFA**, soit une **marge nette de 12,11%** (contre 6,9% en 2024), tandis que le **ROE atteint 23,46%** (excellent, &gt;15%) et le **ROA 13,48%**, confirmant une rentabilité capitalistique de premier ordre. La structure financière est saine avec une **autonomie financière de 57,48%**, un **ratio d'endettement de 42,52%** et une **capacité de remboursement de 0,67 an** (dette financière/CAF), très confortable. Concernant le besoin en fonds de roulement (BFR), il s'élève à **61,587 milliards FCFA**, avec un **délai clients de 64,27 jours** (risque de trésorerie modéré) et un **délai fournisseurs de 76,82 jours** (favorable à la trésorerie), tandis que la **durée de stockage de 117,32 jours** mérite une surveillance. Les **flux opérationnels de 83,925 milliards FCFA** et le **Free Cash Flow de 60,867 milliards FCFA** témoignent d'une génération de cash robuste.</w:t>
      </w:r>
    </w:p>
    <w:p>
      <w:pPr>
        <w:spacing w:after="120" w:line="276" w:lineRule="auto"/>
      </w:pPr>
      <w:r>
        <w:t>**Estimations basées sur les rapports trimestriels** : Le rapport T1 2026 (publié en 2026) indique un **chiffre d'affaires de 93,46 milliards FCFA (+7,6%)** et un **résultat net de 16,26 milliards FCFA (+4,8%)**, avec une **marge nette de 17,4%**. Sur cette base, on peut estimer que l'exercice 2026 devrait afficher une croissance plus modérée mais toujours solide, avec un CA annualisé estimé autour de **400-410 milliards FCFA** et un résultat net projeté de **50-55 milliards FCFA**. Le rapport S1 2025 (daté du 30/06/2025) confirmait déjà cette dynamique avec un CA de 165,8 milliards FCFA (+12,3%) et un résultat net de 28,0 milliards FCFA (+175,1%). Le rapport annuel 2025 (analysé par DeepSeek en mai 2026) souligne une politique de dividende très généreuse avec un **payout de 76,5%** et un **dividende brut de 2 127 FCFA/action** proposé à l'AGO du 05 juin 2026, offrant un **rendement attractif de 5,7%** au cours actuel.</w:t>
      </w:r>
    </w:p>
    <w:p>
      <w:pPr>
        <w:spacing w:after="120" w:line="276" w:lineRule="auto"/>
      </w:pPr>
      <w:r>
        <w:t>**Recommandation fondamentale** : SOLIBRA présente des fondamentaux exceptionnels avec une croissance à deux chiffres, une rentabilité en forte amélioration et une structure financière solide. Les risques identifiés (dépendance aux matières premières, concentration géographique sur la Côte d'Ivoire, soutenabilité de la croissance) sont réels mais tempérés par la position de leader et la génération de cash-flow. La recommandation fondamentale est **ACHAT**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cohérente. **Sur le plan de la valorisation (Partie 0)**, le PER de 13,3x et l'EV/EBITDA de 7,3x indiquent une valorisation raisonnable, voire légèrement sous-évaluée au regard de la croissance et de la qualité des fondamentaux, bien que le P/B de 3,13x traduise une prime de croissance déjà intégrée. **Le comportement du cours (Partie 1)** montre une tendance baissière récente (-2,14%) avec un cours proche de son plus bas, mais une volatilité modérée (24,3%) et des statistiques (skewness positif, kurtosis normal) qui suggèrent une pression vendeuse temporaire plutôt qu'une dégradation structurelle. **Les signaux techniques (Partie 2)** sont majoritairement haussiers (4 indicateurs sur 5 en Achat), avec une convergence de signaux de survente (RSI à 28,4, Stochastique à 9,0) qui plaide pour un rebond imminent, malgré la divergence du MACD. **Les fondamentaux (Partie 3)** sont exceptionnels : croissance du CA de +22% en 2025, résultat net de 45,78 milliards FCFA, ROE de 23,46%, et perspectives 2026 estimées à 400-410 milliards FCFA de CA. **Les prédictions IA (J+1 à J+10)** anticipent une trajectoire haussière progressive de 37 571 FCFA à 38 162 FCFA, confirmant le scénario de rebond technique.</w:t>
      </w:r>
    </w:p>
    <w:p>
      <w:pPr>
        <w:spacing w:after="120" w:line="276" w:lineRule="auto"/>
      </w:pPr>
      <w:r>
        <w:t>**Recommandation finale : ACHAT**</w:t>
        <w:br/>
        <w:t>La convergence entre une valorisation raisonnable, des signaux techniques de survente, des fondamentaux exceptionnels et des prédictions IA haussières justifie une recommandation d'**ACHAT**. Le niveau de confiance est **Élevé** pour les investisseurs de long terme, **Moyen** pour les investisseurs à court terme en raison de la divergence du MACD. Le niveau de risque global est **Moyen**, pondéré par la dépendance aux matières premières et la concentration géographique. L'horizon d'investissement optimal est le **moyen à long terme (6 mois à 2 ans)**, afin de bénéficier à la fois du rebond technique attendu et de la poursuite de la croissance fondamentale, avec un rendement dividende attractif de 5,7%.</w:t>
      </w:r>
    </w:p>
    <w:p>
      <w:pPr>
        <w:spacing w:after="120" w:line="276" w:lineRule="auto"/>
      </w:pPr>
      <w:r>
        <w: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1,656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007800"/>
                <w:sz w:val="17"/>
              </w:rPr>
              <w:t>+23.30%</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8.93% (Moyenne) — μ=16,099 FCFA, σ=1,438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β=0.3500 (Défensif) — Cov=0.000026, Var(idx)=0.000074,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15,301</w:t>
            </w:r>
          </w:p>
        </w:tc>
        <w:tc>
          <w:tcPr>
            <w:tcW w:type="dxa" w:w="1440"/>
            <w:shd w:fill="FAFAFA" w:val="clear"/>
          </w:tcPr>
          <w:p>
            <w:r>
              <w:rPr>
                <w:b/>
                <w:sz w:val="17"/>
              </w:rPr>
              <w:t>16,103</w:t>
            </w:r>
          </w:p>
        </w:tc>
        <w:tc>
          <w:tcPr>
            <w:tcW w:type="dxa" w:w="1440"/>
            <w:shd w:fill="FAFAFA" w:val="clear"/>
          </w:tcPr>
          <w:p>
            <w:r>
              <w:rPr>
                <w:sz w:val="17"/>
              </w:rPr>
              <w:t>16,906</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14,919</w:t>
            </w:r>
          </w:p>
        </w:tc>
        <w:tc>
          <w:tcPr>
            <w:tcW w:type="dxa" w:w="1440"/>
            <w:shd w:fill="FAFAFA" w:val="clear"/>
          </w:tcPr>
          <w:p>
            <w:r>
              <w:rPr>
                <w:b/>
                <w:sz w:val="17"/>
              </w:rPr>
              <w:t>16,050</w:t>
            </w:r>
          </w:p>
        </w:tc>
        <w:tc>
          <w:tcPr>
            <w:tcW w:type="dxa" w:w="1440"/>
            <w:shd w:fill="FAFAFA" w:val="clear"/>
          </w:tcPr>
          <w:p>
            <w:r>
              <w:rPr>
                <w:sz w:val="17"/>
              </w:rPr>
              <w:t>17,182</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14,641</w:t>
            </w:r>
          </w:p>
        </w:tc>
        <w:tc>
          <w:tcPr>
            <w:tcW w:type="dxa" w:w="1440"/>
            <w:shd w:fill="FAFAFA" w:val="clear"/>
          </w:tcPr>
          <w:p>
            <w:r>
              <w:rPr>
                <w:b/>
                <w:sz w:val="17"/>
              </w:rPr>
              <w:t>16,024</w:t>
            </w:r>
          </w:p>
        </w:tc>
        <w:tc>
          <w:tcPr>
            <w:tcW w:type="dxa" w:w="1440"/>
            <w:shd w:fill="FAFAFA" w:val="clear"/>
          </w:tcPr>
          <w:p>
            <w:r>
              <w:rPr>
                <w:sz w:val="17"/>
              </w:rPr>
              <w:t>17,407</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14,400</w:t>
            </w:r>
          </w:p>
        </w:tc>
        <w:tc>
          <w:tcPr>
            <w:tcW w:type="dxa" w:w="1440"/>
            <w:shd w:fill="FAFAFA" w:val="clear"/>
          </w:tcPr>
          <w:p>
            <w:r>
              <w:rPr>
                <w:b/>
                <w:sz w:val="17"/>
              </w:rPr>
              <w:t>15,995</w:t>
            </w:r>
          </w:p>
        </w:tc>
        <w:tc>
          <w:tcPr>
            <w:tcW w:type="dxa" w:w="1440"/>
            <w:shd w:fill="FAFAFA" w:val="clear"/>
          </w:tcPr>
          <w:p>
            <w:r>
              <w:rPr>
                <w:sz w:val="17"/>
              </w:rPr>
              <w:t>17,589</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14,185</w:t>
            </w:r>
          </w:p>
        </w:tc>
        <w:tc>
          <w:tcPr>
            <w:tcW w:type="dxa" w:w="1440"/>
            <w:shd w:fill="FAFAFA" w:val="clear"/>
          </w:tcPr>
          <w:p>
            <w:r>
              <w:rPr>
                <w:b/>
                <w:sz w:val="17"/>
              </w:rPr>
              <w:t>15,964</w:t>
            </w:r>
          </w:p>
        </w:tc>
        <w:tc>
          <w:tcPr>
            <w:tcW w:type="dxa" w:w="1440"/>
            <w:shd w:fill="FAFAFA" w:val="clear"/>
          </w:tcPr>
          <w:p>
            <w:r>
              <w:rPr>
                <w:sz w:val="17"/>
              </w:rPr>
              <w:t>17,743</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13,988</w:t>
            </w:r>
          </w:p>
        </w:tc>
        <w:tc>
          <w:tcPr>
            <w:tcW w:type="dxa" w:w="1440"/>
            <w:shd w:fill="FAFAFA" w:val="clear"/>
          </w:tcPr>
          <w:p>
            <w:r>
              <w:rPr>
                <w:b/>
                <w:sz w:val="17"/>
              </w:rPr>
              <w:t>15,933</w:t>
            </w:r>
          </w:p>
        </w:tc>
        <w:tc>
          <w:tcPr>
            <w:tcW w:type="dxa" w:w="1440"/>
            <w:shd w:fill="FAFAFA" w:val="clear"/>
          </w:tcPr>
          <w:p>
            <w:r>
              <w:rPr>
                <w:sz w:val="17"/>
              </w:rPr>
              <w:t>17,878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13,805</w:t>
            </w:r>
          </w:p>
        </w:tc>
        <w:tc>
          <w:tcPr>
            <w:tcW w:type="dxa" w:w="1440"/>
            <w:shd w:fill="FAFAFA" w:val="clear"/>
          </w:tcPr>
          <w:p>
            <w:r>
              <w:rPr>
                <w:b/>
                <w:sz w:val="17"/>
              </w:rPr>
              <w:t>15,902</w:t>
            </w:r>
          </w:p>
        </w:tc>
        <w:tc>
          <w:tcPr>
            <w:tcW w:type="dxa" w:w="1440"/>
            <w:shd w:fill="FAFAFA" w:val="clear"/>
          </w:tcPr>
          <w:p>
            <w:r>
              <w:rPr>
                <w:sz w:val="17"/>
              </w:rPr>
              <w:t>17,999</w:t>
            </w:r>
          </w:p>
        </w:tc>
        <w:tc>
          <w:tcPr>
            <w:tcW w:type="dxa" w:w="1440"/>
            <w:shd w:fill="FAFAFA" w:val="clear"/>
          </w:tcPr>
          <w:p>
            <w:r>
              <w:rPr>
                <w:b/>
                <w:color w:val="008000"/>
                <w:sz w:val="17"/>
              </w:rPr>
              <w:t>+0.0%</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13,634</w:t>
            </w:r>
          </w:p>
        </w:tc>
        <w:tc>
          <w:tcPr>
            <w:tcW w:type="dxa" w:w="1440"/>
            <w:shd w:fill="FAFAFA" w:val="clear"/>
          </w:tcPr>
          <w:p>
            <w:r>
              <w:rPr>
                <w:b/>
                <w:sz w:val="17"/>
              </w:rPr>
              <w:t>15,872</w:t>
            </w:r>
          </w:p>
        </w:tc>
        <w:tc>
          <w:tcPr>
            <w:tcW w:type="dxa" w:w="1440"/>
            <w:shd w:fill="FAFAFA" w:val="clear"/>
          </w:tcPr>
          <w:p>
            <w:r>
              <w:rPr>
                <w:sz w:val="17"/>
              </w:rPr>
              <w:t>18,110</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13,473</w:t>
            </w:r>
          </w:p>
        </w:tc>
        <w:tc>
          <w:tcPr>
            <w:tcW w:type="dxa" w:w="1440"/>
            <w:shd w:fill="FAFAFA" w:val="clear"/>
          </w:tcPr>
          <w:p>
            <w:r>
              <w:rPr>
                <w:b/>
                <w:sz w:val="17"/>
              </w:rPr>
              <w:t>15,842</w:t>
            </w:r>
          </w:p>
        </w:tc>
        <w:tc>
          <w:tcPr>
            <w:tcW w:type="dxa" w:w="1440"/>
            <w:shd w:fill="FAFAFA" w:val="clear"/>
          </w:tcPr>
          <w:p>
            <w:r>
              <w:rPr>
                <w:sz w:val="17"/>
              </w:rPr>
              <w:t>18,211</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13,320</w:t>
            </w:r>
          </w:p>
        </w:tc>
        <w:tc>
          <w:tcPr>
            <w:tcW w:type="dxa" w:w="1440"/>
            <w:shd w:fill="FAFAFA" w:val="clear"/>
          </w:tcPr>
          <w:p>
            <w:r>
              <w:rPr>
                <w:b/>
                <w:sz w:val="17"/>
              </w:rPr>
              <w:t>15,812</w:t>
            </w:r>
          </w:p>
        </w:tc>
        <w:tc>
          <w:tcPr>
            <w:tcW w:type="dxa" w:w="1440"/>
            <w:shd w:fill="FAFAFA" w:val="clear"/>
          </w:tcPr>
          <w:p>
            <w:r>
              <w:rPr>
                <w:sz w:val="17"/>
              </w:rPr>
              <w:t>18,304</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123,94 milliards FCFA, SMBC se positionne comme une valeur de taille intermédiaire sur la BRVM, représentant un poids notable dans l'indice composite. Le BPA de 1 677 FCFA/action signifie que chaque titre génère près de 1 677 FCFA de bénéfice net, ce qui, rapporté au cours actuel de 15 900 FCFA, donne un PER de 9,5x — un niveau modéré, légèrement inférieur à la moyenne BRVM (8-12x), suggérant une valorisation raisonnable voire légèrement sous-évaluée au regard des bénéfices. Le P/B de 2,89x indique que le marché valorise l'entreprise à près de trois fois sa valeur comptable (capitaux propres de 42,9 Mds FCFA), traduisant une prime de croissance et de rentabilité (ROE de 30,5%) bien méritée. Enfin, l'EV/EBITDA de 5,9x, dans la fourchette raisonnable de 5-10x, montre que la valeur d'entreprise (incluant la dette nette) reste contenue par rapport à la capacité opérationnelle de génération de cash (EBE de 18,5 Mds FCFA), ce qui est rassurant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**+23,30%**, bien que la dernière séance (J-1) ait enregistré un repli de **-3,64%**, signalant une prise de bénéfices après un rallye soutenu. Le titre a évolué dans un range large de 12 500 FCFA (plus bas) à 18 500 FCFA (plus haut), avec un cours actuel de 15 900 FCFA qui se situe dans la partie médiane-haute de cette fourchette, à environ 27% au-dessus du plancher et 14% sous le sommet. La tendance générale demeure haussière sur la période, portée par l'amélioration spectaculaire des fondamentaux (résultat net +50,3% en 2025). Les statistiques descriptives révèlent une **moyenne de 16 099 FCFA** légèrement inférieure à la **médiane de 16 445 FCFA**, avec un mode à 16 500 FCFA — cet écart modeste indique une distribution quasi-symétrique mais avec une légère prédominance des journées au-dessus de la moyenne, confirmée par le **skewness négatif de -0,968** (asymétrie à gauche). L'**écart-type de 1 445 FCFA** et le **CV de 9,0%** traduisent une dispersion modérée du cours autour de sa tendance, tandis que le **kurtosis de 0,345** (mésokurtique) suggère une distribution proche de la normale, sans risque excessif de pics extrêmes. La **volatilité annualisée de 42,5%**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(16 710,25 FCFA) et la MM50 (16 697,50 FCFA) sont quasi confondues et toutes deux supérieures au cours actuel (15 900 FCFA), ce qui place le titre en position de faiblesse relative à court terme. Cependant, la décision technique affichée est **Achat**, probablement justifiée par la convergence des deux moyennes (signal de stabilisation) et par le fait que le cours reste au-dessus des plus bas récents, suggérant un support dynamique en formation.</w:t>
      </w:r>
    </w:p>
    <w:p>
      <w:pPr>
        <w:spacing w:after="120" w:line="276" w:lineRule="auto"/>
      </w:pPr>
      <w:r>
        <w:t>**Bandes de Bollinger** : Le cours (15 900 FCFA) se situe dans la moitié inférieure de la bande, entre la borne inférieure (14 484,10 FCFA) et la borne supérieure (18 936,40 FCFA), ce qui traduit une pression baissière modérée mais sans rupture. La largeur des bandes (environ 4 452 FCFA) confirme une volatilité élevée, et la décision **Neutre** reflète l'absence de signal directionnel clair — le titre n'est ni en surachat ni en survente selon ce critère.</w:t>
      </w:r>
    </w:p>
    <w:p>
      <w:pPr>
        <w:spacing w:after="120" w:line="276" w:lineRule="auto"/>
      </w:pPr>
      <w:r>
        <w:t>**MACD** : La valeur du MACD (-226,80) est inférieure à son signal (-200,02), avec un histogramme négatif, ce qui confirme un momentum baissier à court terme. La décision **Vente** est cohérente avec cette configuration, bien que l'écart entre les deux lignes reste modéré, n'excluant pas un retournement rapide si le cours se stabilise.</w:t>
      </w:r>
    </w:p>
    <w:p>
      <w:pPr>
        <w:spacing w:after="120" w:line="276" w:lineRule="auto"/>
      </w:pPr>
      <w:r>
        <w:t>**RSI** : À 41,97, le RSI se situe dans la zone neutre (30-70), plus proche de la survente que du surachat, sans signal extrême. La décision **Neutre** est appropriée : le titre n'est ni survendu (ce qui aurait pu justifier un achat technique) ni suracheté (ce qui aurait justifié une vente).</w:t>
      </w:r>
    </w:p>
    <w:p>
      <w:pPr>
        <w:spacing w:after="120" w:line="276" w:lineRule="auto"/>
      </w:pPr>
      <w:r>
        <w:t>**Stochastique** : Le %K (51,97) est légèrement inférieur au %D (57,81), avec un croisement récent à la baisse, ce qui est un signal baissier de court terme. Cependant, les deux valeurs restent dans la zone médiane, et la décision **Neutre** suggère que ce signal n'est pas encore confirmé par une tendance forte.</w:t>
      </w:r>
    </w:p>
    <w:p>
      <w:pPr>
        <w:spacing w:after="120" w:line="276" w:lineRule="auto"/>
      </w:pPr>
      <w:r>
        <w:t>**Conclusion technique** : Les indicateurs techniques sont majoritairement neutres à baissiers à court terme (MACD en vente, stochastique baissier, cours sous les moyennes mobiles), mais le RSI et les Bandes de Bollinger n'indiquent pas de survente extrême. La convergence des MM20 et MM50 et la décision "Achat" sur les moyennes mobiles suggèrent que le titre pourrait trouver un support autour de 15 500-15 900 FCFA. Une cassure sous 14 484 FCFA (borne inférieure de Bollinger) serait un signal de vente technique, tandis qu'un retour au-dessus de 16 700 FCFA (MM20/MM50) confirmerait la reprise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 réalisé un chiffre d'affaires de **206,74 milliards FCFA**, en baisse de **-9,74%** par rapport à 2024 (229,06 Mds FCFA), reflétant un environnement de marché difficile (baisse des volumes et des prix du bitume). Malgré cette contraction, le **résultat net a bondi de +50,3% à 13,075 milliards FCFA**, grâce à une amélioration spectaculaire de la rentabilité opérationnelle : l'EBE a progressé de **+41,8% à 18,48 Mds FCFA**, et la marge nette est passée de 3,8% à **6,32%**. Le **ROE atteint 30,47%** (excellent, &gt;15%) et le **ROA 7,26%**, confirmant une excellente rentabilité des fonds propres et une utilisation efficace des actifs. La structure financière reste solide avec des **capitaux propres de 42,91 Mds FCFA** (+21,6%), une **trésorerie nette positive de 23,99 Mds FCFA** (contre 6,07 Mds en 2024), et un **ratio d'endettement de 76,16%** (dettes totales/capitaux propres) qui, bien qu'élevé, est compensé par une **capacité de remboursement de 0,68 an** (dettes financières/CAF) et une **couverture des intérêts de 483%**. En tant qu'entreprise industrielle, les délais d'exploitation sont à surveiller : le **délai clients de 193,75 jours** est élevé (risque de trésorerie), mais le **délai fournisseurs de 207,07 jours** (supérieur au délai clients) joue en faveur de l'entreprise, et le **BFR de 1,693 Md FCFA** reste contenu. La **rotation des actifs de 114,85%** indique une bonne efficacité dans l'utilisation des actifs pour générer du chiffre d'affaires.</w:t>
      </w:r>
    </w:p>
    <w:p>
      <w:pPr>
        <w:spacing w:after="120" w:line="276" w:lineRule="auto"/>
      </w:pPr>
      <w:r>
        <w:t>**Estimations basées sur les rapports trimestriels** : Les rapports T1 2025 (CA -22%, résultat net -7%), S1 2025 (CA -23%, résultat net -7%) et 9M 2025 (CA -14%, résultat net +6%) montrent une **amélioration progressive de la rentabilité** au fil de l'année, avec une marge opérationnelle passant de 4,0% (9M 2024) à 5,4% (9M 2025). Le rapport annuel 2025 (publié en 2026) confirme cette tendance avec un résultat net de 13,1 Mds FCFA (+50,3%). **On estime que l'exercice 2026 devrait bénéficier de la poursuite de la demande locale (chantiers routiers) et d'un redressement des exportations (Nigeria, Ghana, Burkina Faso, Mali)**, mais la volatilité des prix du pétrole et les aléas climatiques (fortes pluies) restent des risques. La politique de dividende, avec un payout ratio de 41,7% (5 457 M FCFA versés en 2025), semble prudente et soutenable, contrairement à 2024 où le taux de distribution était de 107,5%.</w:t>
      </w:r>
    </w:p>
    <w:p>
      <w:pPr>
        <w:spacing w:after="120" w:line="276" w:lineRule="auto"/>
      </w:pPr>
      <w:r>
        <w:t>**Recommandation fondamentale** : SMBC présente une **solidité financière remarquable** (ROE 30,5%, trésorerie nette positive, endettement maîtrisé) et une **capacité à améliorer ses marges malgré un CA en baisse**. Les risques principaux sont la dépendance aux cycles économiques et aux prix des matières premières, ainsi que le délai clients élevé. La recommandation fondamentale est **CONSERVER avec un biais haussier**, en attendant la confirmation d'une reprise du chiffre d'affaires en 2026.</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**attractive** avec un PER de 9,5x (sous la moyenne BRVM), un P/B de 2,89x justifié par un ROE de 30,5%, et un EV/EBITDA de 5,9x raisonnable. Le comportement du cours (Partie 1) est **haussier sur 100 jours (+23,3%)** mais avec une correction récente (-3,64% en J-1) et une volatilité élevée (42,5%), ce qui appelle à la prudence à court terme. Les signaux techniques (Partie 2) sont **mitigés** : MACD en vente et stochastique baissier, mais RSI neutre et décision "Achat" sur les moyennes mobiles, suggérant un possible support autour de 15 500-15 900 FCFA. Les fondamentaux (Partie 3) sont **excellents** : résultat net +50,3% en 2025, ROE de 30,5%, trésorerie nette de 24 Mds FCFA, et une amélioration continue des marges. Les **prédictions IA (J+1 à J+10)** anticipent une légère baisse de 16 103 FCFA à 15 964 FCFA, confirmant la pression baissière de court terme mais sans effondrement.</w:t>
      </w:r>
    </w:p>
    <w:p>
      <w:pPr>
        <w:spacing w:after="120" w:line="276" w:lineRule="auto"/>
      </w:pPr>
      <w:r>
        <w:t>**Recommandation finale** : **CONSERVER** (avec un biais haussier pour les investisseurs déjà positionnés). La convergence entre une valorisation attractive, des fondamentaux solides et des signaux techniques mitigés plaide pour une **stabilisation du cours** avant une reprise. Les prédictions IA, qui montrent une baisse modérée, ne contredisent pas cette vision : elles suggèrent une consolidation avant un éventuel rebond. **Niveau de confiance : Moyen** (les fondamentaux sont solides mais l'environnement de marché reste incertain). **Niveau de risque global : Moyen** (volatilité élevée mais bilan sain). **Horizon d'investissement optimal : Moyen terme (3-12 mois)**, en attendant la confirmation d'une reprise du chiffre d'affaires et la publication des résultats 2026. Un passage à **ACHAT** serait justifié si le cours casse au-dessus de 16 700 FCFA (MM20/MM50) avec des volumes, ou si les prochains rapports trimestriels confirment une reprise durable de l'activité.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13,425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+55.64%</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15.80% (Élevée) — μ=33,402 FCFA, σ=5,276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β=1.2096 (Agressif) — Cov=0.000089, Var(idx)=0.000074, ρ=0.491,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13,425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43,086</w:t>
            </w:r>
          </w:p>
        </w:tc>
        <w:tc>
          <w:tcPr>
            <w:tcW w:type="dxa" w:w="1440"/>
            <w:shd w:fill="FAFAFA" w:val="clear"/>
          </w:tcPr>
          <w:p>
            <w:r>
              <w:rPr>
                <w:b/>
                <w:sz w:val="17"/>
              </w:rPr>
              <w:t>44,443</w:t>
            </w:r>
          </w:p>
        </w:tc>
        <w:tc>
          <w:tcPr>
            <w:tcW w:type="dxa" w:w="1440"/>
            <w:shd w:fill="FAFAFA" w:val="clear"/>
          </w:tcPr>
          <w:p>
            <w:r>
              <w:rPr>
                <w:sz w:val="17"/>
              </w:rPr>
              <w:t>45,800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42,515</w:t>
            </w:r>
          </w:p>
        </w:tc>
        <w:tc>
          <w:tcPr>
            <w:tcW w:type="dxa" w:w="1440"/>
            <w:shd w:fill="FAFAFA" w:val="clear"/>
          </w:tcPr>
          <w:p>
            <w:r>
              <w:rPr>
                <w:b/>
                <w:sz w:val="17"/>
              </w:rPr>
              <w:t>44,433</w:t>
            </w:r>
          </w:p>
        </w:tc>
        <w:tc>
          <w:tcPr>
            <w:tcW w:type="dxa" w:w="1440"/>
            <w:shd w:fill="FAFAFA" w:val="clear"/>
          </w:tcPr>
          <w:p>
            <w:r>
              <w:rPr>
                <w:sz w:val="17"/>
              </w:rPr>
              <w:t>46,352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42,052</w:t>
            </w:r>
          </w:p>
        </w:tc>
        <w:tc>
          <w:tcPr>
            <w:tcW w:type="dxa" w:w="1440"/>
            <w:shd w:fill="FAFAFA" w:val="clear"/>
          </w:tcPr>
          <w:p>
            <w:r>
              <w:rPr>
                <w:b/>
                <w:sz w:val="17"/>
              </w:rPr>
              <w:t>44,400</w:t>
            </w:r>
          </w:p>
        </w:tc>
        <w:tc>
          <w:tcPr>
            <w:tcW w:type="dxa" w:w="1440"/>
            <w:shd w:fill="FAFAFA" w:val="clear"/>
          </w:tcPr>
          <w:p>
            <w:r>
              <w:rPr>
                <w:sz w:val="17"/>
              </w:rPr>
              <w:t>46,747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41,670</w:t>
            </w:r>
          </w:p>
        </w:tc>
        <w:tc>
          <w:tcPr>
            <w:tcW w:type="dxa" w:w="1440"/>
            <w:shd w:fill="FAFAFA" w:val="clear"/>
          </w:tcPr>
          <w:p>
            <w:r>
              <w:rPr>
                <w:b/>
                <w:sz w:val="17"/>
              </w:rPr>
              <w:t>44,379</w:t>
            </w:r>
          </w:p>
        </w:tc>
        <w:tc>
          <w:tcPr>
            <w:tcW w:type="dxa" w:w="1440"/>
            <w:shd w:fill="FAFAFA" w:val="clear"/>
          </w:tcPr>
          <w:p>
            <w:r>
              <w:rPr>
                <w:sz w:val="17"/>
              </w:rPr>
              <w:t>47,089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41,341</w:t>
            </w:r>
          </w:p>
        </w:tc>
        <w:tc>
          <w:tcPr>
            <w:tcW w:type="dxa" w:w="1440"/>
            <w:shd w:fill="FAFAFA" w:val="clear"/>
          </w:tcPr>
          <w:p>
            <w:r>
              <w:rPr>
                <w:b/>
                <w:sz w:val="17"/>
              </w:rPr>
              <w:t>44,369</w:t>
            </w:r>
          </w:p>
        </w:tc>
        <w:tc>
          <w:tcPr>
            <w:tcW w:type="dxa" w:w="1440"/>
            <w:shd w:fill="FAFAFA" w:val="clear"/>
          </w:tcPr>
          <w:p>
            <w:r>
              <w:rPr>
                <w:sz w:val="17"/>
              </w:rPr>
              <w:t>47,398</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41,047</w:t>
            </w:r>
          </w:p>
        </w:tc>
        <w:tc>
          <w:tcPr>
            <w:tcW w:type="dxa" w:w="1440"/>
            <w:shd w:fill="FAFAFA" w:val="clear"/>
          </w:tcPr>
          <w:p>
            <w:r>
              <w:rPr>
                <w:b/>
                <w:sz w:val="17"/>
              </w:rPr>
              <w:t>44,364</w:t>
            </w:r>
          </w:p>
        </w:tc>
        <w:tc>
          <w:tcPr>
            <w:tcW w:type="dxa" w:w="1440"/>
            <w:shd w:fill="FAFAFA" w:val="clear"/>
          </w:tcPr>
          <w:p>
            <w:r>
              <w:rPr>
                <w:sz w:val="17"/>
              </w:rPr>
              <w:t>47,681</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40,778</w:t>
            </w:r>
          </w:p>
        </w:tc>
        <w:tc>
          <w:tcPr>
            <w:tcW w:type="dxa" w:w="1440"/>
            <w:shd w:fill="FAFAFA" w:val="clear"/>
          </w:tcPr>
          <w:p>
            <w:r>
              <w:rPr>
                <w:b/>
                <w:sz w:val="17"/>
              </w:rPr>
              <w:t>44,361</w:t>
            </w:r>
          </w:p>
        </w:tc>
        <w:tc>
          <w:tcPr>
            <w:tcW w:type="dxa" w:w="1440"/>
            <w:shd w:fill="FAFAFA" w:val="clear"/>
          </w:tcPr>
          <w:p>
            <w:r>
              <w:rPr>
                <w:sz w:val="17"/>
              </w:rPr>
              <w:t>47,943</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40,527</w:t>
            </w:r>
          </w:p>
        </w:tc>
        <w:tc>
          <w:tcPr>
            <w:tcW w:type="dxa" w:w="1440"/>
            <w:shd w:fill="FAFAFA" w:val="clear"/>
          </w:tcPr>
          <w:p>
            <w:r>
              <w:rPr>
                <w:b/>
                <w:sz w:val="17"/>
              </w:rPr>
              <w:t>44,357</w:t>
            </w:r>
          </w:p>
        </w:tc>
        <w:tc>
          <w:tcPr>
            <w:tcW w:type="dxa" w:w="1440"/>
            <w:shd w:fill="FAFAFA" w:val="clear"/>
          </w:tcPr>
          <w:p>
            <w:r>
              <w:rPr>
                <w:sz w:val="17"/>
              </w:rPr>
              <w:t>48,187</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40,293</w:t>
            </w:r>
          </w:p>
        </w:tc>
        <w:tc>
          <w:tcPr>
            <w:tcW w:type="dxa" w:w="1440"/>
            <w:shd w:fill="FAFAFA" w:val="clear"/>
          </w:tcPr>
          <w:p>
            <w:r>
              <w:rPr>
                <w:b/>
                <w:sz w:val="17"/>
              </w:rPr>
              <w:t>44,355</w:t>
            </w:r>
          </w:p>
        </w:tc>
        <w:tc>
          <w:tcPr>
            <w:tcW w:type="dxa" w:w="1440"/>
            <w:shd w:fill="FAFAFA" w:val="clear"/>
          </w:tcPr>
          <w:p>
            <w:r>
              <w:rPr>
                <w:sz w:val="17"/>
              </w:rPr>
              <w:t>48,417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40,071</w:t>
            </w:r>
          </w:p>
        </w:tc>
        <w:tc>
          <w:tcPr>
            <w:tcW w:type="dxa" w:w="1440"/>
            <w:shd w:fill="FAFAFA" w:val="clear"/>
          </w:tcPr>
          <w:p>
            <w:r>
              <w:rPr>
                <w:b/>
                <w:sz w:val="17"/>
              </w:rPr>
              <w:t>44,352</w:t>
            </w:r>
          </w:p>
        </w:tc>
        <w:tc>
          <w:tcPr>
            <w:tcW w:type="dxa" w:w="1440"/>
            <w:shd w:fill="FAFAFA" w:val="clear"/>
          </w:tcPr>
          <w:p>
            <w:r>
              <w:rPr>
                <w:sz w:val="17"/>
              </w:rPr>
              <w:t>48,634</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4 498 milliards FCFA, Sonatel demeure l'une des toutes premières capitalisations de la BRVM, ce qui en fait un pilier de l'indice composite et un titre de référence pour les investisseurs institutionnels régionaux. Le BPA de 4 136 FCFA par action signifie que chaque titre génère près de 4 136 FCFA de bénéfice net, un niveau exceptionnellement élevé qui traduit la forte rentabilité du groupe télécom. Le PER de 10,9x se situe dans la fourchette moyenne du marché BRVM (8-12x), indiquant que les investisseurs ne paient ni une prime excessive ni une décote marquée par rapport aux bénéfices, ce qui suggère une valorisation raisonnable malgré la récente flambée du cours. Le P/B de 3,21x montre que le marché valorise Sonatel à plus de trois fois sa valeur comptable, une prime de croissance justifiée par la qualité des actifs et la solidité des cash-flows. Enfin, l'EV/EBITDA de 4,7x, inférieur au seuil de 5x, signale que la valeur d'entreprise rapportée à la capacité opérationnelle de génération de cash est très bon marché, offrant une marge de sécurité appréciable pour un investisseur de long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+55,64%, portant le cours à 44 980 FCFA, tandis que la dernière séance (J-1) est restée stable à +0,00%, signe d'une pause dans le mouvement haussier. Le range de trading est particulièrement large, avec un plus haut à 45 000 FCFA et un plus bas à 27 160 FCFA, soit un écart de près de 66% entre les deux extrêmes, ce qui témoigne d'une tendance nettement haussière sur la période. La moyenne du cours s'établit à 33 402 FCFA contre une médiane de 31 498 FCFA, un écart positif qui confirme une distribution asymétrique avec des cours récents nettement supérieurs à la moyenne historique. L'écart-type de 5 303 FCFA (CV de 15,9%) indique une dispersion modérée du cours autour de sa moyenne, tandis que le kurtosis de -0,559 (mésokurtique) suggère une distribution proche de la normale, sans risque excessif de pics extrêmes. Le skewness de 0,865, positif, révèle une asymétrie à droite avec davantage de journées sous la moyenne, ce qui signifie que la récente envolée est portée par un nombre limité de séances fortement haussières. La volatilité annualisée de 33,3% classe le titre dans la catégorie des valeurs à volatilité élevée (&gt;30%), ce qui implique un risque de correction significatif après un tel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42 115,25 FCFA et la MM50 à 37 354,7 FCFA se situent toutes deux nettement en dessous du cours actuel de 44 980 FCFA, confirmant une configuration haussière robuste avec un cours au-dessus de ses moyennes. L'écart entre la MM20 et la MM50 (environ 4 760 FCFA) indique une dynamique positive soutenue, et la décision technique affichée est logiquement "Achat" tant que le cours reste au-dessus de ces supports mobiles.</w:t>
      </w:r>
    </w:p>
    <w:p>
      <w:pPr>
        <w:spacing w:after="120" w:line="276" w:lineRule="auto"/>
      </w:pPr>
      <w:r>
        <w:t>**Bandes de Bollinger** : Le cours à 44 980 FCFA évolue dans la partie supérieure de la bande de Bollinger, proche de la borne supérieure à 46 839,43 FCFA, tandis que la borne inférieure se situe à 37 391,07 FCFA. Cette position élevée dans le canal traduit une pression acheteuse forte mais aussi un risque de retour vers la moyenne, ce qui explique la décision "Neutre" — le titre n'est ni en surchauffe extrême ni en zone d'achat évidente.</w:t>
      </w:r>
    </w:p>
    <w:p>
      <w:pPr>
        <w:spacing w:after="120" w:line="276" w:lineRule="auto"/>
      </w:pPr>
      <w:r>
        <w:t>**MACD** : La valeur du MACD à 2 226,40 est supérieure à son signal à 2 162,48, générant un histogramme positif qui confirme un momentum haussier toujours actif. La décision "Achat" est cohérente avec cette configuration, bien que l'écart relativement faible entre les deux lignes suggère un essoufflement possible de la dynamique.</w:t>
      </w:r>
    </w:p>
    <w:p>
      <w:pPr>
        <w:spacing w:after="120" w:line="276" w:lineRule="auto"/>
      </w:pPr>
      <w:r>
        <w:t>**RSI** : À 85,02, le RSI se situe très largement au-dessus du seuil de surachat de 70, ce qui déclenche une décision "Vente" et signale un risque élevé de correction à court terme. Un RSI à ce niveau indique que le titre a été acheté de manière excessive et qu'une consolidation ou un repli est probable dans les prochaines séances.</w:t>
      </w:r>
    </w:p>
    <w:p>
      <w:pPr>
        <w:spacing w:after="120" w:line="276" w:lineRule="auto"/>
      </w:pPr>
      <w:r>
        <w:t>**Stochastique** : Le %K à 99,5 et le %D à 99,66 sont tous deux collés au plafond de 100, confirmant une situation de surachat extrême avec une décision "Vente". L'absence de croisement baissier pour l'instant signifie que la pression acheteuse reste présente, mais la probabilité d'un retournement imminent est très élevée à ces niveaux.</w:t>
      </w:r>
    </w:p>
    <w:p>
      <w:pPr>
        <w:spacing w:after="120" w:line="276" w:lineRule="auto"/>
      </w:pPr>
      <w:r>
        <w:t>**Conclusion technique** : Les indicateurs de tendance (Moyennes Mobiles, MACD) restent haussiers et confirment la solidité du mouvement, mais les oscillateurs (RSI à 85, Stochastique à 99,5) sont en zone de surachat extrême et émettent des signaux de vente clairs. Cette divergence entre tendance et momentum suggère que le titre pourrait connaître une consolidation à court terme après son rallye de +55%, et la décision globale est donc mitigée entre "Achat" sur la tendance et "Vente" sur le timing.</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consolidés de Sonatel affichent un chiffre d'affaires de 1 923,1 milliards FCFA, en progression de +8,3% par rapport à 2024, porté par la Data mobile, le Fixe Broadband et Orange Money. Le résultat net consolidé s'établit à 413,6 milliards FCFA (+5,1%), avec un résultat net part du groupe de 342,0 milliards FCFA (+4,0%), et le BPA ressort à 4 136 FCFA. La rentabilité est exceptionnelle avec un ROE de 29,56% (très supérieur au seuil de 15% considéré comme excellent) et un ROA de 12,65%, tandis que la marge nette de 21,51% et la marge opérationnelle de 34,83% témoignent d'une efficacité opérationnelle remarquable. La structure financière est saine avec une autonomie financière de 42,79% (capitaux propres de 1 399,3 milliards FCFA), une solvabilité générale de 174,79% et une capacité de remboursement de seulement 0,64 année de CAF. Le BFR est négatif à -284,9 milliards FCFA, ce qui est très favorable car cela signifie que les clients et les stocks sont financés par les fournisseurs (délai fournisseurs de 201,39 jours contre un délai clients de 46,16 jours), générant une trésorerie nette positive de 536,1 milliards FCFA. Le Free Cash Flow de 408,1 milliards FCFA et la CAF de 665,0 milliards FCFA confirment la capacité du groupe à financer ses investissements (288,6 milliards FCFA en 2025, soit 15% du CA) tout en distribuant un dividende attractif de 1 933 FCFA brut (1 740 FCFA net) par action. Les rapports trimestriels récents confirment cette dynamique : le communiqué du 27 juillet 2026 (S1 2026) fait état d'un chiffre d'affaires de 1 049,8 milliards FCFA (+9,3%) et d'un résultat net de 230 milliards FCFA (+10,5%), avec un EBITDAAL de 510,8 milliards FCFA (48,7% du CA) et une notation relevée à AAA (wu) par GCR Ratings. Sur la base de ces performances semestrielles, on peut estimer que l'exercice 2026 devrait enregistrer un chiffre d'affaires supérieur à 2 100 milliards FCFA et un résultat net approchant 450 milliards FCFA, confirmant la trajectoire de croissance rentable. Les risques identifiés incluent la pression fiscale et réglementaire croissante (nouvelles taxes au Sénégal, Mali, Guinée-Bissau), l'intensification de la concurrence sur la Data et le Mobile Money, et l'impact des campagnes d'identification des clients sur la base mobile. Malgré ces défis, la solidité financière, la diversification géographique et le leadership maintenu sur tous les marchés (55,9% au Sénégal, 54,5% au Mali) confèrent à Sonatel un profil fondamental de très haute qualité, justifiant une recommandation fondamentale positive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avec un PER de 10,9x dans la moyenne du marché BRVM, un P/B de 3,21x justifié par la prime de croissance, et surtout un EV/EBITDA de 4,7x très attractif qui suggère une sous-évaluation relative par rapport à la capacité opérationnelle. Le comportement du cours sur 100 jours est exceptionnel (+55,64%) mais montre des signes de fatigue avec une stabilisation à J-1, une volatilité élevée de 33,3% et un skewness positif indiquant que la hausse repose sur quelques séances fortes. Les signaux techniques sont divergents : les moyennes mobiles et le MACD confirment la tendance haussière, mais le RSI à 85 et le Stochastique à 99,5 sont en zone de surachat extrême et émettent des signaux de vente à court terme. Les fondamentaux restent excellents avec un ROE de 29,56%, un BFR négatif favorable, une trésorerie nette de 536,1 milliards FCFA et une croissance confirmée par le S1 2026 (+9,3% de CA, +10,5% de résultat net), tandis que la notation AAA et le dividende de 1 740 FCFA net offrent une rémunération attractive. Les prédictions IA pour les 10 prochains jours ouvrables (44 443 FCFA le 09/10, puis 44 369 FCFA le 15/10) anticipent une légère consolidation baissière d'environ 1,4%, ce qui est cohérent avec les signaux de surachat des oscillateurs et confirme la probabilité d'une pause dans le rallye. Sur la base de cette synthèse globale, la recommandation finale est **CONSERVER** : la convergence entre une valorisation raisonnable, des fondamentaux solides et une tendance de fond haussière justifie de maintenir la position, mais le surachat technique extrême et la prédiction de consolidation à court terme déconseillent un achat immédiat à ces niveaux. Le niveau de confiance est **Moyen** en raison de la divergence entre tendance et momentum, le niveau de risque global est **Moyen** (élevé à court terme à cause du surachat, faible à long terme grâce aux fondamentaux), et l'horizon d'investissement optimal est le **moyen à long terme (3-12 mois et au-delà)**, en attendant une correction vers la zone des 42 000-43 000 FCFA pour envisager un renforcement.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5,358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+6.88%</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4.34% (Faible) — μ=8,086 FCFA, σ=351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β=1.0341 (Neutre (suit le marché)) — Cov=0.000076, Var(idx)=0.000074, ρ=0.329,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7,500</w:t>
            </w:r>
          </w:p>
        </w:tc>
        <w:tc>
          <w:tcPr>
            <w:tcW w:type="dxa" w:w="1440"/>
            <w:shd w:fill="FAFAFA" w:val="clear"/>
          </w:tcPr>
          <w:p>
            <w:r>
              <w:rPr>
                <w:b/>
                <w:sz w:val="17"/>
              </w:rPr>
              <w:t>7,903</w:t>
            </w:r>
          </w:p>
        </w:tc>
        <w:tc>
          <w:tcPr>
            <w:tcW w:type="dxa" w:w="1440"/>
            <w:shd w:fill="FAFAFA" w:val="clear"/>
          </w:tcPr>
          <w:p>
            <w:r>
              <w:rPr>
                <w:sz w:val="17"/>
              </w:rPr>
              <w:t>8,306</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7,311</w:t>
            </w:r>
          </w:p>
        </w:tc>
        <w:tc>
          <w:tcPr>
            <w:tcW w:type="dxa" w:w="1440"/>
            <w:shd w:fill="FAFAFA" w:val="clear"/>
          </w:tcPr>
          <w:p>
            <w:r>
              <w:rPr>
                <w:b/>
                <w:sz w:val="17"/>
              </w:rPr>
              <w:t>7,879</w:t>
            </w:r>
          </w:p>
        </w:tc>
        <w:tc>
          <w:tcPr>
            <w:tcW w:type="dxa" w:w="1440"/>
            <w:shd w:fill="FAFAFA" w:val="clear"/>
          </w:tcPr>
          <w:p>
            <w:r>
              <w:rPr>
                <w:sz w:val="17"/>
              </w:rPr>
              <w:t>8,446</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7,159</w:t>
            </w:r>
          </w:p>
        </w:tc>
        <w:tc>
          <w:tcPr>
            <w:tcW w:type="dxa" w:w="1440"/>
            <w:shd w:fill="FAFAFA" w:val="clear"/>
          </w:tcPr>
          <w:p>
            <w:r>
              <w:rPr>
                <w:b/>
                <w:sz w:val="17"/>
              </w:rPr>
              <w:t>7,852</w:t>
            </w:r>
          </w:p>
        </w:tc>
        <w:tc>
          <w:tcPr>
            <w:tcW w:type="dxa" w:w="1440"/>
            <w:shd w:fill="FAFAFA" w:val="clear"/>
          </w:tcPr>
          <w:p>
            <w:r>
              <w:rPr>
                <w:sz w:val="17"/>
              </w:rPr>
              <w:t>8,545</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7,031</w:t>
            </w:r>
          </w:p>
        </w:tc>
        <w:tc>
          <w:tcPr>
            <w:tcW w:type="dxa" w:w="1440"/>
            <w:shd w:fill="FFDCE0" w:val="clear"/>
          </w:tcPr>
          <w:p>
            <w:r>
              <w:rPr>
                <w:b/>
                <w:sz w:val="17"/>
              </w:rPr>
              <w:t>7,829</w:t>
            </w:r>
          </w:p>
        </w:tc>
        <w:tc>
          <w:tcPr>
            <w:tcW w:type="dxa" w:w="1440"/>
            <w:shd w:fill="FFDCE0" w:val="clear"/>
          </w:tcPr>
          <w:p>
            <w:r>
              <w:rPr>
                <w:sz w:val="17"/>
              </w:rPr>
              <w:t>8,627</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6,917</w:t>
            </w:r>
          </w:p>
        </w:tc>
        <w:tc>
          <w:tcPr>
            <w:tcW w:type="dxa" w:w="1440"/>
            <w:shd w:fill="FFDCE0" w:val="clear"/>
          </w:tcPr>
          <w:p>
            <w:r>
              <w:rPr>
                <w:b/>
                <w:sz w:val="17"/>
              </w:rPr>
              <w:t>7,807</w:t>
            </w:r>
          </w:p>
        </w:tc>
        <w:tc>
          <w:tcPr>
            <w:tcW w:type="dxa" w:w="1440"/>
            <w:shd w:fill="FFDCE0" w:val="clear"/>
          </w:tcPr>
          <w:p>
            <w:r>
              <w:rPr>
                <w:sz w:val="17"/>
              </w:rPr>
              <w:t>8,697</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6,814</w:t>
            </w:r>
          </w:p>
        </w:tc>
        <w:tc>
          <w:tcPr>
            <w:tcW w:type="dxa" w:w="1440"/>
            <w:shd w:fill="FFDCE0" w:val="clear"/>
          </w:tcPr>
          <w:p>
            <w:r>
              <w:rPr>
                <w:b/>
                <w:sz w:val="17"/>
              </w:rPr>
              <w:t>7,786</w:t>
            </w:r>
          </w:p>
        </w:tc>
        <w:tc>
          <w:tcPr>
            <w:tcW w:type="dxa" w:w="1440"/>
            <w:shd w:fill="FFDCE0" w:val="clear"/>
          </w:tcPr>
          <w:p>
            <w:r>
              <w:rPr>
                <w:sz w:val="17"/>
              </w:rPr>
              <w:t>8,758</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6,719</w:t>
            </w:r>
          </w:p>
        </w:tc>
        <w:tc>
          <w:tcPr>
            <w:tcW w:type="dxa" w:w="1440"/>
            <w:shd w:fill="FFDCE0" w:val="clear"/>
          </w:tcPr>
          <w:p>
            <w:r>
              <w:rPr>
                <w:b/>
                <w:sz w:val="17"/>
              </w:rPr>
              <w:t>7,766</w:t>
            </w:r>
          </w:p>
        </w:tc>
        <w:tc>
          <w:tcPr>
            <w:tcW w:type="dxa" w:w="1440"/>
            <w:shd w:fill="FFDCE0" w:val="clear"/>
          </w:tcPr>
          <w:p>
            <w:r>
              <w:rPr>
                <w:sz w:val="17"/>
              </w:rPr>
              <w:t>8,814</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6,631</w:t>
            </w:r>
          </w:p>
        </w:tc>
        <w:tc>
          <w:tcPr>
            <w:tcW w:type="dxa" w:w="1440"/>
            <w:shd w:fill="FFDCE0" w:val="clear"/>
          </w:tcPr>
          <w:p>
            <w:r>
              <w:rPr>
                <w:b/>
                <w:sz w:val="17"/>
              </w:rPr>
              <w:t>7,747</w:t>
            </w:r>
          </w:p>
        </w:tc>
        <w:tc>
          <w:tcPr>
            <w:tcW w:type="dxa" w:w="1440"/>
            <w:shd w:fill="FFDCE0" w:val="clear"/>
          </w:tcPr>
          <w:p>
            <w:r>
              <w:rPr>
                <w:sz w:val="17"/>
              </w:rPr>
              <w:t>8,864</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6,547</w:t>
            </w:r>
          </w:p>
        </w:tc>
        <w:tc>
          <w:tcPr>
            <w:tcW w:type="dxa" w:w="1440"/>
            <w:shd w:fill="FFDCE0" w:val="clear"/>
          </w:tcPr>
          <w:p>
            <w:r>
              <w:rPr>
                <w:b/>
                <w:sz w:val="17"/>
              </w:rPr>
              <w:t>7,729</w:t>
            </w:r>
          </w:p>
        </w:tc>
        <w:tc>
          <w:tcPr>
            <w:tcW w:type="dxa" w:w="1440"/>
            <w:shd w:fill="FFDCE0" w:val="clear"/>
          </w:tcPr>
          <w:p>
            <w:r>
              <w:rPr>
                <w:sz w:val="17"/>
              </w:rPr>
              <w:t>8,911</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6,468</w:t>
            </w:r>
          </w:p>
        </w:tc>
        <w:tc>
          <w:tcPr>
            <w:tcW w:type="dxa" w:w="1440"/>
            <w:shd w:fill="FFDCE0" w:val="clear"/>
          </w:tcPr>
          <w:p>
            <w:r>
              <w:rPr>
                <w:b/>
                <w:sz w:val="17"/>
              </w:rPr>
              <w:t>7,711</w:t>
            </w:r>
          </w:p>
        </w:tc>
        <w:tc>
          <w:tcPr>
            <w:tcW w:type="dxa" w:w="1440"/>
            <w:shd w:fill="FFDCE0" w:val="clear"/>
          </w:tcPr>
          <w:p>
            <w:r>
              <w:rPr>
                <w:sz w:val="17"/>
              </w:rPr>
              <w:t>8,954</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 (Hévéa / Palmier)*</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172,81 milliards FCFA, SOGC s'impose comme une valeur de premier plan de la cote BRVM, représentant un pilier du compartiment agro-industriel régional. Le BPA de 578 FCFA/action signifie que chaque titre génère près de 578 FCFA de bénéfice net, un niveau de rentabilité par action solide pour le marché ouest-africain. Le PER de 13,8x traduit une valorisation modérée, légèrement supérieure à la moyenne BRVM (8-12x), ce qui suggère que le marché intègre déjà une prime de qualité et de régularité bénéficiaire. Le P/B de 2,53x indique que le titre se négocie à une prime significative sur sa valeur comptable (2-4x = prime de croissance accordée), reflétant la confiance des investisseurs dans la capacité de la société à générer des rendements supérieurs à ses actifs nets. Enfin, l'EV/EBITDA de 7,2x (fourchette raisonnable 5-10x) montre que la valeur d'entreprise reste cohérente avec la capacité opérationnelle de la société,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 enregistré une progression totale de +6,88%, avec une dernière séance (J-1) en hausse de +1,33%, confirmant un momentum positif de court terme. Le cours actuel de 8 000 FCFA se situe dans la partie haute du range de trading établi entre un plus bas de 7 200 FCFA et un plus haut de 8 875 FCFA, soit une amplitude de 1 675 FCFA (23,3%) qui témoigne d'une tendance générale haussière mais avec des phases de correction. Les statistiques descriptives révèlent une moyenne de 8 086 FCFA légèrement supérieure à la médiane de 8 145 FCFA — écart faible qui indique une distribution quasi-symétrique, cohérente avec le mode à 8 100 FCFA. L'écart-type de 353 FCFA (CV = 4,4%) traduit une dispersion modérée du cours autour de sa moyenne, signe d'une certaine stabilité relative. Le kurtosis de -0,046 (mésokurtique) indique une distribution proche de la normale, sans risque excessif de pics extrêmes, tandis que le skewness de -0,590 (asymétrie négative) signifie qu'il y a eu davantage de journées de cotation au-dessus de la moyenne, avec des corrections ponctuelles plus marquées à la baisse. La volatilité annualisée de 42,5% classe le titre dans la catégorie des valeurs à volatilité élevée (&gt;30%), ce qui implique un risque de fluctuation important et justifie une approche prudente en matière de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(7 897,75 FCFA) est inférieure à la MM50 (8 039,40 FCFA), et le cours actuel (8 000 FCFA) se situe entre ces deux références, légèrement sous la MM50. Cette configuration traduit une pression baissière de court terme, avec un croisement potentiellement baissier (MM20 &lt; MM50), justifiant la décision technique de **Vente**.</w:t>
      </w:r>
    </w:p>
    <w:p>
      <w:pPr>
        <w:spacing w:after="120" w:line="276" w:lineRule="auto"/>
      </w:pPr>
      <w:r>
        <w:t>**Bandes de Bollinger** : Le cours de 8 000 FCFA évolue à mi-chemin entre la borne inférieure (7 480,98 FCFA) et la borne supérieure (8 314,52 FCFA), sans contact avec les extrêmes. Cette position centrale indique une absence de signal directionnel fort et une volatilité normale, justifiant la décision **Neutre**.</w:t>
      </w:r>
    </w:p>
    <w:p>
      <w:pPr>
        <w:spacing w:after="120" w:line="276" w:lineRule="auto"/>
      </w:pPr>
      <w:r>
        <w:t>**MACD** : La valeur du MACD (-55,85) est supérieure à son signal (-77,58), formant un croisement haussier (MACD au-dessus du signal). Bien que les deux lignes restent en territoire négatif, ce croisement suggère une amélioration du momentum baissier et un potentiel retournement à la hausse, justifiant la décision **Achat**.</w:t>
      </w:r>
    </w:p>
    <w:p>
      <w:pPr>
        <w:spacing w:after="120" w:line="276" w:lineRule="auto"/>
      </w:pPr>
      <w:r>
        <w:t>**RSI** : À 50,0, le RSI se situe exactement au point d'équilibre entre surachat (&gt;70) et survente (&lt;30), dans une zone neutre (30-70). Cette valeur indique un équilibre parfait entre acheteurs et vendeurs, sans pression directionnelle dominante, justifiant la décision **Neutre**.</w:t>
      </w:r>
    </w:p>
    <w:p>
      <w:pPr>
        <w:spacing w:after="120" w:line="276" w:lineRule="auto"/>
      </w:pPr>
      <w:r>
        <w:t>**Stochastique** : Le %K (87,5) est nettement supérieur au %D (78,15), et les deux indicateurs évoluent en zone de surachat (&gt;80). Cette configuration signale que le titre a fortement progressé récemment et qu'un essoufflement ou une correction est probable à court terme, justifiant la décision **Vente**.</w:t>
      </w:r>
    </w:p>
    <w:p>
      <w:pPr>
        <w:spacing w:after="120" w:line="276" w:lineRule="auto"/>
      </w:pPr>
      <w:r>
        <w:t>**Conclusion technique** : Les indicateurs techniques présentent une divergence notable : le MACD émet un signal d'achat (croisement haussier) tandis que les Moyennes Mobiles et le Stochastique recommandent la vente (pression baissière et surachat). Le RSI et les Bandes de Bollinger restent neutres, reflétant l'absence de tendance claire. Cette configuration mitigée suggère une phase d'indécision du marché, avec un léger avantage aux vendeurs à court terme compte tenu du surachat stochastique et de la position du cours sous la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98,979 milliards FCFA, en croissance de 10,70% par rapport à 2024 (93,52 milliards FCFA selon le rapport annuel 2024 analysé le 15/03/2026). Le résultat net s'établit à 12,493 milliards FCFA, en légère baisse de 5% par rapport aux 13,11 milliards FCFA de 2024 (rapport 2025), sous l'effet de la hausse de 15% des coûts de matières premières (coagulum). La rentabilité reste excellente avec un ROE de 18,26% (&gt;15% = excellent) et un ROA de 13,84%, confirmant la capacité de la société à générer des profits à partir de ses fonds propres et de ses actifs. La marge nette de 12,62% et la marge opérationnelle de 17,24% témoignent d'une bonne maîtrise des charges, malgré la pression concurrentielle sur l'approvisionnement en matière première.</w:t>
      </w:r>
    </w:p>
    <w:p>
      <w:pPr>
        <w:spacing w:after="120" w:line="276" w:lineRule="auto"/>
      </w:pPr>
      <w:r>
        <w:t>**Analyse sectorielle (entreprise agro-industrielle)** : Le BFR s'élève à 7,124 milliards FCFA, avec un délai clients de 29,60 jours (risque de trésorerie modéré) et un délai fournisseurs de 31,72 jours (favorable à la trésorerie). La durée de stockage de 97,67 jours est élevée et immobilise du capital, ce qui constitue un point de vigilance. La structure financière est très saine : autonomie financière de 75,79%, ratio d'endettement de 24,21%, et capacité de remboursement de 0,04 an (dette financière quasi nulle à 708,86 millions FCFA). La trésorerie nette est positive à 4,575 milliards FCFA, et le Free Cash Flow de 16,031 milliards FCFA confirme une forte génération de liquidités.</w:t>
      </w:r>
    </w:p>
    <w:p>
      <w:pPr>
        <w:spacing w:after="120" w:line="276" w:lineRule="auto"/>
      </w:pPr>
      <w:r>
        <w:t>**Estimations basées sur les rapports trimestriels** : Le rapport T1 2025 (31/03/2025) faisait état d'un CA de 31,2 milliards FCFA (+63,1%) et d'un résultat net de 6,0 milliards FCFA (+262,9%), tandis que le S1 2025 (30/06/2025) affichait un CA de 55,4 milliards FCFA (+51,9%) et un résultat net de 10,2 milliards FCFA (+151,6%). Le cumul 9M 2025 (30/09/2025) montrait un ralentissement avec un CA de 75,6 milliards FCFA (+21,3%) et un résultat net de 11,5 milliards FCFA (+39,5%), confirmant l'alerte de la direction sur un contexte plus difficile au S2 2025 (concurrence accrue pour le coagulum et baisse des cours SICOM). On estime donc que l'exercice 2025 devrait clôturer avec un résultat net autour de 12,5 milliards FCFA, en léger retrait par rapport à 2024, mais avec des fondamentaux solides.</w:t>
      </w:r>
    </w:p>
    <w:p>
      <w:pPr>
        <w:spacing w:after="120" w:line="276" w:lineRule="auto"/>
      </w:pPr>
      <w:r>
        <w:t>**Évolution pluriannuelle** : De 2021 (résultat net de 14,73 milliards FCFA) à 2023 (5,27 milliards FCFA), la société a connu une forte volatilité de ses résultats, avant un rebond spectaculaire en 2024 (+149%) et une stabilisation en 2025 (-5%). Cette cyclicité est typique des entreprises agro-industrielles exposées aux prix des matières premières.</w:t>
      </w:r>
    </w:p>
    <w:p>
      <w:pPr>
        <w:spacing w:after="120" w:line="276" w:lineRule="auto"/>
      </w:pPr>
      <w:r>
        <w:t>**Recommandation fondamentale** : La solidité financière de SOGC est indéniable (ROE &gt;18%, endettement quasi nul, trésorerie positive), mais la baisse du résultat net 2025 et les perspectives moroses pour le S2 2025 incitent à la prudence. Le dividende proposé de 570 FCFA/action (soit un rendement de 7,1% au cours de 8 000 FCFA) reste attractif, mais son taux de distribution élevé (98,9% en 2024) limite les capacités de réinvestissement. La recommandation fondamentale est **CONSERVER**, avec une surveillance accrue de l'évolution des prix du caoutchouc et des coûts d'approvisionnement.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**Valorisation (Partie 0)** : le PER de 13,8x et le P/B de 2,53x indiquent une valorisation modérée à légèrement élevée, sans sous-évaluation manifeste, mais justifiée par la qualité des fondamentaux. **Comportement du cours (Partie 1)** : la tendance haussière de +6,88% sur 100 jours, la volatilité élevée (42,5%) et l'asymétrie négative (skewness -0,590) suggèrent un titre dynamique mais risqué, avec des corrections ponctuelles. **Signaux techniques (Partie 2)** : la divergence entre le MACD (achat) et les MM/Stochastique (vente) traduit une indécision du marché, avec un léger avantage baissier à court terme. **Fondamentaux (Partie 3)** : la solidité financière (ROE 18,26%, endettement quasi nul) et le dividende attractif (570 FCFA/action) sont des atouts majeurs, mais la baisse du résultat net 2025 (-5%) et les perspectives moroses du S2 2025 pèsent sur le sentiment. **Prédictions IA (J+1 à J+10)** : la trajectoire baissière anticipée (de 7 903 FCFA à 7 807 FCFA, soit -2,4% sur 10 jours) contredit le signal d'achat du MACD et confirme la pression baissière identifiée par les MM et le Stochastique.</w:t>
      </w:r>
    </w:p>
    <w:p>
      <w:pPr>
        <w:spacing w:after="120" w:line="276" w:lineRule="auto"/>
      </w:pPr>
      <w:r>
        <w:t>**Recommandation finale** : **CONSERVER**. La convergence entre la valorisation modérée, les fondamentaux solides et le dividende attractif justifie le maintien du titre en portefeuille, mais les signaux techniques mitigés et les prédictions baissières à court terme incitent à la prudence. Le niveau de confiance est **Moyen**, car les indicateurs sont divergents et le contexte sectoriel incertain. Le niveau de risque global est **Élevé**, en raison de la volatilité du titre (42,5%) et de la sensibilité aux prix des matières premières. L'horizon d'investissement optimal est le **moyen terme (3-12 mois)**, le temps que la société stabilise ses marges et que le marché intègre les perspectives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205.74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4,691 titres</w:t>
            </w:r>
          </w:p>
        </w:tc>
        <w:tc>
          <w:tcPr>
            <w:tcW w:type="dxa" w:w="2268"/>
            <w:shd w:fill="FFF2CC" w:val="clear"/>
          </w:tcPr>
          <w:p>
            <w:r>
              <w:rPr>
                <w:b/>
                <w:color w:val="503200"/>
                <w:sz w:val="16"/>
              </w:rPr>
              <w:t xml:space="preserve">Cours actuel : </w:t>
            </w:r>
            <w:r>
              <w:rPr>
                <w:color w:val="000000"/>
                <w:sz w:val="17"/>
              </w:rPr>
              <w:t>8,050 FCFA</w:t>
            </w:r>
          </w:p>
          <w:p>
            <w:r>
              <w:rPr>
                <w:b/>
                <w:color w:val="503200"/>
                <w:sz w:val="16"/>
              </w:rPr>
              <w:t xml:space="preserve">Var. 100 jours : </w:t>
            </w:r>
            <w:r>
              <w:rPr>
                <w:b/>
                <w:color w:val="007800"/>
                <w:sz w:val="17"/>
              </w:rPr>
              <w:t>+15.25%</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9.46% (Moyenne) — μ=7,897 FCFA, σ=747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β=0.6911 (Défensif) — Cov=0.000051, Var(idx)=0.000074, ρ=0.215,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7,521</w:t>
            </w:r>
          </w:p>
        </w:tc>
        <w:tc>
          <w:tcPr>
            <w:tcW w:type="dxa" w:w="1440"/>
            <w:shd w:fill="FAFAFA" w:val="clear"/>
          </w:tcPr>
          <w:p>
            <w:r>
              <w:rPr>
                <w:b/>
                <w:sz w:val="17"/>
              </w:rPr>
              <w:t>7,932</w:t>
            </w:r>
          </w:p>
        </w:tc>
        <w:tc>
          <w:tcPr>
            <w:tcW w:type="dxa" w:w="1440"/>
            <w:shd w:fill="FAFAFA" w:val="clear"/>
          </w:tcPr>
          <w:p>
            <w:r>
              <w:rPr>
                <w:sz w:val="17"/>
              </w:rPr>
              <w:t>8,342</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7,318</w:t>
            </w:r>
          </w:p>
        </w:tc>
        <w:tc>
          <w:tcPr>
            <w:tcW w:type="dxa" w:w="1440"/>
            <w:shd w:fill="FAFAFA" w:val="clear"/>
          </w:tcPr>
          <w:p>
            <w:r>
              <w:rPr>
                <w:b/>
                <w:sz w:val="17"/>
              </w:rPr>
              <w:t>7,896</w:t>
            </w:r>
          </w:p>
        </w:tc>
        <w:tc>
          <w:tcPr>
            <w:tcW w:type="dxa" w:w="1440"/>
            <w:shd w:fill="FAFAFA" w:val="clear"/>
          </w:tcPr>
          <w:p>
            <w:r>
              <w:rPr>
                <w:sz w:val="17"/>
              </w:rPr>
              <w:t>8,473</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7,151</w:t>
            </w:r>
          </w:p>
        </w:tc>
        <w:tc>
          <w:tcPr>
            <w:tcW w:type="dxa" w:w="1440"/>
            <w:shd w:fill="FFDCE0" w:val="clear"/>
          </w:tcPr>
          <w:p>
            <w:r>
              <w:rPr>
                <w:b/>
                <w:sz w:val="17"/>
              </w:rPr>
              <w:t>7,854</w:t>
            </w:r>
          </w:p>
        </w:tc>
        <w:tc>
          <w:tcPr>
            <w:tcW w:type="dxa" w:w="1440"/>
            <w:shd w:fill="FFDCE0" w:val="clear"/>
          </w:tcPr>
          <w:p>
            <w:r>
              <w:rPr>
                <w:sz w:val="17"/>
              </w:rPr>
              <w:t>8,558</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7,007</w:t>
            </w:r>
          </w:p>
        </w:tc>
        <w:tc>
          <w:tcPr>
            <w:tcW w:type="dxa" w:w="1440"/>
            <w:shd w:fill="FFDCE0" w:val="clear"/>
          </w:tcPr>
          <w:p>
            <w:r>
              <w:rPr>
                <w:b/>
                <w:sz w:val="17"/>
              </w:rPr>
              <w:t>7,816</w:t>
            </w:r>
          </w:p>
        </w:tc>
        <w:tc>
          <w:tcPr>
            <w:tcW w:type="dxa" w:w="1440"/>
            <w:shd w:fill="FFDCE0" w:val="clear"/>
          </w:tcPr>
          <w:p>
            <w:r>
              <w:rPr>
                <w:sz w:val="17"/>
              </w:rPr>
              <w:t>8,625</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6,879</w:t>
            </w:r>
          </w:p>
        </w:tc>
        <w:tc>
          <w:tcPr>
            <w:tcW w:type="dxa" w:w="1440"/>
            <w:shd w:fill="FFDCE0" w:val="clear"/>
          </w:tcPr>
          <w:p>
            <w:r>
              <w:rPr>
                <w:b/>
                <w:sz w:val="17"/>
              </w:rPr>
              <w:t>7,779</w:t>
            </w:r>
          </w:p>
        </w:tc>
        <w:tc>
          <w:tcPr>
            <w:tcW w:type="dxa" w:w="1440"/>
            <w:shd w:fill="FFDCE0" w:val="clear"/>
          </w:tcPr>
          <w:p>
            <w:r>
              <w:rPr>
                <w:sz w:val="17"/>
              </w:rPr>
              <w:t>8,679</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6,762</w:t>
            </w:r>
          </w:p>
        </w:tc>
        <w:tc>
          <w:tcPr>
            <w:tcW w:type="dxa" w:w="1440"/>
            <w:shd w:fill="FFDCE0" w:val="clear"/>
          </w:tcPr>
          <w:p>
            <w:r>
              <w:rPr>
                <w:b/>
                <w:sz w:val="17"/>
              </w:rPr>
              <w:t>7,743</w:t>
            </w:r>
          </w:p>
        </w:tc>
        <w:tc>
          <w:tcPr>
            <w:tcW w:type="dxa" w:w="1440"/>
            <w:shd w:fill="FFDCE0" w:val="clear"/>
          </w:tcPr>
          <w:p>
            <w:r>
              <w:rPr>
                <w:sz w:val="17"/>
              </w:rPr>
              <w:t>8,725</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6,653</w:t>
            </w:r>
          </w:p>
        </w:tc>
        <w:tc>
          <w:tcPr>
            <w:tcW w:type="dxa" w:w="1440"/>
            <w:shd w:fill="FFDCE0" w:val="clear"/>
          </w:tcPr>
          <w:p>
            <w:r>
              <w:rPr>
                <w:b/>
                <w:sz w:val="17"/>
              </w:rPr>
              <w:t>7,709</w:t>
            </w:r>
          </w:p>
        </w:tc>
        <w:tc>
          <w:tcPr>
            <w:tcW w:type="dxa" w:w="1440"/>
            <w:shd w:fill="FFDCE0" w:val="clear"/>
          </w:tcPr>
          <w:p>
            <w:r>
              <w:rPr>
                <w:sz w:val="17"/>
              </w:rPr>
              <w:t>8,764</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6,552</w:t>
            </w:r>
          </w:p>
        </w:tc>
        <w:tc>
          <w:tcPr>
            <w:tcW w:type="dxa" w:w="1440"/>
            <w:shd w:fill="FFDCE0" w:val="clear"/>
          </w:tcPr>
          <w:p>
            <w:r>
              <w:rPr>
                <w:b/>
                <w:sz w:val="17"/>
              </w:rPr>
              <w:t>7,675</w:t>
            </w:r>
          </w:p>
        </w:tc>
        <w:tc>
          <w:tcPr>
            <w:tcW w:type="dxa" w:w="1440"/>
            <w:shd w:fill="FFDCE0" w:val="clear"/>
          </w:tcPr>
          <w:p>
            <w:r>
              <w:rPr>
                <w:sz w:val="17"/>
              </w:rPr>
              <w:t>8,798</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6,456</w:t>
            </w:r>
          </w:p>
        </w:tc>
        <w:tc>
          <w:tcPr>
            <w:tcW w:type="dxa" w:w="1440"/>
            <w:shd w:fill="FFDCE0" w:val="clear"/>
          </w:tcPr>
          <w:p>
            <w:r>
              <w:rPr>
                <w:b/>
                <w:sz w:val="17"/>
              </w:rPr>
              <w:t>7,642</w:t>
            </w:r>
          </w:p>
        </w:tc>
        <w:tc>
          <w:tcPr>
            <w:tcW w:type="dxa" w:w="1440"/>
            <w:shd w:fill="FFDCE0" w:val="clear"/>
          </w:tcPr>
          <w:p>
            <w:r>
              <w:rPr>
                <w:sz w:val="17"/>
              </w:rPr>
              <w:t>8,828</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6,365</w:t>
            </w:r>
          </w:p>
        </w:tc>
        <w:tc>
          <w:tcPr>
            <w:tcW w:type="dxa" w:w="1440"/>
            <w:shd w:fill="FFDCE0" w:val="clear"/>
          </w:tcPr>
          <w:p>
            <w:r>
              <w:rPr>
                <w:b/>
                <w:sz w:val="17"/>
              </w:rPr>
              <w:t>7,610</w:t>
            </w:r>
          </w:p>
        </w:tc>
        <w:tc>
          <w:tcPr>
            <w:tcW w:type="dxa" w:w="1440"/>
            <w:shd w:fill="FFDCE0" w:val="clear"/>
          </w:tcPr>
          <w:p>
            <w:r>
              <w:rPr>
                <w:sz w:val="17"/>
              </w:rPr>
              <w:t>8,855</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205,74 milliards FCFA, SPHC s'impose comme l'une des valeurs industrielles de référence de la cote BRVM, ce qui lui confère une liquidité relative et une visibilité institutionnelle appréciables. Le BPA de 977 FCFA/action signifie que chaque titre génère près d'un millier de francs de bénéfice net, un niveau élevé qui traduit la forte rentabilité opérationnelle de la société. Le PER de 8,2x se situe nettement en dessous de la moyenne BRVM (8-12x), suggérant une sous-évaluation potentielle du titre par rapport à ses bénéfices, d'autant que le P/B de 1,49x indique que le marché valorise l'action à peine 1,5 fois sa valeur comptable, ce qui reste raisonnable pour une entreprise affichant un ROE de 18,1%. Enfin, l'EV/EBITDA de 5,2x, dans la fourchette basse de la norme (5-10x), confirme que la valeur d'entreprise reste modérée au regard de la capacité opérationnelle dégagée, renforçant l'hypothèse d'un titre bon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performance positive de +15,25%, avec une dernière séance en hausse de +0,56%, portant le cours actuel à 8 050 FCFA. Le titre a évolué dans un range large de 3 450 FCFA, entre un plus bas de 6 850 FCFA et un plus haut de 10 300 FCFA, ce qui témoigne d'une forte amplitude de trading et d'une tendance générale haussière mais heurtée. La moyenne (7 897 FCFA) est supérieure à la médiane (7 660 FCFA), écart qui confirme une distribution asymétrique positivement, cohérente avec le skewness de 1,446 indiquant davantage de journées sous la moyenne mais ponctuées de pics haussiers marqués. L'écart-type de 751 FCFA et le coefficient de variation de 9,5% traduisent une dispersion modérée du cours autour de sa moyenne, tandis que le kurtosis de 1,727 (leptokurtique) signale des queues épaisses, donc un risque de mouvements brusques et de pics de volatilité. Avec une volatilité annualisée de 43,3%, le titre se situe largement au-dessus du seuil de 30%, ce qui le classe parmi les valeurs à volatilité élevée, exigeant une tolérance au risque importante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(7 932,75 FCFA) est inférieure à la MM50 (8 334,40 FCFA), configuration baissière classique, et le cours actuel (8 050 FCFA) se situe au-dessus de la MM20 mais sous la MM50. Cette position mitigée justifie la décision de **Vente** : le titre tente un rebond au-dessus de sa moyenne court terme, mais reste prisonnier sous sa moyenne moyen terme, signe que la pression vendeuse n'est pas totalement résorbée.</w:t>
      </w:r>
    </w:p>
    <w:p>
      <w:pPr>
        <w:spacing w:after="120" w:line="276" w:lineRule="auto"/>
      </w:pPr>
      <w:r>
        <w:t>**Bandes de Bollinger** : Le cours (8 050 FCFA) évolue à l'intérieur des bandes, entre la borne inférieure (7 521,84 FCFA) et la borne supérieure (8 343,66 FCFA), sans contact avec les extrêmes. Cette position médiane, couplée à un écart de bandes modéré, traduit une volatilité en cours de normalisation et justifie la décision **Neutre** : ni signal d'achat sur rebond, ni signal de vente sur cassure.</w:t>
      </w:r>
    </w:p>
    <w:p>
      <w:pPr>
        <w:spacing w:after="120" w:line="276" w:lineRule="auto"/>
      </w:pPr>
      <w:r>
        <w:t>**MACD** : La valeur du MACD (-145,688) est supérieure à son signal (-182,558), configuration haussière indiquant un momentum en amélioration, bien que les deux lignes restent en territoire négatif. Cette divergence positive justifie la décision d'**Achat** : le croisement haussier suggère une inflexion prochaine de la tendance si le mouvement se confirme.</w:t>
      </w:r>
    </w:p>
    <w:p>
      <w:pPr>
        <w:spacing w:after="120" w:line="276" w:lineRule="auto"/>
      </w:pPr>
      <w:r>
        <w:t>**RSI** : À 50,0, le RSI se situe exactement à l'équilibre entre zone de surachat (&gt;70) et de survente (&lt;30), traduisant une absence de pression directionnelle dominante. La décision **Neutre** est cohérente : le titre n'offre ni excès acheteur ni excès vendeur exploitable à court terme.</w:t>
      </w:r>
    </w:p>
    <w:p>
      <w:pPr>
        <w:spacing w:after="120" w:line="276" w:lineRule="auto"/>
      </w:pPr>
      <w:r>
        <w:t>**Stochastique** : Le %K (100,0) est en zone de surachat extrême et surplombe le %D (88,449), signalant que le titre a épuisé son potentiel haussier immédiat et qu'un retournement ou une consolidation est probable. Cette configuration justifie la décision de **Vente** : le croisement en zone haute constitue un signal de prudence, voire de prise de bénéfices.</w:t>
      </w:r>
    </w:p>
    <w:p>
      <w:pPr>
        <w:spacing w:after="120" w:line="276" w:lineRule="auto"/>
      </w:pPr>
      <w:r>
        <w:t>**Conclusion technique** : Les indicateurs sont divergents — le MACD plaide pour un achat tandis que les moyennes mobiles et le stochastique recommandent la vente, le RSI et les Bollinger restant neutres. Cette absence de consensus traduit une phase d'indécision du marché, avec un titre coincé entre un rebond technique naissant et une pression baissière persistante sous la MM50. La prudence s'impose tant que le cours ne franchit pas durablement la zone des 8 334 FCFA (MM50).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SPHC a réalisé un chiffre d'affaires de 340,831 milliards FCFA, en croissance de 21,97% sur un an, pour un résultat net de 24,972 milliards FCFA, soit une marge nette de 7,33%. La rentabilité des fonds propres (ROE) s'établit à 18,10%, niveau excellent (&gt;15%), et le ROA à 11,06%, confirmant l'efficacité de l'utilisation des actifs. La structure financière est saine avec une autonomie financière de 61,08% et un ratio d'endettement maîtrisé de 25,81%, tandis que la couverture des intérêts atteint 1 094,57%, traduisant une capacité de remboursement confortable (0,97 an de dettes financières/CAF).</w:t>
      </w:r>
    </w:p>
    <w:p>
      <w:pPr>
        <w:spacing w:after="120" w:line="276" w:lineRule="auto"/>
      </w:pPr>
      <w:r>
        <w:t>**Analyse sectorielle (entreprise agro-industrielle)** : Les délais clients de 35 jours et la durée de stockage de 72,33 jours immobilisent du capital, mais le BFR de 65,389 milliards FCFA est compensé par un fonds de roulement de 49,976 milliards FCFA. La trésorerie nette reste négative à -15,413 milliards FCFA, point de vigilance structurel du secteur, bien qu'en amélioration de 9,89 milliards FCFA par rapport à 2024. Le free cash flow positif de 14,194 milliards FCFA et le flux opérationnel de 37,612 milliards FCFA démontrent la capacité de l'entreprise à générer du cash malgré des investissements soutenus (-23,419 milliards FCFA).</w:t>
      </w:r>
    </w:p>
    <w:p>
      <w:pPr>
        <w:spacing w:after="120" w:line="276" w:lineRule="auto"/>
      </w:pPr>
      <w:r>
        <w:t>**Estimations basées sur les rapports trimestriels** : Le rapport du T1 2026 (publié en 2026) révèle un net coup d'arrêt avec un CA de 71,8 milliards FCFA (-24%) et un résultat net de 2,6 milliards FCFA (-78%), pénalisé par la chute des cours mondiaux du caoutchouc, l'engorgement du port de San Pedro et la concurrence sur la matière première. Sur cette base, on estime que l'exercice 2026 devrait afficher une contraction significative de la rentabilité par rapport à 2025, sauf reprise des cours SICOM 20 (1,91 USD/kg au T1 2026). À l'inverse, les rapports 2025 (T1, S1, T3) montraient une dynamique exceptionnelle (CA +36% à +72%, résultat net multiplié par 2 à 10 selon les périodes), illustrant la forte cyclicité de la filière.</w:t>
      </w:r>
    </w:p>
    <w:p>
      <w:pPr>
        <w:spacing w:after="120" w:line="276" w:lineRule="auto"/>
      </w:pPr>
      <w:r>
        <w:t>**Évolution et recommandation fondamentale** : La trajectoire 2024-2025 est remarquable (CA de 279,4 à 340,8 milliards FCFA, résultat net de 18,8 à 25,0 milliards FCFA, ROE de 15,3% à 18,1%), mais le T1 2026 marque une rupture brutale. La solidité du bilan (capitaux propres de 137,9 milliards FCFA, solvabilité de 256,9%) et la politique de dividende attractive (489 FCFA/action proposé, soit un rendement de ~6,1% au cours actuel) constituent des soutiens. Toutefois, la dépendance à 98,6% aux produits fabriqués et la volatilité des cours du caoutchouc exposent l'entreprise à un risque cyclique élevé. La recommandation fondamentale est **CONSERVER**, avec une surveillance active des indicateurs de trésorerie et des cours mondiaux.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(PER 8,2x, P/B 1,49x, EV/EBITDA 5,2x), suggérant une sous-évaluation relative par rapport aux moyennes du marché BRVM. Le comportement du cours sur 100 jours est haussier (+15,25%) mais heurté, avec une volatilité élevée (43,3%) et une distribution leptokurtique (kurtosis 1,727) signalant un risque de pics brusques, tandis que le skewness positif (1,446) indique une asymétrie favorable aux hausses ponctuelles. Les signaux techniques sont divergents : le MACD est acheteur, mais les moyennes mobiles et le stochastique recommandent la vente, le RSI et les Bollinger restant neutres — configuration d'indécision qui plaide pour la prudence à court terme. Les fondamentaux 2025 sont solides (CA +22%, ROE 18,1%, dividende 489 FCFA/action), mais le T1 2026 (CA -24%, résultat net -78%) révèle une dégradation brutale qui remet en cause la dynamique récente. Les prédictions IA anticipent une trajectoire baissière sur 10 jours (de 7 932 à 7 779 FCFA, soit -3,2%), ce qui contredit le signal MACD mais confirme la pression baissière sous la MM50 et le signal de vente du stochastique. **Recommandation finale : CONSERVER**, avec un biais prudent — la valorisation bon marché et le dividende attractif justifient de ne pas vendre, mais la détérioration du T1 2026 et la divergence technique interdisent tout achat agressif. Le niveau de confiance est **Moyen** (données contradictoires entre fondamental historique et technique court terme), le risque global est **Élevé** (volatilité 43,3%, cyclicité des cours, trésorerie négative), et l'horizon optimal est le **moyen terme (3-12 mois)**, le temps de vérifier si la reprise des cours SICOM 20 se matérialise et si la société confirme sa résilience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6,210 titres</w:t>
            </w:r>
          </w:p>
        </w:tc>
        <w:tc>
          <w:tcPr>
            <w:tcW w:type="dxa" w:w="2268"/>
            <w:shd w:fill="FFF2CC" w:val="clear"/>
          </w:tcPr>
          <w:p>
            <w:r>
              <w:rPr>
                <w:b/>
                <w:color w:val="503200"/>
                <w:sz w:val="16"/>
              </w:rPr>
              <w:t xml:space="preserve">Cours actuel : </w:t>
            </w:r>
            <w:r>
              <w:rPr>
                <w:color w:val="000000"/>
                <w:sz w:val="17"/>
              </w:rPr>
              <w:t>2,195 FCFA</w:t>
            </w:r>
          </w:p>
          <w:p>
            <w:r>
              <w:rPr>
                <w:b/>
                <w:color w:val="503200"/>
                <w:sz w:val="16"/>
              </w:rPr>
              <w:t xml:space="preserve">Var. 100 jours : </w:t>
            </w:r>
            <w:r>
              <w:rPr>
                <w:b/>
                <w:color w:val="B40000"/>
                <w:sz w:val="17"/>
              </w:rPr>
              <w:t>-17.48%</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2,065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15.02% (Élevée) — μ=2,845 FCFA, σ=427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β=-0.0756 (Contre-cyclique) — Cov=-0.000006, Var(idx)=0.000074, ρ=-0.017,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2,024</w:t>
            </w:r>
          </w:p>
        </w:tc>
        <w:tc>
          <w:tcPr>
            <w:tcW w:type="dxa" w:w="1440"/>
            <w:shd w:fill="FAFAFA" w:val="clear"/>
          </w:tcPr>
          <w:p>
            <w:r>
              <w:rPr>
                <w:b/>
                <w:sz w:val="17"/>
              </w:rPr>
              <w:t>2,173</w:t>
            </w:r>
          </w:p>
        </w:tc>
        <w:tc>
          <w:tcPr>
            <w:tcW w:type="dxa" w:w="1440"/>
            <w:shd w:fill="FAFAFA" w:val="clear"/>
          </w:tcPr>
          <w:p>
            <w:r>
              <w:rPr>
                <w:sz w:val="17"/>
              </w:rPr>
              <w:t>2,323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2026-10-12</w:t>
            </w:r>
          </w:p>
        </w:tc>
        <w:tc>
          <w:tcPr>
            <w:tcW w:type="dxa" w:w="1440"/>
            <w:shd w:fill="FAFAFA" w:val="clear"/>
          </w:tcPr>
          <w:p>
            <w:r>
              <w:rPr>
                <w:sz w:val="17"/>
              </w:rPr>
              <w:t>1,981</w:t>
            </w:r>
          </w:p>
        </w:tc>
        <w:tc>
          <w:tcPr>
            <w:tcW w:type="dxa" w:w="1440"/>
            <w:shd w:fill="FAFAFA" w:val="clear"/>
          </w:tcPr>
          <w:p>
            <w:r>
              <w:rPr>
                <w:b/>
                <w:sz w:val="17"/>
              </w:rPr>
              <w:t>2,195</w:t>
            </w:r>
          </w:p>
        </w:tc>
        <w:tc>
          <w:tcPr>
            <w:tcW w:type="dxa" w:w="1440"/>
            <w:shd w:fill="FAFAFA" w:val="clear"/>
          </w:tcPr>
          <w:p>
            <w:r>
              <w:rPr>
                <w:sz w:val="17"/>
              </w:rPr>
              <w:t>2,408</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2026-10-13</w:t>
            </w:r>
          </w:p>
        </w:tc>
        <w:tc>
          <w:tcPr>
            <w:tcW w:type="dxa" w:w="1440"/>
            <w:shd w:fill="FAFAFA" w:val="clear"/>
          </w:tcPr>
          <w:p>
            <w:r>
              <w:rPr>
                <w:sz w:val="17"/>
              </w:rPr>
              <w:t>1,940</w:t>
            </w:r>
          </w:p>
        </w:tc>
        <w:tc>
          <w:tcPr>
            <w:tcW w:type="dxa" w:w="1440"/>
            <w:shd w:fill="FAFAFA" w:val="clear"/>
          </w:tcPr>
          <w:p>
            <w:r>
              <w:rPr>
                <w:b/>
                <w:sz w:val="17"/>
              </w:rPr>
              <w:t>2,202</w:t>
            </w:r>
          </w:p>
        </w:tc>
        <w:tc>
          <w:tcPr>
            <w:tcW w:type="dxa" w:w="1440"/>
            <w:shd w:fill="FAFAFA" w:val="clear"/>
          </w:tcPr>
          <w:p>
            <w:r>
              <w:rPr>
                <w:sz w:val="17"/>
              </w:rPr>
              <w:t>2,465</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1,900</w:t>
            </w:r>
          </w:p>
        </w:tc>
        <w:tc>
          <w:tcPr>
            <w:tcW w:type="dxa" w:w="1440"/>
            <w:shd w:fill="FAFAFA" w:val="clear"/>
          </w:tcPr>
          <w:p>
            <w:r>
              <w:rPr>
                <w:b/>
                <w:sz w:val="17"/>
              </w:rPr>
              <w:t>2,203</w:t>
            </w:r>
          </w:p>
        </w:tc>
        <w:tc>
          <w:tcPr>
            <w:tcW w:type="dxa" w:w="1440"/>
            <w:shd w:fill="FAFAFA" w:val="clear"/>
          </w:tcPr>
          <w:p>
            <w:r>
              <w:rPr>
                <w:sz w:val="17"/>
              </w:rPr>
              <w:t>2,506</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1,863</w:t>
            </w:r>
          </w:p>
        </w:tc>
        <w:tc>
          <w:tcPr>
            <w:tcW w:type="dxa" w:w="1440"/>
            <w:shd w:fill="FAFAFA" w:val="clear"/>
          </w:tcPr>
          <w:p>
            <w:r>
              <w:rPr>
                <w:b/>
                <w:sz w:val="17"/>
              </w:rPr>
              <w:t>2,201</w:t>
            </w:r>
          </w:p>
        </w:tc>
        <w:tc>
          <w:tcPr>
            <w:tcW w:type="dxa" w:w="1440"/>
            <w:shd w:fill="FAFAFA" w:val="clear"/>
          </w:tcPr>
          <w:p>
            <w:r>
              <w:rPr>
                <w:sz w:val="17"/>
              </w:rPr>
              <w:t>2,540</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1,827</w:t>
            </w:r>
          </w:p>
        </w:tc>
        <w:tc>
          <w:tcPr>
            <w:tcW w:type="dxa" w:w="1440"/>
            <w:shd w:fill="FAFAFA" w:val="clear"/>
          </w:tcPr>
          <w:p>
            <w:r>
              <w:rPr>
                <w:b/>
                <w:sz w:val="17"/>
              </w:rPr>
              <w:t>2,198</w:t>
            </w:r>
          </w:p>
        </w:tc>
        <w:tc>
          <w:tcPr>
            <w:tcW w:type="dxa" w:w="1440"/>
            <w:shd w:fill="FAFAFA" w:val="clear"/>
          </w:tcPr>
          <w:p>
            <w:r>
              <w:rPr>
                <w:sz w:val="17"/>
              </w:rPr>
              <w:t>2,569</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1,795</w:t>
            </w:r>
          </w:p>
        </w:tc>
        <w:tc>
          <w:tcPr>
            <w:tcW w:type="dxa" w:w="1440"/>
            <w:shd w:fill="FAFAFA" w:val="clear"/>
          </w:tcPr>
          <w:p>
            <w:r>
              <w:rPr>
                <w:b/>
                <w:sz w:val="17"/>
              </w:rPr>
              <w:t>2,194</w:t>
            </w:r>
          </w:p>
        </w:tc>
        <w:tc>
          <w:tcPr>
            <w:tcW w:type="dxa" w:w="1440"/>
            <w:shd w:fill="FAFAFA" w:val="clear"/>
          </w:tcPr>
          <w:p>
            <w:r>
              <w:rPr>
                <w:sz w:val="17"/>
              </w:rPr>
              <w:t>2,594</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1,764</w:t>
            </w:r>
          </w:p>
        </w:tc>
        <w:tc>
          <w:tcPr>
            <w:tcW w:type="dxa" w:w="1440"/>
            <w:shd w:fill="FAFAFA" w:val="clear"/>
          </w:tcPr>
          <w:p>
            <w:r>
              <w:rPr>
                <w:b/>
                <w:sz w:val="17"/>
              </w:rPr>
              <w:t>2,190</w:t>
            </w:r>
          </w:p>
        </w:tc>
        <w:tc>
          <w:tcPr>
            <w:tcW w:type="dxa" w:w="1440"/>
            <w:shd w:fill="FAFAFA" w:val="clear"/>
          </w:tcPr>
          <w:p>
            <w:r>
              <w:rPr>
                <w:sz w:val="17"/>
              </w:rPr>
              <w:t>2,617</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1,735</w:t>
            </w:r>
          </w:p>
        </w:tc>
        <w:tc>
          <w:tcPr>
            <w:tcW w:type="dxa" w:w="1440"/>
            <w:shd w:fill="FAFAFA" w:val="clear"/>
          </w:tcPr>
          <w:p>
            <w:r>
              <w:rPr>
                <w:b/>
                <w:sz w:val="17"/>
              </w:rPr>
              <w:t>2,187</w:t>
            </w:r>
          </w:p>
        </w:tc>
        <w:tc>
          <w:tcPr>
            <w:tcW w:type="dxa" w:w="1440"/>
            <w:shd w:fill="FAFAFA" w:val="clear"/>
          </w:tcPr>
          <w:p>
            <w:r>
              <w:rPr>
                <w:sz w:val="17"/>
              </w:rPr>
              <w:t>2,638</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1,708</w:t>
            </w:r>
          </w:p>
        </w:tc>
        <w:tc>
          <w:tcPr>
            <w:tcW w:type="dxa" w:w="1440"/>
            <w:shd w:fill="FAFAFA" w:val="clear"/>
          </w:tcPr>
          <w:p>
            <w:r>
              <w:rPr>
                <w:b/>
                <w:sz w:val="17"/>
              </w:rPr>
              <w:t>2,183</w:t>
            </w:r>
          </w:p>
        </w:tc>
        <w:tc>
          <w:tcPr>
            <w:tcW w:type="dxa" w:w="1440"/>
            <w:shd w:fill="FAFAFA" w:val="clear"/>
          </w:tcPr>
          <w:p>
            <w:r>
              <w:rPr>
                <w:sz w:val="17"/>
              </w:rPr>
              <w:t>2,659</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**Bourse Régionale des Valeurs Mobilières (BRVM) — Secteur : BTP / Études &amp; Travaux**</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29,50 milliards FCFA, un niveau modeste à l'échelle de la BRVM qui la classe parmi les petites capitalisations du compartiment industriel. Le BPA ressort à **-7 FCFA/action**, ce qui signifie que chaque action détruite de la valeur comptable plutôt qu'elle n'en génère, conséquence directe d'un résultat net déficitaire de -96,56 M FCFA en 2025. Le PER est donc **négatif (-305,5x)** et non interprétable en termes de multiple bénéficiaire : aucun bénéfice n'existe pour justifier le cours, ce qui rend l'action fondamentalement non valorisable sur cette base. Le P/B de **82,69x** est particulièrement alarmant : le marché valorise l'entreprise à plus de 82 fois ses capitaux propres (356,75 M FCFA), une prime extravagante qui traduit soit une anticipation spéculative de redressement, soit une décorrélation totale entre le prix et la réalité comptable. Aucun EV/EBITDA n'est fourni, mais avec un EBE de -650,13 M FCFA, ce ratio serait également négatif et non pertinent — la valeur d'entreprise ne peut être comparée à une capacité opérationnelle inexistante.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-17,48%**, mais la dernière séance (J-1) enregistre un rebond spectaculaire de **+6,30%**, portant le cours à 2 195 FCFA. Le range de trading est très large, avec un plus haut à 3 640 FCFA et un plus bas à 2 065 FCFA, soit une amplitude de plus de 76% entre les deux extrêmes — signe d'une forte nervosité du marché. La tendance générale est clairement **baissière** sur la période, le cours actuel se situant à 39,7% en dessous de son plus haut, bien que le rebond récent puisse marquer une tentative de stabilisation. Les statistiques descriptives révèlent une **moyenne de 2 845 FCFA** légèrement supérieure à la **médiane de 2 808 FCFA**, avec un mode à 3 500 FCFA : l'écart faible entre moyenne et médiane indique une distribution quasi-symétrique, confirmée par un **skewness de 0,153**. L'écart-type de 430 FCFA (CV=15,1%) traduit une dispersion modérée autour de la moyenne, tandis que le **kurtosis de -0,834** (mésokurtique) suggère une distribution proche de la normale, sans risque excessif de pics extrêmes. La **volatilité annualisée de 60,5%** classe le titre dans la catégorie des valeurs **très volatiles** (&gt;30%), ce qui implique un risque de perte en capital élevé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(2 281,75 FCFA) et la MM50 (2 506,30 FCFA) encadrent le cours actuel (2 195 FCFA) par le haut, la MM50 étant nettement supérieure à la MM20 — configuration baissière typique. Le cours évolue sous ses deux moyennes, confirmant la pression vendeuse ; la décision technique est **Vente**.</w:t>
      </w:r>
    </w:p>
    <w:p>
      <w:pPr>
        <w:spacing w:after="120" w:line="276" w:lineRule="auto"/>
      </w:pPr>
      <w:r>
        <w:t>**Bandes de Bollinger** : Le cours (2 195 FCFA) se situe dans la partie basse du canal, entre la borne inférieure (1 927,57 FCFA) et la borne supérieure (2 635,93 FCFA), sans atteindre les extrêmes. Cette position médiane-basse traduit une volatilité contenue et une absence de signal directionnel fort ; la décision est **Neutre**.</w:t>
      </w:r>
    </w:p>
    <w:p>
      <w:pPr>
        <w:spacing w:after="120" w:line="276" w:lineRule="auto"/>
      </w:pPr>
      <w:r>
        <w:t>**MACD** : La valeur du MACD (-119,07) est légèrement supérieure à son signal (-122,70), générant un croisement haussier marginal. Ce différentiel positif, bien que faible, indique un ralentissement de la dynamique baissière et un possible début de retournement ; la décision est **Achat**.</w:t>
      </w:r>
    </w:p>
    <w:p>
      <w:pPr>
        <w:spacing w:after="120" w:line="276" w:lineRule="auto"/>
      </w:pPr>
      <w:r>
        <w:t>**RSI** : À 42,05, le RSI se situe dans la zone neutre (30-70), sans atteindre la survente (&lt;30) ni la surachat (&gt;70). Cette valeur médiane-basse reflète une pression vendeuse modérée mais non extrême, laissant place à une possible reprise ; la décision est **Neutre**.</w:t>
      </w:r>
    </w:p>
    <w:p>
      <w:pPr>
        <w:spacing w:after="120" w:line="276" w:lineRule="auto"/>
      </w:pPr>
      <w:r>
        <w:t>**Stochastique** : Le %K (41,27) est nettement supérieur au %D (15,13), avec un croisement haussier en cours. Cette configuration suggère que le momentum court terme s'améliore et qu'un rebond technique est en formation ; la décision reste **Neutre** en raison de la position encore basse des deux lignes.</w:t>
      </w:r>
    </w:p>
    <w:p>
      <w:pPr>
        <w:spacing w:after="120" w:line="276" w:lineRule="auto"/>
      </w:pPr>
      <w:r>
        <w:t>**Conclusion technique** : Les indicateurs sont **divergents** — les moyennes mobiles confirment la tendance baissière de fond, tandis que le MACD et le stochastique émettent des signaux haussiers précoces. Le RSI et les bandes de Bollinger restent neutres, traduisant une phase d'indécision. Cette configuration mixte suggère une possible stabilisation à court terme, mais la prédominance des signaux baissiers sur les moyennes mobiles invite à la prudence avant toute entrée.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(SETAO) affiche un chiffre d'affaires de **3,878 milliards FCFA**, en **croissance spectaculaire de +116,26%** par rapport à 2024 (1,793 Md FCFA), portée par la reprise des travaux de l'aéroport d'Abidjan. Cependant, cette dynamique commerciale ne se traduit pas encore en rentabilité : le **résultat net reste déficitaire à -96,56 M FCFA**, et la **marge nette est de -2,49%**. Le **ROE s'établit à -27,07%** (destruction de valeur pour l'actionnaire) et le **ROA à -1,77%**, confirmant l'inefficacité opérationnelle. L'EBE est lourdement négatif à **-650,13 M FCFA**, et la valeur ajoutée ne s'élève qu'à 154,19 M FCFA, soit une marge brute de seulement 3,98% — insuffisante pour couvrir les charges de structure (804,32 M FCFA de charges de personnel). La structure financière est **très fragile** : l'autonomie financière est de **6,55%** (très en dessous du seuil sain de 30%), le ratio d'endettement de **93,45%**, et la capacité de remboursement de **77,53 années** de CAF — un niveau critique. Le BFR est négatif (-930,47 M FCFA), ce qui est favorable en soi (financement par les fournisseurs), mais la trésorerie nette de 1,330 Md FCFA reste le principal point d'appui. **Estimations basées sur les rapports trimestriels** : Le rapport du **30 septembre 2025** (cumul 9 mois) indiquait un CA de 3 456 M FCFA et une perte nette de 477 M FCFA, en amélioration de 22% sur un an ; le rapport du **30 juin 2025** faisait état d'un CA semestriel de 2 271 M FCFA et d'une perte de 557 M FCFA. La trajectoire suggère une **réduction progressive des pertes** (de -557 M au S1 à -477 M sur 9 mois, puis -96,56 M sur l'année), mais la rentabilité opérationnelle demeure hors de portée à court terme. **Recommandation fondamentale** : La société est en **phase de redressement commercial mais reste structurellement déficitaire** ; la dépendance au chantier de l'aéroport d'Abidjan et l'absence de nouveaux contrats constituent des risques majeurs, tandis que la trésorerie positive offre un sursis temporaire.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profonde entre les signaux**. La **valorisation (Partie 0)** est extrêmement préoccupante : PER négatif, P/B de 82,69x — le marché valorise l'entreprise bien au-delà de sa valeur comptable alors qu'elle détruit du capital, ce qui traduit une **surévaluation manifeste** ou une spéculation excessive. Le **comportement du cours (Partie 1)** est baissier sur 100 jours (-17,48%), avec une volatilité très élevée (60,5%) et une distribution quasi-normale (kurtosis -0,834, skewness 0,153) qui n'offre aucun signal directionnel fort, mais le rebond de +6,30% en J-1 pourrait marquer une inflexion. Les **signaux techniques (Partie 2)** sont mitigés : les moyennes mobiles restent baissières, mais le MACD et le stochastique émettent des signaux haussiers précoces, suggérant un possible rebond technique à court terme. Les **fondamentaux (Partie 3)** demeurent très fragiles : malgré une croissance du CA de +116%, la société reste déficitaire (ROE -27,07%, ROA -1,77%), avec une structure financière déséquilibrée (autonomie financière 6,55%) et une dépendance critique à un seul projet. Les **prédictions IA (J+1 à J+10)** anticipent une **stabilisation autour de 2 173-2 203 FCFA**, soit une légère hausse de 0,4% par rapport au cours actuel, ce qui confirme l'absence de tendance forte et la possibilité d'un rebond technique limité. **Recommandation finale : VENTE** — La convergence des signaux fondamentaux (pertes récurrentes, valorisation aberrante) et techniques (tendance baissière de fond) l'emporte sur les signaux haussiers précoces du MACD et du stochastique. Le niveau de confiance est **Moyen** (les indicateurs techniques divergents introduisent une incertitude), et le niveau de risque global est **Élevé** (volatilité 60,5%, structure financière fragile, dépendance à un projet unique). L'horizon d'investissement optimal est **court terme (&lt;3 mois)** pour les spéculateurs cherchant à profiter du rebond technique, mais **la prudence recommande d'éviter le titre** en l'absence de preuves tangibles de redressement durable de la rentabilité opérationnelle.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389.53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3,587 titres</w:t>
            </w:r>
          </w:p>
        </w:tc>
        <w:tc>
          <w:tcPr>
            <w:tcW w:type="dxa" w:w="2268"/>
            <w:shd w:fill="FFF2CC" w:val="clear"/>
          </w:tcPr>
          <w:p>
            <w:r>
              <w:rPr>
                <w:b/>
                <w:color w:val="503200"/>
                <w:sz w:val="16"/>
              </w:rPr>
              <w:t xml:space="preserve">Cours actuel : </w:t>
            </w:r>
            <w:r>
              <w:rPr>
                <w:color w:val="000000"/>
                <w:sz w:val="17"/>
              </w:rPr>
              <w:t>21,695 FCFA</w:t>
            </w:r>
          </w:p>
          <w:p>
            <w:r>
              <w:rPr>
                <w:b/>
                <w:color w:val="503200"/>
                <w:sz w:val="16"/>
              </w:rPr>
              <w:t xml:space="preserve">Var. 100 jours : </w:t>
            </w:r>
            <w:r>
              <w:rPr>
                <w:b/>
                <w:color w:val="007800"/>
                <w:sz w:val="17"/>
              </w:rPr>
              <w:t>+2.33%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4.93% (Faible) — μ=22,566 FCFA, σ=1,112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β=0.4402 (Défensif) — Cov=0.000032, Var(idx)=0.000074, ρ=0.162,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2026-10-09</w:t>
            </w:r>
          </w:p>
        </w:tc>
        <w:tc>
          <w:tcPr>
            <w:tcW w:type="dxa" w:w="1440"/>
            <w:shd w:fill="C6EFCE" w:val="clear"/>
          </w:tcPr>
          <w:p>
            <w:r>
              <w:rPr>
                <w:sz w:val="17"/>
              </w:rPr>
              <w:t>21,626</w:t>
            </w:r>
          </w:p>
        </w:tc>
        <w:tc>
          <w:tcPr>
            <w:tcW w:type="dxa" w:w="1440"/>
            <w:shd w:fill="C6EFCE" w:val="clear"/>
          </w:tcPr>
          <w:p>
            <w:r>
              <w:rPr>
                <w:b/>
                <w:sz w:val="17"/>
              </w:rPr>
              <w:t>22,397</w:t>
            </w:r>
          </w:p>
        </w:tc>
        <w:tc>
          <w:tcPr>
            <w:tcW w:type="dxa" w:w="1440"/>
            <w:shd w:fill="C6EFCE" w:val="clear"/>
          </w:tcPr>
          <w:p>
            <w:r>
              <w:rPr>
                <w:sz w:val="17"/>
              </w:rPr>
              <w:t>23,168</w:t>
            </w:r>
          </w:p>
        </w:tc>
        <w:tc>
          <w:tcPr>
            <w:tcW w:type="dxa" w:w="1440"/>
            <w:shd w:fill="C6EFCE" w:val="clear"/>
          </w:tcPr>
          <w:p>
            <w:r>
              <w:rPr>
                <w:b/>
                <w:color w:val="008000"/>
                <w:sz w:val="17"/>
              </w:rPr>
              <w:t>+3.2%</w:t>
            </w:r>
          </w:p>
        </w:tc>
      </w:tr>
      <w:tr>
        <w:tc>
          <w:tcPr>
            <w:tcW w:type="dxa" w:w="1440"/>
            <w:shd w:fill="C6EFCE" w:val="clear"/>
          </w:tcPr>
          <w:p>
            <w:r>
              <w:rPr>
                <w:sz w:val="17"/>
              </w:rPr>
              <w:t>J+2  ⭐</w:t>
            </w:r>
          </w:p>
        </w:tc>
        <w:tc>
          <w:tcPr>
            <w:tcW w:type="dxa" w:w="1440"/>
            <w:shd w:fill="C6EFCE" w:val="clear"/>
          </w:tcPr>
          <w:p>
            <w:r>
              <w:rPr>
                <w:sz w:val="17"/>
              </w:rPr>
              <w:t>2026-10-12</w:t>
            </w:r>
          </w:p>
        </w:tc>
        <w:tc>
          <w:tcPr>
            <w:tcW w:type="dxa" w:w="1440"/>
            <w:shd w:fill="C6EFCE" w:val="clear"/>
          </w:tcPr>
          <w:p>
            <w:r>
              <w:rPr>
                <w:sz w:val="17"/>
              </w:rPr>
              <w:t>21,498</w:t>
            </w:r>
          </w:p>
        </w:tc>
        <w:tc>
          <w:tcPr>
            <w:tcW w:type="dxa" w:w="1440"/>
            <w:shd w:fill="C6EFCE" w:val="clear"/>
          </w:tcPr>
          <w:p>
            <w:r>
              <w:rPr>
                <w:b/>
                <w:sz w:val="17"/>
              </w:rPr>
              <w:t>22,599</w:t>
            </w:r>
          </w:p>
        </w:tc>
        <w:tc>
          <w:tcPr>
            <w:tcW w:type="dxa" w:w="1440"/>
            <w:shd w:fill="C6EFCE" w:val="clear"/>
          </w:tcPr>
          <w:p>
            <w:r>
              <w:rPr>
                <w:sz w:val="17"/>
              </w:rPr>
              <w:t>23,699</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2026-10-13</w:t>
            </w:r>
          </w:p>
        </w:tc>
        <w:tc>
          <w:tcPr>
            <w:tcW w:type="dxa" w:w="1440"/>
            <w:shd w:fill="C6EFCE" w:val="clear"/>
          </w:tcPr>
          <w:p>
            <w:r>
              <w:rPr>
                <w:sz w:val="17"/>
              </w:rPr>
              <w:t>21,497</w:t>
            </w:r>
          </w:p>
        </w:tc>
        <w:tc>
          <w:tcPr>
            <w:tcW w:type="dxa" w:w="1440"/>
            <w:shd w:fill="C6EFCE" w:val="clear"/>
          </w:tcPr>
          <w:p>
            <w:r>
              <w:rPr>
                <w:b/>
                <w:sz w:val="17"/>
              </w:rPr>
              <w:t>22,861</w:t>
            </w:r>
          </w:p>
        </w:tc>
        <w:tc>
          <w:tcPr>
            <w:tcW w:type="dxa" w:w="1440"/>
            <w:shd w:fill="C6EFCE" w:val="clear"/>
          </w:tcPr>
          <w:p>
            <w:r>
              <w:rPr>
                <w:sz w:val="17"/>
              </w:rPr>
              <w:t>24,225</w:t>
            </w:r>
          </w:p>
        </w:tc>
        <w:tc>
          <w:tcPr>
            <w:tcW w:type="dxa" w:w="1440"/>
            <w:shd w:fill="C6EFCE" w:val="clear"/>
          </w:tcPr>
          <w:p>
            <w:r>
              <w:rPr>
                <w:b/>
                <w:color w:val="008000"/>
                <w:sz w:val="17"/>
              </w:rPr>
              <w:t>+5.4%</w:t>
            </w:r>
          </w:p>
        </w:tc>
      </w:tr>
      <w:tr>
        <w:tc>
          <w:tcPr>
            <w:tcW w:type="dxa" w:w="1440"/>
            <w:shd w:fill="C6EFCE" w:val="clear"/>
          </w:tcPr>
          <w:p>
            <w:r>
              <w:rPr>
                <w:sz w:val="17"/>
              </w:rPr>
              <w:t>J+4  ⭐</w:t>
            </w:r>
          </w:p>
        </w:tc>
        <w:tc>
          <w:tcPr>
            <w:tcW w:type="dxa" w:w="1440"/>
            <w:shd w:fill="C6EFCE" w:val="clear"/>
          </w:tcPr>
          <w:p>
            <w:r>
              <w:rPr>
                <w:sz w:val="17"/>
              </w:rPr>
              <w:t>2026-10-14</w:t>
            </w:r>
          </w:p>
        </w:tc>
        <w:tc>
          <w:tcPr>
            <w:tcW w:type="dxa" w:w="1440"/>
            <w:shd w:fill="C6EFCE" w:val="clear"/>
          </w:tcPr>
          <w:p>
            <w:r>
              <w:rPr>
                <w:sz w:val="17"/>
              </w:rPr>
              <w:t>21,609</w:t>
            </w:r>
          </w:p>
        </w:tc>
        <w:tc>
          <w:tcPr>
            <w:tcW w:type="dxa" w:w="1440"/>
            <w:shd w:fill="C6EFCE" w:val="clear"/>
          </w:tcPr>
          <w:p>
            <w:r>
              <w:rPr>
                <w:b/>
                <w:sz w:val="17"/>
              </w:rPr>
              <w:t>23,207</w:t>
            </w:r>
          </w:p>
        </w:tc>
        <w:tc>
          <w:tcPr>
            <w:tcW w:type="dxa" w:w="1440"/>
            <w:shd w:fill="C6EFCE" w:val="clear"/>
          </w:tcPr>
          <w:p>
            <w:r>
              <w:rPr>
                <w:sz w:val="17"/>
              </w:rPr>
              <w:t>24,806</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2026-10-15</w:t>
            </w:r>
          </w:p>
        </w:tc>
        <w:tc>
          <w:tcPr>
            <w:tcW w:type="dxa" w:w="1440"/>
            <w:shd w:fill="C6EFCE" w:val="clear"/>
          </w:tcPr>
          <w:p>
            <w:r>
              <w:rPr>
                <w:sz w:val="17"/>
              </w:rPr>
              <w:t>21,628</w:t>
            </w:r>
          </w:p>
        </w:tc>
        <w:tc>
          <w:tcPr>
            <w:tcW w:type="dxa" w:w="1440"/>
            <w:shd w:fill="C6EFCE" w:val="clear"/>
          </w:tcPr>
          <w:p>
            <w:r>
              <w:rPr>
                <w:b/>
                <w:sz w:val="17"/>
              </w:rPr>
              <w:t>23,433</w:t>
            </w:r>
          </w:p>
        </w:tc>
        <w:tc>
          <w:tcPr>
            <w:tcW w:type="dxa" w:w="1440"/>
            <w:shd w:fill="C6EFCE" w:val="clear"/>
          </w:tcPr>
          <w:p>
            <w:r>
              <w:rPr>
                <w:sz w:val="17"/>
              </w:rPr>
              <w:t>25,237</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2026-10-16</w:t>
            </w:r>
          </w:p>
        </w:tc>
        <w:tc>
          <w:tcPr>
            <w:tcW w:type="dxa" w:w="1440"/>
            <w:shd w:fill="C6EFCE" w:val="clear"/>
          </w:tcPr>
          <w:p>
            <w:r>
              <w:rPr>
                <w:sz w:val="17"/>
              </w:rPr>
              <w:t>21,652</w:t>
            </w:r>
          </w:p>
        </w:tc>
        <w:tc>
          <w:tcPr>
            <w:tcW w:type="dxa" w:w="1440"/>
            <w:shd w:fill="C6EFCE" w:val="clear"/>
          </w:tcPr>
          <w:p>
            <w:r>
              <w:rPr>
                <w:b/>
                <w:sz w:val="17"/>
              </w:rPr>
              <w:t>23,647</w:t>
            </w:r>
          </w:p>
        </w:tc>
        <w:tc>
          <w:tcPr>
            <w:tcW w:type="dxa" w:w="1440"/>
            <w:shd w:fill="C6EFCE" w:val="clear"/>
          </w:tcPr>
          <w:p>
            <w:r>
              <w:rPr>
                <w:sz w:val="17"/>
              </w:rPr>
              <w:t>25,642</w:t>
            </w:r>
          </w:p>
        </w:tc>
        <w:tc>
          <w:tcPr>
            <w:tcW w:type="dxa" w:w="1440"/>
            <w:shd w:fill="C6EFCE" w:val="clear"/>
          </w:tcPr>
          <w:p>
            <w:r>
              <w:rPr>
                <w:b/>
                <w:color w:val="008000"/>
                <w:sz w:val="17"/>
              </w:rPr>
              <w:t>+9.0%</w:t>
            </w:r>
          </w:p>
        </w:tc>
      </w:tr>
      <w:tr>
        <w:tc>
          <w:tcPr>
            <w:tcW w:type="dxa" w:w="1440"/>
            <w:shd w:fill="C6EFCE" w:val="clear"/>
          </w:tcPr>
          <w:p>
            <w:r>
              <w:rPr>
                <w:sz w:val="17"/>
              </w:rPr>
              <w:t>J+7  ⭐</w:t>
            </w:r>
          </w:p>
        </w:tc>
        <w:tc>
          <w:tcPr>
            <w:tcW w:type="dxa" w:w="1440"/>
            <w:shd w:fill="C6EFCE" w:val="clear"/>
          </w:tcPr>
          <w:p>
            <w:r>
              <w:rPr>
                <w:sz w:val="17"/>
              </w:rPr>
              <w:t>2026-10-19</w:t>
            </w:r>
          </w:p>
        </w:tc>
        <w:tc>
          <w:tcPr>
            <w:tcW w:type="dxa" w:w="1440"/>
            <w:shd w:fill="C6EFCE" w:val="clear"/>
          </w:tcPr>
          <w:p>
            <w:r>
              <w:rPr>
                <w:sz w:val="17"/>
              </w:rPr>
              <w:t>21,656</w:t>
            </w:r>
          </w:p>
        </w:tc>
        <w:tc>
          <w:tcPr>
            <w:tcW w:type="dxa" w:w="1440"/>
            <w:shd w:fill="C6EFCE" w:val="clear"/>
          </w:tcPr>
          <w:p>
            <w:r>
              <w:rPr>
                <w:b/>
                <w:sz w:val="17"/>
              </w:rPr>
              <w:t>23,827</w:t>
            </w:r>
          </w:p>
        </w:tc>
        <w:tc>
          <w:tcPr>
            <w:tcW w:type="dxa" w:w="1440"/>
            <w:shd w:fill="C6EFCE" w:val="clear"/>
          </w:tcPr>
          <w:p>
            <w:r>
              <w:rPr>
                <w:sz w:val="17"/>
              </w:rPr>
              <w:t>25,998</w:t>
            </w:r>
          </w:p>
        </w:tc>
        <w:tc>
          <w:tcPr>
            <w:tcW w:type="dxa" w:w="1440"/>
            <w:shd w:fill="C6EFCE" w:val="clear"/>
          </w:tcPr>
          <w:p>
            <w:r>
              <w:rPr>
                <w:b/>
                <w:color w:val="008000"/>
                <w:sz w:val="17"/>
              </w:rPr>
              <w:t>+9.8%</w:t>
            </w:r>
          </w:p>
        </w:tc>
      </w:tr>
      <w:tr>
        <w:tc>
          <w:tcPr>
            <w:tcW w:type="dxa" w:w="1440"/>
            <w:shd w:fill="C6EFCE" w:val="clear"/>
          </w:tcPr>
          <w:p>
            <w:r>
              <w:rPr>
                <w:sz w:val="17"/>
              </w:rPr>
              <w:t>J+8  ⭐</w:t>
            </w:r>
          </w:p>
        </w:tc>
        <w:tc>
          <w:tcPr>
            <w:tcW w:type="dxa" w:w="1440"/>
            <w:shd w:fill="C6EFCE" w:val="clear"/>
          </w:tcPr>
          <w:p>
            <w:r>
              <w:rPr>
                <w:sz w:val="17"/>
              </w:rPr>
              <w:t>2026-10-20</w:t>
            </w:r>
          </w:p>
        </w:tc>
        <w:tc>
          <w:tcPr>
            <w:tcW w:type="dxa" w:w="1440"/>
            <w:shd w:fill="C6EFCE" w:val="clear"/>
          </w:tcPr>
          <w:p>
            <w:r>
              <w:rPr>
                <w:sz w:val="17"/>
              </w:rPr>
              <w:t>21,635</w:t>
            </w:r>
          </w:p>
        </w:tc>
        <w:tc>
          <w:tcPr>
            <w:tcW w:type="dxa" w:w="1440"/>
            <w:shd w:fill="C6EFCE" w:val="clear"/>
          </w:tcPr>
          <w:p>
            <w:r>
              <w:rPr>
                <w:b/>
                <w:sz w:val="17"/>
              </w:rPr>
              <w:t>23,970</w:t>
            </w:r>
          </w:p>
        </w:tc>
        <w:tc>
          <w:tcPr>
            <w:tcW w:type="dxa" w:w="1440"/>
            <w:shd w:fill="C6EFCE" w:val="clear"/>
          </w:tcPr>
          <w:p>
            <w:r>
              <w:rPr>
                <w:sz w:val="17"/>
              </w:rPr>
              <w:t>26,305</w:t>
            </w:r>
          </w:p>
        </w:tc>
        <w:tc>
          <w:tcPr>
            <w:tcW w:type="dxa" w:w="1440"/>
            <w:shd w:fill="C6EFCE" w:val="clear"/>
          </w:tcPr>
          <w:p>
            <w:r>
              <w:rPr>
                <w:b/>
                <w:color w:val="008000"/>
                <w:sz w:val="17"/>
              </w:rPr>
              <w:t>+10.5%</w:t>
            </w:r>
          </w:p>
        </w:tc>
      </w:tr>
      <w:tr>
        <w:tc>
          <w:tcPr>
            <w:tcW w:type="dxa" w:w="1440"/>
            <w:shd w:fill="C6EFCE" w:val="clear"/>
          </w:tcPr>
          <w:p>
            <w:r>
              <w:rPr>
                <w:sz w:val="17"/>
              </w:rPr>
              <w:t>J+9  ⭐</w:t>
            </w:r>
          </w:p>
        </w:tc>
        <w:tc>
          <w:tcPr>
            <w:tcW w:type="dxa" w:w="1440"/>
            <w:shd w:fill="C6EFCE" w:val="clear"/>
          </w:tcPr>
          <w:p>
            <w:r>
              <w:rPr>
                <w:sz w:val="17"/>
              </w:rPr>
              <w:t>2026-10-21</w:t>
            </w:r>
          </w:p>
        </w:tc>
        <w:tc>
          <w:tcPr>
            <w:tcW w:type="dxa" w:w="1440"/>
            <w:shd w:fill="C6EFCE" w:val="clear"/>
          </w:tcPr>
          <w:p>
            <w:r>
              <w:rPr>
                <w:sz w:val="17"/>
              </w:rPr>
              <w:t>21,597</w:t>
            </w:r>
          </w:p>
        </w:tc>
        <w:tc>
          <w:tcPr>
            <w:tcW w:type="dxa" w:w="1440"/>
            <w:shd w:fill="C6EFCE" w:val="clear"/>
          </w:tcPr>
          <w:p>
            <w:r>
              <w:rPr>
                <w:b/>
                <w:sz w:val="17"/>
              </w:rPr>
              <w:t>24,085</w:t>
            </w:r>
          </w:p>
        </w:tc>
        <w:tc>
          <w:tcPr>
            <w:tcW w:type="dxa" w:w="1440"/>
            <w:shd w:fill="C6EFCE" w:val="clear"/>
          </w:tcPr>
          <w:p>
            <w:r>
              <w:rPr>
                <w:sz w:val="17"/>
              </w:rPr>
              <w:t>26,574</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2026-10-22</w:t>
            </w:r>
          </w:p>
        </w:tc>
        <w:tc>
          <w:tcPr>
            <w:tcW w:type="dxa" w:w="1440"/>
            <w:shd w:fill="C6EFCE" w:val="clear"/>
          </w:tcPr>
          <w:p>
            <w:r>
              <w:rPr>
                <w:sz w:val="17"/>
              </w:rPr>
              <w:t>21,557</w:t>
            </w:r>
          </w:p>
        </w:tc>
        <w:tc>
          <w:tcPr>
            <w:tcW w:type="dxa" w:w="1440"/>
            <w:shd w:fill="C6EFCE" w:val="clear"/>
          </w:tcPr>
          <w:p>
            <w:r>
              <w:rPr>
                <w:b/>
                <w:sz w:val="17"/>
              </w:rPr>
              <w:t>24,192</w:t>
            </w:r>
          </w:p>
        </w:tc>
        <w:tc>
          <w:tcPr>
            <w:tcW w:type="dxa" w:w="1440"/>
            <w:shd w:fill="C6EFCE" w:val="clear"/>
          </w:tcPr>
          <w:p>
            <w:r>
              <w:rPr>
                <w:sz w:val="17"/>
              </w:rPr>
              <w:t>26,826</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(Distribution de tabac)*</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389,53 milliards FCFA, la STBC s'impose comme l'une des plus importantes capitalisations de la BRVM, ce qui témoigne de son statut de valeur de premier plan sur le marché régional. Le BPA de 2 014 FCFA/action indique que chaque titre génère un bénéfice net substantiel, ce qui, rapporté au cours actuel de 21 695 FCFA, donne un PER de 10,8x — un niveau modéré et parfaitement dans la fourchette moyenne du marché BRVM (8-12x), suggérant que les investisseurs ne paient pas de prime excessive pour les bénéfices. En revanche, le P/B de 8,59x traduit une forte prime par rapport à la valeur comptable (capitaux propres de 45,3 Mds FCFA pour une capitalisation de 389,5 Mds FCFA), ce qui est exigeant mais s'explique par la rentabilité exceptionnelle des fonds propres (ROE de 79,75%). Enfin, l'EV/EBITDA de 7,7x se situe dans la fourchette raisonnable de 5-10x, indiquant que la valeur totale de l'entreprise reste cohérente avec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de +2,33%, avec une légère contraction de -0,34% lors de la dernière séance, traduisant une dynamique haussière modérée mais un essoufflement récent. Le cours actuel de 21 695 FCFA se situe dans la partie basse du range de trading, le plus haut ayant atteint 25 000 FCFA et le plus bas 20 895 FCFA, soit un écart de plus de 4 100 FCFA qui illustre une certaine amplitude de négociation. La tendance générale apparaît comme stable à légèrement haussière, le titre évoluant autour de sa moyenne de 22 566 FCFA sans direction franche. Les statistiques descriptives révèlent une moyenne (22 566 FCFA) supérieure à la médiane (22 218 FCFA), avec un mode à 22 000 FCFA, ce qui indique une distribution légèrement asymétrique avec quelques journées de cours élevés tirant la moyenne vers le haut. L'écart-type de 1 117 FCFA (CV de 5,0%) témoigne d'une dispersion relativement faible du cours, tandis que le kurtosis de -0,705 (mésokurtique) suggère une distribution proche de la normale, sans risque majeur de pics extrêmes. Le skewness de +0,570 confirme une asymétrie positive, avec davantage de journées sous la moyenne que au-dessus. La volatilité annualisée de 36,6% positionne le titre dans la catégorie des valeurs à volatilité élevée (&gt;30%), ce qui implique un risque de prix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(21 697,25 FCFA) est quasiment confondue avec le cours actuel (21 695 FCFA), tandis que la MM50 (22 458,7 FCFA) se situe nettement au-dessus, créant une configuration baissière où le cours évolue sous sa moyenne de moyen terme. Cette disposition justifie la décision de vente émise par le modèle, le titre n'ayant pas encore réussi à reconquérir sa MM50.</w:t>
      </w:r>
    </w:p>
    <w:p>
      <w:pPr>
        <w:spacing w:after="120" w:line="276" w:lineRule="auto"/>
      </w:pPr>
      <w:r>
        <w:t>**Bandes de Bollinger :** Le cours actuel (21 695 FCFA) se situe dans la moitié inférieure de la bande, entre la borne inférieure (20 984,64 FCFA) et la borne supérieure (22 409,86 FCFA), sans atteindre les extrêmes. Cette position centrale, combinée à une largeur de bande modérée, justifie la décision neutre, le titre n'étant ni suracheté ni survendu selon ce critère.</w:t>
      </w:r>
    </w:p>
    <w:p>
      <w:pPr>
        <w:spacing w:after="120" w:line="276" w:lineRule="auto"/>
      </w:pPr>
      <w:r>
        <w:t>**MACD :** La valeur du MACD (-166,53) est supérieure à son signal (-245,726), créant une divergence positive qui indique un momentum haussier en formation. Cette configuration, bien que les deux lignes restent en territoire négatif, justifie la décision d'achat, le croisement semblant imminent ou déjà effectué.</w:t>
      </w:r>
    </w:p>
    <w:p>
      <w:pPr>
        <w:spacing w:after="120" w:line="276" w:lineRule="auto"/>
      </w:pPr>
      <w:r>
        <w:t>**RSI :** Avec une valeur de 44,782, le RSI se situe dans la zone neutre (30-70), légèrement en dessous du seuil de 50 qui sépare les territoires haussier et baissier. Cette position médiane justifie la décision neutre, le titre ne présentant ni signal de surachat ni de survente.</w:t>
      </w:r>
    </w:p>
    <w:p>
      <w:pPr>
        <w:spacing w:after="120" w:line="276" w:lineRule="auto"/>
      </w:pPr>
      <w:r>
        <w:t>**Stochastique :** Les valeurs %K (74,074) et %D (79,63) se situent dans la zone haute, proches du seuil de surachat (80), avec %K sous %D suggérant un possible croisement baissier à venir. Cette configuration justifie la décision neutre, le potentiel de hausse semblant limité à court terme.</w:t>
      </w:r>
    </w:p>
    <w:p>
      <w:pPr>
        <w:spacing w:after="120" w:line="276" w:lineRule="auto"/>
      </w:pPr>
      <w:r>
        <w:t>**Conclusion technique :** Les indicateurs techniques présentent un tableau mitigé, avec un MACD haussier contredisant des moyennes mobiles baissières et un stochastique proche de la zone de surachat. Le RSI neutre et les Bandes de Bollinger sans signal fort confirment l'absence de direction claire. Dans l'ensemble, le titre se trouve dans une phase de consolidation, avec une légère prédominance des signaux baissiers à moyen terme mais un potentiel de rebond à court terme porté par le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la SITAB a réalisé un chiffre d'affaires de 268,537 milliards FCFA, en croissance de 25,3% par rapport à 2024, portée par une hausse des volumes (+5,6%) et un effet prix favorable. Le résultat net s'établit à 36,158 milliards FCFA, en baisse de 17,5% par rapport aux 44,174 milliards de 2024, sous l'effet de la hausse des droits d'accises (de 49% à 70%) et d'un contrôle fiscal. La marge nette se contracte à 13,46% (contre 20,7% en 2024), tandis que la marge opérationnelle recule à 17,12%. Les ratios de rentabilité restent exceptionnellement élevés : ROE de 79,75% (bien supérieur au seuil de 15% considéré comme excellent) et ROA de 48,09%, témoignant d'une efficacité remarquable dans l'utilisation des actifs. La structure financière est très saine : autonomie financière de 60,3%, endettement quasi nul (dettes financières de seulement 1,4 million FCFA), et trésorerie nette de 30,763 milliards FCFA. Le BFR est positif à 5,639 milliards FCFA, avec un délai client de 42,57 jours (risque de trésorerie modéré) et une durée de stockage très faible de 5,73 jours, reflétant une rotation rapide des marchandises.</w:t>
      </w:r>
    </w:p>
    <w:p>
      <w:pPr>
        <w:spacing w:after="120" w:line="276" w:lineRule="auto"/>
      </w:pPr>
      <w:r>
        <w:t>**Estimations basées sur les rapports trimestriels :** Le rapport du T1 2026 (publié en 2026) indique un chiffre d'affaires de 68,8 milliards FCFA (+12%) et des volumes en hausse de 10%, marquant un redressement de la dynamique commerciale après la contraction de 2025. Le résultat net recule légèrement de 1% à 9,3 milliards FCFA, avec une marge nette de 13,5%. Le rapport du T2 2026 (publié en 2026) confirme cette tendance avec un CA de 70,05 milliards FCFA (+1%) et un résultat net quasi stable à 8,64 milliards FCFA (-0,2%), démontrant une forte résilience. Sur la base de ces rapports, on peut estimer que l'exercice 2026 devrait afficher une croissance modérée du chiffre d'affaires (autour de +5-8%) et une stabilisation du résultat net autour de 36-38 milliards FCFA, la société parvenant à compenser la pression fiscale par une maîtrise des charges. Le dividende proposé de 1 940 FCFA par action (rendement de 8,9% au cours actuel) reste attractif, bien qu'il représente un taux de distribution de 84,9% du bénéfice net, ce qui limite les capacités de réinvestissement.</w:t>
      </w:r>
    </w:p>
    <w:p>
      <w:pPr>
        <w:spacing w:after="120" w:line="276" w:lineRule="auto"/>
      </w:pPr>
      <w:r>
        <w:t>**Recommandation fondamentale :** La SITAB présente une solidité financière remarquable (absence de dette, trésorerie confortable, rentabilité élevée) et une dynamique commerciale robuste, mais fait face à des défis structurels : pression fiscale croissante, compression des marges, et politique de dividende très généreuse qui épuise progressivement la trésorerie. Les perspectives 2026 semblent orientées vers une stabilisation, avec un risque baissier limité par la position dominante de la société (91,5% de parts de marché) et sa capacité à répercuter les hausses de taxes sur les prix.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STBC apparaît raisonnable avec un PER de 10,8x (dans la moyenne du marché) et un EV/EBITDA de 7,7x, bien que le P/B de 8,59x traduise une prime exigeante justifiée par la rentabilité exceptionnelle des fonds propres. Le comportement du cours sur 100 jours montre une tendance stable à légèrement haussière (+2,33%), avec une volatilité élevée (36,6%) mais une distribution des rendements proche de la normale (kurtosis de -0,705) et une asymétrie positive (skewness de +0,570), suggérant un risque de prix maîtrisé. Les signaux techniques sont mitigés : le MACD haussier contredit des moyennes mobiles baissières, tandis que le RSI neutre et le stochastique proche du surachat n'offrent pas de direction claire, ce qui plaide pour une phase de consolidation. Les fondamentaux restent solides malgré la dégradation des marges en 2025 (marge nette de 13,46%, résultat net de 36,158 Mds FCFA), avec une structure financière sans dette et une trésorerie de 30,763 Mds FCFA, tandis que les rapports T1 et T2 2026 indiquent une stabilisation de l'activité. Les prédictions IA anticipent une hausse progressive du cours vers 23 433 FCFA d'ici le 15 octobre 2026 (+8% par rapport au cours actuel), ce qui confirme le potentiel de rebond à court terme suggéré par le MACD. Sur la base de cette synthèse, la recommandation finale est **CONSERVER**, avec un niveau de confiance **Moyen** et un risque global **Moyen**. En effet, la convergence entre une valorisation raisonnable, des fondamentaux solides, une prédiction haussière à court terme et un dividende attractif (rendement de 8,9%) soutient le maintien de la position, mais l'absence de signal technique fort et la pression persistante sur les marges incitent à la prudence avant tout renforcement. L'horizon d'investissement optimal est le **moyen terme (3-12 mois)**, le temps que la société démontre sa capacité à restaurer ses marges et que les volumes confirment leur redressement.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187.63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6,742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+2.41%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μ=3,024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β=0.1422 (Défensif) — Cov=0.000010, Var(idx)=0.000074, ρ=0.047,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2,874</w:t>
            </w:r>
          </w:p>
        </w:tc>
        <w:tc>
          <w:tcPr>
            <w:tcW w:type="dxa" w:w="1440"/>
            <w:shd w:fill="FAFAFA" w:val="clear"/>
          </w:tcPr>
          <w:p>
            <w:r>
              <w:rPr>
                <w:b/>
                <w:sz w:val="17"/>
              </w:rPr>
              <w:t>2,977</w:t>
            </w:r>
          </w:p>
        </w:tc>
        <w:tc>
          <w:tcPr>
            <w:tcW w:type="dxa" w:w="1440"/>
            <w:shd w:fill="FAFAFA" w:val="clear"/>
          </w:tcPr>
          <w:p>
            <w:r>
              <w:rPr>
                <w:sz w:val="17"/>
              </w:rPr>
              <w:t>3,079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2,828</w:t>
            </w:r>
          </w:p>
        </w:tc>
        <w:tc>
          <w:tcPr>
            <w:tcW w:type="dxa" w:w="1440"/>
            <w:shd w:fill="FAFAFA" w:val="clear"/>
          </w:tcPr>
          <w:p>
            <w:r>
              <w:rPr>
                <w:b/>
                <w:sz w:val="17"/>
              </w:rPr>
              <w:t>2,973</w:t>
            </w:r>
          </w:p>
        </w:tc>
        <w:tc>
          <w:tcPr>
            <w:tcW w:type="dxa" w:w="1440"/>
            <w:shd w:fill="FAFAFA" w:val="clear"/>
          </w:tcPr>
          <w:p>
            <w:r>
              <w:rPr>
                <w:sz w:val="17"/>
              </w:rPr>
              <w:t>3,118</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2,792</w:t>
            </w:r>
          </w:p>
        </w:tc>
        <w:tc>
          <w:tcPr>
            <w:tcW w:type="dxa" w:w="1440"/>
            <w:shd w:fill="FAFAFA" w:val="clear"/>
          </w:tcPr>
          <w:p>
            <w:r>
              <w:rPr>
                <w:b/>
                <w:sz w:val="17"/>
              </w:rPr>
              <w:t>2,969</w:t>
            </w:r>
          </w:p>
        </w:tc>
        <w:tc>
          <w:tcPr>
            <w:tcW w:type="dxa" w:w="1440"/>
            <w:shd w:fill="FAFAFA" w:val="clear"/>
          </w:tcPr>
          <w:p>
            <w:r>
              <w:rPr>
                <w:sz w:val="17"/>
              </w:rPr>
              <w:t>3,147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2,760</w:t>
            </w:r>
          </w:p>
        </w:tc>
        <w:tc>
          <w:tcPr>
            <w:tcW w:type="dxa" w:w="1440"/>
            <w:shd w:fill="FAFAFA" w:val="clear"/>
          </w:tcPr>
          <w:p>
            <w:r>
              <w:rPr>
                <w:b/>
                <w:sz w:val="17"/>
              </w:rPr>
              <w:t>2,965</w:t>
            </w:r>
          </w:p>
        </w:tc>
        <w:tc>
          <w:tcPr>
            <w:tcW w:type="dxa" w:w="1440"/>
            <w:shd w:fill="FAFAFA" w:val="clear"/>
          </w:tcPr>
          <w:p>
            <w:r>
              <w:rPr>
                <w:sz w:val="17"/>
              </w:rPr>
              <w:t>3,170</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2,732</w:t>
            </w:r>
          </w:p>
        </w:tc>
        <w:tc>
          <w:tcPr>
            <w:tcW w:type="dxa" w:w="1440"/>
            <w:shd w:fill="FAFAFA" w:val="clear"/>
          </w:tcPr>
          <w:p>
            <w:r>
              <w:rPr>
                <w:b/>
                <w:sz w:val="17"/>
              </w:rPr>
              <w:t>2,961</w:t>
            </w:r>
          </w:p>
        </w:tc>
        <w:tc>
          <w:tcPr>
            <w:tcW w:type="dxa" w:w="1440"/>
            <w:shd w:fill="FAFAFA" w:val="clear"/>
          </w:tcPr>
          <w:p>
            <w:r>
              <w:rPr>
                <w:sz w:val="17"/>
              </w:rPr>
              <w:t>3,190</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2,706</w:t>
            </w:r>
          </w:p>
        </w:tc>
        <w:tc>
          <w:tcPr>
            <w:tcW w:type="dxa" w:w="1440"/>
            <w:shd w:fill="FAFAFA" w:val="clear"/>
          </w:tcPr>
          <w:p>
            <w:r>
              <w:rPr>
                <w:b/>
                <w:sz w:val="17"/>
              </w:rPr>
              <w:t>2,956</w:t>
            </w:r>
          </w:p>
        </w:tc>
        <w:tc>
          <w:tcPr>
            <w:tcW w:type="dxa" w:w="1440"/>
            <w:shd w:fill="FAFAFA" w:val="clear"/>
          </w:tcPr>
          <w:p>
            <w:r>
              <w:rPr>
                <w:sz w:val="17"/>
              </w:rPr>
              <w:t>3,207</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2,682</w:t>
            </w:r>
          </w:p>
        </w:tc>
        <w:tc>
          <w:tcPr>
            <w:tcW w:type="dxa" w:w="1440"/>
            <w:shd w:fill="FAFAFA" w:val="clear"/>
          </w:tcPr>
          <w:p>
            <w:r>
              <w:rPr>
                <w:b/>
                <w:sz w:val="17"/>
              </w:rPr>
              <w:t>2,952</w:t>
            </w:r>
          </w:p>
        </w:tc>
        <w:tc>
          <w:tcPr>
            <w:tcW w:type="dxa" w:w="1440"/>
            <w:shd w:fill="FAFAFA" w:val="clear"/>
          </w:tcPr>
          <w:p>
            <w:r>
              <w:rPr>
                <w:sz w:val="17"/>
              </w:rPr>
              <w:t>3,222</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2,660</w:t>
            </w:r>
          </w:p>
        </w:tc>
        <w:tc>
          <w:tcPr>
            <w:tcW w:type="dxa" w:w="1440"/>
            <w:shd w:fill="FAFAFA" w:val="clear"/>
          </w:tcPr>
          <w:p>
            <w:r>
              <w:rPr>
                <w:b/>
                <w:sz w:val="17"/>
              </w:rPr>
              <w:t>2,948</w:t>
            </w:r>
          </w:p>
        </w:tc>
        <w:tc>
          <w:tcPr>
            <w:tcW w:type="dxa" w:w="1440"/>
            <w:shd w:fill="FAFAFA" w:val="clear"/>
          </w:tcPr>
          <w:p>
            <w:r>
              <w:rPr>
                <w:sz w:val="17"/>
              </w:rPr>
              <w:t>3,236</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2,639</w:t>
            </w:r>
          </w:p>
        </w:tc>
        <w:tc>
          <w:tcPr>
            <w:tcW w:type="dxa" w:w="1440"/>
            <w:shd w:fill="FAFAFA" w:val="clear"/>
          </w:tcPr>
          <w:p>
            <w:r>
              <w:rPr>
                <w:b/>
                <w:sz w:val="17"/>
              </w:rPr>
              <w:t>2,944</w:t>
            </w:r>
          </w:p>
        </w:tc>
        <w:tc>
          <w:tcPr>
            <w:tcW w:type="dxa" w:w="1440"/>
            <w:shd w:fill="FAFAFA" w:val="clear"/>
          </w:tcPr>
          <w:p>
            <w:r>
              <w:rPr>
                <w:sz w:val="17"/>
              </w:rPr>
              <w:t>3,249</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2,618</w:t>
            </w:r>
          </w:p>
        </w:tc>
        <w:tc>
          <w:tcPr>
            <w:tcW w:type="dxa" w:w="1440"/>
            <w:shd w:fill="FAFAFA" w:val="clear"/>
          </w:tcPr>
          <w:p>
            <w:r>
              <w:rPr>
                <w:b/>
                <w:sz w:val="17"/>
              </w:rPr>
              <w:t>2,940</w:t>
            </w:r>
          </w:p>
        </w:tc>
        <w:tc>
          <w:tcPr>
            <w:tcW w:type="dxa" w:w="1440"/>
            <w:shd w:fill="FAFAFA" w:val="clear"/>
          </w:tcPr>
          <w:p>
            <w:r>
              <w:rPr>
                <w:sz w:val="17"/>
              </w:rPr>
              <w:t>3,261</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187,63 milliards FCFA, TTLC figure parmi les valeurs les plus importantes de la cote BRVM, ce qui en fait un pilier de l'indice composite et un titre de référence pour les investisseurs institutionnels régionaux. Le BPA de 144 FCFA/action signifie que chaque titre génère 144 FCFA de bénéfice net, mais le PER de 20,6x traduit un prix payé très supérieur à la moyenne du marché (8-12x), signalant soit une prime de qualité/leadership, soit une surévaluation relative. Le P/B de 5,18x confirme cette exigence : le marché valorise l'entreprise à plus de cinq fois sa valeur comptable, ce qui est élevé pour un distributeur de carburants à faible marge nette (1,54%). Enfin, l'EV/EBITDA de 10,8x situe la valeur d'entreprise à près de onze fois la capacité opérationnelle, un niveau correct mais qui n'offre pas de marge de sécurité évidente ; l'ensemble de ces ratios dessine un titre « cher » dont la justification repose sur la solidité du dividende et la position dominante.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modeste de +2,41%, mais la dernière séance (J-1) recule de -0,33%, traduisant un essoufflement de court terme. Le cours actuel de 2 980 FCFA évolue dans un range de 825 FCFA entre le plus bas (2 770 FCFA) et le plus haut (3 595 FCFA), soit une amplitude de près de 30% qui révèle une forte sensibilité aux flux acheteurs/vendeurs sur un marché peu liquide (volume moyen de 6 742 titres/jour). La tendance générale est donc haussière sur la période mais avec une dynamique récente baissière, le cours revenant vers le bas du range. Les statistiques descriptives confirment cette asymétrie : la moyenne (3 024 FCFA) dépasse la médiane (2 962 FCFA) et le mode (2 900 FCFA), signe que quelques séances hautes tirent la moyenne vers le haut tandis que la majorité des cotations se situent sous cette moyenne — cohérent avec le skewness positif de 0,898 (plus de journées sous la moyenne). L'écart-type de 191 FCFA (CV de 6,3%) indique une dispersion modérée autour de la tendance, et le kurtosis de -0,276 (mésokurtique) suggère une distribution proche de la normale, sans risque de pics extrêmes marqué. La volatilité annualisée de 40,5% classe le titre dans la catégorie « élevée » (&gt;30%), ce qui est typique des valeurs BRVM à faible flottant et impose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(3 132,75 FCFA) et la MM50 (3 160,40 FCFA) se situent toutes deux nettement au-dessus du cours actuel (2 980 FCFA), avec la MM20 légèrement sous la MM50 — configuration baissière classique. Le cours évoluant sous ses deux moyennes, la pression vendeuse domine et la décision « Vente » est techniquement justifiée.</w:t>
      </w:r>
    </w:p>
    <w:p>
      <w:pPr>
        <w:spacing w:after="120" w:line="276" w:lineRule="auto"/>
      </w:pPr>
      <w:r>
        <w:t>**Bandes de Bollinger** : Le cours (2 980 FCFA) se situe dans la partie basse de la bande, proche de la borne inférieure (2 901,68 FCFA) et loin de la borne supérieure (3 363,82 FCFA). Cette position indique une pression baissière mais aussi un potentiel de rebond technique si le support tient ; la décision « Neutre » reflète cette incertitude entre survente naissante et tendance baissière.</w:t>
      </w:r>
    </w:p>
    <w:p>
      <w:pPr>
        <w:spacing w:after="120" w:line="276" w:lineRule="auto"/>
      </w:pPr>
      <w:r>
        <w:t>**MACD** : La valeur du MACD (-55,329) est inférieure à son signal (-36,174), avec un histogramme négatif — configuration baissière confirmée. Le momentum reste négatif et aucune divergence haussière n'est visible, ce qui valide la décision « Vente » et suggère que la pression baissière n'est pas encore épuisée.</w:t>
      </w:r>
    </w:p>
    <w:p>
      <w:pPr>
        <w:spacing w:after="120" w:line="276" w:lineRule="auto"/>
      </w:pPr>
      <w:r>
        <w:t>**RSI** : À 30,667, le RSI frôle la zone de survente (&lt;30) sans y entrer franchement. La décision « Neutre » est appropriée : le titre n'est pas encore techniquement survendu, mais la proximité du seuil appelle à la prudence avant toute vente agressive.</w:t>
      </w:r>
    </w:p>
    <w:p>
      <w:pPr>
        <w:spacing w:after="120" w:line="276" w:lineRule="auto"/>
      </w:pPr>
      <w:r>
        <w:t>**Stochastique** : Le %K à 0,0 et le %D à 5,029 sont en zone de survente extrême, avec un %K au plancher absolu. La décision « Achat » contraste avec les autres indicateurs et signale un possible rebond technique imminent, bien que le signal soit fragile en l'absence de confirmation par les volumes.</w:t>
      </w:r>
    </w:p>
    <w:p>
      <w:pPr>
        <w:spacing w:after="120" w:line="276" w:lineRule="auto"/>
      </w:pPr>
      <w:r>
        <w:t>**Conclusion technique** : Les indicateurs sont majoritairement baissiers (MM, MACD) avec un RSI et des Bollinger neutres, mais le stochastique en survente extrême (%K=0) constitue un signal d'achat contrarien. Cette divergence suggère un titre en fin de correction baissière, avec un potentiel de rebond technique à court terme mais sans confirmation de retournement durable —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TotalEnergies Marketing Côte d'Ivoire affiche un chiffre d'affaires de 588,709 milliards FCFA, en repli de -5,21% par rapport à 2024 (621,042 Mds FCFA), dans un contexte de baisse des ventes hors réseau. Le résultat net s'établit à 9,087 milliards FCFA (-3% vs 9,374 Mds en 2024), avec une marge nette de 1,54% — typique d'un distributeur à faible marge mais à fort volume. La rentabilité des fonds propres (ROE) reste excellente à 25,10%, bien supérieure au seuil de 15%, tandis que le ROA de 4,82% reflète la faible intensité capitalistique du modèle. En tant qu'entreprise commerciale, TTLC présente un BFR négatif de -9,662 Mds FCFA (favorable, car financé par les fournisseurs), un délai fournisseurs de 49,72 jours (bon pour la trésorerie) et une durée de stockage de 13,80 jours (rotation rapide). Cependant, la structure financière est tendue : autonomie financière de 19,21% (&lt;30% = fragile), ratio d'endettement de 90,23% et trésorerie nette négative de -21,926 Mds FCFA, ce qui expose l'entreprise aux taux d'intérêt. Les rapports trimestriels confirment la dynamique : le T1 2026 (rapport 2026) affiche un CA de 154,392 Mds FCFA (+4,3%) et un résultat net de 2,329 Mds FCFA (+5,5%), signalant un retour à la croissance après une année 2025 difficile. Sur la base de ce T1 2026, on estime que l'exercice 2026 devrait renouer avec une croissance modérée du CA (+3-5%) et une stabilisation du résultat net autour de 9,5-10 Mds FCFA. La politique de dividende reste généreuse (10 Mds FCFA distribués en 2025, soit un payout &gt;100%), mais cette distribution supérieure au bénéfice puise dans les réserves et n'est pas soutenable à long terme sans amélioration de la trésorerie. En synthèse, TTLC est un leader solide et rentable (ROE 25%), mais sa structure financière déséquilibrée et sa trésorerie négative constituent des risques à surveiller ; la recommandation fondamentale est « Conserver » avec un biais positif si la croissance du T1 2026 se confirme.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20,6x, P/B de 5,18x et EV/EBITDA de 10,8x placent TTLC au-dessus des moyennes du marché, ce qui intègre déjà une prime de leadership et de dividende mais limite le potentiel de revalorisation. Le comportement du cours (Partie 1) est mitigé : tendance haussière sur 100 jours (+2,41%) mais essoufflement récent (-0,33% en J-1), avec une volatilité élevée (40,5%) et une asymétrie positive (skewness 0,898) qui indique que les baisses sont plus fréquentes que les hausses — un profil peu favorable. Les signaux techniques (Partie 2) sont divergents : majoritairement baissiers (MM, MACD) mais avec un stochastique en survente extrême (%K=0) qui plaide pour un rebond contrarien à court terme. Les fondamentaux (Partie 3) sont solides sur la rentabilité (ROE 25,10%, marge nette stable à 1,54%) et le leadership, mais fragiles sur la structure financière (autonomie 19,21%, trésorerie nette -21,9 Mds FCFA) et la soutenabilité du dividende (payout &gt;100%) ; le T1 2026 (+4,3% de CA, +5,5% de résultat net) offre toutefois une lueur d'espoir. Les prédictions IA (J+1 à J+10) anticipent une légère dérive baissière de 2 977 à 2 961 FCFA, confirmant la pression baissière de court terme sans effondrement. Sur la base de cette synthèse, la recommandation finale est **CONSERVER** : le titre est correctement valorisé (ni bon marché, ni excessif), les fondamentaux sont solides mais la trésorerie négative et le payout élevé limitent le potentiel haussier, et les signaux techniques mitigés (baissiers mais survente) ne justifient pas d'achat agressif. Le niveau de confiance est **Moyen** (divergence entre technique baissier et stochastique haussier, fondamentaux corrects mais risqués), le risque global est **Moyen à Élevé** (volatilité 40,5%, endettement 90%, trésorerie négative), et l'horizon d'investissement optimal est le **moyen terme (3-12 mois)**, le temps que la croissance du T1 2026 se confirme et que la structure financière s'améliore.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3,301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+26.46%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7.97% (Moyenne) — μ=3,690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β=0.4793 (Défensif) — Cov=0.000035, Var(idx)=0.000074,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2026-10-09</w:t>
            </w:r>
          </w:p>
        </w:tc>
        <w:tc>
          <w:tcPr>
            <w:tcW w:type="dxa" w:w="1440"/>
            <w:shd w:fill="FFDCE0" w:val="clear"/>
          </w:tcPr>
          <w:p>
            <w:r>
              <w:rPr>
                <w:sz w:val="17"/>
              </w:rPr>
              <w:t>3,571</w:t>
            </w:r>
          </w:p>
        </w:tc>
        <w:tc>
          <w:tcPr>
            <w:tcW w:type="dxa" w:w="1440"/>
            <w:shd w:fill="FFDCE0" w:val="clear"/>
          </w:tcPr>
          <w:p>
            <w:r>
              <w:rPr>
                <w:b/>
                <w:sz w:val="17"/>
              </w:rPr>
              <w:t>3,697</w:t>
            </w:r>
          </w:p>
        </w:tc>
        <w:tc>
          <w:tcPr>
            <w:tcW w:type="dxa" w:w="1440"/>
            <w:shd w:fill="FFDCE0" w:val="clear"/>
          </w:tcPr>
          <w:p>
            <w:r>
              <w:rPr>
                <w:sz w:val="17"/>
              </w:rPr>
              <w:t>3,823</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2026-10-12</w:t>
            </w:r>
          </w:p>
        </w:tc>
        <w:tc>
          <w:tcPr>
            <w:tcW w:type="dxa" w:w="1440"/>
            <w:shd w:fill="FFDCE0" w:val="clear"/>
          </w:tcPr>
          <w:p>
            <w:r>
              <w:rPr>
                <w:sz w:val="17"/>
              </w:rPr>
              <w:t>3,505</w:t>
            </w:r>
          </w:p>
        </w:tc>
        <w:tc>
          <w:tcPr>
            <w:tcW w:type="dxa" w:w="1440"/>
            <w:shd w:fill="FFDCE0" w:val="clear"/>
          </w:tcPr>
          <w:p>
            <w:r>
              <w:rPr>
                <w:b/>
                <w:sz w:val="17"/>
              </w:rPr>
              <w:t>3,683</w:t>
            </w:r>
          </w:p>
        </w:tc>
        <w:tc>
          <w:tcPr>
            <w:tcW w:type="dxa" w:w="1440"/>
            <w:shd w:fill="FFDCE0" w:val="clear"/>
          </w:tcPr>
          <w:p>
            <w:r>
              <w:rPr>
                <w:sz w:val="17"/>
              </w:rPr>
              <w:t>3,861</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2026-10-13</w:t>
            </w:r>
          </w:p>
        </w:tc>
        <w:tc>
          <w:tcPr>
            <w:tcW w:type="dxa" w:w="1440"/>
            <w:shd w:fill="FFDCE0" w:val="clear"/>
          </w:tcPr>
          <w:p>
            <w:r>
              <w:rPr>
                <w:sz w:val="17"/>
              </w:rPr>
              <w:t>3,452</w:t>
            </w:r>
          </w:p>
        </w:tc>
        <w:tc>
          <w:tcPr>
            <w:tcW w:type="dxa" w:w="1440"/>
            <w:shd w:fill="FFDCE0" w:val="clear"/>
          </w:tcPr>
          <w:p>
            <w:r>
              <w:rPr>
                <w:b/>
                <w:sz w:val="17"/>
              </w:rPr>
              <w:t>3,669</w:t>
            </w:r>
          </w:p>
        </w:tc>
        <w:tc>
          <w:tcPr>
            <w:tcW w:type="dxa" w:w="1440"/>
            <w:shd w:fill="FFDCE0" w:val="clear"/>
          </w:tcPr>
          <w:p>
            <w:r>
              <w:rPr>
                <w:sz w:val="17"/>
              </w:rPr>
              <w:t>3,886</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3,408</w:t>
            </w:r>
          </w:p>
        </w:tc>
        <w:tc>
          <w:tcPr>
            <w:tcW w:type="dxa" w:w="1440"/>
            <w:shd w:fill="FFDCE0" w:val="clear"/>
          </w:tcPr>
          <w:p>
            <w:r>
              <w:rPr>
                <w:b/>
                <w:sz w:val="17"/>
              </w:rPr>
              <w:t>3,657</w:t>
            </w:r>
          </w:p>
        </w:tc>
        <w:tc>
          <w:tcPr>
            <w:tcW w:type="dxa" w:w="1440"/>
            <w:shd w:fill="FFDCE0" w:val="clear"/>
          </w:tcPr>
          <w:p>
            <w:r>
              <w:rPr>
                <w:sz w:val="17"/>
              </w:rPr>
              <w:t>3,907</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3,370</w:t>
            </w:r>
          </w:p>
        </w:tc>
        <w:tc>
          <w:tcPr>
            <w:tcW w:type="dxa" w:w="1440"/>
            <w:shd w:fill="FFDCE0" w:val="clear"/>
          </w:tcPr>
          <w:p>
            <w:r>
              <w:rPr>
                <w:b/>
                <w:sz w:val="17"/>
              </w:rPr>
              <w:t>3,648</w:t>
            </w:r>
          </w:p>
        </w:tc>
        <w:tc>
          <w:tcPr>
            <w:tcW w:type="dxa" w:w="1440"/>
            <w:shd w:fill="FFDCE0" w:val="clear"/>
          </w:tcPr>
          <w:p>
            <w:r>
              <w:rPr>
                <w:sz w:val="17"/>
              </w:rPr>
              <w:t>3,927</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3,336</w:t>
            </w:r>
          </w:p>
        </w:tc>
        <w:tc>
          <w:tcPr>
            <w:tcW w:type="dxa" w:w="1440"/>
            <w:shd w:fill="FFDCE0" w:val="clear"/>
          </w:tcPr>
          <w:p>
            <w:r>
              <w:rPr>
                <w:b/>
                <w:sz w:val="17"/>
              </w:rPr>
              <w:t>3,640</w:t>
            </w:r>
          </w:p>
        </w:tc>
        <w:tc>
          <w:tcPr>
            <w:tcW w:type="dxa" w:w="1440"/>
            <w:shd w:fill="FFDCE0" w:val="clear"/>
          </w:tcPr>
          <w:p>
            <w:r>
              <w:rPr>
                <w:sz w:val="17"/>
              </w:rPr>
              <w:t>3,944</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3,304</w:t>
            </w:r>
          </w:p>
        </w:tc>
        <w:tc>
          <w:tcPr>
            <w:tcW w:type="dxa" w:w="1440"/>
            <w:shd w:fill="FFDCE0" w:val="clear"/>
          </w:tcPr>
          <w:p>
            <w:r>
              <w:rPr>
                <w:b/>
                <w:sz w:val="17"/>
              </w:rPr>
              <w:t>3,632</w:t>
            </w:r>
          </w:p>
        </w:tc>
        <w:tc>
          <w:tcPr>
            <w:tcW w:type="dxa" w:w="1440"/>
            <w:shd w:fill="FFDCE0" w:val="clear"/>
          </w:tcPr>
          <w:p>
            <w:r>
              <w:rPr>
                <w:sz w:val="17"/>
              </w:rPr>
              <w:t>3,960</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3,275</w:t>
            </w:r>
          </w:p>
        </w:tc>
        <w:tc>
          <w:tcPr>
            <w:tcW w:type="dxa" w:w="1440"/>
            <w:shd w:fill="FFDCE0" w:val="clear"/>
          </w:tcPr>
          <w:p>
            <w:r>
              <w:rPr>
                <w:b/>
                <w:sz w:val="17"/>
              </w:rPr>
              <w:t>3,625</w:t>
            </w:r>
          </w:p>
        </w:tc>
        <w:tc>
          <w:tcPr>
            <w:tcW w:type="dxa" w:w="1440"/>
            <w:shd w:fill="FFDCE0" w:val="clear"/>
          </w:tcPr>
          <w:p>
            <w:r>
              <w:rPr>
                <w:sz w:val="17"/>
              </w:rPr>
              <w:t>3,975</w:t>
            </w:r>
          </w:p>
        </w:tc>
        <w:tc>
          <w:tcPr>
            <w:tcW w:type="dxa" w:w="1440"/>
            <w:shd w:fill="FFDCE0" w:val="clear"/>
          </w:tcPr>
          <w:p>
            <w:r>
              <w:rPr>
                <w:b/>
                <w:color w:val="C00000"/>
                <w:sz w:val="17"/>
              </w:rPr>
              <w:t>-4.6%</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3,247</w:t>
            </w:r>
          </w:p>
        </w:tc>
        <w:tc>
          <w:tcPr>
            <w:tcW w:type="dxa" w:w="1440"/>
            <w:shd w:fill="FFDCE0" w:val="clear"/>
          </w:tcPr>
          <w:p>
            <w:r>
              <w:rPr>
                <w:b/>
                <w:sz w:val="17"/>
              </w:rPr>
              <w:t>3,618</w:t>
            </w:r>
          </w:p>
        </w:tc>
        <w:tc>
          <w:tcPr>
            <w:tcW w:type="dxa" w:w="1440"/>
            <w:shd w:fill="FFDCE0" w:val="clear"/>
          </w:tcPr>
          <w:p>
            <w:r>
              <w:rPr>
                <w:sz w:val="17"/>
              </w:rPr>
              <w:t>3,988</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3,221</w:t>
            </w:r>
          </w:p>
        </w:tc>
        <w:tc>
          <w:tcPr>
            <w:tcW w:type="dxa" w:w="1440"/>
            <w:shd w:fill="FFDCE0" w:val="clear"/>
          </w:tcPr>
          <w:p>
            <w:r>
              <w:rPr>
                <w:b/>
                <w:sz w:val="17"/>
              </w:rPr>
              <w:t>3,611</w:t>
            </w:r>
          </w:p>
        </w:tc>
        <w:tc>
          <w:tcPr>
            <w:tcW w:type="dxa" w:w="1440"/>
            <w:shd w:fill="FFDCE0" w:val="clear"/>
          </w:tcPr>
          <w:p>
            <w:r>
              <w:rPr>
                <w:sz w:val="17"/>
              </w:rPr>
              <w:t>4,001</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123,80 milliards FCFA, TTLS figure parmi les valeurs moyennes les plus liquides et les plus emblématiques de la cote BRVM, portée par un actionnariat de contrôle solide (TotalEnergies SE à 69,1 %). Le BPA de 208 FCFA/action signifie que chaque titre génère un peu plus de 200 FCFA de bénéfice net, ce qui, rapporté au cours actuel de 3 800 FCFA, aboutit à un PER de 18,3x — nettement supérieur à la moyenne du marché BRVM (8-12x), signalant que les investisseurs paient une prime de qualité et de liquidité pour ce leader sectoriel. Le P/B de 4,38x confirme cette valorisation exigeante : le marché valorise l'entreprise à plus de quatre fois sa valeur comptable, ce qui se justifie par la faiblesse relative des fonds propres (28,2 Mds FCFA) au regard de la puissance de génération de cash-flows. Enfin, l'EV/EBITDA de 7,8x, situé dans la fourchette raisonnable de 5-10x, indique que la valeur d'entreprise reste cohérente avec la capacité opérationnelle dégagée,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performance remarquable de +26,46 %, avec une dernière séance particulièrement dynamique (+5,26 % en J-1), ce qui traduit un net regain d'intérêt acheteur à court terme. Le cours actuel de 3 800 FCFA se situe dans la partie haute du range de trading établi entre un plus bas de 2 990 FCFA et un plus haut de 4 500 FCFA, matérialisant une tendance générale haussière malgré une correction depuis les sommets. Les statistiques descriptives révèlent une distribution quasi-normale : la moyenne (3 690 FCFA) et la médiane (3 695 FCFA) sont pratiquement confondues, tandis que le mode à 3 800 FCFA coïncide avec le cours actuel, signe d'une forte concentration des échanges autour de ce niveau. L'écart-type de 295 FCFA (CV = 8,0 %) indique une dispersion modérée du cours, et le kurtosis de 0,398 (mésokurtique) ainsi que le skewness de 0,111 (distribution symétrique) suggèrent l'absence de risque de pics extrêmes ou d'asymétrie marquée — un profil rassurant pour la gestion du risque. En revanche, la volatilité annualisée de 42,6 % classe le titre dans la catégorie des valeurs à volatilité élevée (&gt;30 %), ce qui impose une tolérance au risque significative et invite à la prudence sur les horizons courts.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(3 784,0 FCFA) et la MM50 (3 747,1 FCFA) se situent toutes deux sous le cours actuel de 3 800 FCFA, et la MM20 est supérieure à la MM50, configurant un croisement haussier classique. Cette configuration traduit une dynamique positive de court et moyen terme, ce qui justifie la décision technique d'**Achat**.</w:t>
      </w:r>
    </w:p>
    <w:p>
      <w:pPr>
        <w:spacing w:after="120" w:line="276" w:lineRule="auto"/>
      </w:pPr>
      <w:r>
        <w:t>**Bandes de Bollinger** : Le cours (3 800 FCFA) évolue à l'intérieur des bandes, entre la borne inférieure (3 515,6 FCFA) et la borne supérieure (4 052,4 FCFA), sans toucher les extrêmes. Cette position médiane, couplée à un écart-type de 295 FCFA, indique une volatilité contenue et l'absence de signal de rupture, d'où la décision **Neutre**.</w:t>
      </w:r>
    </w:p>
    <w:p>
      <w:pPr>
        <w:spacing w:after="120" w:line="276" w:lineRule="auto"/>
      </w:pPr>
      <w:r>
        <w:t>**MACD** : La valeur du MACD (-43,098) est inférieure à sa ligne de signal (-33,136), et les deux sont en territoire négatif. Cette divergence baissière signale un momentum affaibli malgré la récente progression du cours, ce qui justifie la décision de **Vente** — un signal contradictoire avec les moyennes mobiles qu'il convient de surveiller.</w:t>
      </w:r>
    </w:p>
    <w:p>
      <w:pPr>
        <w:spacing w:after="120" w:line="276" w:lineRule="auto"/>
      </w:pPr>
      <w:r>
        <w:t>**RSI** : À 50,0, le RSI se situe exactement au point d'équilibre entre surachat (&gt;70) et survente (&lt;30), traduisant une absence de pression directionnelle nette. La décision est logiquement **Neutre**, le titre n'étant ni surétendu ni survendu.</w:t>
      </w:r>
    </w:p>
    <w:p>
      <w:pPr>
        <w:spacing w:after="120" w:line="276" w:lineRule="auto"/>
      </w:pPr>
      <w:r>
        <w:t>**Stochastique** : Le %K (57,143) est nettement supérieur au %D (21,905), ce qui constitue un croisement haussier potentiel en zone basse-médiane. Toutefois, la prudence reste de mise car le %D reste faible, d'où la décision **Neutre** — le signal haussier demande confirmation.</w:t>
      </w:r>
    </w:p>
    <w:p>
      <w:pPr>
        <w:spacing w:after="120" w:line="276" w:lineRule="auto"/>
      </w:pPr>
      <w:r>
        <w:t>**Conclusion technique** : Les indicateurs sont globalement partagés. Les moyennes mobiles plaident pour un achat, le stochastique esquisse un rebond, mais le MACD en territoire négatif et le RSI neutre tempèrent l'enthousiasme. Le titre se trouve dans une zone de consolidation haussière, avec un biais positif modéré mais une absence de signal fort de rupture — une configuration qui appelle à la patience plutôt qu'à l'engagement massif.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 chiffre d'affaires de 455,209 milliards FCFA, en contraction de -6,13 % sur un an, et un résultat net de 6,779 milliards FCFA, en léger recul de -5,1 % par rapport aux 7,140 milliards de 2024. La rentabilité des fonds propres (ROE) demeure excellente à 24,01 %, bien au-dessus du seuil de 15 %, tandis que le ROA de 3,95 % reflète la faible intensité capitalistique du modèle de distribution. Sur le plan opérationnel, l'entreprise affiche un BFR négatif de -36,899 milliards FCFA — un atout majeur de trésorerie — et un délai fournisseurs de 97,76 jours contre un délai clients de 47,43 jours, ce qui signifie que TTLS se finance auprès de ses fournisseurs plus longtemps qu'elle ne finance ses clients, générant ainsi un cash-flow structurellement positif (flux opérationnel de 18,673 Mds FCFA, Free Cash Flow de 17,483 Mds FCFA). La structure financière reste solide avec une trésorerie nette positive de 13,941 Mds FCFA et une capacité de remboursement de 0,94 an, bien que l'autonomie financière (16,44 %) soit inférieure au seuil de 30 % recommandé, reflétant la dépendance aux dettes fournisseurs. Les rapports narratifs confirment la tendance : le rapport annuel 2025 (publié le 31/12/2025, analysé le 04/05/2026) attribue la baisse du CA à l'arrêt stratégique du fuel lourd (39,5 Mds FCFA de CA en 2024) et à la baisse des dividendes des participations (-1,019 Md FCFA), tandis que le rapport T1 2026 (publié le 31/03/2026, analysé le 04/05/2026) montre une **résilience remarquable** : malgré un CA en baisse de 10 % à 99,9 Mds FCFA (impacté par la révision réglementaire des prix à la pompe en décembre 2025), le résultat d'exploitation progresse de +28 % à 2,623 Mds FCFA et le résultat net de +5 % à 1,585 Mds FCFA, grâce à l'amélioration des marges sur les lubrifiants. **Estimation** : sur la base de ce T1 2026, on peut projeter un résultat net annuel 2026 autour de 6,5-7,0 Mds FCFA, soit une stabilisation voire une légère reprise par rapport à 2025, portée par la montée en gamme du mix-produit (lubrifiants, GPL, export) et les retombées des projets Sangomar et GNL. La recommandation fondamentale est de **CONSERVER** : la solidité opérationnelle, la génération de cash-flow et la position de leader (140 stations-service) compensent la faiblesse des marges nettes (1,49 %) et les risques réglementaires.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contrasté mais globalement équilibré. La **valorisation** (Partie 0) est exigeante — PER de 18,3x contre une moyenne BRVM de 8-12x et P/B de 4,38x — ce qui intègre déjà une prime de qualité et limite le potentiel de réévaluation à court terme, même si l'EV/EBITDA de 7,8x reste raisonnable. Le **comportement du cours** (Partie 1) est haussier (+26,46 % sur 100 jours) avec une distribution symétrique et sans risque de pics extrêmes (kurtosis 0,398, skewness 0,111), mais la volatilité annualisée de 42,6 % constitue un facteur de risque non négligeable. Les **signaux techniques** (Partie 2) sont divergents : les moyennes mobiles et le stochastique sont haussiers, mais le MACD baissier et le RSI neutre créent une incertitude qui plaide pour la prudence. Les **fondamentaux** (Partie 3) sont solides : ROE de 24 %, BFR négatif, trésorerie nette positive, et surtout une résilience opérationnelle démontrée au T1 2026 (+28 % de résultat d'exploitation malgré -10 % de CA), ce qui valide la stratégie de montée en gamme. Les **prédictions IA** (J+1 à J+10) anticipent une légère correction baissière de 3 697 FCFA à 3 648 FCFA, soit -4 % environ, ce qui contredit le biais haussier des moyennes mobiles et suggère une consolidation à court terme. **Recommandation finale : CONSERVER** — la convergence entre fondamentaux solides, valorisation exigeante et signaux techniques mitigés ne justifie ni un achat agressif (la prime de valorisation et la correction prédite limitent le potentiel), ni une vente (la solidité opérationnelle et la résilience du T1 2026 protègent le titre). Le **niveau de confiance est Moyen**, le **risque global est Moyen** (volatilité élevée mais fondamentaux défensifs), et l'**horizon d'investissement optimal est le moyen terme (3-12 mois)**, en attendant la confirmation de la reprise des volumes et la clarification de la politique de dividende lors de la prochaine assemblée générale.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-19.87%</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5.82% (Moyenne) — μ=54,246 FCFA, σ=3,159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β=0.6509 (Défensif) — Cov=0.000048, Var(idx)=0.000074, ρ=0.153,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2026-10-09</w:t>
            </w:r>
          </w:p>
        </w:tc>
        <w:tc>
          <w:tcPr>
            <w:tcW w:type="dxa" w:w="1440"/>
            <w:shd w:fill="FAFAFA" w:val="clear"/>
          </w:tcPr>
          <w:p>
            <w:r>
              <w:rPr>
                <w:sz w:val="17"/>
              </w:rPr>
              <w:t>44,889</w:t>
            </w:r>
          </w:p>
        </w:tc>
        <w:tc>
          <w:tcPr>
            <w:tcW w:type="dxa" w:w="1440"/>
            <w:shd w:fill="FAFAFA" w:val="clear"/>
          </w:tcPr>
          <w:p>
            <w:r>
              <w:rPr>
                <w:b/>
                <w:sz w:val="17"/>
              </w:rPr>
              <w:t>47,939</w:t>
            </w:r>
          </w:p>
        </w:tc>
        <w:tc>
          <w:tcPr>
            <w:tcW w:type="dxa" w:w="1440"/>
            <w:shd w:fill="FAFAFA" w:val="clear"/>
          </w:tcPr>
          <w:p>
            <w:r>
              <w:rPr>
                <w:sz w:val="17"/>
              </w:rPr>
              <w:t>50,989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2026-10-12</w:t>
            </w:r>
          </w:p>
        </w:tc>
        <w:tc>
          <w:tcPr>
            <w:tcW w:type="dxa" w:w="1440"/>
            <w:shd w:fill="FAFAFA" w:val="clear"/>
          </w:tcPr>
          <w:p>
            <w:r>
              <w:rPr>
                <w:sz w:val="17"/>
              </w:rPr>
              <w:t>43,602</w:t>
            </w:r>
          </w:p>
        </w:tc>
        <w:tc>
          <w:tcPr>
            <w:tcW w:type="dxa" w:w="1440"/>
            <w:shd w:fill="FAFAFA" w:val="clear"/>
          </w:tcPr>
          <w:p>
            <w:r>
              <w:rPr>
                <w:b/>
                <w:sz w:val="17"/>
              </w:rPr>
              <w:t>47,913</w:t>
            </w:r>
          </w:p>
        </w:tc>
        <w:tc>
          <w:tcPr>
            <w:tcW w:type="dxa" w:w="1440"/>
            <w:shd w:fill="FAFAFA" w:val="clear"/>
          </w:tcPr>
          <w:p>
            <w:r>
              <w:rPr>
                <w:sz w:val="17"/>
              </w:rPr>
              <w:t>52,224</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2026-10-13</w:t>
            </w:r>
          </w:p>
        </w:tc>
        <w:tc>
          <w:tcPr>
            <w:tcW w:type="dxa" w:w="1440"/>
            <w:shd w:fill="FAFAFA" w:val="clear"/>
          </w:tcPr>
          <w:p>
            <w:r>
              <w:rPr>
                <w:sz w:val="17"/>
              </w:rPr>
              <w:t>42,621</w:t>
            </w:r>
          </w:p>
        </w:tc>
        <w:tc>
          <w:tcPr>
            <w:tcW w:type="dxa" w:w="1440"/>
            <w:shd w:fill="FAFAFA" w:val="clear"/>
          </w:tcPr>
          <w:p>
            <w:r>
              <w:rPr>
                <w:b/>
                <w:sz w:val="17"/>
              </w:rPr>
              <w:t>47,899</w:t>
            </w:r>
          </w:p>
        </w:tc>
        <w:tc>
          <w:tcPr>
            <w:tcW w:type="dxa" w:w="1440"/>
            <w:shd w:fill="FAFAFA" w:val="clear"/>
          </w:tcPr>
          <w:p>
            <w:r>
              <w:rPr>
                <w:sz w:val="17"/>
              </w:rPr>
              <w:t>53,177</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2026-10-14</w:t>
            </w:r>
          </w:p>
        </w:tc>
        <w:tc>
          <w:tcPr>
            <w:tcW w:type="dxa" w:w="1440"/>
            <w:shd w:fill="FAFAFA" w:val="clear"/>
          </w:tcPr>
          <w:p>
            <w:r>
              <w:rPr>
                <w:sz w:val="17"/>
              </w:rPr>
              <w:t>41,798</w:t>
            </w:r>
          </w:p>
        </w:tc>
        <w:tc>
          <w:tcPr>
            <w:tcW w:type="dxa" w:w="1440"/>
            <w:shd w:fill="FAFAFA" w:val="clear"/>
          </w:tcPr>
          <w:p>
            <w:r>
              <w:rPr>
                <w:b/>
                <w:sz w:val="17"/>
              </w:rPr>
              <w:t>47,891</w:t>
            </w:r>
          </w:p>
        </w:tc>
        <w:tc>
          <w:tcPr>
            <w:tcW w:type="dxa" w:w="1440"/>
            <w:shd w:fill="FAFAFA" w:val="clear"/>
          </w:tcPr>
          <w:p>
            <w:r>
              <w:rPr>
                <w:sz w:val="17"/>
              </w:rPr>
              <w:t>53,985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2026-10-15</w:t>
            </w:r>
          </w:p>
        </w:tc>
        <w:tc>
          <w:tcPr>
            <w:tcW w:type="dxa" w:w="1440"/>
            <w:shd w:fill="FAFAFA" w:val="clear"/>
          </w:tcPr>
          <w:p>
            <w:r>
              <w:rPr>
                <w:sz w:val="17"/>
              </w:rPr>
              <w:t>41,075</w:t>
            </w:r>
          </w:p>
        </w:tc>
        <w:tc>
          <w:tcPr>
            <w:tcW w:type="dxa" w:w="1440"/>
            <w:shd w:fill="FAFAFA" w:val="clear"/>
          </w:tcPr>
          <w:p>
            <w:r>
              <w:rPr>
                <w:b/>
                <w:sz w:val="17"/>
              </w:rPr>
              <w:t>47,887</w:t>
            </w:r>
          </w:p>
        </w:tc>
        <w:tc>
          <w:tcPr>
            <w:tcW w:type="dxa" w:w="1440"/>
            <w:shd w:fill="FAFAFA" w:val="clear"/>
          </w:tcPr>
          <w:p>
            <w:r>
              <w:rPr>
                <w:sz w:val="17"/>
              </w:rPr>
              <w:t>54,699</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2026-10-16</w:t>
            </w:r>
          </w:p>
        </w:tc>
        <w:tc>
          <w:tcPr>
            <w:tcW w:type="dxa" w:w="1440"/>
            <w:shd w:fill="FAFAFA" w:val="clear"/>
          </w:tcPr>
          <w:p>
            <w:r>
              <w:rPr>
                <w:sz w:val="17"/>
              </w:rPr>
              <w:t>40,423</w:t>
            </w:r>
          </w:p>
        </w:tc>
        <w:tc>
          <w:tcPr>
            <w:tcW w:type="dxa" w:w="1440"/>
            <w:shd w:fill="FAFAFA" w:val="clear"/>
          </w:tcPr>
          <w:p>
            <w:r>
              <w:rPr>
                <w:b/>
                <w:sz w:val="17"/>
              </w:rPr>
              <w:t>47,885</w:t>
            </w:r>
          </w:p>
        </w:tc>
        <w:tc>
          <w:tcPr>
            <w:tcW w:type="dxa" w:w="1440"/>
            <w:shd w:fill="FAFAFA" w:val="clear"/>
          </w:tcPr>
          <w:p>
            <w:r>
              <w:rPr>
                <w:sz w:val="17"/>
              </w:rPr>
              <w:t>55,347</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2026-10-19</w:t>
            </w:r>
          </w:p>
        </w:tc>
        <w:tc>
          <w:tcPr>
            <w:tcW w:type="dxa" w:w="1440"/>
            <w:shd w:fill="FAFAFA" w:val="clear"/>
          </w:tcPr>
          <w:p>
            <w:r>
              <w:rPr>
                <w:sz w:val="17"/>
              </w:rPr>
              <w:t>39,824</w:t>
            </w:r>
          </w:p>
        </w:tc>
        <w:tc>
          <w:tcPr>
            <w:tcW w:type="dxa" w:w="1440"/>
            <w:shd w:fill="FAFAFA" w:val="clear"/>
          </w:tcPr>
          <w:p>
            <w:r>
              <w:rPr>
                <w:b/>
                <w:sz w:val="17"/>
              </w:rPr>
              <w:t>47,884</w:t>
            </w:r>
          </w:p>
        </w:tc>
        <w:tc>
          <w:tcPr>
            <w:tcW w:type="dxa" w:w="1440"/>
            <w:shd w:fill="FAFAFA" w:val="clear"/>
          </w:tcPr>
          <w:p>
            <w:r>
              <w:rPr>
                <w:sz w:val="17"/>
              </w:rPr>
              <w:t>55,944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2026-10-20</w:t>
            </w:r>
          </w:p>
        </w:tc>
        <w:tc>
          <w:tcPr>
            <w:tcW w:type="dxa" w:w="1440"/>
            <w:shd w:fill="FAFAFA" w:val="clear"/>
          </w:tcPr>
          <w:p>
            <w:r>
              <w:rPr>
                <w:sz w:val="17"/>
              </w:rPr>
              <w:t>39,267</w:t>
            </w:r>
          </w:p>
        </w:tc>
        <w:tc>
          <w:tcPr>
            <w:tcW w:type="dxa" w:w="1440"/>
            <w:shd w:fill="FAFAFA" w:val="clear"/>
          </w:tcPr>
          <w:p>
            <w:r>
              <w:rPr>
                <w:b/>
                <w:sz w:val="17"/>
              </w:rPr>
              <w:t>47,884</w:t>
            </w:r>
          </w:p>
        </w:tc>
        <w:tc>
          <w:tcPr>
            <w:tcW w:type="dxa" w:w="1440"/>
            <w:shd w:fill="FAFAFA" w:val="clear"/>
          </w:tcPr>
          <w:p>
            <w:r>
              <w:rPr>
                <w:sz w:val="17"/>
              </w:rPr>
              <w:t>56,500</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2026-10-21</w:t>
            </w:r>
          </w:p>
        </w:tc>
        <w:tc>
          <w:tcPr>
            <w:tcW w:type="dxa" w:w="1440"/>
            <w:shd w:fill="FAFAFA" w:val="clear"/>
          </w:tcPr>
          <w:p>
            <w:r>
              <w:rPr>
                <w:sz w:val="17"/>
              </w:rPr>
              <w:t>38,745</w:t>
            </w:r>
          </w:p>
        </w:tc>
        <w:tc>
          <w:tcPr>
            <w:tcW w:type="dxa" w:w="1440"/>
            <w:shd w:fill="FAFAFA" w:val="clear"/>
          </w:tcPr>
          <w:p>
            <w:r>
              <w:rPr>
                <w:b/>
                <w:sz w:val="17"/>
              </w:rPr>
              <w:t>47,884</w:t>
            </w:r>
          </w:p>
        </w:tc>
        <w:tc>
          <w:tcPr>
            <w:tcW w:type="dxa" w:w="1440"/>
            <w:shd w:fill="FAFAFA" w:val="clear"/>
          </w:tcPr>
          <w:p>
            <w:r>
              <w:rPr>
                <w:sz w:val="17"/>
              </w:rPr>
              <w:t>57,023</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2026-10-22</w:t>
            </w:r>
          </w:p>
        </w:tc>
        <w:tc>
          <w:tcPr>
            <w:tcW w:type="dxa" w:w="1440"/>
            <w:shd w:fill="FAFAFA" w:val="clear"/>
          </w:tcPr>
          <w:p>
            <w:r>
              <w:rPr>
                <w:sz w:val="17"/>
              </w:rPr>
              <w:t>38,251</w:t>
            </w:r>
          </w:p>
        </w:tc>
        <w:tc>
          <w:tcPr>
            <w:tcW w:type="dxa" w:w="1440"/>
            <w:shd w:fill="FAFAFA" w:val="clear"/>
          </w:tcPr>
          <w:p>
            <w:r>
              <w:rPr>
                <w:b/>
                <w:sz w:val="17"/>
              </w:rPr>
              <w:t>47,885</w:t>
            </w:r>
          </w:p>
        </w:tc>
        <w:tc>
          <w:tcPr>
            <w:tcW w:type="dxa" w:w="1440"/>
            <w:shd w:fill="FAFAFA" w:val="clear"/>
          </w:tcPr>
          <w:p>
            <w:r>
              <w:rPr>
                <w:sz w:val="17"/>
              </w:rPr>
              <w:t>57,519</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un niveau significatif à l'échelle de la BRVM qui place la société parmi les valeurs les plus importantes de la cote, bien que très en deçà des géants comme SONATEL. Les ratios de valorisation boursière (BPA, PER, P/B, EV/EBITDA) ne sont pas calculables en l'absence de données financières structurées exploitables dans la base de données, ce qui limite l'appréciation directe du prix payé par les investisseurs par rapport aux bénéfices ou à la valeur comptable. Cette absence de ratios est d'autant plus problématique que la société affiche des capitaux propres négatifs, rendant mécaniquement le P/B non significatif. À titre indicatif, avec un résultat net 2023 de 640,3 millions FCFA et une capitalisation de 440,8 milliards FCFA, le PER implicite ressortirait à un niveau extrêmement élevé (supérieur à 600x), signalant une décorrélation totale entre le prix de marché et la rentabilité effective de l'entreprise. L'investisseur doit donc se référer aux fondamentaux et à l'analyse technique pour évaluer la pertinence du cours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**-19,87%**, avec une dernière séance stable (variation J-1 de +0,00%), le cours s'établissant à **48 000 FCFA**. Le titre a évolué dans un range de trading compris entre un plus haut de **60 295 FCFA** et un plus bas de **47 215 FCFA**, soit un écart d'environ 27,7% entre les extrêmes, ce qui traduit une tendance générale nettement baissière, le cours actuel se situant à proximité immédiate de son plancher. Les statistiques descriptives révèlent une moyenne de **54 246 FCFA** et une médiane de **54 325 FCFA**, très proches l'une de l'autre, confirmant la symétrie de la distribution (skewness de -0,181, qualifiée de symétrique) ; le mode à 58 000 FCFA indique que le prix le plus fréquemment coté se situe bien au-dessus du cours actuel, renforçant le constat de pression baissière. L'écart-type de **3 175 FCFA** avec un coefficient de variation de **5,9%** traduit une dispersion relativement contenue du cours autour de sa moyenne, tandis que le kurtosis de -0,543 (mésokurtique) suggère une distribution proche de la normale, sans risque majeur de pics extrêmes. La volatilité annualisée de **58,3%** positionne le titre dans la catégorie des valeurs à volatilité élevée (&gt;30%), ce qui implique un risque de fluctuation important pour l'investisseur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50 628 FCFA et la MM50 à 52 555,5 FCFA, toutes deux nettement supérieures au cours actuel de 48 000 FCFA. Cette configuration baissière (cours sous les deux moyennes, MM20 sous MM50) confirme la tendance négative de moyen terme et justifie la décision technique de **Vente**.</w:t>
      </w:r>
    </w:p>
    <w:p>
      <w:pPr>
        <w:spacing w:after="120" w:line="276" w:lineRule="auto"/>
      </w:pPr>
      <w:r>
        <w:t>**Bandes de Bollinger** : La borne supérieure est à 55 458,30 FCFA et la borne inférieure à 45 797,70 FCFA, avec un cours actuel de 48 000 FCFA qui se situe dans la moitié basse du canal, sans atteindre la borne inférieure. La volatilité reste modérée dans ce canal, et la décision est **Neutre**, le titre n'étant ni en situation de survente extrême ni de surachat.</w:t>
      </w:r>
    </w:p>
    <w:p>
      <w:pPr>
        <w:spacing w:after="120" w:line="276" w:lineRule="auto"/>
      </w:pPr>
      <w:r>
        <w:t>**MACD** : La valeur du MACD est de -1 406,02 contre un signal à -1 174,25, avec un MACD inférieur à son signal, ce qui génère un croisement baissier et un momentum négatif persistant. La décision technique est donc logiquement **Vente**, le momentum ne montrant aucun signe de retournement.</w:t>
      </w:r>
    </w:p>
    <w:p>
      <w:pPr>
        <w:spacing w:after="120" w:line="276" w:lineRule="auto"/>
      </w:pPr>
      <w:r>
        <w:t>**RSI** : Le RSI s'établit à 36,07, un niveau qui se situe dans la zone neutre basse (30-70) sans atteindre le seuil de survente (&lt;30). La décision est **Neutre**, le titre n'étant pas encore techniquement survendu malgré la tendance baissière.</w:t>
      </w:r>
    </w:p>
    <w:p>
      <w:pPr>
        <w:spacing w:after="120" w:line="276" w:lineRule="auto"/>
      </w:pPr>
      <w:r>
        <w:t>**Stochastique** : Le %K est à 15,20 et le %D à 13,09, des niveaux très bas (proches de la zone de survente &lt;20) avec un %K légèrement supérieur au %D, ce qui pourrait préfigurer un croisement haussier à court terme. La décision technique est **Achat**, signalant une possible réaction technique après la baisse.</w:t>
      </w:r>
    </w:p>
    <w:p>
      <w:pPr>
        <w:spacing w:after="120" w:line="276" w:lineRule="auto"/>
      </w:pPr>
      <w:r>
        <w:t>**Conclusion technique** : Les indicateurs sont majoritairement baissiers (MM, MACD) ou neutres (Bollinger, RSI), avec un seul signal d'achat contradictoire (Stochastique) qui suggère une possible exagération baissière à court terme. La convergence des signaux négatifs (cours sous les moyennes, MACD négatif) l'emporte sur le signal isolé du stochastique, et la prudence reste de mise tant que le cours ne repasse pas au-dessus de la MM20 (50 628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la société a réalisé un chiffre d'affaires de **24 336 010 000 FCFA**, stable par rapport à 2022, avec un résultat net bénéficiaire de **640 334 855 FCFA** (marge nette de 2,63%), en forte amélioration après la perte nette de **-6 908 362 002 FCFA** en 2022 (marge de -28,4%). Le résultat d'exploitation est redevenu positif à **+3 340 millions FCFA** en 2023 (contre -6 258 millions en 2022), grâce à une réduction des charges et une meilleure gestion des stocks, mais les **capitaux propres restent négatifs à -10 658 millions FCFA** et le report à nouveau s'élève à **-35 635 millions FCFA**, ce qui fragilise structurellement le bilan. La société n'a versé **aucun dividende en 2023** (comme en 2022), et les dettes financières ont augmenté à **4 379 millions FCFA** (contre 3 827 millions en 2022), avec une trésorerie passive de 14 874 millions FCFA qui dépasse largement la trésorerie active, indiquant un risque de liquidité. **En 2022**, le chiffre d'affaires s'élevait à 24 336 millions FCFA (en baisse de 21,5% par rapport aux 36 174,6 millions de 2021 selon un autre rapport), avec une perte nette de -6 382,6 millions FCFA, une marge nette de -17,6% et un EBE négatif de -6 531 millions FCFA. **En 2021**, la société avait dégagé un bénéfice net de **+6 090,8 millions FCFA** (marge nette de 25,0%) et un EBE de +2 391,4 millions FCFA, mais sans distribution de dividende, privilégiant le réinvestissement. L'évolution sur trois ans montre une **très forte volatilité des résultats** : bénéfice en 2021, perte massive en 2022, retour à un bénéfice modeste en 2023, ce qui traduit une **instabilité chronique** et une dépendance à des facteurs exceptionnels (cession d'actifs en 2021, charges non récurrentes en 2022). Les risques identifiés sont multiples : capitaux propres négatifs, endettement croissant, absence de dividende, concurrence accrue dans le secteur FMCG, et dépendance au marché ivoirien. Les opportunités résident dans l'expansion régionale (UEMOA), l'innovation produit et l'optimisation des coûts. **En conclusion, la situation fondamentale reste précaire malgré l'amélioration de 2023**, et la recommandation fondamentale est de **CONSERVER avec vigilance**, en attendant une stabilisation durable des capitaux propres et une reprise de la croissance du chiffre d'affaires.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et des prédictions IA conduit à une recommandation de **VENTE** pour l'action UNLC. En effet, la **valorisation (Partie 0)** est impossible à apprécier faute de ratios, mais le PER implicite extrêmement élevé (supérieur à 600x) et les capitaux propres négatifs suggèrent une surévaluation manifeste du titre par rapport à ses fondamentaux. Le **comportement du cours (Partie 1)** est nettement baissier (-19,87% sur 100 jours), avec une volatilité élevée (58,3%) et une distribution symétrique (skewness -0,181) qui n'annonce aucun retournement imminent, le cours évoluant près de son plus bas annuel. Les **signaux techniques (Partie 2)** sont majoritairement baissiers (MM20 et MM50 au-dessus du cours, MACD négatif), avec un seul signal d'achat contradictoire (Stochastique en zone de survente) qui ne suffit pas à inverser la tendance. Les **fondamentaux (Partie 3)** montrent une amélioration en 2023 (bénéfice de 640 millions FCFA) mais restent fragiles (capitaux propres négatifs, endettement, absence de dividende), et les rapports datant de 2023 ne permettent pas de confirmer une tendance durable pour 2024-2025. Les **prédictions IA (J+1 à J+10)** anticipent une légère dérive baissière (47 939 FCFA à 47 887 FCFA), confirmant la pression vendeuse à court terme. La convergence des signaux négatifs (technique, fondamental, prédictions) l'emporte sur le seul signal positif du stochastique, et le niveau de confiance est **Moyen** (en raison de l'absence de données récentes), avec un **risque global Élevé** (volatilité, capitaux propres négatifs, absence de dividende). L'horizon d'investissement optimal est **court terme (&lt;3 mois)** pour les investisseurs cherchant à se positionner sur un éventuel rebond technique, mais la prudence recommande d'éviter le titre tant que les fondamentaux ne se seront pas durablement redressés.</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13,482 titres</w:t>
            </w:r>
          </w:p>
        </w:tc>
        <w:tc>
          <w:tcPr>
            <w:tcW w:type="dxa" w:w="2268"/>
            <w:shd w:fill="FFF2CC" w:val="clear"/>
          </w:tcPr>
          <w:p>
            <w:r>
              <w:rPr>
                <w:b/>
                <w:color w:val="503200"/>
                <w:sz w:val="16"/>
              </w:rPr>
              <w:t xml:space="preserve">Cours actuel : </w:t>
            </w:r>
            <w:r>
              <w:rPr>
                <w:color w:val="000000"/>
                <w:sz w:val="17"/>
              </w:rPr>
              <w:t>2,310 FCFA</w:t>
            </w:r>
          </w:p>
          <w:p>
            <w:r>
              <w:rPr>
                <w:b/>
                <w:color w:val="503200"/>
                <w:sz w:val="16"/>
              </w:rPr>
              <w:t xml:space="preserve">Var. 100 jours : </w:t>
            </w:r>
            <w:r>
              <w:rPr>
                <w:b/>
                <w:color w:val="007800"/>
                <w:sz w:val="17"/>
              </w:rPr>
              <w:t>+25.89%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15.13% (Élevée) — μ=2,018 FCFA, σ=305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β=0.6044 (Défensif) — Cov=0.000045, Var(idx)=0.000074, ρ=0.163,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2026-10-09</w:t>
            </w:r>
          </w:p>
        </w:tc>
        <w:tc>
          <w:tcPr>
            <w:tcW w:type="dxa" w:w="1440"/>
            <w:shd w:fill="FAFAFA" w:val="clear"/>
          </w:tcPr>
          <w:p>
            <w:r>
              <w:rPr>
                <w:sz w:val="17"/>
              </w:rPr>
              <w:t>2,195</w:t>
            </w:r>
          </w:p>
        </w:tc>
        <w:tc>
          <w:tcPr>
            <w:tcW w:type="dxa" w:w="1440"/>
            <w:shd w:fill="FAFAFA" w:val="clear"/>
          </w:tcPr>
          <w:p>
            <w:r>
              <w:rPr>
                <w:b/>
                <w:sz w:val="17"/>
              </w:rPr>
              <w:t>2,272</w:t>
            </w:r>
          </w:p>
        </w:tc>
        <w:tc>
          <w:tcPr>
            <w:tcW w:type="dxa" w:w="1440"/>
            <w:shd w:fill="FAFAFA" w:val="clear"/>
          </w:tcPr>
          <w:p>
            <w:r>
              <w:rPr>
                <w:sz w:val="17"/>
              </w:rPr>
              <w:t>2,349</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2026-10-12</w:t>
            </w:r>
          </w:p>
        </w:tc>
        <w:tc>
          <w:tcPr>
            <w:tcW w:type="dxa" w:w="1440"/>
            <w:shd w:fill="FFDCE0" w:val="clear"/>
          </w:tcPr>
          <w:p>
            <w:r>
              <w:rPr>
                <w:sz w:val="17"/>
              </w:rPr>
              <w:t>2,150</w:t>
            </w:r>
          </w:p>
        </w:tc>
        <w:tc>
          <w:tcPr>
            <w:tcW w:type="dxa" w:w="1440"/>
            <w:shd w:fill="FFDCE0" w:val="clear"/>
          </w:tcPr>
          <w:p>
            <w:r>
              <w:rPr>
                <w:b/>
                <w:sz w:val="17"/>
              </w:rPr>
              <w:t>2,259</w:t>
            </w:r>
          </w:p>
        </w:tc>
        <w:tc>
          <w:tcPr>
            <w:tcW w:type="dxa" w:w="1440"/>
            <w:shd w:fill="FFDCE0" w:val="clear"/>
          </w:tcPr>
          <w:p>
            <w:r>
              <w:rPr>
                <w:sz w:val="17"/>
              </w:rPr>
              <w:t>2,367</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2026-10-13</w:t>
            </w:r>
          </w:p>
        </w:tc>
        <w:tc>
          <w:tcPr>
            <w:tcW w:type="dxa" w:w="1440"/>
            <w:shd w:fill="FFDCE0" w:val="clear"/>
          </w:tcPr>
          <w:p>
            <w:r>
              <w:rPr>
                <w:sz w:val="17"/>
              </w:rPr>
              <w:t>2,110</w:t>
            </w:r>
          </w:p>
        </w:tc>
        <w:tc>
          <w:tcPr>
            <w:tcW w:type="dxa" w:w="1440"/>
            <w:shd w:fill="FFDCE0" w:val="clear"/>
          </w:tcPr>
          <w:p>
            <w:r>
              <w:rPr>
                <w:b/>
                <w:sz w:val="17"/>
              </w:rPr>
              <w:t>2,242</w:t>
            </w:r>
          </w:p>
        </w:tc>
        <w:tc>
          <w:tcPr>
            <w:tcW w:type="dxa" w:w="1440"/>
            <w:shd w:fill="FFDCE0" w:val="clear"/>
          </w:tcPr>
          <w:p>
            <w:r>
              <w:rPr>
                <w:sz w:val="17"/>
              </w:rPr>
              <w:t>2,374</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2026-10-14</w:t>
            </w:r>
          </w:p>
        </w:tc>
        <w:tc>
          <w:tcPr>
            <w:tcW w:type="dxa" w:w="1440"/>
            <w:shd w:fill="FFDCE0" w:val="clear"/>
          </w:tcPr>
          <w:p>
            <w:r>
              <w:rPr>
                <w:sz w:val="17"/>
              </w:rPr>
              <w:t>2,075</w:t>
            </w:r>
          </w:p>
        </w:tc>
        <w:tc>
          <w:tcPr>
            <w:tcW w:type="dxa" w:w="1440"/>
            <w:shd w:fill="FFDCE0" w:val="clear"/>
          </w:tcPr>
          <w:p>
            <w:r>
              <w:rPr>
                <w:b/>
                <w:sz w:val="17"/>
              </w:rPr>
              <w:t>2,226</w:t>
            </w:r>
          </w:p>
        </w:tc>
        <w:tc>
          <w:tcPr>
            <w:tcW w:type="dxa" w:w="1440"/>
            <w:shd w:fill="FFDCE0" w:val="clear"/>
          </w:tcPr>
          <w:p>
            <w:r>
              <w:rPr>
                <w:sz w:val="17"/>
              </w:rPr>
              <w:t>2,377</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2026-10-15</w:t>
            </w:r>
          </w:p>
        </w:tc>
        <w:tc>
          <w:tcPr>
            <w:tcW w:type="dxa" w:w="1440"/>
            <w:shd w:fill="FFDCE0" w:val="clear"/>
          </w:tcPr>
          <w:p>
            <w:r>
              <w:rPr>
                <w:sz w:val="17"/>
              </w:rPr>
              <w:t>2,042</w:t>
            </w:r>
          </w:p>
        </w:tc>
        <w:tc>
          <w:tcPr>
            <w:tcW w:type="dxa" w:w="1440"/>
            <w:shd w:fill="FFDCE0" w:val="clear"/>
          </w:tcPr>
          <w:p>
            <w:r>
              <w:rPr>
                <w:b/>
                <w:sz w:val="17"/>
              </w:rPr>
              <w:t>2,210</w:t>
            </w:r>
          </w:p>
        </w:tc>
        <w:tc>
          <w:tcPr>
            <w:tcW w:type="dxa" w:w="1440"/>
            <w:shd w:fill="FFDCE0" w:val="clear"/>
          </w:tcPr>
          <w:p>
            <w:r>
              <w:rPr>
                <w:sz w:val="17"/>
              </w:rPr>
              <w:t>2,378</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2026-10-16</w:t>
            </w:r>
          </w:p>
        </w:tc>
        <w:tc>
          <w:tcPr>
            <w:tcW w:type="dxa" w:w="1440"/>
            <w:shd w:fill="FFDCE0" w:val="clear"/>
          </w:tcPr>
          <w:p>
            <w:r>
              <w:rPr>
                <w:sz w:val="17"/>
              </w:rPr>
              <w:t>2,013</w:t>
            </w:r>
          </w:p>
        </w:tc>
        <w:tc>
          <w:tcPr>
            <w:tcW w:type="dxa" w:w="1440"/>
            <w:shd w:fill="FFDCE0" w:val="clear"/>
          </w:tcPr>
          <w:p>
            <w:r>
              <w:rPr>
                <w:b/>
                <w:sz w:val="17"/>
              </w:rPr>
              <w:t>2,195</w:t>
            </w:r>
          </w:p>
        </w:tc>
        <w:tc>
          <w:tcPr>
            <w:tcW w:type="dxa" w:w="1440"/>
            <w:shd w:fill="FFDCE0" w:val="clear"/>
          </w:tcPr>
          <w:p>
            <w:r>
              <w:rPr>
                <w:sz w:val="17"/>
              </w:rPr>
              <w:t>2,377</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2026-10-19</w:t>
            </w:r>
          </w:p>
        </w:tc>
        <w:tc>
          <w:tcPr>
            <w:tcW w:type="dxa" w:w="1440"/>
            <w:shd w:fill="FFDCE0" w:val="clear"/>
          </w:tcPr>
          <w:p>
            <w:r>
              <w:rPr>
                <w:sz w:val="17"/>
              </w:rPr>
              <w:t>1,985</w:t>
            </w:r>
          </w:p>
        </w:tc>
        <w:tc>
          <w:tcPr>
            <w:tcW w:type="dxa" w:w="1440"/>
            <w:shd w:fill="FFDCE0" w:val="clear"/>
          </w:tcPr>
          <w:p>
            <w:r>
              <w:rPr>
                <w:b/>
                <w:sz w:val="17"/>
              </w:rPr>
              <w:t>2,181</w:t>
            </w:r>
          </w:p>
        </w:tc>
        <w:tc>
          <w:tcPr>
            <w:tcW w:type="dxa" w:w="1440"/>
            <w:shd w:fill="FFDCE0" w:val="clear"/>
          </w:tcPr>
          <w:p>
            <w:r>
              <w:rPr>
                <w:sz w:val="17"/>
              </w:rPr>
              <w:t>2,376</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2026-10-20</w:t>
            </w:r>
          </w:p>
        </w:tc>
        <w:tc>
          <w:tcPr>
            <w:tcW w:type="dxa" w:w="1440"/>
            <w:shd w:fill="FFDCE0" w:val="clear"/>
          </w:tcPr>
          <w:p>
            <w:r>
              <w:rPr>
                <w:sz w:val="17"/>
              </w:rPr>
              <w:t>1,959</w:t>
            </w:r>
          </w:p>
        </w:tc>
        <w:tc>
          <w:tcPr>
            <w:tcW w:type="dxa" w:w="1440"/>
            <w:shd w:fill="FFDCE0" w:val="clear"/>
          </w:tcPr>
          <w:p>
            <w:r>
              <w:rPr>
                <w:b/>
                <w:sz w:val="17"/>
              </w:rPr>
              <w:t>2,167</w:t>
            </w:r>
          </w:p>
        </w:tc>
        <w:tc>
          <w:tcPr>
            <w:tcW w:type="dxa" w:w="1440"/>
            <w:shd w:fill="FFDCE0" w:val="clear"/>
          </w:tcPr>
          <w:p>
            <w:r>
              <w:rPr>
                <w:sz w:val="17"/>
              </w:rPr>
              <w:t>2,375</w:t>
            </w:r>
          </w:p>
        </w:tc>
        <w:tc>
          <w:tcPr>
            <w:tcW w:type="dxa" w:w="1440"/>
            <w:shd w:fill="FFDCE0" w:val="clear"/>
          </w:tcPr>
          <w:p>
            <w:r>
              <w:rPr>
                <w:b/>
                <w:color w:val="C00000"/>
                <w:sz w:val="17"/>
              </w:rPr>
              <w:t>-6.2%</w:t>
            </w:r>
          </w:p>
        </w:tc>
      </w:tr>
      <w:tr>
        <w:tc>
          <w:tcPr>
            <w:tcW w:type="dxa" w:w="1440"/>
            <w:shd w:fill="FFDCE0" w:val="clear"/>
          </w:tcPr>
          <w:p>
            <w:r>
              <w:rPr>
                <w:sz w:val="17"/>
              </w:rPr>
              <w:t>J+9  ⭐</w:t>
            </w:r>
          </w:p>
        </w:tc>
        <w:tc>
          <w:tcPr>
            <w:tcW w:type="dxa" w:w="1440"/>
            <w:shd w:fill="FFDCE0" w:val="clear"/>
          </w:tcPr>
          <w:p>
            <w:r>
              <w:rPr>
                <w:sz w:val="17"/>
              </w:rPr>
              <w:t>2026-10-21</w:t>
            </w:r>
          </w:p>
        </w:tc>
        <w:tc>
          <w:tcPr>
            <w:tcW w:type="dxa" w:w="1440"/>
            <w:shd w:fill="FFDCE0" w:val="clear"/>
          </w:tcPr>
          <w:p>
            <w:r>
              <w:rPr>
                <w:sz w:val="17"/>
              </w:rPr>
              <w:t>1,934</w:t>
            </w:r>
          </w:p>
        </w:tc>
        <w:tc>
          <w:tcPr>
            <w:tcW w:type="dxa" w:w="1440"/>
            <w:shd w:fill="FFDCE0" w:val="clear"/>
          </w:tcPr>
          <w:p>
            <w:r>
              <w:rPr>
                <w:b/>
                <w:sz w:val="17"/>
              </w:rPr>
              <w:t>2,153</w:t>
            </w:r>
          </w:p>
        </w:tc>
        <w:tc>
          <w:tcPr>
            <w:tcW w:type="dxa" w:w="1440"/>
            <w:shd w:fill="FFDCE0" w:val="clear"/>
          </w:tcPr>
          <w:p>
            <w:r>
              <w:rPr>
                <w:sz w:val="17"/>
              </w:rPr>
              <w:t>2,372</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2026-10-22</w:t>
            </w:r>
          </w:p>
        </w:tc>
        <w:tc>
          <w:tcPr>
            <w:tcW w:type="dxa" w:w="1440"/>
            <w:shd w:fill="FFDCE0" w:val="clear"/>
          </w:tcPr>
          <w:p>
            <w:r>
              <w:rPr>
                <w:sz w:val="17"/>
              </w:rPr>
              <w:t>1,911</w:t>
            </w:r>
          </w:p>
        </w:tc>
        <w:tc>
          <w:tcPr>
            <w:tcW w:type="dxa" w:w="1440"/>
            <w:shd w:fill="FFDCE0" w:val="clear"/>
          </w:tcPr>
          <w:p>
            <w:r>
              <w:rPr>
                <w:b/>
                <w:sz w:val="17"/>
              </w:rPr>
              <w:t>2,140</w:t>
            </w:r>
          </w:p>
        </w:tc>
        <w:tc>
          <w:tcPr>
            <w:tcW w:type="dxa" w:w="1440"/>
            <w:shd w:fill="FFDCE0" w:val="clear"/>
          </w:tcPr>
          <w:p>
            <w:r>
              <w:rPr>
                <w:sz w:val="17"/>
              </w:rPr>
              <w:t>2,370</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47,93 milliards FCFA, UNIWAX se positionne comme une valeur de taille intermédiaire sur le marché BRVM, reflétant sa stature de leader historique du textile imprimé en Afrique de l'Ouest. Le BPA ressort à -30 FCFA/action, conséquence directe de la perte nette de 624 millions FCFA enregistrée en 2025, ce qui rend le PER inexploitable (-76,8x) puisque la société est déficitaire — un ratio négatif signale l'absence de bénéfices à capitaliser et non une anomalie de marché. Le P/B de 1,95x indique que le marché valorise l'action à près du double de sa valeur comptable (capitaux propres de 24,62 Mds FCFA), un niveau raisonnable qui traduit une certaine confiance dans le potentiel de redressement malgré les pertes cumulées. Enfin, l'EV/EBITDA de 39,5x apparaît très exigeant (seuil d'alerte &gt;15x), signifiant que la valeur d'entreprise intègre déjà une anticipation forte de retournement opérationnel, ce qui laisse peu de marge d'erreur aux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affiche une progression remarquable de +25,89%, avec une dernière séance en légère hausse de +0,43%, portant le cours actuel à 2 310 FCFA. Le titre a évolué dans un range très large, entre un plus bas de 1 250 FCFA et un plus haut de 2 495 FCFA, soit un écart de près de 100% qui témoigne d'une dynamique haussière puissante mais aussi d'une forte amplitude de trading. La tendance générale est clairement haussière, le cours actuel se maintenant à 92,6% de son plus haut, ce qui suggère une consolidation proche des sommets plutôt qu'un essoufflement. Les statistiques descriptives révèlent une moyenne de 2 018 FCFA supérieure à la médiane de 1 948 FCFA, avec un mode à 1 970 FCFA : cet écart modéré indique une distribution légèrement asymétrique, cohérente avec le skewness de -0,213 qualifié de symétrique, où les pics haussiers tirent la moyenne vers le haut. L'écart-type de 307 FCFA (CV=15,2%) traduit une dispersion modérée autour de la moyenne, tandis que le kurtosis de -0,562 (mésokurtique) suggère une distribution proche de la normale, sans risque excessif de pics extrêmes. La volatilité annualisée de 49,9% classe le titre dans la catégorie des valeurs très volatiles (&gt;30%), ce qui implique un risque de marché élevé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(2 338,75 FCFA) et la MM50 (2 249,0 FCFA) se situent toutes deux au-dessus du cours actuel (2 310 FCFA), avec la MM20 légèrement supérieure à la MM50, configurant un croisement haussier classique. Le cours évoluant sous ses deux moyennes, la décision technique affichée est "Achat", suggérant que la tendance de fond reste positive malgré la consolidation actuelle, et qu'un retour au-dessus de la MM20 pourrait relancer l'élan.</w:t>
      </w:r>
    </w:p>
    <w:p>
      <w:pPr>
        <w:spacing w:after="120" w:line="276" w:lineRule="auto"/>
      </w:pPr>
      <w:r>
        <w:t>**Bandes de Bollinger** : Le cours (2 310 FCFA) se situe dans la partie médiane de la bande, entre la borne inférieure (2 205,93 FCFA) et la borne supérieure (2 471,57 FCFA), à environ 45% du canal. Cette position centrale, couplée à une décision "Neutre", indique une absence de signal directionnel fort : le titre n'est ni en surachat ni en survente, et la volatilité actuelle (largeur de bande de 265 FCFA) reste contenue.</w:t>
      </w:r>
    </w:p>
    <w:p>
      <w:pPr>
        <w:spacing w:after="120" w:line="276" w:lineRule="auto"/>
      </w:pPr>
      <w:r>
        <w:t>**MACD** : La valeur du MACD (14,116) est nettement inférieure à son signal (28,857), générant une divergence baissière et une décision "Vente". Cet écart négatif signale un essoufflement du momentum haussier : bien que le MACD reste positif (tendance de fond haussière), la dynamique à court terme s'affaiblit, ce qui pourrait annoncer une correction ou une phase de consolidation.</w:t>
      </w:r>
    </w:p>
    <w:p>
      <w:pPr>
        <w:spacing w:after="120" w:line="276" w:lineRule="auto"/>
      </w:pPr>
      <w:r>
        <w:t>**RSI** : À 49,153, le RSI se situe parfaitement dans la zone neutre (30-70), confirmant l'absence de pression acheteuse ou vendeuse excessive. Cette valeur médiane indique un équilibre entre les forces en présence, avec une décision "Neutre" qui invite à attendre un signal plus tranché (sortie de la zone 30-70) pour agir.</w:t>
      </w:r>
    </w:p>
    <w:p>
      <w:pPr>
        <w:spacing w:after="120" w:line="276" w:lineRule="auto"/>
      </w:pPr>
      <w:r>
        <w:t>**Stochastique** : Le %K (44,898) est légèrement supérieur au %D (41,497), avec un croisement haussier naissant mais non confirmé. Les deux lignes évoluent dans la zone neutre (20-80), et la décision "Neutre" reflète l'absence de signal clair : le titre n'est ni en surachat ni en survente, et le croisement reste trop faible pour être exploitable.</w:t>
      </w:r>
    </w:p>
    <w:p>
      <w:pPr>
        <w:spacing w:after="120" w:line="276" w:lineRule="auto"/>
      </w:pPr>
      <w:r>
        <w:t>**Conclusion technique** : Les indicateurs techniques présentent un tableau mitigé, avec une divergence notable entre la tendance de fond haussière (MM20 &gt; MM50, cours proche des sommets) et un momentum court terme affaibli (MACD baissier, RSI neutre, Stochastique sans direction). Cette configuration suggère une phase de consolidation dans un contexte haussier, avec un risque de correction à court terme mais un potentiel de rebond si le cours parvient à se maintenir au-dessus de la MM50 (2 249 FCFA). La prudence est de mise, et un signal d'achat plus clair (cassure de la MM20 ou RSI &gt; 60) serait nécessaire pour confirmer la reprise.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UNIWAX a réalisé un chiffre d'affaires de 29,032 milliards FCFA, en croissance de 6,21% par rapport à 2024, confirmant la dynamique commerciale positive. Cependant, la société reste déficitaire avec un résultat net de -624,11 millions FCFA, bien qu'en amélioration de 71% par rapport à la perte de 2,19 milliards FCFA en 2024. Les ratios de rentabilité demeurent négatifs : ROE de -2,54% et ROA de -1,97%, reflétant l'incapacité de l'entreprise à générer des profits sur ses fonds propres et ses actifs. La marge brute de 53,53% reste solide, mais la marge nette de -2,15% et la marge opérationnelle de -1,46% indiquent que les charges d'exploitation (5,44 milliards FCFA de charges de personnel, 2,16 milliards FCFA de dotations aux amortissements) absorbent l'essentiel de la valeur ajoutée (6,56 milliards FCFA). La structure financière est saine avec une autonomie financière de 77,58% et un ratio d'endettement de seulement 1,50%, mais le BFR de 11,19 milliards FCFA (délai clients de 45,8 jours, durée de stockage de 325 jours) constitue un risque de trésorerie majeur, expliquant le flux opérationnel négatif de -8,12 milliards FCFA.</w:t>
      </w:r>
    </w:p>
    <w:p>
      <w:pPr>
        <w:spacing w:after="120" w:line="276" w:lineRule="auto"/>
      </w:pPr>
      <w:r>
        <w:t>**Estimations basées sur les rapports trimestriels** : Le rapport du S1 2026 (publié en 2026) révèle une inflexion majeure : le résultat d'exploitation est redevenu positif à 771 millions FCFA, contre une perte de 314 millions FCFA au S1 2025, soit une amélioration de 345,4%. Le chiffre d'affaires semestriel s'établit à 15,752 milliards FCFA (+0,3%), et le résultat net atteint 771 millions FCFA (contre 8,2 milliards FCFA au S1 2025, ce dernier incluant une plus-value exceptionnelle de cession de terrain de près de 10 milliards FCFA). Sur la base de ce rapport, on estime que l'exercice 2026 devrait marquer le retour à une rentabilité opérationnelle positive, avec un résultat d'exploitation annualisé potentiellement compris entre 1,5 et 2 milliards FCFA si la dynamique du S1 se confirme. Le rapport du T3 2025 (daté du 30/09/2025) confirmait déjà cette tendance, avec un résultat des activités ordinaires de -371 millions FCFA sur neuf mois (en amélioration de 80% sur un an) et l'absence de perte au T3 seul. Le rapport annuel 2025 (publié en 2025) souligne que le désendettement vis-à-vis des fournisseurs (14,9 Mds ramenés à 5,0 Mds FCFA) a été financé par des cessions d'immobilisations pour +10,5 milliards FCFA, expliquant le bénéfice exceptionnel de 2025.</w:t>
      </w:r>
    </w:p>
    <w:p>
      <w:pPr>
        <w:spacing w:after="120" w:line="276" w:lineRule="auto"/>
      </w:pPr>
      <w:r>
        <w:t>**Recommandation fondamentale** : La situation fondamentale d'UNIWAX présente un profil de redressement crédible mais fragile. Les points positifs incluent la croissance du chiffre d'affaires (+6,2% en 2025, +12,5% au S1 2025), le retour de l'EBE en territoire positif (1,13 milliard FCFA en 2025 contre -0,35 milliard en 2024), la réduction drastique de la perte nette (-71%), et surtout le retour à une rentabilité opérationnelle positive au S1 2026. Les risques majeurs restent la dépendance aux éléments exceptionnels (cession de terrain), les pertes cumulées croissantes (-5,54 milliards FCFA de report à nouveau négatif), le flux opérationnel négatif (-8,12 milliards FCFA en 2025), et la concurrence accrue des importations asiatiques. La recommandation fondamentale est **CONSERVER** avec vigilance, en attendant la confirmation d'une rentabilité opérationnelle durable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d'UNIWAX présente un profil atypique : le PER négatif (-76,8x) et l'EV/EBITDA très élevé (39,5x) signalent une société encore déficitaire mais dont le marché anticipe déjà un redressement, tandis que le P/B de 1,95x reste raisonnable et n'indique pas de surévaluation extrême. Le comportement du cours sur 100 jours est nettement haussier (+25,89%), avec une volatilité élevée (49,9%) et une distribution symétrique (skewness -0,213, kurtosis -0,562) qui ne présente pas de risque de pics extrêmes, mais la position du cours sous la MM20 et la divergence baissière du MACD suggèrent une consolidation à court terme. Les signaux techniques sont mitigés : les moyennes mobiles restent haussières (MM20 &gt; MM50), mais le MACD est baissier, le RSI et le Stochastique sont neutres, et les Bandes de Bollinger ne montrent pas de signal directionnel fort — une convergence qui plaide pour une phase d'attente. Les fondamentaux, bien que fragiles (perte nette de 624 millions FCFA en 2025, ROE négatif), montrent des signes encourageants de redressement, notamment le retour à une rentabilité opérationnelle positive au S1 2026 (771 millions FCFA) et la réduction de 71% de la perte nette en 2025. Les prédictions IA pour les 10 prochains jours (2 272 FCFA le 09/10, puis 2 259, 2 242, 2 226 et 2 210 FCFA) anticipent une légère correction baissière (-4,3% sur 10 jours), ce qui contredit la tendance haussière de fond mais confirme l'essoufflement du momentum à court terme signalé par le MACD.</w:t>
      </w:r>
    </w:p>
    <w:p>
      <w:pPr>
        <w:spacing w:after="120" w:line="276" w:lineRule="auto"/>
      </w:pPr>
      <w:r>
        <w:t>**Recommandation finale : CONSERVER** — Le titre présente un profil de redressement crédible mais encore fragile, avec une valorisation qui intègre déjà une bonne partie du potentiel de reprise. La convergence entre la correction technique attendue (MACD baissier, prédictions IA baissières) et les fondamentaux en amélioration mais non encore confirmés (rentabilité opérationnelle positive au S1 2026) justifie une position d'attente. **Niveau de confiance : Moyen** — Les signaux sont contradictoires entre le court terme (baissier) et le moyen terme (haussier), et la dépendance aux éléments exceptionnels (cession de terrain) rend la visibilité limitée. **Niveau de risque global : Élevé** — La volatilité de 49,9%, les pertes cumulées de -5,54 milliards FCFA, et la concurrence sectorielle accrue constituent des risques significatifs. **Horizon d'investissement optimal : Moyen terme (3-12 mois)** — Un investisseur patient pourrait envisager un renforcement en cas de correction vers 2 200-2 250 FCFA (niveau de la MM50), avec un objectif de 2 500 FCFA si la rentabilité opérationnelle se confirme sur l'ensemble de l'exercice 2026. Une position d'achat plus agressive serait justifiée par la publication de résultats annuels 2026 confirmant un résultat d'exploitation positif et une réduction des pertes cumulées.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