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22/09/2026 à 09:24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C00000"/>
          <w:sz w:val="19"/>
        </w:rPr>
        <w:t>BAISSIER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86/100)</w:t>
      </w:r>
    </w:p>
    <w:p>
      <w:pPr>
        <w:spacing w:before="20" w:after="20"/>
        <w:ind w:left="360" w:right="360"/>
        <w:shd w:val="clear" w:color="auto" w:fill="EBF5FB"/>
      </w:pPr>
      <w:r>
        <w:rPr>
          <w:b/>
          <w:sz w:val="19"/>
        </w:rPr>
        <w:t xml:space="preserve">Secteur surperformant :  </w:t>
      </w:r>
      <w:r>
        <w:rPr>
          <w:color w:val="008000"/>
          <w:sz w:val="19"/>
        </w:rPr>
        <w:t>SERVICES PUBLICS  (+98.1%)</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6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544.68 points </w:t>
      </w:r>
      <w:r>
        <w:rPr>
          <w:color w:val="C00000"/>
        </w:rPr>
        <w:t>(-1.63%)</w:t>
      </w:r>
      <w:r>
        <w:t xml:space="preserve"> sur la séance. </w:t>
      </w:r>
      <w:r>
        <w:t>La capitalisation globale du marché atteint 21 003,669 milliards FCFA.</w:t>
      </w:r>
    </w:p>
    <w:p/>
    <w:p>
      <w:pPr>
        <w:pStyle w:val="Heading3"/>
      </w:pPr>
      <w:r>
        <w:t>📊 Évolution de l'indice BRVM Composite (100 derniers jours)</w:t>
      </w:r>
    </w:p>
    <w:p>
      <w:r>
        <w:rPr>
          <w:b/>
        </w:rPr>
        <w:t xml:space="preserve">BRVM Composite — </w:t>
      </w:r>
      <w:r>
        <w:t xml:space="preserve">Sur les 100 derniers jours de cotation (2026-04-27 au 2026-09-21), l'indice BRVM Composite a évolué de </w:t>
      </w:r>
      <w:r>
        <w:rPr>
          <w:b/>
          <w:color w:val="008000"/>
        </w:rPr>
        <w:t>+35.36%</w:t>
      </w:r>
      <w:r>
        <w:t>, passant de 402.38 pts à 544.68 pts. Le plus haut atteint est 555.90 pts et le plus bas 401.60 pts. Sur l'ensemble de la période, la moyenne de l'indice s'établit à 470.73 pts, la médiane à 471.15 pts et le mode à 401.60 pts</w:t>
      </w:r>
      <w:r>
        <w:t xml:space="preserve"> (asymétrie positive — plus de jours sous la moyenne). </w:t>
      </w:r>
      <w:r>
        <w:t xml:space="preserve">L'écart-type de 47.63 pts (CV=10.1%) traduit une modérée dispersion des cotations. Le kurtosis de -1.03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+35.38%</w:t>
      </w:r>
      <w:r>
        <w:t xml:space="preserve"> sur la période, passant de 15 514,261 Mds FCFA à 21 003,669 Mds FCFA. Le pic de capitalisation observé est de 21 436,336 Mds FCFA et le plancher de 15 482,993 Mds FCFA. La moyenne de la capitalisation sur la période s'établit à 18 143,029 Mds FCFA, la médiane à 18 150,542 Mds FCFA et le mode à 15 482,993 Mds FCFA</w:t>
      </w:r>
      <w:r>
        <w:t xml:space="preserve"> (asymétrie positive). </w:t>
      </w:r>
      <w:r>
        <w:t>L'écart-type de 1 838,959 Mds FCFA (CV=10.1%) reflète une modérée variabilité de la valorisation du marché. Le kurtosis de -1.03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NTLC - NTLC - NESTLE COTE D'IVOIRE</w:t>
      </w:r>
      <w:r>
        <w:t xml:space="preserve"> | Prix: 15800 FCFA | </w:t>
      </w:r>
      <w:r>
        <w:rPr>
          <w:b/>
          <w:color w:val="008000"/>
        </w:rPr>
        <w:t>ACHAT FORT</w:t>
      </w:r>
      <w:r>
        <w:t xml:space="preserve"> | Confiance: Élevée | Risque: Faible</w:t>
      </w:r>
    </w:p>
    <w:p>
      <w:pPr>
        <w:pStyle w:val="ListNumber"/>
      </w:pPr>
      <w:r>
        <w:rPr>
          <w:b/>
        </w:rPr>
        <w:t>SEMC - SEMC - EVIOSYS PACKAGING SIEM CI</w:t>
      </w:r>
      <w:r>
        <w:t xml:space="preserve"> | Prix: 1495 FCFA | </w:t>
      </w:r>
      <w:r>
        <w:rPr>
          <w:b/>
          <w:color w:val="008000"/>
        </w:rPr>
        <w:t>ACHAT FORT</w:t>
      </w:r>
      <w:r>
        <w:t xml:space="preserve"> | Confiance: Élevée | Risque: Faible</w:t>
      </w:r>
    </w:p>
    <w:p>
      <w:pPr>
        <w:pStyle w:val="ListNumber"/>
      </w:pPr>
      <w:r>
        <w:rPr>
          <w:b/>
        </w:rPr>
        <w:t>ABJC - ABJC - SERVAIR ABIDJAN CI</w:t>
      </w:r>
      <w:r>
        <w:t xml:space="preserve"> | Prix: 3950 FCFA | </w:t>
      </w:r>
      <w:r>
        <w:rPr>
          <w:b/>
          <w:color w:val="008000"/>
        </w:rPr>
        <w:t>ACHAT</w:t>
      </w:r>
      <w:r>
        <w:t xml:space="preserve"> | Confiance: Moyen | Risque: Faible</w:t>
      </w:r>
    </w:p>
    <w:p>
      <w:pPr>
        <w:pStyle w:val="ListNumber"/>
      </w:pPr>
      <w:r>
        <w:rPr>
          <w:b/>
        </w:rPr>
        <w:t>BICB - BIIC BN - Banque internationale pour le commerce du benin</w:t>
      </w:r>
      <w:r>
        <w:t xml:space="preserve"> | Prix: 10000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31675 FCFA | </w:t>
      </w:r>
      <w:r>
        <w:rPr>
          <w:b/>
          <w:color w:val="008000"/>
        </w:rPr>
        <w:t>ACHAT</w:t>
      </w:r>
      <w:r>
        <w:t xml:space="preserve"> | Confiance: Moyen | Risque: Moyen</w:t>
      </w:r>
    </w:p>
    <w:p>
      <w:pPr>
        <w:pStyle w:val="ListNumber"/>
      </w:pPr>
      <w:r>
        <w:rPr>
          <w:b/>
        </w:rPr>
        <w:t>BNBC - BNBC - BERNABE CI</w:t>
      </w:r>
      <w:r>
        <w:t xml:space="preserve"> | Prix: 1985 FCFA | </w:t>
      </w:r>
      <w:r>
        <w:rPr>
          <w:b/>
          <w:color w:val="008000"/>
        </w:rPr>
        <w:t>ACHAT</w:t>
      </w:r>
      <w:r>
        <w:t xml:space="preserve"> | Confiance: Élevée | Risque: Faible</w:t>
      </w:r>
    </w:p>
    <w:p>
      <w:pPr>
        <w:pStyle w:val="ListNumber"/>
      </w:pPr>
      <w:r>
        <w:rPr>
          <w:b/>
        </w:rPr>
        <w:t>BOAB - BANK OF AFRICA BENIN</w:t>
      </w:r>
      <w:r>
        <w:t xml:space="preserve"> | Prix: 9500 FCFA | </w:t>
      </w:r>
      <w:r>
        <w:rPr>
          <w:b/>
          <w:color w:val="008000"/>
        </w:rPr>
        <w:t>ACHAT</w:t>
      </w:r>
      <w:r>
        <w:t xml:space="preserve"> | Confiance: Élevée | Risque: Faible</w:t>
      </w:r>
    </w:p>
    <w:p>
      <w:pPr>
        <w:pStyle w:val="ListNumber"/>
      </w:pPr>
      <w:r>
        <w:rPr>
          <w:b/>
        </w:rPr>
        <w:t>BOABF - BANK OF AFRICA BURKINA FASO</w:t>
      </w:r>
      <w:r>
        <w:t xml:space="preserve"> | Prix: 7800 FCFA | </w:t>
      </w:r>
      <w:r>
        <w:rPr>
          <w:b/>
          <w:color w:val="008000"/>
        </w:rPr>
        <w:t>ACHAT</w:t>
      </w:r>
      <w:r>
        <w:t xml:space="preserve"> | Confiance: Élevée | Risque: Moyen</w:t>
      </w:r>
    </w:p>
    <w:p>
      <w:pPr>
        <w:pStyle w:val="ListNumber"/>
      </w:pPr>
      <w:r>
        <w:rPr>
          <w:b/>
        </w:rPr>
        <w:t>BOAC - BANK OF AFRICA COTE D'IVOIRE</w:t>
      </w:r>
      <w:r>
        <w:t xml:space="preserve"> | Prix: 11600 FCFA | </w:t>
      </w:r>
      <w:r>
        <w:rPr>
          <w:b/>
          <w:color w:val="008000"/>
        </w:rPr>
        <w:t>ACHAT</w:t>
      </w:r>
      <w:r>
        <w:t xml:space="preserve"> | Confiance: Élevée | Risque: Moyen</w:t>
      </w:r>
    </w:p>
    <w:p>
      <w:pPr>
        <w:pStyle w:val="ListNumber"/>
      </w:pPr>
      <w:r>
        <w:rPr>
          <w:b/>
        </w:rPr>
        <w:t>BOAM - BANK OF AFRICA MALI</w:t>
      </w:r>
      <w:r>
        <w:t xml:space="preserve"> | Prix: 6210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98.10%</w:t>
      </w:r>
      <w:r>
        <w:t xml:space="preserve">  |  </w:t>
      </w:r>
      <w:r>
        <w:rPr>
          <w:b/>
        </w:rPr>
        <w:t xml:space="preserve">vs BRVM Composite: </w:t>
      </w:r>
      <w:r>
        <w:rPr>
          <w:b/>
          <w:color w:val="008000"/>
        </w:rPr>
        <w:t>+62.74%  🟢 Surperformance</w:t>
      </w:r>
      <w:r>
        <w:br/>
      </w:r>
      <w:r>
        <w:rPr>
          <w:b/>
        </w:rPr>
        <w:t xml:space="preserve">Sentiment général: </w:t>
      </w:r>
      <w:r>
        <w:t xml:space="preserve">ACHAT  |  </w:t>
      </w:r>
      <w:r>
        <w:rPr>
          <w:b/>
        </w:rPr>
        <w:t xml:space="preserve">Risque moyen: </w:t>
      </w:r>
      <w:r>
        <w:t xml:space="preserve">Moyen  |  </w:t>
      </w:r>
      <w:r>
        <w:rPr>
          <w:b/>
        </w:rPr>
        <w:t xml:space="preserve">Prix moyen: </w:t>
      </w:r>
      <w:r>
        <w:t>9602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42.30%</w:t>
      </w:r>
      <w:r>
        <w:t xml:space="preserve">  |  </w:t>
      </w:r>
      <w:r>
        <w:rPr>
          <w:b/>
        </w:rPr>
        <w:t xml:space="preserve">vs BRVM Composite: </w:t>
      </w:r>
      <w:r>
        <w:rPr>
          <w:b/>
          <w:color w:val="008000"/>
        </w:rPr>
        <w:t>+6.94%  🟢 Surperformance</w:t>
      </w:r>
      <w:r>
        <w:br/>
      </w:r>
      <w:r>
        <w:rPr>
          <w:b/>
        </w:rPr>
        <w:t xml:space="preserve">Sentiment général: </w:t>
      </w:r>
      <w:r>
        <w:t xml:space="preserve">ACHAT  |  </w:t>
      </w:r>
      <w:r>
        <w:rPr>
          <w:b/>
        </w:rPr>
        <w:t xml:space="preserve">Risque moyen: </w:t>
      </w:r>
      <w:r>
        <w:t xml:space="preserve">Moyen  |  </w:t>
      </w:r>
      <w:r>
        <w:rPr>
          <w:b/>
        </w:rPr>
        <w:t xml:space="preserve">Prix moyen: </w:t>
      </w:r>
      <w:r>
        <w:t>13655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35.22%</w:t>
      </w:r>
      <w:r>
        <w:t xml:space="preserve">  |  </w:t>
      </w:r>
      <w:r>
        <w:rPr>
          <w:b/>
        </w:rPr>
        <w:t xml:space="preserve">vs BRVM Composite: </w:t>
      </w:r>
      <w:r>
        <w:rPr>
          <w:b/>
          <w:color w:val="C00000"/>
        </w:rPr>
        <w:t>-0.15%  🔴 Sous-performance</w:t>
      </w:r>
      <w:r>
        <w:br/>
      </w:r>
      <w:r>
        <w:rPr>
          <w:b/>
        </w:rPr>
        <w:t xml:space="preserve">Sentiment général: </w:t>
      </w:r>
      <w:r>
        <w:t xml:space="preserve">ACHAT  |  </w:t>
      </w:r>
      <w:r>
        <w:rPr>
          <w:b/>
        </w:rPr>
        <w:t xml:space="preserve">Risque moyen: </w:t>
      </w:r>
      <w:r>
        <w:t xml:space="preserve">Moyen  |  </w:t>
      </w:r>
      <w:r>
        <w:rPr>
          <w:b/>
        </w:rPr>
        <w:t xml:space="preserve">Prix moyen: </w:t>
      </w:r>
      <w:r>
        <w:t>22000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32.17%</w:t>
      </w:r>
      <w:r>
        <w:t xml:space="preserve">  |  </w:t>
      </w:r>
      <w:r>
        <w:rPr>
          <w:b/>
        </w:rPr>
        <w:t xml:space="preserve">vs BRVM Composite: </w:t>
      </w:r>
      <w:r>
        <w:rPr>
          <w:b/>
          <w:color w:val="C00000"/>
        </w:rPr>
        <w:t>-3.19%  🔴 Sous-performance</w:t>
      </w:r>
      <w:r>
        <w:br/>
      </w:r>
      <w:r>
        <w:rPr>
          <w:b/>
        </w:rPr>
        <w:t xml:space="preserve">Sentiment général: </w:t>
      </w:r>
      <w:r>
        <w:t xml:space="preserve">ACHAT  |  </w:t>
      </w:r>
      <w:r>
        <w:rPr>
          <w:b/>
        </w:rPr>
        <w:t xml:space="preserve">Risque moyen: </w:t>
      </w:r>
      <w:r>
        <w:t xml:space="preserve">Moyen  |  </w:t>
      </w:r>
      <w:r>
        <w:rPr>
          <w:b/>
        </w:rPr>
        <w:t xml:space="preserve">Prix moyen: </w:t>
      </w:r>
      <w:r>
        <w:t>6600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23.85%</w:t>
      </w:r>
      <w:r>
        <w:t xml:space="preserve">  |  </w:t>
      </w:r>
      <w:r>
        <w:rPr>
          <w:b/>
        </w:rPr>
        <w:t xml:space="preserve">vs BRVM Composite: </w:t>
      </w:r>
      <w:r>
        <w:rPr>
          <w:b/>
          <w:color w:val="C00000"/>
        </w:rPr>
        <w:t>-11.52%  🔴 Sous-performance</w:t>
      </w:r>
      <w:r>
        <w:br/>
      </w:r>
      <w:r>
        <w:rPr>
          <w:b/>
        </w:rPr>
        <w:t xml:space="preserve">Sentiment général: </w:t>
      </w:r>
      <w:r>
        <w:t xml:space="preserve">ACHAT  |  </w:t>
      </w:r>
      <w:r>
        <w:rPr>
          <w:b/>
        </w:rPr>
        <w:t xml:space="preserve">Risque moyen: </w:t>
      </w:r>
      <w:r>
        <w:t xml:space="preserve">Faible  |  </w:t>
      </w:r>
      <w:r>
        <w:rPr>
          <w:b/>
        </w:rPr>
        <w:t xml:space="preserve">Prix moyen: </w:t>
      </w:r>
      <w:r>
        <w:t>18086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11.01%</w:t>
      </w:r>
      <w:r>
        <w:t xml:space="preserve">  |  </w:t>
      </w:r>
      <w:r>
        <w:rPr>
          <w:b/>
        </w:rPr>
        <w:t xml:space="preserve">vs BRVM Composite: </w:t>
      </w:r>
      <w:r>
        <w:rPr>
          <w:b/>
          <w:color w:val="C00000"/>
        </w:rPr>
        <w:t>-24.36%  🔴 Sous-performance</w:t>
      </w:r>
      <w:r>
        <w:br/>
      </w:r>
      <w:r>
        <w:rPr>
          <w:b/>
        </w:rPr>
        <w:t xml:space="preserve">Sentiment général: </w:t>
      </w:r>
      <w:r>
        <w:t xml:space="preserve">ACHAT  |  </w:t>
      </w:r>
      <w:r>
        <w:rPr>
          <w:b/>
        </w:rPr>
        <w:t xml:space="preserve">Risque moyen: </w:t>
      </w:r>
      <w:r>
        <w:t xml:space="preserve">Faible  |  </w:t>
      </w:r>
      <w:r>
        <w:rPr>
          <w:b/>
        </w:rPr>
        <w:t xml:space="preserve">Prix moyen: </w:t>
      </w:r>
      <w:r>
        <w:t>2943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-6.00%</w:t>
      </w:r>
      <w:r>
        <w:t xml:space="preserve">  |  </w:t>
      </w:r>
      <w:r>
        <w:rPr>
          <w:b/>
        </w:rPr>
        <w:t xml:space="preserve">vs BRVM Composite: </w:t>
      </w:r>
      <w:r>
        <w:rPr>
          <w:b/>
          <w:color w:val="C00000"/>
        </w:rPr>
        <w:t>-41.37%  🔴 Sous-performance</w:t>
      </w:r>
      <w:r>
        <w:br/>
      </w:r>
      <w:r>
        <w:rPr>
          <w:b/>
        </w:rPr>
        <w:t xml:space="preserve">Sentiment général: </w:t>
      </w:r>
      <w:r>
        <w:t xml:space="preserve">ACHAT  |  </w:t>
      </w:r>
      <w:r>
        <w:rPr>
          <w:b/>
        </w:rPr>
        <w:t xml:space="preserve">Risque moyen: </w:t>
      </w:r>
      <w:r>
        <w:t xml:space="preserve">Faible  |  </w:t>
      </w:r>
      <w:r>
        <w:rPr>
          <w:b/>
        </w:rPr>
        <w:t xml:space="preserve">Prix moyen: </w:t>
      </w:r>
      <w:r>
        <w:t>2312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BOAB, BOABF, BOAC, BOAM, BOAN, BOAS, CFAC, FTSC, NEIC, NTLC, ORAC, ORGT, SAFC, SDCC, SDSC, SGBC, SIVC, SMBC, SOGC, SPHC, STAC, TTLC,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BICC, CBIBF, CIEC, ECOC, ETIT, LNBB, NSBC, ONTBF, PALC, SCRC, SEMC, SHEC, SIBC, SNTS, TTLS</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CABC, PRSC, SICC, SLBC,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2066371</w:t>
            </w:r>
          </w:p>
        </w:tc>
        <w:tc>
          <w:tcPr>
            <w:tcW w:type="dxa" w:w="1728"/>
          </w:tcPr>
          <w:p>
            <w:r>
              <w:t>140003664 FCFA</w:t>
            </w:r>
          </w:p>
        </w:tc>
        <w:tc>
          <w:tcPr>
            <w:tcW w:type="dxa" w:w="1728"/>
          </w:tcPr>
          <w:p>
            <w:r>
              <w:t>141.38%</w:t>
            </w:r>
          </w:p>
        </w:tc>
        <w:tc>
          <w:tcPr>
            <w:tcW w:type="dxa" w:w="1728"/>
          </w:tcPr>
          <w:p>
            <w:r>
              <w:t>ACHAT</w:t>
            </w:r>
          </w:p>
        </w:tc>
      </w:tr>
      <w:tr>
        <w:tc>
          <w:tcPr>
            <w:tcW w:type="dxa" w:w="1728"/>
          </w:tcPr>
          <w:p>
            <w:r>
              <w:t>SNTS (SNTS - SONATEL SN)</w:t>
            </w:r>
          </w:p>
        </w:tc>
        <w:tc>
          <w:tcPr>
            <w:tcW w:type="dxa" w:w="1728"/>
          </w:tcPr>
          <w:p>
            <w:r>
              <w:t>17289</w:t>
            </w:r>
          </w:p>
        </w:tc>
        <w:tc>
          <w:tcPr>
            <w:tcW w:type="dxa" w:w="1728"/>
          </w:tcPr>
          <w:p>
            <w:r>
              <w:t>678922587 FCFA</w:t>
            </w:r>
          </w:p>
        </w:tc>
        <w:tc>
          <w:tcPr>
            <w:tcW w:type="dxa" w:w="1728"/>
          </w:tcPr>
          <w:p>
            <w:r>
              <w:t>47.37%</w:t>
            </w:r>
          </w:p>
        </w:tc>
        <w:tc>
          <w:tcPr>
            <w:tcW w:type="dxa" w:w="1728"/>
          </w:tcPr>
          <w:p>
            <w:r>
              <w:t>ACHAT</w:t>
            </w:r>
          </w:p>
        </w:tc>
      </w:tr>
      <w:tr>
        <w:tc>
          <w:tcPr>
            <w:tcW w:type="dxa" w:w="1728"/>
          </w:tcPr>
          <w:p>
            <w:r>
              <w:t>SDSC (SDSC - AFRICA GLOBAL LOGISTICS CI)</w:t>
            </w:r>
          </w:p>
        </w:tc>
        <w:tc>
          <w:tcPr>
            <w:tcW w:type="dxa" w:w="1728"/>
          </w:tcPr>
          <w:p>
            <w:r>
              <w:t>17251</w:t>
            </w:r>
          </w:p>
        </w:tc>
        <w:tc>
          <w:tcPr>
            <w:tcW w:type="dxa" w:w="1728"/>
          </w:tcPr>
          <w:p>
            <w:r>
              <w:t>49813215 FCFA</w:t>
            </w:r>
          </w:p>
        </w:tc>
        <w:tc>
          <w:tcPr>
            <w:tcW w:type="dxa" w:w="1728"/>
          </w:tcPr>
          <w:p>
            <w:r>
              <w:t>55.56%</w:t>
            </w:r>
          </w:p>
        </w:tc>
        <w:tc>
          <w:tcPr>
            <w:tcW w:type="dxa" w:w="1728"/>
          </w:tcPr>
          <w:p>
            <w:r>
              <w:t>ACHAT</w:t>
            </w:r>
          </w:p>
        </w:tc>
      </w:tr>
      <w:tr>
        <w:tc>
          <w:tcPr>
            <w:tcW w:type="dxa" w:w="1728"/>
          </w:tcPr>
          <w:p>
            <w:r>
              <w:t>SIBC (SIBC - SOCIETE IVOIRIENNE DE BANQUE)</w:t>
            </w:r>
          </w:p>
        </w:tc>
        <w:tc>
          <w:tcPr>
            <w:tcW w:type="dxa" w:w="1728"/>
          </w:tcPr>
          <w:p>
            <w:r>
              <w:t>15378</w:t>
            </w:r>
          </w:p>
        </w:tc>
        <w:tc>
          <w:tcPr>
            <w:tcW w:type="dxa" w:w="1728"/>
          </w:tcPr>
          <w:p>
            <w:r>
              <w:t>140558951 FCFA</w:t>
            </w:r>
          </w:p>
        </w:tc>
        <w:tc>
          <w:tcPr>
            <w:tcW w:type="dxa" w:w="1728"/>
          </w:tcPr>
          <w:p>
            <w:r>
              <w:t>33.12%</w:t>
            </w:r>
          </w:p>
        </w:tc>
        <w:tc>
          <w:tcPr>
            <w:tcW w:type="dxa" w:w="1728"/>
          </w:tcPr>
          <w:p>
            <w:r>
              <w:t>ACHAT</w:t>
            </w:r>
          </w:p>
        </w:tc>
      </w:tr>
      <w:tr>
        <w:tc>
          <w:tcPr>
            <w:tcW w:type="dxa" w:w="1728"/>
          </w:tcPr>
          <w:p>
            <w:r>
              <w:t>BOAS (BANK OF AFRICA SENEGAL)</w:t>
            </w:r>
          </w:p>
        </w:tc>
        <w:tc>
          <w:tcPr>
            <w:tcW w:type="dxa" w:w="1728"/>
          </w:tcPr>
          <w:p>
            <w:r>
              <w:t>13170</w:t>
            </w:r>
          </w:p>
        </w:tc>
        <w:tc>
          <w:tcPr>
            <w:tcW w:type="dxa" w:w="1728"/>
          </w:tcPr>
          <w:p>
            <w:r>
              <w:t>108797555 FCFA</w:t>
            </w:r>
          </w:p>
        </w:tc>
        <w:tc>
          <w:tcPr>
            <w:tcW w:type="dxa" w:w="1728"/>
          </w:tcPr>
          <w:p>
            <w:r>
              <w:t>15.04%</w:t>
            </w:r>
          </w:p>
        </w:tc>
        <w:tc>
          <w:tcPr>
            <w:tcW w:type="dxa" w:w="1728"/>
          </w:tcPr>
          <w:p>
            <w:r>
              <w:t>ACHAT</w:t>
            </w:r>
          </w:p>
        </w:tc>
      </w:tr>
      <w:tr>
        <w:tc>
          <w:tcPr>
            <w:tcW w:type="dxa" w:w="1728"/>
          </w:tcPr>
          <w:p>
            <w:r>
              <w:t>SAFC (SAFCA CI)</w:t>
            </w:r>
          </w:p>
        </w:tc>
        <w:tc>
          <w:tcPr>
            <w:tcW w:type="dxa" w:w="1728"/>
          </w:tcPr>
          <w:p>
            <w:r>
              <w:t>12222</w:t>
            </w:r>
          </w:p>
        </w:tc>
        <w:tc>
          <w:tcPr>
            <w:tcW w:type="dxa" w:w="1728"/>
          </w:tcPr>
          <w:p>
            <w:r>
              <w:t>67184018 FCFA</w:t>
            </w:r>
          </w:p>
        </w:tc>
        <w:tc>
          <w:tcPr>
            <w:tcW w:type="dxa" w:w="1728"/>
          </w:tcPr>
          <w:p>
            <w:r>
              <w:t>10.55%</w:t>
            </w:r>
          </w:p>
        </w:tc>
        <w:tc>
          <w:tcPr>
            <w:tcW w:type="dxa" w:w="1728"/>
          </w:tcPr>
          <w:p>
            <w:r>
              <w:t>ACHAT</w:t>
            </w:r>
          </w:p>
        </w:tc>
      </w:tr>
      <w:tr>
        <w:tc>
          <w:tcPr>
            <w:tcW w:type="dxa" w:w="1728"/>
          </w:tcPr>
          <w:p>
            <w:r>
              <w:t>UNXC (UNXC - UNIWAX COTE D'IVOIRE)</w:t>
            </w:r>
          </w:p>
        </w:tc>
        <w:tc>
          <w:tcPr>
            <w:tcW w:type="dxa" w:w="1728"/>
          </w:tcPr>
          <w:p>
            <w:r>
              <w:t>12211</w:t>
            </w:r>
          </w:p>
        </w:tc>
        <w:tc>
          <w:tcPr>
            <w:tcW w:type="dxa" w:w="1728"/>
          </w:tcPr>
          <w:p>
            <w:r>
              <w:t>29206997 FCFA</w:t>
            </w:r>
          </w:p>
        </w:tc>
        <w:tc>
          <w:tcPr>
            <w:tcW w:type="dxa" w:w="1728"/>
          </w:tcPr>
          <w:p>
            <w:r>
              <w:t>11.48%</w:t>
            </w:r>
          </w:p>
        </w:tc>
        <w:tc>
          <w:tcPr>
            <w:tcW w:type="dxa" w:w="1728"/>
          </w:tcPr>
          <w:p>
            <w:r>
              <w:t>ACHAT</w:t>
            </w:r>
          </w:p>
        </w:tc>
      </w:tr>
      <w:tr>
        <w:tc>
          <w:tcPr>
            <w:tcW w:type="dxa" w:w="1728"/>
          </w:tcPr>
          <w:p>
            <w:r>
              <w:t>BICB (BIIC BN - Banque internationale pour le commerce du benin)</w:t>
            </w:r>
          </w:p>
        </w:tc>
        <w:tc>
          <w:tcPr>
            <w:tcW w:type="dxa" w:w="1728"/>
          </w:tcPr>
          <w:p>
            <w:r>
              <w:t>11468</w:t>
            </w:r>
          </w:p>
        </w:tc>
        <w:tc>
          <w:tcPr>
            <w:tcW w:type="dxa" w:w="1728"/>
          </w:tcPr>
          <w:p>
            <w:r>
              <w:t>112470412 FCFA</w:t>
            </w:r>
          </w:p>
        </w:tc>
        <w:tc>
          <w:tcPr>
            <w:tcW w:type="dxa" w:w="1728"/>
          </w:tcPr>
          <w:p>
            <w:r>
              <w:t>92.12%</w:t>
            </w:r>
          </w:p>
        </w:tc>
        <w:tc>
          <w:tcPr>
            <w:tcW w:type="dxa" w:w="1728"/>
          </w:tcPr>
          <w:p>
            <w:r>
              <w:t>ACHAT</w:t>
            </w:r>
          </w:p>
        </w:tc>
      </w:tr>
      <w:tr>
        <w:tc>
          <w:tcPr>
            <w:tcW w:type="dxa" w:w="1728"/>
          </w:tcPr>
          <w:p>
            <w:r>
              <w:t>BOAC (BANK OF AFRICA COTE D'IVOIRE)</w:t>
            </w:r>
          </w:p>
        </w:tc>
        <w:tc>
          <w:tcPr>
            <w:tcW w:type="dxa" w:w="1728"/>
          </w:tcPr>
          <w:p>
            <w:r>
              <w:t>10042</w:t>
            </w:r>
          </w:p>
        </w:tc>
        <w:tc>
          <w:tcPr>
            <w:tcW w:type="dxa" w:w="1728"/>
          </w:tcPr>
          <w:p>
            <w:r>
              <w:t>124421792 FCFA</w:t>
            </w:r>
          </w:p>
        </w:tc>
        <w:tc>
          <w:tcPr>
            <w:tcW w:type="dxa" w:w="1728"/>
          </w:tcPr>
          <w:p>
            <w:r>
              <w:t>32.57%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3976</w:t>
            </w:r>
          </w:p>
        </w:tc>
        <w:tc>
          <w:tcPr>
            <w:tcW w:type="dxa" w:w="1728"/>
          </w:tcPr>
          <w:p>
            <w:r>
              <w:t>15404813 FCFA</w:t>
            </w:r>
          </w:p>
        </w:tc>
        <w:tc>
          <w:tcPr>
            <w:tcW w:type="dxa" w:w="1728"/>
          </w:tcPr>
          <w:p>
            <w:r>
              <w:t>4.50%</w:t>
            </w:r>
          </w:p>
        </w:tc>
        <w:tc>
          <w:tcPr>
            <w:tcW w:type="dxa" w:w="1728"/>
          </w:tcPr>
          <w:p>
            <w:r>
              <w:t>ACHAT</w:t>
            </w:r>
          </w:p>
        </w:tc>
      </w:tr>
      <w:tr>
        <w:tc>
          <w:tcPr>
            <w:tcW w:type="dxa" w:w="1728"/>
          </w:tcPr>
          <w:p>
            <w:r>
              <w:t>STBC (STBC - SITAB COTE D'IVOIRE)</w:t>
            </w:r>
          </w:p>
        </w:tc>
        <w:tc>
          <w:tcPr>
            <w:tcW w:type="dxa" w:w="1728"/>
          </w:tcPr>
          <w:p>
            <w:r>
              <w:t>3906</w:t>
            </w:r>
          </w:p>
        </w:tc>
        <w:tc>
          <w:tcPr>
            <w:tcW w:type="dxa" w:w="1728"/>
          </w:tcPr>
          <w:p>
            <w:r>
              <w:t>85480448 FCFA</w:t>
            </w:r>
          </w:p>
        </w:tc>
        <w:tc>
          <w:tcPr>
            <w:tcW w:type="dxa" w:w="1728"/>
          </w:tcPr>
          <w:p>
            <w:r>
              <w:t>5.65%</w:t>
            </w:r>
          </w:p>
        </w:tc>
        <w:tc>
          <w:tcPr>
            <w:tcW w:type="dxa" w:w="1728"/>
          </w:tcPr>
          <w:p>
            <w:r>
              <w:t>ACHAT</w:t>
            </w:r>
          </w:p>
        </w:tc>
      </w:tr>
      <w:tr>
        <w:tc>
          <w:tcPr>
            <w:tcW w:type="dxa" w:w="1728"/>
          </w:tcPr>
          <w:p>
            <w:r>
              <w:t>SOGC (SOGC - Société des caoutchoucs de Grand-Béréby)</w:t>
            </w:r>
          </w:p>
        </w:tc>
        <w:tc>
          <w:tcPr>
            <w:tcW w:type="dxa" w:w="1728"/>
          </w:tcPr>
          <w:p>
            <w:r>
              <w:t>3860</w:t>
            </w:r>
          </w:p>
        </w:tc>
        <w:tc>
          <w:tcPr>
            <w:tcW w:type="dxa" w:w="1728"/>
          </w:tcPr>
          <w:p>
            <w:r>
              <w:t>31880912 FCFA</w:t>
            </w:r>
          </w:p>
        </w:tc>
        <w:tc>
          <w:tcPr>
            <w:tcW w:type="dxa" w:w="1728"/>
          </w:tcPr>
          <w:p>
            <w:r>
              <w:t>3.20%</w:t>
            </w:r>
          </w:p>
        </w:tc>
        <w:tc>
          <w:tcPr>
            <w:tcW w:type="dxa" w:w="1728"/>
          </w:tcPr>
          <w:p>
            <w:r>
              <w:t>ACHAT</w:t>
            </w:r>
          </w:p>
        </w:tc>
      </w:tr>
      <w:tr>
        <w:tc>
          <w:tcPr>
            <w:tcW w:type="dxa" w:w="1728"/>
          </w:tcPr>
          <w:p>
            <w:r>
              <w:t>CFAC (CFAC - CFAO MOTORS CI)</w:t>
            </w:r>
          </w:p>
        </w:tc>
        <w:tc>
          <w:tcPr>
            <w:tcW w:type="dxa" w:w="1728"/>
          </w:tcPr>
          <w:p>
            <w:r>
              <w:t>3697</w:t>
            </w:r>
          </w:p>
        </w:tc>
        <w:tc>
          <w:tcPr>
            <w:tcW w:type="dxa" w:w="1728"/>
          </w:tcPr>
          <w:p>
            <w:r>
              <w:t>6335485 FCFA</w:t>
            </w:r>
          </w:p>
        </w:tc>
        <w:tc>
          <w:tcPr>
            <w:tcW w:type="dxa" w:w="1728"/>
          </w:tcPr>
          <w:p>
            <w:r>
              <w:t>0.63%</w:t>
            </w:r>
          </w:p>
        </w:tc>
        <w:tc>
          <w:tcPr>
            <w:tcW w:type="dxa" w:w="1728"/>
          </w:tcPr>
          <w:p>
            <w:r>
              <w:t>ACHAT</w:t>
            </w:r>
          </w:p>
        </w:tc>
      </w:tr>
      <w:tr>
        <w:tc>
          <w:tcPr>
            <w:tcW w:type="dxa" w:w="1728"/>
          </w:tcPr>
          <w:p>
            <w:r>
              <w:t>PALC (PALC - PALM COTE D'IVOIRE)</w:t>
            </w:r>
          </w:p>
        </w:tc>
        <w:tc>
          <w:tcPr>
            <w:tcW w:type="dxa" w:w="1728"/>
          </w:tcPr>
          <w:p>
            <w:r>
              <w:t>3611</w:t>
            </w:r>
          </w:p>
        </w:tc>
        <w:tc>
          <w:tcPr>
            <w:tcW w:type="dxa" w:w="1728"/>
          </w:tcPr>
          <w:p>
            <w:r>
              <w:t>31381562 FCFA</w:t>
            </w:r>
          </w:p>
        </w:tc>
        <w:tc>
          <w:tcPr>
            <w:tcW w:type="dxa" w:w="1728"/>
          </w:tcPr>
          <w:p>
            <w:r>
              <w:t>5.70%</w:t>
            </w:r>
          </w:p>
        </w:tc>
        <w:tc>
          <w:tcPr>
            <w:tcW w:type="dxa" w:w="1728"/>
          </w:tcPr>
          <w:p>
            <w:r>
              <w:t>ACHAT</w:t>
            </w:r>
          </w:p>
        </w:tc>
      </w:tr>
      <w:tr>
        <w:tc>
          <w:tcPr>
            <w:tcW w:type="dxa" w:w="1728"/>
          </w:tcPr>
          <w:p>
            <w:r>
              <w:t>ECOC (ECOC - ECOBANK COTE D'IVOIRE)</w:t>
            </w:r>
          </w:p>
        </w:tc>
        <w:tc>
          <w:tcPr>
            <w:tcW w:type="dxa" w:w="1728"/>
          </w:tcPr>
          <w:p>
            <w:r>
              <w:t>3445</w:t>
            </w:r>
          </w:p>
        </w:tc>
        <w:tc>
          <w:tcPr>
            <w:tcW w:type="dxa" w:w="1728"/>
          </w:tcPr>
          <w:p>
            <w:r>
              <w:t>58398096 FCFA</w:t>
            </w:r>
          </w:p>
        </w:tc>
        <w:tc>
          <w:tcPr>
            <w:tcW w:type="dxa" w:w="1728"/>
          </w:tcPr>
          <w:p>
            <w:r>
              <w:t>6.12%</w:t>
            </w:r>
          </w:p>
        </w:tc>
        <w:tc>
          <w:tcPr>
            <w:tcW w:type="dxa" w:w="1728"/>
          </w:tcPr>
          <w:p>
            <w:r>
              <w:t>ACHAT</w:t>
            </w:r>
          </w:p>
        </w:tc>
      </w:tr>
      <w:tr>
        <w:tc>
          <w:tcPr>
            <w:tcW w:type="dxa" w:w="1728"/>
          </w:tcPr>
          <w:p>
            <w:r>
              <w:t>FTSC (FTSC - FILTISAC COTE D'IVOIRE)</w:t>
            </w:r>
          </w:p>
        </w:tc>
        <w:tc>
          <w:tcPr>
            <w:tcW w:type="dxa" w:w="1728"/>
          </w:tcPr>
          <w:p>
            <w:r>
              <w:t>3159</w:t>
            </w:r>
          </w:p>
        </w:tc>
        <w:tc>
          <w:tcPr>
            <w:tcW w:type="dxa" w:w="1728"/>
          </w:tcPr>
          <w:p>
            <w:r>
              <w:t>6710878 FCFA</w:t>
            </w:r>
          </w:p>
        </w:tc>
        <w:tc>
          <w:tcPr>
            <w:tcW w:type="dxa" w:w="1728"/>
          </w:tcPr>
          <w:p>
            <w:r>
              <w:t>-8.89%</w:t>
            </w:r>
          </w:p>
        </w:tc>
        <w:tc>
          <w:tcPr>
            <w:tcW w:type="dxa" w:w="1728"/>
          </w:tcPr>
          <w:p>
            <w:r>
              <w:t>ACHAT</w:t>
            </w:r>
          </w:p>
        </w:tc>
      </w:tr>
      <w:tr>
        <w:tc>
          <w:tcPr>
            <w:tcW w:type="dxa" w:w="1728"/>
          </w:tcPr>
          <w:p>
            <w:r>
              <w:t>NEIC (NEIC - NEI-CEDA CI)</w:t>
            </w:r>
          </w:p>
        </w:tc>
        <w:tc>
          <w:tcPr>
            <w:tcW w:type="dxa" w:w="1728"/>
          </w:tcPr>
          <w:p>
            <w:r>
              <w:t>2920</w:t>
            </w:r>
          </w:p>
        </w:tc>
        <w:tc>
          <w:tcPr>
            <w:tcW w:type="dxa" w:w="1728"/>
          </w:tcPr>
          <w:p>
            <w:r>
              <w:t>8076362 FCFA</w:t>
            </w:r>
          </w:p>
        </w:tc>
        <w:tc>
          <w:tcPr>
            <w:tcW w:type="dxa" w:w="1728"/>
          </w:tcPr>
          <w:p>
            <w:r>
              <w:t>43.36%</w:t>
            </w:r>
          </w:p>
        </w:tc>
        <w:tc>
          <w:tcPr>
            <w:tcW w:type="dxa" w:w="1728"/>
          </w:tcPr>
          <w:p>
            <w:r>
              <w:t>ACHAT</w:t>
            </w:r>
          </w:p>
        </w:tc>
      </w:tr>
      <w:tr>
        <w:tc>
          <w:tcPr>
            <w:tcW w:type="dxa" w:w="1728"/>
          </w:tcPr>
          <w:p>
            <w:r>
              <w:t>PRSC (PRSC - TRACTAFRIC MOTORS CI)</w:t>
            </w:r>
          </w:p>
        </w:tc>
        <w:tc>
          <w:tcPr>
            <w:tcW w:type="dxa" w:w="1728"/>
          </w:tcPr>
          <w:p>
            <w:r>
              <w:t>2320</w:t>
            </w:r>
          </w:p>
        </w:tc>
        <w:tc>
          <w:tcPr>
            <w:tcW w:type="dxa" w:w="1728"/>
          </w:tcPr>
          <w:p>
            <w:r>
              <w:t>10274444 FCFA</w:t>
            </w:r>
          </w:p>
        </w:tc>
        <w:tc>
          <w:tcPr>
            <w:tcW w:type="dxa" w:w="1728"/>
          </w:tcPr>
          <w:p>
            <w:r>
              <w:t>-10.31%</w:t>
            </w:r>
          </w:p>
        </w:tc>
        <w:tc>
          <w:tcPr>
            <w:tcW w:type="dxa" w:w="1728"/>
          </w:tcPr>
          <w:p>
            <w:r>
              <w:t>ACHAT</w:t>
            </w:r>
          </w:p>
        </w:tc>
      </w:tr>
      <w:tr>
        <w:tc>
          <w:tcPr>
            <w:tcW w:type="dxa" w:w="1728"/>
          </w:tcPr>
          <w:p>
            <w:r>
              <w:t>SDCC (SDCC - Société de Distribution d'Eau de Côte d'Ivoire)</w:t>
            </w:r>
          </w:p>
        </w:tc>
        <w:tc>
          <w:tcPr>
            <w:tcW w:type="dxa" w:w="1728"/>
          </w:tcPr>
          <w:p>
            <w:r>
              <w:t>2302</w:t>
            </w:r>
          </w:p>
        </w:tc>
        <w:tc>
          <w:tcPr>
            <w:tcW w:type="dxa" w:w="1728"/>
          </w:tcPr>
          <w:p>
            <w:r>
              <w:t>30440828 FCFA</w:t>
            </w:r>
          </w:p>
        </w:tc>
        <w:tc>
          <w:tcPr>
            <w:tcW w:type="dxa" w:w="1728"/>
          </w:tcPr>
          <w:p>
            <w:r>
              <w:t>72.21%</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2.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3.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4.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5.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6.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BOAB - BANK OF AFRICA BENIN</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8. BOAC - BANK OF AFRICA COTE D'IVOIRE</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9. SIVC - SIVC - ERIUM CI (Ex AIR LIQUIDECI)</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10. BNBC - BNBC - BERNABE CI</w:t>
      </w:r>
    </w:p>
    <w:p>
      <w:r>
        <w:rPr>
          <w:b/>
        </w:rPr>
        <w:t xml:space="preserve">Score de divergence: </w:t>
      </w:r>
      <w:r>
        <w:t>2/8</w:t>
        <w:br/>
      </w:r>
      <w:r>
        <w:rPr>
          <w:b/>
        </w:rPr>
        <w:t xml:space="preserve">Description: </w:t>
      </w:r>
      <w:r>
        <w:t>Signaux d'achat: MM,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25</w:t>
            </w:r>
          </w:p>
        </w:tc>
        <w:tc>
          <w:tcPr>
            <w:tcW w:type="dxa" w:w="2160"/>
          </w:tcPr>
          <w:p>
            <w:r>
              <w:t>0</w:t>
            </w:r>
          </w:p>
        </w:tc>
      </w:tr>
      <w:tr>
        <w:tc>
          <w:tcPr>
            <w:tcW w:type="dxa" w:w="2160"/>
          </w:tcPr>
          <w:p>
            <w:r>
              <w:t>Risque Moyen</w:t>
            </w:r>
          </w:p>
        </w:tc>
        <w:tc>
          <w:tcPr>
            <w:tcW w:type="dxa" w:w="2160"/>
          </w:tcPr>
          <w:p>
            <w:r>
              <w:t>0</w:t>
            </w:r>
          </w:p>
        </w:tc>
        <w:tc>
          <w:tcPr>
            <w:tcW w:type="dxa" w:w="2160"/>
          </w:tcPr>
          <w:p>
            <w:r>
              <w:t>22</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C00000"/>
          <w:sz w:val="18"/>
        </w:rPr>
        <w:t>**Pétrole en chute libre** : quatrième séance consécutive de baisse, approvisionnements du Moyen-Orient en amélioration.</w:t>
      </w:r>
    </w:p>
    <w:p>
      <w:pPr>
        <w:pStyle w:val="ListBullet"/>
        <w:spacing w:before="20" w:after="20"/>
        <w:ind w:left="360"/>
      </w:pPr>
      <w:r>
        <w:rPr>
          <w:color w:val="008000"/>
          <w:sz w:val="18"/>
        </w:rPr>
        <w:t>**Soja en forte hausse** : dynamique inverse des matières premières agricoles.</w:t>
      </w:r>
    </w:p>
    <w:p>
      <w:pPr>
        <w:pStyle w:val="ListBullet"/>
        <w:spacing w:before="20" w:after="20"/>
        <w:ind w:left="360"/>
      </w:pPr>
      <w:r>
        <w:rPr>
          <w:sz w:val="18"/>
        </w:rPr>
        <w:t>**Inflation zone euro** : Philip Lane (BCE) annonce une inflation « plus élevée et plus durable qu'on ne le pensait ».</w:t>
      </w:r>
    </w:p>
    <w:p>
      <w:pPr>
        <w:pStyle w:val="ListBullet"/>
        <w:spacing w:before="20" w:after="20"/>
        <w:ind w:left="360"/>
      </w:pPr>
      <w:r>
        <w:rPr>
          <w:sz w:val="18"/>
        </w:rPr>
        <w:t>**Indice MXV matières premières** : -0,7 %, pénalisé par le pétrole.</w:t>
      </w:r>
    </w:p>
    <w:p>
      <w:pPr>
        <w:pStyle w:val="Heading3"/>
      </w:pPr>
      <w:r>
        <w:rPr>
          <w:color w:val="500050"/>
        </w:rPr>
        <w:t>⚡ Impact estimé sur la BRVM</w:t>
      </w:r>
    </w:p>
    <w:p>
      <w:pPr>
        <w:spacing w:before="20" w:after="40"/>
        <w:ind w:left="280"/>
      </w:pPr>
      <w:r>
        <w:rPr>
          <w:i/>
          <w:sz w:val="18"/>
        </w:rPr>
        <w:t>La baisse du pétrole est **négative pour TTLC** (distribution pétrolière) via compression des marges, mais **positive pour les coûts énergétiques** des industriels (SIVC, FTSC, STAC) et des transporteurs. La hausse du soja et des intrants agricoles est neutre à négative pour les agro-industriels. L'inflation BCE persistante maintient un biais hawkish sur les taux, pesant sur les valorisations actions émergentes.</w:t>
      </w:r>
    </w:p>
    <w:p>
      <w:pPr>
        <w:pStyle w:val="Heading2"/>
      </w:pPr>
      <w:r>
        <w:rPr>
          <w:color w:val="006E32"/>
        </w:rPr>
        <w:t>🌍 Plan Africain</w:t>
      </w:r>
    </w:p>
    <w:p>
      <w:pPr>
        <w:pStyle w:val="ListBullet"/>
        <w:spacing w:before="20" w:after="20"/>
        <w:ind w:left="360"/>
      </w:pPr>
      <w:r>
        <w:rPr>
          <w:sz w:val="18"/>
        </w:rPr>
        <w:t>**Sénégal-FMI** : accord sur un programme d'aide de ~1,9 Md€, signal de confiance macro.</w:t>
      </w:r>
    </w:p>
    <w:p>
      <w:pPr>
        <w:pStyle w:val="ListBullet"/>
        <w:spacing w:before="20" w:after="20"/>
        <w:ind w:left="360"/>
      </w:pPr>
      <w:r>
        <w:rPr>
          <w:sz w:val="18"/>
        </w:rPr>
        <w:t>**Afrique du Sud** : Goldman Sachs anticipe un retour en « Investment grade » dès 2028.</w:t>
      </w:r>
    </w:p>
    <w:p>
      <w:pPr>
        <w:pStyle w:val="ListBullet"/>
        <w:spacing w:before="20" w:after="20"/>
        <w:ind w:left="360"/>
      </w:pPr>
      <w:r>
        <w:rPr>
          <w:sz w:val="18"/>
        </w:rPr>
        <w:t>**Dette souveraine** : amélioration progressive des fondamentaux africains.</w:t>
      </w:r>
    </w:p>
    <w:p>
      <w:pPr>
        <w:pStyle w:val="Heading3"/>
      </w:pPr>
      <w:r>
        <w:rPr>
          <w:color w:val="500050"/>
        </w:rPr>
        <w:t>⚡ Impact estimé sur la BRVM</w:t>
      </w:r>
    </w:p>
    <w:p>
      <w:pPr>
        <w:spacing w:before="20" w:after="40"/>
        <w:ind w:left="280"/>
      </w:pPr>
      <w:r>
        <w:rPr>
          <w:i/>
          <w:sz w:val="18"/>
        </w:rPr>
        <w:t>Ces signaux positifs renforcent l'attractivité des actifs africains, dont la BRVM. Les banques cotées (**SGBC, BICB, BOAB, BOAS, BOAN, BOABF**) bénéficient indirectement d'un environnement de refinancement souverain plus favorable, réduisant le risque de contagion sur les portefeuilles obligataires.</w:t>
      </w:r>
    </w:p>
    <w:p>
      <w:pPr>
        <w:pStyle w:val="Heading2"/>
      </w:pPr>
      <w:r>
        <w:rPr>
          <w:color w:val="145A28"/>
        </w:rPr>
        <w:t>🌍 Plan Afrique de l'Ouest</w:t>
      </w:r>
    </w:p>
    <w:p>
      <w:pPr>
        <w:pStyle w:val="ListBullet"/>
        <w:spacing w:before="20" w:after="20"/>
        <w:ind w:left="360"/>
      </w:pPr>
      <w:r>
        <w:rPr>
          <w:sz w:val="18"/>
        </w:rPr>
        <w:t>**CEDEAO** : besoins de financement climat estimés à 294 Md$ d'ici 2030.</w:t>
      </w:r>
    </w:p>
    <w:p>
      <w:pPr>
        <w:pStyle w:val="ListBullet"/>
        <w:spacing w:before="20" w:after="20"/>
        <w:ind w:left="360"/>
      </w:pPr>
      <w:r>
        <w:rPr>
          <w:sz w:val="18"/>
        </w:rPr>
        <w:t>**Incertitude institutionnelle** : la CEDEAO traverse « incertitude et profonds changements ».</w:t>
      </w:r>
    </w:p>
    <w:p>
      <w:pPr>
        <w:pStyle w:val="ListBullet"/>
        <w:spacing w:before="20" w:after="20"/>
        <w:ind w:left="360"/>
      </w:pPr>
      <w:r>
        <w:rPr>
          <w:sz w:val="18"/>
        </w:rPr>
        <w:t>**Modernisation Cour de justice CEDEAO** : réforme procédurale positive.</w:t>
      </w:r>
    </w:p>
    <w:p>
      <w:pPr>
        <w:pStyle w:val="Heading3"/>
      </w:pPr>
      <w:r>
        <w:rPr>
          <w:color w:val="500050"/>
        </w:rPr>
        <w:t>⚡ Impact estimé sur la BRVM</w:t>
      </w:r>
    </w:p>
    <w:p>
      <w:pPr>
        <w:spacing w:before="20" w:after="40"/>
        <w:ind w:left="280"/>
      </w:pPr>
      <w:r>
        <w:rPr>
          <w:i/>
          <w:sz w:val="18"/>
        </w:rPr>
        <w:t>L'incertitude CEDEAO (retrait AES, tensions) pèse sur la confiance des investisseurs régionaux et peut freiner les flux vers la BRVM. Les besoins climat massifs ouvrent toutefois des opportunités pour les **services publics** et **énergéticiens** (TTLC, sectoriels énergie).</w:t>
      </w:r>
    </w:p>
    <w:p>
      <w:pPr>
        <w:pStyle w:val="Heading2"/>
      </w:pPr>
      <w:r>
        <w:rPr>
          <w:color w:val="8C4600"/>
        </w:rPr>
        <w:t>🏦 Plan UEMOA / Zone Franc</w:t>
      </w:r>
    </w:p>
    <w:p>
      <w:pPr>
        <w:pStyle w:val="ListBullet"/>
        <w:spacing w:before="20" w:after="20"/>
        <w:ind w:left="360"/>
      </w:pPr>
      <w:r>
        <w:rPr>
          <w:sz w:val="18"/>
        </w:rPr>
        <w:t>**Mali** : intensification des offensives militaires, contexte sécuritaire dégradé.</w:t>
      </w:r>
    </w:p>
    <w:p>
      <w:pPr>
        <w:pStyle w:val="ListBullet"/>
        <w:spacing w:before="20" w:after="20"/>
        <w:ind w:left="360"/>
      </w:pPr>
      <w:r>
        <w:rPr>
          <w:sz w:val="18"/>
        </w:rPr>
        <w:t>**Sénégal** : convocation politique (Abdoulaye Fall) — climat politique tendu.</w:t>
      </w:r>
    </w:p>
    <w:p>
      <w:pPr>
        <w:pStyle w:val="ListBullet"/>
        <w:spacing w:before="20" w:after="20"/>
        <w:ind w:left="360"/>
      </w:pPr>
      <w:r>
        <w:rPr>
          <w:sz w:val="18"/>
        </w:rPr>
        <w:t>**Zone FCFA** : pas de décision BCEAO explicite dans les données fournies.</w:t>
      </w:r>
    </w:p>
    <w:p>
      <w:pPr>
        <w:pStyle w:val="Heading3"/>
      </w:pPr>
      <w:r>
        <w:rPr>
          <w:color w:val="500050"/>
        </w:rPr>
        <w:t>⚡ Impact estimé sur la BRVM</w:t>
      </w:r>
    </w:p>
    <w:p>
      <w:pPr>
        <w:spacing w:before="20" w:after="40"/>
        <w:ind w:left="280"/>
      </w:pPr>
      <w:r>
        <w:rPr>
          <w:i/>
          <w:sz w:val="18"/>
        </w:rPr>
        <w:t>Le risque sécuritaire malien affecte les sociétés opérant dans la sous-région (banques panafricaines **BOAB, BOAS, BOAN**). Le climat politique sénégalais reste un facteur à surveiller pour **SONATEL** (non listée ici) et les banques sénégalaises. Impact direct limité sur les valeurs ivoiriennes.</w:t>
      </w:r>
    </w:p>
    <w:p>
      <w:pPr>
        <w:pStyle w:val="Heading2"/>
      </w:pPr>
      <w:r>
        <w:rPr>
          <w:color w:val="003366"/>
        </w:rPr>
        <w:t>📈 Plan BRVM</w:t>
      </w:r>
    </w:p>
    <w:p>
      <w:pPr>
        <w:pStyle w:val="ListBullet"/>
        <w:spacing w:before="20" w:after="20"/>
        <w:ind w:left="360"/>
      </w:pPr>
      <w:r>
        <w:rPr>
          <w:color w:val="008000"/>
          <w:sz w:val="18"/>
        </w:rPr>
        <w:t>**Résultats ivoiriens encourageants** (La Tribune, juin 2026) : signal positif sur les fondamentaux des sociétés cotées.</w:t>
      </w:r>
    </w:p>
    <w:p>
      <w:pPr>
        <w:pStyle w:val="ListBullet"/>
        <w:spacing w:before="20" w:after="20"/>
        <w:ind w:left="360"/>
      </w:pPr>
      <w:r>
        <w:rPr>
          <w:sz w:val="18"/>
        </w:rPr>
        <w:t>Indice BRVM Composite : **544,68** (niveau de référence).</w:t>
      </w:r>
    </w:p>
    <w:p>
      <w:pPr>
        <w:pStyle w:val="ListBullet"/>
        <w:spacing w:before="20" w:after="20"/>
        <w:ind w:left="360"/>
      </w:pPr>
      <w:r>
        <w:rPr>
          <w:sz w:val="18"/>
        </w:rPr>
        <w:t>Pas de données sur volumes, IPO ou dividendes récents.</w:t>
      </w:r>
    </w:p>
    <w:p>
      <w:pPr>
        <w:pStyle w:val="Heading3"/>
      </w:pPr>
      <w:r>
        <w:rPr>
          <w:color w:val="500050"/>
        </w:rPr>
        <w:t>⚡ Impact estimé sur la BRVM</w:t>
      </w:r>
    </w:p>
    <w:p>
      <w:pPr>
        <w:spacing w:before="20" w:after="40"/>
        <w:ind w:left="280"/>
      </w:pPr>
      <w:r>
        <w:rPr>
          <w:i/>
          <w:sz w:val="18"/>
        </w:rPr>
        <w:t>Les résultats encourageants soutiennent les valorisations, notamment **SGBC, BICB, SIVC, CFAC, NTLC**. Recommandation : **conserver** les bancaires (**SGBC, BICB, BOAB**) sur fondamentaux ; **surveiller TTLC** (pression pétrolière) ; **opportunité potentielle sur SIVC/FTSC** (baisse coûts énergétiques).</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color w:val="C00000"/>
          <w:sz w:val="18"/>
        </w:rPr>
        <w:t>**Pétrole** : détente des approvisionnements Moyen-Orient, pression baissière persistante.</w:t>
      </w:r>
    </w:p>
    <w:p>
      <w:pPr>
        <w:pStyle w:val="ListBullet"/>
        <w:spacing w:before="20" w:after="20"/>
        <w:ind w:left="360"/>
      </w:pPr>
      <w:r>
        <w:rPr>
          <w:sz w:val="18"/>
        </w:rPr>
        <w:t>**Inflation BCE** : discours hawkish de Philip Lane.</w:t>
      </w:r>
    </w:p>
    <w:p>
      <w:pPr>
        <w:pStyle w:val="ListBullet"/>
        <w:spacing w:before="20" w:after="20"/>
        <w:ind w:left="360"/>
      </w:pPr>
      <w:r>
        <w:rPr>
          <w:sz w:val="18"/>
        </w:rPr>
        <w:t>**Blockchain euro (Pontes)** : avancée infrastructure paiements UE.</w:t>
      </w:r>
    </w:p>
    <w:p>
      <w:pPr>
        <w:pStyle w:val="Heading3"/>
      </w:pPr>
      <w:r>
        <w:rPr>
          <w:color w:val="500050"/>
        </w:rPr>
        <w:t>⚡ Impact estimé sur la BRVM</w:t>
      </w:r>
    </w:p>
    <w:p>
      <w:pPr>
        <w:spacing w:before="20" w:after="40"/>
        <w:ind w:left="280"/>
      </w:pPr>
      <w:r>
        <w:rPr>
          <w:i/>
          <w:sz w:val="18"/>
        </w:rPr>
        <w:t>Un environnement géopolitique mondial moins tendu sur l'énergie réduit la prime de risque, favorable aux marchés frontières. La digitalisation des paiements (Pontes) préfigure des opportunités fintech pour les banques BRVM à moyen terme.</w:t>
      </w:r>
    </w:p>
    <w:p>
      <w:pPr>
        <w:pStyle w:val="Heading2"/>
      </w:pPr>
      <w:r>
        <w:rPr>
          <w:color w:val="006E32"/>
        </w:rPr>
        <w:t>🌍 Plan Africain</w:t>
      </w:r>
    </w:p>
    <w:p>
      <w:pPr>
        <w:pStyle w:val="ListBullet"/>
        <w:spacing w:before="20" w:after="20"/>
        <w:ind w:left="360"/>
      </w:pPr>
      <w:r>
        <w:rPr>
          <w:sz w:val="18"/>
        </w:rPr>
        <w:t>**Sénégal-FMI** : signal de stabilité macro.</w:t>
      </w:r>
    </w:p>
    <w:p>
      <w:pPr>
        <w:pStyle w:val="ListBullet"/>
        <w:spacing w:before="20" w:after="20"/>
        <w:ind w:left="360"/>
      </w:pPr>
      <w:r>
        <w:rPr>
          <w:sz w:val="18"/>
        </w:rPr>
        <w:t>**Afrique du Sud** : trajectoire positive de notation.</w:t>
      </w:r>
    </w:p>
    <w:p>
      <w:pPr>
        <w:pStyle w:val="ListBullet"/>
        <w:spacing w:before="20" w:after="20"/>
        <w:ind w:left="360"/>
      </w:pPr>
      <w:r>
        <w:rPr>
          <w:sz w:val="18"/>
        </w:rPr>
        <w:t>Pas de coups d'État majeurs signalés dans les données.</w:t>
      </w:r>
    </w:p>
    <w:p>
      <w:pPr>
        <w:pStyle w:val="Heading3"/>
      </w:pPr>
      <w:r>
        <w:rPr>
          <w:color w:val="500050"/>
        </w:rPr>
        <w:t>⚡ Impact estimé sur la BRVM</w:t>
      </w:r>
    </w:p>
    <w:p>
      <w:pPr>
        <w:spacing w:before="20" w:after="40"/>
        <w:ind w:left="280"/>
      </w:pPr>
      <w:r>
        <w:rPr>
          <w:i/>
          <w:sz w:val="18"/>
        </w:rPr>
        <w:t>Amélioration de la perception risque Afrique → flux de capitaux potentiellement plus favorables vers la BRVM. Les banques cotées profitent d'un environnement souverain plus stable.</w:t>
      </w:r>
    </w:p>
    <w:p>
      <w:pPr>
        <w:pStyle w:val="Heading2"/>
      </w:pPr>
      <w:r>
        <w:rPr>
          <w:color w:val="145A28"/>
        </w:rPr>
        <w:t>🌍 Plan Afrique de l'Ouest</w:t>
      </w:r>
    </w:p>
    <w:p>
      <w:pPr>
        <w:pStyle w:val="ListBullet"/>
        <w:spacing w:before="20" w:after="20"/>
        <w:ind w:left="360"/>
      </w:pPr>
      <w:r>
        <w:rPr>
          <w:sz w:val="18"/>
        </w:rPr>
        <w:t>**CEDEAO** : incertitude institutionnelle, changements profonds.</w:t>
      </w:r>
    </w:p>
    <w:p>
      <w:pPr>
        <w:pStyle w:val="ListBullet"/>
        <w:spacing w:before="20" w:after="20"/>
        <w:ind w:left="360"/>
      </w:pPr>
      <w:r>
        <w:rPr>
          <w:sz w:val="18"/>
        </w:rPr>
        <w:t>**Mali** : pertes militaires à Dioura, renforcement offensives.</w:t>
      </w:r>
    </w:p>
    <w:p>
      <w:pPr>
        <w:pStyle w:val="ListBullet"/>
        <w:spacing w:before="20" w:after="20"/>
        <w:ind w:left="360"/>
      </w:pPr>
      <w:r>
        <w:rPr>
          <w:sz w:val="18"/>
        </w:rPr>
        <w:t>**Cour CEDEAO** : modernisation positive.</w:t>
      </w:r>
    </w:p>
    <w:p>
      <w:pPr>
        <w:pStyle w:val="Heading3"/>
      </w:pPr>
      <w:r>
        <w:rPr>
          <w:color w:val="500050"/>
        </w:rPr>
        <w:t>⚡ Impact estimé sur la BRVM</w:t>
      </w:r>
    </w:p>
    <w:p>
      <w:pPr>
        <w:spacing w:before="20" w:after="40"/>
        <w:ind w:left="280"/>
      </w:pPr>
      <w:r>
        <w:rPr>
          <w:i/>
          <w:sz w:val="18"/>
        </w:rPr>
        <w:t>Le risque sécuritaire sahélien reste un frein structurel aux investissements en Afrique de l'Ouest. Les sociétés exposées au Mali (**BOAB, BOAN**) doivent être surveillées. La modernisation judiciaire CEDEAO est un signal positif de long terme pour la gouvernance régionale.</w:t>
      </w:r>
    </w:p>
    <w:p>
      <w:pPr>
        <w:pStyle w:val="Heading2"/>
      </w:pPr>
      <w:r>
        <w:rPr>
          <w:color w:val="8C4600"/>
        </w:rPr>
        <w:t>🏦 Plan UEMOA / Zone Franc</w:t>
      </w:r>
    </w:p>
    <w:p>
      <w:pPr>
        <w:pStyle w:val="ListBullet"/>
        <w:spacing w:before="20" w:after="20"/>
        <w:ind w:left="360"/>
      </w:pPr>
      <w:r>
        <w:rPr>
          <w:sz w:val="18"/>
        </w:rPr>
        <w:t>**Sénégal** : tensions politiques (convocation Abdoulaye Fall).</w:t>
      </w:r>
    </w:p>
    <w:p>
      <w:pPr>
        <w:pStyle w:val="ListBullet"/>
        <w:spacing w:before="20" w:after="20"/>
        <w:ind w:left="360"/>
      </w:pPr>
      <w:r>
        <w:rPr>
          <w:sz w:val="18"/>
        </w:rPr>
        <w:t>**Mali** : instabilité sécuritaire persistante.</w:t>
      </w:r>
    </w:p>
    <w:p>
      <w:pPr>
        <w:pStyle w:val="ListBullet"/>
        <w:spacing w:before="20" w:after="20"/>
        <w:ind w:left="360"/>
      </w:pPr>
      <w:r>
        <w:rPr>
          <w:sz w:val="18"/>
        </w:rPr>
        <w:t>Pas de réforme institutionnelle UEMOA signalée.</w:t>
      </w:r>
    </w:p>
    <w:p>
      <w:pPr>
        <w:pStyle w:val="Heading3"/>
      </w:pPr>
      <w:r>
        <w:rPr>
          <w:color w:val="500050"/>
        </w:rPr>
        <w:t>⚡ Impact estimé sur la BRVM</w:t>
      </w:r>
    </w:p>
    <w:p>
      <w:pPr>
        <w:spacing w:before="20" w:after="40"/>
        <w:ind w:left="280"/>
      </w:pPr>
      <w:r>
        <w:rPr>
          <w:i/>
          <w:sz w:val="18"/>
        </w:rPr>
        <w:t>Risque politique sénégalais modéré pour les valeurs bancaires (**SGBC, BICB**) et télécoms. Le Mali reste un point de vigilance pour les banques panafricaines. Impact global limité sur la BRVM dominée par la Côte d'Ivoire.</w:t>
      </w:r>
    </w:p>
    <w:p>
      <w:pPr>
        <w:pStyle w:val="Heading2"/>
      </w:pPr>
      <w:r>
        <w:rPr>
          <w:color w:val="003366"/>
        </w:rPr>
        <w:t>📈 Plan BRVM</w:t>
      </w:r>
    </w:p>
    <w:p>
      <w:pPr>
        <w:pStyle w:val="ListBullet"/>
        <w:spacing w:before="20" w:after="20"/>
        <w:ind w:left="360"/>
      </w:pPr>
      <w:r>
        <w:rPr>
          <w:sz w:val="18"/>
        </w:rPr>
        <w:t>Pas de données sur réglementation CREPMF, nouvelles cotations ou gouvernance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**Matières premières** : pétrole en baisse, soja en hausse, MXV -0,7 %.</w:t>
      </w:r>
    </w:p>
    <w:p>
      <w:pPr>
        <w:pStyle w:val="ListBullet"/>
        <w:spacing w:before="20" w:after="20"/>
        <w:ind w:left="360"/>
      </w:pPr>
      <w:r>
        <w:rPr>
          <w:sz w:val="18"/>
        </w:rPr>
        <w:t>**Inflation BCE** : plus élevée et durable.</w:t>
      </w:r>
    </w:p>
    <w:p>
      <w:pPr>
        <w:pStyle w:val="ListBullet"/>
        <w:spacing w:before="20" w:after="20"/>
        <w:ind w:left="360"/>
      </w:pPr>
      <w:r>
        <w:rPr>
          <w:sz w:val="18"/>
        </w:rPr>
        <w:t>**Blockchain euro** : Pontes, innovation paiements.</w:t>
      </w:r>
    </w:p>
    <w:p>
      <w:pPr>
        <w:pStyle w:val="Heading3"/>
      </w:pPr>
      <w:r>
        <w:rPr>
          <w:color w:val="500050"/>
        </w:rPr>
        <w:t>⚡ Impact estimé sur la BRVM</w:t>
      </w:r>
    </w:p>
    <w:p>
      <w:pPr>
        <w:spacing w:before="20" w:after="40"/>
        <w:ind w:left="280"/>
      </w:pPr>
      <w:r>
        <w:rPr>
          <w:i/>
          <w:sz w:val="18"/>
        </w:rPr>
        <w:t>Corrélation modérée avec les marchés émergents. La baisse pétrole est un facteur désinflationniste global, potentiellement favorable aux marges des industriels BRVM (**SIVC, FTSC, STAC**). Les investisseurs BRVM restent peu exposés aux cryptos.</w:t>
      </w:r>
    </w:p>
    <w:p>
      <w:pPr>
        <w:pStyle w:val="Heading2"/>
      </w:pPr>
      <w:r>
        <w:rPr>
          <w:color w:val="006E32"/>
        </w:rPr>
        <w:t>🌍 Plan Africain</w:t>
      </w:r>
    </w:p>
    <w:p>
      <w:pPr>
        <w:pStyle w:val="ListBullet"/>
        <w:spacing w:before="20" w:after="20"/>
        <w:ind w:left="360"/>
      </w:pPr>
      <w:r>
        <w:rPr>
          <w:sz w:val="18"/>
        </w:rPr>
        <w:t>**Sénégal-FMI** : 1,9 Md€, signal de crédibilité souveraine.</w:t>
      </w:r>
    </w:p>
    <w:p>
      <w:pPr>
        <w:pStyle w:val="ListBullet"/>
        <w:spacing w:before="20" w:after="20"/>
        <w:ind w:left="360"/>
      </w:pPr>
      <w:r>
        <w:rPr>
          <w:sz w:val="18"/>
        </w:rPr>
        <w:t>**Afrique du Sud** : perspective Investment grade 2028.</w:t>
      </w:r>
    </w:p>
    <w:p>
      <w:pPr>
        <w:pStyle w:val="ListBullet"/>
        <w:spacing w:before="20" w:after="20"/>
        <w:ind w:left="360"/>
      </w:pPr>
      <w:r>
        <w:rPr>
          <w:sz w:val="18"/>
        </w:rPr>
        <w:t>Pas de données eurobonds spécifiques.</w:t>
      </w:r>
    </w:p>
    <w:p>
      <w:pPr>
        <w:pStyle w:val="Heading3"/>
      </w:pPr>
      <w:r>
        <w:rPr>
          <w:color w:val="500050"/>
        </w:rPr>
        <w:t>⚡ Impact estimé sur la BRVM</w:t>
      </w:r>
    </w:p>
    <w:p>
      <w:pPr>
        <w:spacing w:before="20" w:after="40"/>
        <w:ind w:left="280"/>
      </w:pPr>
      <w:r>
        <w:rPr>
          <w:i/>
          <w:sz w:val="18"/>
        </w:rPr>
        <w:t>La concurrence pour les capitaux s'intensifie avec l'amélioration des perspectives sud-africaines. La BRVM doit maintenir son attractivité via des rendements dividendes compétitifs (**SGBC, BICB, BOAB**).</w:t>
      </w:r>
    </w:p>
    <w:p>
      <w:pPr>
        <w:pStyle w:val="Heading2"/>
      </w:pPr>
      <w:r>
        <w:rPr>
          <w:color w:val="145A28"/>
        </w:rPr>
        <w:t>🌍 Plan Afrique de l'Ouest</w:t>
      </w:r>
    </w:p>
    <w:p>
      <w:pPr>
        <w:pStyle w:val="ListBullet"/>
        <w:spacing w:before="20" w:after="20"/>
        <w:ind w:left="360"/>
      </w:pPr>
      <w:r>
        <w:rPr>
          <w:sz w:val="18"/>
        </w:rPr>
        <w:t>Pas de données sur bourses régionales concurrentes (Ghana, Nigeria) dans les actualités.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pStyle w:val="ListBullet"/>
        <w:spacing w:before="20" w:after="20"/>
        <w:ind w:left="360"/>
      </w:pPr>
      <w:r>
        <w:rPr>
          <w:sz w:val="18"/>
        </w:rPr>
        <w:t>Pas de données sur marché titres publics UEMOA, taux interbancaire ou liquidité.</w:t>
      </w:r>
    </w:p>
    <w:p>
      <w:pPr>
        <w:pStyle w:val="Heading3"/>
      </w:pPr>
      <w:r>
        <w:rPr>
          <w:color w:val="500050"/>
        </w:rPr>
        <w:t>⚡ Impact estimé sur la BRVM</w:t>
      </w:r>
    </w:p>
    <w:p>
      <w:pPr>
        <w:spacing w:before="20" w:after="40"/>
        <w:ind w:left="280"/>
      </w:pPr>
      <w:r>
        <w:rPr>
          <w:i/>
          <w:sz w:val="18"/>
        </w:rPr>
        <w:t>**Données insuffisantes.** L'arbitrage titres publics/actions reste un facteur clé à surveiller mais non documenté ici.</w:t>
      </w:r>
    </w:p>
    <w:p>
      <w:pPr>
        <w:pStyle w:val="Heading2"/>
      </w:pPr>
      <w:r>
        <w:rPr>
          <w:color w:val="003366"/>
        </w:rPr>
        <w:t>📈 Plan BRVM</w:t>
      </w:r>
    </w:p>
    <w:p>
      <w:pPr>
        <w:pStyle w:val="ListBullet"/>
        <w:spacing w:before="20" w:after="20"/>
        <w:ind w:left="360"/>
      </w:pPr>
      <w:r>
        <w:rPr>
          <w:sz w:val="18"/>
        </w:rPr>
        <w:t>**Indice BRVM Composite : 544,68**.</w:t>
      </w:r>
    </w:p>
    <w:p>
      <w:pPr>
        <w:pStyle w:val="ListBullet"/>
        <w:spacing w:before="20" w:after="20"/>
        <w:ind w:left="360"/>
      </w:pPr>
      <w:r>
        <w:rPr>
          <w:sz w:val="18"/>
        </w:rPr>
        <w:t>**Résultats ivoiriens encourageants** (juin 2026).</w:t>
      </w:r>
    </w:p>
    <w:p>
      <w:pPr>
        <w:pStyle w:val="ListBullet"/>
        <w:spacing w:before="20" w:after="20"/>
        <w:ind w:left="360"/>
      </w:pPr>
      <w:r>
        <w:rPr>
          <w:sz w:val="18"/>
        </w:rPr>
        <w:t>Pas de données top/flop, volumes ou perspectives détaillées.</w:t>
      </w:r>
    </w:p>
    <w:p>
      <w:pPr>
        <w:pStyle w:val="Heading3"/>
      </w:pPr>
      <w:r>
        <w:rPr>
          <w:color w:val="500050"/>
        </w:rPr>
        <w:t>⚡ Impact estimé sur la BRVM</w:t>
      </w:r>
    </w:p>
    <w:p>
      <w:pPr>
        <w:pStyle w:val="ListBullet"/>
        <w:spacing w:before="20" w:after="20"/>
        <w:ind w:left="560"/>
      </w:pPr>
      <w:r>
        <w:rPr>
          <w:color w:val="500050"/>
          <w:sz w:val="18"/>
        </w:rPr>
        <w:t>**SGBC, BICB, BOAB, BOAS, BOAN, BOABF** : conserver, fondamentaux bancaires solides.</w:t>
      </w:r>
    </w:p>
    <w:p>
      <w:pPr>
        <w:pStyle w:val="ListBullet"/>
        <w:spacing w:before="20" w:after="20"/>
        <w:ind w:left="560"/>
      </w:pPr>
      <w:r>
        <w:rPr>
          <w:color w:val="C00000"/>
          <w:sz w:val="18"/>
        </w:rPr>
        <w:t>**SIVC, FTSC, STAC** : opportunité d'achat sur baisse coûts énergétiques.</w:t>
      </w:r>
    </w:p>
    <w:p>
      <w:pPr>
        <w:pStyle w:val="ListBullet"/>
        <w:spacing w:before="20" w:after="20"/>
        <w:ind w:left="560"/>
      </w:pPr>
      <w:r>
        <w:rPr>
          <w:color w:val="C00000"/>
          <w:sz w:val="18"/>
        </w:rPr>
        <w:t>**TTLC** : sous pression, prudence sur marges pétrolières.</w:t>
      </w:r>
    </w:p>
    <w:p>
      <w:pPr>
        <w:pStyle w:val="ListBullet"/>
        <w:spacing w:before="20" w:after="20"/>
        <w:ind w:left="560"/>
      </w:pPr>
      <w:r>
        <w:rPr>
          <w:color w:val="008000"/>
          <w:sz w:val="18"/>
        </w:rPr>
        <w:t>**CFAC, NTLC, SPHC** : surveiller coûts matières premières agricoles (soja en hausse).</w:t>
      </w:r>
    </w:p>
    <w:p>
      <w:pPr>
        <w:pStyle w:val="ListBullet"/>
        <w:spacing w:before="20" w:after="20"/>
        <w:ind w:left="560"/>
      </w:pPr>
      <w:r>
        <w:rPr>
          <w:color w:val="500050"/>
          <w:sz w:val="18"/>
        </w:rPr>
        <w:t>**UNXC, BNBC, NEIC** : consommation discrétionnaire, dépend du pouvoir d'achat régional.</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globalement favorable à la BRVM (résultats ivoiriens positifs, accord FMI Sénégal, perspectives sud-africaines), mais plusieurs facteurs de vigilance persistent : incertitude institutionnelle CEDEAO, risque sécuritaire malien, tensions politiques sénégalaises, et inflation BCE persistante. La baisse du pétrole crée des gagnants (**SIVC, FTSC, STAC**) et des perdants (**TTLC**). **Recommandation** : surpondérer les bancaires solides (**SGBC, BICB, BOAB**) et les industriels bénéficiant de la baisse énergétique ; sous-pondérer TTLC ; maintenir une exposition modérée face aux risques politiques sous-régionaux.</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Les prix du pétrole ont baissé pour la quatrième séance consécutive,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Pétrole : le prix n’est plus le problème - La Chronique Agora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MARCHÉ DES MATIÈRES PREMIÈRES : La chute des prix du pétrole éclipse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Taxes, marges, matière première… Comment se décompose le prix d’un lit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Pontes, ce nouveau système qui permet de brancher l'euro sur la blockc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2026-09-21</w:t>
            </w:r>
          </w:p>
        </w:tc>
        <w:tc>
          <w:tcPr>
            <w:tcW w:type="dxa" w:w="1728"/>
          </w:tcPr>
          <w:p>
            <w:r>
              <w:rPr>
                <w:sz w:val="14"/>
              </w:rPr>
              <w:t>Climat, les besoins de financement de la CEDEAO estimés à 294 milliard</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2026-09-21</w:t>
            </w:r>
          </w:p>
        </w:tc>
        <w:tc>
          <w:tcPr>
            <w:tcW w:type="dxa" w:w="1728"/>
          </w:tcPr>
          <w:p>
            <w:r>
              <w:rPr>
                <w:sz w:val="14"/>
              </w:rPr>
              <w:t>La CEDEAO est marquée par l’incertitude et de profonds changements (sp</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2026-09-22</w:t>
            </w:r>
          </w:p>
        </w:tc>
        <w:tc>
          <w:tcPr>
            <w:tcW w:type="dxa" w:w="1728"/>
          </w:tcPr>
          <w:p>
            <w:r>
              <w:rPr>
                <w:sz w:val="14"/>
              </w:rPr>
              <w:t>Cedeao, la Cour de justice à l’heure de l’innovation - SenePlus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2026-09-22</w:t>
            </w:r>
          </w:p>
        </w:tc>
        <w:tc>
          <w:tcPr>
            <w:tcW w:type="dxa" w:w="1728"/>
          </w:tcPr>
          <w:p>
            <w:r>
              <w:rPr>
                <w:sz w:val="14"/>
              </w:rPr>
              <w:t>CEDEAO : la BIDC passe à la vitesse supérieure - Forbes Afrique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2026-09-21</w:t>
            </w:r>
          </w:p>
        </w:tc>
        <w:tc>
          <w:tcPr>
            <w:tcW w:type="dxa" w:w="1728"/>
          </w:tcPr>
          <w:p>
            <w:r>
              <w:rPr>
                <w:sz w:val="14"/>
              </w:rPr>
              <w:t>Mali : Dioura, les FAMa confirment des pertes dans ses rangs et des mi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2026-09-22</w:t>
            </w:r>
          </w:p>
        </w:tc>
        <w:tc>
          <w:tcPr>
            <w:tcW w:type="dxa" w:w="1728"/>
          </w:tcPr>
          <w:p>
            <w:r>
              <w:rPr>
                <w:sz w:val="14"/>
              </w:rPr>
              <w:t>Mali renforce sa stratégie de sécurité avec plus d'offensives militair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2026-09-22</w:t>
            </w:r>
          </w:p>
        </w:tc>
        <w:tc>
          <w:tcPr>
            <w:tcW w:type="dxa" w:w="1728"/>
          </w:tcPr>
          <w:p>
            <w:r>
              <w:rPr>
                <w:sz w:val="14"/>
              </w:rPr>
              <w:t>Sénégal : Abdoulaye Fall convoqué par la Sûreté urbaine de Dakar - afr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2026-09-21</w:t>
            </w:r>
          </w:p>
        </w:tc>
        <w:tc>
          <w:tcPr>
            <w:tcW w:type="dxa" w:w="1728"/>
          </w:tcPr>
          <w:p>
            <w:r>
              <w:rPr>
                <w:sz w:val="14"/>
              </w:rPr>
              <w:t>Sénégal : Sonko taquine Sadio Mané sur 2029 et se pose en rival politi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Sénégal : la campagne contre la vie chère se poursuit - dw.com</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 xml:space="preserve">Mali : l’armée reconnaît des pertes à Dioura, des militaires capturés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Les prix du pétrole ont baissé pour la quatrième séance consécutive,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Pétrole : le prix n’est plus le problème - La Chronique Agora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MARCHÉ DES MATIÈRES PREMIÈRES : La chute des prix du pétrole éclipse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Taxes, marges, matière première… Comment se décompose le prix d’un lit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2026-09-21</w:t>
            </w:r>
          </w:p>
        </w:tc>
        <w:tc>
          <w:tcPr>
            <w:tcW w:type="dxa" w:w="1728"/>
          </w:tcPr>
          <w:p>
            <w:r>
              <w:rPr>
                <w:sz w:val="14"/>
              </w:rPr>
              <w:t>Pétrole : le prix n’est plus le problème - La Chronique Agora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Taxes, marges, matière première… Comment se décompose le prix d’un lit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Climat, les besoins de financement de la CEDEAO estimés à 294 milliard</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2026-09-21</w:t>
            </w:r>
          </w:p>
        </w:tc>
        <w:tc>
          <w:tcPr>
            <w:tcW w:type="dxa" w:w="1728"/>
          </w:tcPr>
          <w:p>
            <w:r>
              <w:rPr>
                <w:sz w:val="14"/>
              </w:rPr>
              <w:t>La CEDEAO est marquée par l’incertitude et de profonds changements (sp</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2026-09-21</w:t>
            </w:r>
          </w:p>
        </w:tc>
        <w:tc>
          <w:tcPr>
            <w:tcW w:type="dxa" w:w="1728"/>
          </w:tcPr>
          <w:p>
            <w:r>
              <w:rPr>
                <w:sz w:val="14"/>
              </w:rPr>
              <w:t>Pétrole : le prix n’est plus le problème - La Chronique Agora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Taxes, marges, matière première… Comment se décompose le prix d’un lit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Climat, les besoins de financement de la CEDEAO estimés à 294 milliard</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2026-09-21</w:t>
            </w:r>
          </w:p>
        </w:tc>
        <w:tc>
          <w:tcPr>
            <w:tcW w:type="dxa" w:w="1728"/>
          </w:tcPr>
          <w:p>
            <w:r>
              <w:rPr>
                <w:sz w:val="14"/>
              </w:rPr>
              <w:t>La CEDEAO est marquée par l’incertitude et de profonds changements (sp</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ont baissé pour la quatrième séance consécutive,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Pétrole : le prix n’est plus le problème - La Chronique Agora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Taxes, marges, matière première… Comment se décompose le prix d’un lit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La CEDEAO est marquée par l’incertitude et de profonds changements (sp</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Pétrole : le prix n’est plus le problème - La Chronique Agora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Taxes, marges, matière première… Comment se décompose le prix d’un lit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Climat, les besoins de financement de la CEDEAO estimés à 294 milliard</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Les prix du pétrole ont baissé pour la quatrième séance consécutive,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Pétrole : le prix n’est plus le problème - La Chronique Agora</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MARCHÉ DES MATIÈRES PREMIÈRES : La chute des prix du pétrole éclipse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Taxes, marges, matière première… Comment se décompose le prix d’un lit</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MARCHÉ DES MATIÈRES PREMIÈRES : La chute des prix du pétrole éclipse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Pontes, ce nouveau système qui permet de brancher l'euro sur la blockc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Climat, les besoins de financement de la CEDEAO estimés à 294 milliard</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MARCHÉ DES MATIÈRES PREMIÈRES : La chute des prix du pétrole éclipse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Pontes, ce nouveau système qui permet de brancher l'euro sur la blockc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Climat, les besoins de financement de la CEDEAO estimés à 294 milliard</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Les prix du pétrole ont baissé pour la quatrième séance consécutive,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MARCHÉ DES MATIÈRES PREMIÈRES : La chute des prix du pétrole éclipse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Pontes, ce nouveau système qui permet de brancher l'euro sur la blockc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2026-09-22</w:t>
            </w:r>
          </w:p>
        </w:tc>
        <w:tc>
          <w:tcPr>
            <w:tcW w:type="dxa" w:w="1728"/>
          </w:tcPr>
          <w:p>
            <w:r>
              <w:rPr>
                <w:sz w:val="14"/>
              </w:rPr>
              <w:t>Les prix du pétrole s'effondrent, ceux du soja s'envolent. - Vietnam.v</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2026-09-22</w:t>
            </w:r>
          </w:p>
        </w:tc>
        <w:tc>
          <w:tcPr>
            <w:tcW w:type="dxa" w:w="1728"/>
          </w:tcPr>
          <w:p>
            <w:r>
              <w:rPr>
                <w:sz w:val="14"/>
              </w:rPr>
              <w:t>MARCHÉ DES MATIÈRES PREMIÈRES : La chute des prix du pétrole éclipse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2026-09-21</w:t>
            </w:r>
          </w:p>
        </w:tc>
        <w:tc>
          <w:tcPr>
            <w:tcW w:type="dxa" w:w="1728"/>
          </w:tcPr>
          <w:p>
            <w:r>
              <w:rPr>
                <w:sz w:val="14"/>
              </w:rPr>
              <w:t>Pontes, ce nouveau système qui permet de brancher l'euro sur la blockc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2026-09-22</w:t>
            </w:r>
          </w:p>
        </w:tc>
        <w:tc>
          <w:tcPr>
            <w:tcW w:type="dxa" w:w="1728"/>
          </w:tcPr>
          <w:p>
            <w:r>
              <w:rPr>
                <w:sz w:val="14"/>
              </w:rPr>
              <w:t>Philip Lane, de la Banque centrale européenne: «L’inflation va être pl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2026-09-21</w:t>
            </w:r>
          </w:p>
        </w:tc>
        <w:tc>
          <w:tcPr>
            <w:tcW w:type="dxa" w:w="1728"/>
          </w:tcPr>
          <w:p>
            <w:r>
              <w:rPr>
                <w:sz w:val="14"/>
              </w:rPr>
              <w:t>Climat, les besoins de financement de la CEDEAO estimés à 294 milliard</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(8 alerte(s))</w:t>
      </w:r>
    </w:p>
    <w:p>
      <w:pPr>
        <w:spacing w:before="40" w:after="40"/>
        <w:ind w:left="360"/>
      </w:pPr>
      <w:r>
        <w:rPr>
          <w:color w:val="646464"/>
          <w:sz w:val="17"/>
        </w:rPr>
        <w:t xml:space="preserve">[22/09/2026] 🔴  </w:t>
      </w:r>
      <w:r>
        <w:rPr>
          <w:b/>
          <w:color w:val="C00000"/>
          <w:sz w:val="18"/>
        </w:rPr>
        <w:t>Sénégal : Abdoulaye Fall convoqué par la Sûreté urbaine de Dakar - africtelegraph.com</w:t>
      </w:r>
      <w:r>
        <w:rPr>
          <w:color w:val="787878"/>
          <w:sz w:val="15"/>
        </w:rPr>
        <w:t xml:space="preserve">  [politique]</w:t>
      </w:r>
      <w:r>
        <w:rPr>
          <w:color w:val="B47800"/>
          <w:sz w:val="16"/>
        </w:rPr>
        <w:t xml:space="preserve">  ★ 50/10</w:t>
      </w:r>
    </w:p>
    <w:p>
      <w:pPr>
        <w:spacing w:before="0" w:after="20"/>
        <w:ind w:left="600"/>
      </w:pPr>
      <w:r>
        <w:rPr>
          <w:color w:val="323232"/>
          <w:sz w:val="17"/>
        </w:rPr>
        <w:t>Abdoulaye Fall a été convoqué par la Sûreté urbaine de Dakar, selon africtelegraph.com. Cette convocation s'inscrit dans un contexte politique sénégalais tendu. Les raisons exactes de cette convocation ne sont pas précisées dans l'article. L'événement pourrait avoir des répercussions sur la stabilité politique perçue du pays.</w:t>
      </w:r>
    </w:p>
    <w:p>
      <w:pPr>
        <w:spacing w:before="0" w:after="40"/>
        <w:ind w:left="600"/>
      </w:pPr>
      <w:r>
        <w:rPr>
          <w:color w:val="00643C"/>
          <w:sz w:val="16"/>
        </w:rPr>
        <w:t>Points clés : Abdoulaye Fall convoqué par la Sûreté urbaine de Dakar  •  Contexte politique sénégalais  •  Raisons de la convocation non précisées</w:t>
      </w:r>
    </w:p>
    <w:p>
      <w:pPr>
        <w:spacing w:before="0" w:after="60"/>
        <w:ind w:left="600"/>
      </w:pPr>
      <w:r>
        <w:rPr>
          <w:color w:val="0064B4"/>
          <w:sz w:val="15"/>
        </w:rPr>
        <w:t>Source : https://news.google.com/rss/articles/CBMimwFBVV95cUxOc19HenlSd21WLUc1MFJmdV9tekd</w:t>
      </w:r>
    </w:p>
    <w:p>
      <w:pPr>
        <w:spacing w:before="40" w:after="40"/>
        <w:ind w:left="360"/>
      </w:pPr>
      <w:r>
        <w:rPr>
          <w:color w:val="646464"/>
          <w:sz w:val="17"/>
        </w:rPr>
        <w:t xml:space="preserve">[22/09/2026] 🔴  </w:t>
      </w:r>
      <w:r>
        <w:rPr>
          <w:b/>
          <w:color w:val="C00000"/>
          <w:sz w:val="18"/>
        </w:rPr>
        <w:t>Mali renforce sa stratégie de sécurité avec plus d'offensives militaires et des changements en défense - Demócrata</w:t>
      </w:r>
      <w:r>
        <w:rPr>
          <w:color w:val="787878"/>
          <w:sz w:val="15"/>
        </w:rPr>
        <w:t xml:space="preserve">  [politique]</w:t>
      </w:r>
      <w:r>
        <w:rPr>
          <w:color w:val="B47800"/>
          <w:sz w:val="16"/>
        </w:rPr>
        <w:t xml:space="preserve">  ★ 50/10</w:t>
      </w:r>
    </w:p>
    <w:p>
      <w:pPr>
        <w:spacing w:before="0" w:after="20"/>
        <w:ind w:left="600"/>
      </w:pPr>
      <w:r>
        <w:rPr>
          <w:color w:val="323232"/>
          <w:sz w:val="17"/>
        </w:rPr>
        <w:t>Le Mali annonce un renforcement de sa stratégie de sécurité nationale, marquée par une intensification des offensives militaires et des changements au sein de l'appareil de défense. Cette décision intervient dans un contexte régional déjà tendu, avec des implications potentielles sur la stabilité et les perspectives économiques de l'UEMOA. Les marc</w:t>
      </w:r>
    </w:p>
    <w:p>
      <w:pPr>
        <w:spacing w:before="0" w:after="40"/>
        <w:ind w:left="600"/>
      </w:pPr>
      <w:r>
        <w:rPr>
          <w:color w:val="00643C"/>
          <w:sz w:val="16"/>
        </w:rPr>
        <w:t>Points clés : Intensification des offensives militaires au Mali  •  Changements dans l'appareil de défense malien  •  Contexte régional UEMOA sous tension sécuritaire</w:t>
      </w:r>
    </w:p>
    <w:p>
      <w:pPr>
        <w:spacing w:before="0" w:after="60"/>
        <w:ind w:left="600"/>
      </w:pPr>
      <w:r>
        <w:rPr>
          <w:color w:val="0064B4"/>
          <w:sz w:val="15"/>
        </w:rPr>
        <w:t>Source : https://news.google.com/rss/articles/CBMi3gFBVV95cUxOemhUR2ttSUwwemVhZzQ3MXUycnZ</w:t>
      </w:r>
    </w:p>
    <w:p>
      <w:pPr>
        <w:spacing w:before="40" w:after="40"/>
        <w:ind w:left="360"/>
      </w:pPr>
      <w:r>
        <w:rPr>
          <w:color w:val="646464"/>
          <w:sz w:val="17"/>
        </w:rPr>
        <w:t xml:space="preserve">[21/09/2026] 🔴  </w:t>
      </w:r>
      <w:r>
        <w:rPr>
          <w:b/>
          <w:color w:val="C00000"/>
          <w:sz w:val="18"/>
        </w:rPr>
        <w:t>Mali : Dioura, les FAMa confirment des pertes dans ses rangs et des militaires capturés - koaci.com</w:t>
      </w:r>
      <w:r>
        <w:rPr>
          <w:color w:val="787878"/>
          <w:sz w:val="15"/>
        </w:rPr>
        <w:t xml:space="preserve">  [politique]</w:t>
      </w:r>
      <w:r>
        <w:rPr>
          <w:color w:val="B47800"/>
          <w:sz w:val="16"/>
        </w:rPr>
        <w:t xml:space="preserve">  ★ 50/10</w:t>
      </w:r>
    </w:p>
    <w:p>
      <w:pPr>
        <w:spacing w:before="0" w:after="20"/>
        <w:ind w:left="600"/>
      </w:pPr>
      <w:r>
        <w:rPr>
          <w:color w:val="323232"/>
          <w:sz w:val="17"/>
        </w:rPr>
        <w:t>Les Forces armées maliennes (FAMa) ont confirmé avoir subi des pertes dans leurs rangs lors d'affrontements à Dioura, dans la région de Mopti. Des militaires ont également été capturés par des groupes armés. Cette annonce intervient dans un contexte sécuritaire déjà très dégradé au centre du Mali. L'état-major n'a pas précisé le nombre exact de vic</w:t>
      </w:r>
    </w:p>
    <w:p>
      <w:pPr>
        <w:spacing w:before="0" w:after="40"/>
        <w:ind w:left="600"/>
      </w:pPr>
      <w:r>
        <w:rPr>
          <w:color w:val="00643C"/>
          <w:sz w:val="16"/>
        </w:rPr>
        <w:t>Points clés : Confirmation officielle de pertes par les FAMa à Dioura  •  Militaires maliens capturés par des groupes armés  •  Zone de Mopti, épicentre de l'insécurité au centre du Mali  •  Absence de bilan chiffré précis de la part de l'armée</w:t>
      </w:r>
    </w:p>
    <w:p>
      <w:pPr>
        <w:spacing w:before="0" w:after="60"/>
        <w:ind w:left="600"/>
      </w:pPr>
      <w:r>
        <w:rPr>
          <w:color w:val="0064B4"/>
          <w:sz w:val="15"/>
        </w:rPr>
        <w:t>Source : https://news.google.com/rss/articles/CBMi5wFBVV95cUxOUXZWWVlmT1JhY2t5U0ZJS3VBekF</w:t>
      </w:r>
    </w:p>
    <w:p>
      <w:pPr>
        <w:spacing w:before="40" w:after="40"/>
        <w:ind w:left="360"/>
      </w:pPr>
      <w:r>
        <w:rPr>
          <w:color w:val="646464"/>
          <w:sz w:val="17"/>
        </w:rPr>
        <w:t xml:space="preserve">[21/09/2026] ⚪  </w:t>
      </w:r>
      <w:r>
        <w:rPr>
          <w:b/>
          <w:color w:val="505050"/>
          <w:sz w:val="18"/>
        </w:rPr>
        <w:t>Sénégal : Sonko taquine Sadio Mané sur 2029 et se pose en rival politique - Benin Web TV</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évoque une déclaration de Ousmane Sonko, figure politique sénégalaise, qui taquine Sadio Mané à propos de 2029 et se positionne comme rival politique. Il s'agit d'une actualité politique interne au Sénégal, sans lien direct avec les marchés financiers ou les entreprises cotées à la BRVM. Aucune information économique ou sectorielle n'est </w:t>
      </w:r>
    </w:p>
    <w:p>
      <w:pPr>
        <w:spacing w:before="0" w:after="40"/>
        <w:ind w:left="600"/>
      </w:pPr>
      <w:r>
        <w:rPr>
          <w:color w:val="00643C"/>
          <w:sz w:val="16"/>
        </w:rPr>
        <w:t>Points clés : Sonko évoque 2029 et taquine Sadio Mané  •  Sonko se pose en rival politique au Sénégal  •  Aucune implication économique ou boursière directe</w:t>
      </w:r>
    </w:p>
    <w:p>
      <w:pPr>
        <w:spacing w:before="0" w:after="60"/>
        <w:ind w:left="600"/>
      </w:pPr>
      <w:r>
        <w:rPr>
          <w:color w:val="0064B4"/>
          <w:sz w:val="15"/>
        </w:rPr>
        <w:t>Source : https://news.google.com/rss/articles/CBMimgFBVV95cUxPekROd1NKcFFQWkVOeUlZTUZ2R1Q</w:t>
      </w:r>
    </w:p>
    <w:p>
      <w:pPr>
        <w:spacing w:before="40" w:after="40"/>
        <w:ind w:left="360"/>
      </w:pPr>
      <w:r>
        <w:rPr>
          <w:color w:val="646464"/>
          <w:sz w:val="17"/>
        </w:rPr>
        <w:t xml:space="preserve">[21/09/2026] 🟢  </w:t>
      </w:r>
      <w:r>
        <w:rPr>
          <w:b/>
          <w:color w:val="008000"/>
          <w:sz w:val="18"/>
        </w:rPr>
        <w:t>VIDÉO. Sénégal: le footballeur Sadio Mané se lance dans l'agro-industrie - tv5monde</w:t>
      </w:r>
      <w:r>
        <w:rPr>
          <w:color w:val="787878"/>
          <w:sz w:val="15"/>
        </w:rPr>
        <w:t xml:space="preserve">  [politique]</w:t>
      </w:r>
      <w:r>
        <w:rPr>
          <w:color w:val="B47800"/>
          <w:sz w:val="16"/>
        </w:rPr>
        <w:t xml:space="preserve">  ★ 50/10</w:t>
      </w:r>
    </w:p>
    <w:p>
      <w:pPr>
        <w:spacing w:before="0" w:after="20"/>
        <w:ind w:left="600"/>
      </w:pPr>
      <w:r>
        <w:rPr>
          <w:color w:val="323232"/>
          <w:sz w:val="17"/>
        </w:rPr>
        <w:t>Le footballeur sénégalais Sadio Mané se lance dans l'agro-industrie au Sénégal, selon une vidéo de TV5 Monde. Cette initiative s'inscrit dans une dynamique de diversification économique et de valorisation des filières agricoles locales. Elle pourrait stimuler l'emploi et les chaînes de valeur agroalimentaires dans la zone UEMOA. L'information reste</w:t>
      </w:r>
    </w:p>
    <w:p>
      <w:pPr>
        <w:spacing w:before="0" w:after="40"/>
        <w:ind w:left="600"/>
      </w:pPr>
      <w:r>
        <w:rPr>
          <w:color w:val="00643C"/>
          <w:sz w:val="16"/>
        </w:rPr>
        <w:t>Points clés : Sadio Mané investit dans l'agro-industrie au Sénégal  •  Projet relayé par TV5 Monde dans la zone UEMOA  •  Potentiel de développement des filières agricoles locales  •  Détails financiers et opérationnels non précisés</w:t>
      </w:r>
    </w:p>
    <w:p>
      <w:pPr>
        <w:spacing w:before="0" w:after="60"/>
        <w:ind w:left="600"/>
      </w:pPr>
      <w:r>
        <w:rPr>
          <w:color w:val="0064B4"/>
          <w:sz w:val="15"/>
        </w:rPr>
        <w:t>Source : https://news.google.com/rss/articles/CBMiugFBVV95cUxNMlZmcTNfYk9CS2ZDUHhZVVNyVFd</w:t>
      </w:r>
    </w:p>
    <w:p>
      <w:pPr>
        <w:spacing w:before="120" w:after="40"/>
      </w:pPr>
      <w:r>
        <w:rPr>
          <w:b/>
          <w:color w:val="00467F"/>
          <w:sz w:val="20"/>
        </w:rPr>
        <w:t>🔑 matieres_premieres  (5 alerte(s))</w:t>
      </w:r>
    </w:p>
    <w:p>
      <w:pPr>
        <w:spacing w:before="40" w:after="40"/>
        <w:ind w:left="360"/>
      </w:pPr>
      <w:r>
        <w:rPr>
          <w:color w:val="646464"/>
          <w:sz w:val="17"/>
        </w:rPr>
        <w:t xml:space="preserve">[22/09/2026] 🔴  </w:t>
      </w:r>
      <w:r>
        <w:rPr>
          <w:b/>
          <w:color w:val="C00000"/>
          <w:sz w:val="18"/>
        </w:rPr>
        <w:t>Les prix du pétrole ont baissé pour la quatrième séance consécutive, les approvisionnements du Moyen-Orient se redressan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enregistré une quatrième séance consécutive de baisse, sous l'effet d'une amélioration progressive des approvisionnements en provenance du Moyen-Orient. Cette tendance baissière reflète un rééquilibrage de l'offre après les perturbations récentes. La détente des cours pourrait se poursuivre si les flux logistiques se normali</w:t>
      </w:r>
    </w:p>
    <w:p>
      <w:pPr>
        <w:spacing w:before="0" w:after="40"/>
        <w:ind w:left="600"/>
      </w:pPr>
      <w:r>
        <w:rPr>
          <w:color w:val="00643C"/>
          <w:sz w:val="16"/>
        </w:rPr>
        <w:t>Points clés : Quatrième baisse consécutive des prix du pétrole  •  Reprise progressive des approvisionnements du Moyen-Orient  •  Pression baissière sur les cours due à l'amélioration de l'offre</w:t>
      </w:r>
    </w:p>
    <w:p>
      <w:pPr>
        <w:spacing w:before="0" w:after="60"/>
        <w:ind w:left="600"/>
      </w:pPr>
      <w:r>
        <w:rPr>
          <w:color w:val="0064B4"/>
          <w:sz w:val="15"/>
        </w:rPr>
        <w:t>Source : https://news.google.com/rss/articles/CBMikAFBVV95cUxNZWQ5M3RTU01iTnJaVXh0T0FsMjJ</w:t>
      </w:r>
    </w:p>
    <w:p>
      <w:pPr>
        <w:spacing w:before="40" w:after="40"/>
        <w:ind w:left="360"/>
      </w:pPr>
      <w:r>
        <w:rPr>
          <w:color w:val="646464"/>
          <w:sz w:val="17"/>
        </w:rPr>
        <w:t xml:space="preserve">[22/09/2026] ⚪  </w:t>
      </w:r>
      <w:r>
        <w:rPr>
          <w:b/>
          <w:color w:val="505050"/>
          <w:sz w:val="18"/>
        </w:rPr>
        <w:t>Taxes, marges, matière première… Comment se décompose le prix d’un litre de carburant - Le Figaro</w:t>
      </w:r>
      <w:r>
        <w:rPr>
          <w:color w:val="787878"/>
          <w:sz w:val="15"/>
        </w:rPr>
        <w:t xml:space="preserve">  [matieres_premieres]</w:t>
      </w:r>
      <w:r>
        <w:rPr>
          <w:color w:val="B47800"/>
          <w:sz w:val="16"/>
        </w:rPr>
        <w:t xml:space="preserve">  ★ 50/10</w:t>
      </w:r>
    </w:p>
    <w:p>
      <w:pPr>
        <w:spacing w:before="0" w:after="20"/>
        <w:ind w:left="600"/>
      </w:pPr>
      <w:r>
        <w:rPr>
          <w:color w:val="323232"/>
          <w:sz w:val="17"/>
        </w:rPr>
        <w:t>L'article du Figaro détaille la structure du prix d'un litre de carburant en France, en distinguant la part liée à la matière première (pétrole brut), les taxes (TICPE et TVA) et les marges des distributeurs et raffineurs. Il souligne que les taxes représentent la composante la plus importante du prix à la pompe, suivies du coût du brut et des marg</w:t>
      </w:r>
    </w:p>
    <w:p>
      <w:pPr>
        <w:spacing w:before="0" w:after="40"/>
        <w:ind w:left="600"/>
      </w:pPr>
      <w:r>
        <w:rPr>
          <w:color w:val="00643C"/>
          <w:sz w:val="16"/>
        </w:rPr>
        <w:t>Points clés : Les taxes (TICPE et TVA) constituent la part la plus élevée du prix du carburant.  •  Le prix du pétrole brut est une composante volatile qui dépend des marchés internationaux.  •  Les marges de raffinage et de distribution sont relativement faibles par rapport aux taxes.  •  La décomposition du prix aide à évaluer l'impact des hausses de fiscalité ou des variations du brut.</w:t>
      </w:r>
    </w:p>
    <w:p>
      <w:pPr>
        <w:spacing w:before="0" w:after="60"/>
        <w:ind w:left="600"/>
      </w:pPr>
      <w:r>
        <w:rPr>
          <w:color w:val="0064B4"/>
          <w:sz w:val="15"/>
        </w:rPr>
        <w:t>Source : https://news.google.com/rss/articles/CBMivgFBVV95cUxNRm1wcS1waEdSQmUxZnI5TVp6cU1</w:t>
      </w:r>
    </w:p>
    <w:p>
      <w:pPr>
        <w:spacing w:before="40" w:after="40"/>
        <w:ind w:left="360"/>
      </w:pPr>
      <w:r>
        <w:rPr>
          <w:color w:val="646464"/>
          <w:sz w:val="17"/>
        </w:rPr>
        <w:t xml:space="preserve">[22/09/2026] 🔴  </w:t>
      </w:r>
      <w:r>
        <w:rPr>
          <w:b/>
          <w:color w:val="C00000"/>
          <w:sz w:val="18"/>
        </w:rPr>
        <w:t>MARCHÉ DES MATIÈRES PREMIÈRES : La chute des prix du pétrole éclipse les gains du soja, l'indice MXV recule de près de 0</w:t>
      </w:r>
      <w:r>
        <w:rPr>
          <w:color w:val="787878"/>
          <w:sz w:val="15"/>
        </w:rPr>
        <w:t xml:space="preserve">  [matieres_premieres]</w:t>
      </w:r>
      <w:r>
        <w:rPr>
          <w:color w:val="B47800"/>
          <w:sz w:val="16"/>
        </w:rPr>
        <w:t xml:space="preserve">  ★ 50/10</w:t>
      </w:r>
    </w:p>
    <w:p>
      <w:pPr>
        <w:spacing w:before="0" w:after="20"/>
        <w:ind w:left="600"/>
      </w:pPr>
      <w:r>
        <w:rPr>
          <w:color w:val="323232"/>
          <w:sz w:val="17"/>
        </w:rPr>
        <w:t>L'indice MXV des matières premières a reculé de près de 0,7 %, pénalisé par la chute des prix du pétrole qui a éclipsé les gains enregistrés sur le soja. La baisse des cours pétroliers a pesé sur l'ensemble de l'indice malgré la performance positive du soja. Ce mouvement reflète les tensions persistantes sur les marchés énergétiques mondiaux.</w:t>
      </w:r>
    </w:p>
    <w:p>
      <w:pPr>
        <w:spacing w:before="0" w:after="40"/>
        <w:ind w:left="600"/>
      </w:pPr>
      <w:r>
        <w:rPr>
          <w:color w:val="00643C"/>
          <w:sz w:val="16"/>
        </w:rPr>
        <w:t>Points clés : L'indice MXV recule de près de 0,7 %  •  La chute des prix du pétrole éclipse les gains du soja  •  Le soja enregistre des gains mais insuffisants pour compenser la baisse du pétrole</w:t>
      </w:r>
    </w:p>
    <w:p>
      <w:pPr>
        <w:spacing w:before="0" w:after="60"/>
        <w:ind w:left="600"/>
      </w:pPr>
      <w:r>
        <w:rPr>
          <w:color w:val="0064B4"/>
          <w:sz w:val="15"/>
        </w:rPr>
        <w:t>Source : https://news.google.com/rss/articles/CBMiswFBVV95cUxPazE4aFRZVjlmdldmYmthczNjS05</w:t>
      </w:r>
    </w:p>
    <w:p>
      <w:pPr>
        <w:spacing w:before="40" w:after="40"/>
        <w:ind w:left="360"/>
      </w:pPr>
      <w:r>
        <w:rPr>
          <w:color w:val="646464"/>
          <w:sz w:val="17"/>
        </w:rPr>
        <w:t xml:space="preserve">[22/09/2026] ⚪  </w:t>
      </w:r>
      <w:r>
        <w:rPr>
          <w:b/>
          <w:color w:val="505050"/>
          <w:sz w:val="18"/>
        </w:rPr>
        <w:t>Les prix du pétrole s'effondrent, ceux du soja s'envolent.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connaissent une chute significative sur les marchés internationaux, tandis que ceux du soja enregistrent une forte hausse. Cette divergence reflète des dynamiques opposées entre l'énergie et les matières premières agricoles. Pour la BRVM, l'impact est indirect via les coûts énergétiques et les secteurs agricoles cotés.</w:t>
      </w:r>
    </w:p>
    <w:p>
      <w:pPr>
        <w:spacing w:before="0" w:after="40"/>
        <w:ind w:left="600"/>
      </w:pPr>
      <w:r>
        <w:rPr>
          <w:color w:val="00643C"/>
          <w:sz w:val="16"/>
        </w:rPr>
        <w:t>Points clés : Effondrement des prix du pétrole  •  Forte hausse des prix du soja  •  Divergence entre énergie et matières premières agricoles</w:t>
      </w:r>
    </w:p>
    <w:p>
      <w:pPr>
        <w:spacing w:before="0" w:after="60"/>
        <w:ind w:left="600"/>
      </w:pPr>
      <w:r>
        <w:rPr>
          <w:color w:val="0064B4"/>
          <w:sz w:val="15"/>
        </w:rPr>
        <w:t>Source : https://news.google.com/rss/articles/CBMibEFVX3lxTE8xYTh2Y3lVRDR1T0s0N3prcG02MG1</w:t>
      </w:r>
    </w:p>
    <w:p>
      <w:pPr>
        <w:spacing w:before="40" w:after="40"/>
        <w:ind w:left="360"/>
      </w:pPr>
      <w:r>
        <w:rPr>
          <w:color w:val="646464"/>
          <w:sz w:val="17"/>
        </w:rPr>
        <w:t xml:space="preserve">[21/09/2026] ⚪  </w:t>
      </w:r>
      <w:r>
        <w:rPr>
          <w:b/>
          <w:color w:val="505050"/>
          <w:sz w:val="18"/>
        </w:rPr>
        <w:t>Pétrole : le prix n’est plus le problème - La Chronique Agora</w:t>
      </w:r>
      <w:r>
        <w:rPr>
          <w:color w:val="787878"/>
          <w:sz w:val="15"/>
        </w:rPr>
        <w:t xml:space="preserve">  [matieres_premieres]</w:t>
      </w:r>
      <w:r>
        <w:rPr>
          <w:color w:val="B47800"/>
          <w:sz w:val="16"/>
        </w:rPr>
        <w:t xml:space="preserve">  ★ 50/10</w:t>
      </w:r>
    </w:p>
    <w:p>
      <w:pPr>
        <w:spacing w:before="0" w:after="20"/>
        <w:ind w:left="600"/>
      </w:pPr>
      <w:r>
        <w:rPr>
          <w:color w:val="323232"/>
          <w:sz w:val="17"/>
        </w:rPr>
        <w:t>L'article de La Chronique Agora aborde la situation du marché pétrolier en soulignant que le prix du pétrole n'est plus le principal problème. Le contenu complet n'étant pas fourni, il est difficile d'analyser en profondeur les arguments développés. Le titre suggère que d'autres facteurs, tels que l'offre, la demande ou les politiques énergétiques,</w:t>
      </w:r>
    </w:p>
    <w:p>
      <w:pPr>
        <w:spacing w:before="0" w:after="40"/>
        <w:ind w:left="600"/>
      </w:pPr>
      <w:r>
        <w:rPr>
          <w:color w:val="00643C"/>
          <w:sz w:val="16"/>
        </w:rPr>
        <w:t>Points clés : Le prix du pétrole n'est plus considéré comme le problème majeur  •  D'autres facteurs sous-jacents pourraient dominer les préoccupations du marché  •  L'article provient de La Chronique Agora, une source d'analyse financière</w:t>
      </w:r>
    </w:p>
    <w:p>
      <w:pPr>
        <w:spacing w:before="0" w:after="60"/>
        <w:ind w:left="600"/>
      </w:pPr>
      <w:r>
        <w:rPr>
          <w:color w:val="0064B4"/>
          <w:sz w:val="15"/>
        </w:rPr>
        <w:t>Source : https://news.google.com/rss/articles/CBMieEFVX3lxTFBwSWNEZjhzcU1NRm51TTQ2anFLMUN</w:t>
      </w:r>
    </w:p>
    <w:p>
      <w:pPr>
        <w:spacing w:before="120" w:after="40"/>
      </w:pPr>
      <w:r>
        <w:rPr>
          <w:b/>
          <w:color w:val="00467F"/>
          <w:sz w:val="20"/>
        </w:rPr>
        <w:t>🔑 économique  (4 alerte(s))</w:t>
      </w:r>
    </w:p>
    <w:p>
      <w:pPr>
        <w:spacing w:before="40" w:after="40"/>
        <w:ind w:left="360"/>
      </w:pPr>
      <w:r>
        <w:rPr>
          <w:color w:val="646464"/>
          <w:sz w:val="17"/>
        </w:rPr>
        <w:t xml:space="preserve">[22/09/2026] 🟢  </w:t>
      </w:r>
      <w:r>
        <w:rPr>
          <w:b/>
          <w:color w:val="008000"/>
          <w:sz w:val="18"/>
        </w:rPr>
        <w:t>Cedeao, la Cour de justice à l’heure de l’innovation - SenePlus</w:t>
      </w:r>
      <w:r>
        <w:rPr>
          <w:color w:val="787878"/>
          <w:sz w:val="15"/>
        </w:rPr>
        <w:t xml:space="preserve">  [économique]</w:t>
      </w:r>
      <w:r>
        <w:rPr>
          <w:color w:val="B47800"/>
          <w:sz w:val="16"/>
        </w:rPr>
        <w:t xml:space="preserve">  ★ 50/10</w:t>
      </w:r>
    </w:p>
    <w:p>
      <w:pPr>
        <w:spacing w:before="0" w:after="20"/>
        <w:ind w:left="600"/>
      </w:pPr>
      <w:r>
        <w:rPr>
          <w:color w:val="323232"/>
          <w:sz w:val="17"/>
        </w:rPr>
        <w:t>La Cour de justice de la Cedeao entame une modernisation de ses procédures en intégrant des outils innovants. Cette réforme vise à renforcer l'efficacité judiciaire au sein de l'espace communautaire. Elle pourrait améliorer le climat des affaires et la sécurité juridique des investissements en Afrique de l'Ouest. Toutefois, l'article reste très suc</w:t>
      </w:r>
    </w:p>
    <w:p>
      <w:pPr>
        <w:spacing w:before="0" w:after="40"/>
        <w:ind w:left="600"/>
      </w:pPr>
      <w:r>
        <w:rPr>
          <w:color w:val="00643C"/>
          <w:sz w:val="16"/>
        </w:rPr>
        <w:t>Points clés : Modernisation de la Cour de justice de la Cedeao  •  Objectif d'amélioration de l'efficacité judiciaire régionale  •  Impact potentiel sur la sécurité juridique des investisseurs</w:t>
      </w:r>
    </w:p>
    <w:p>
      <w:pPr>
        <w:spacing w:before="0" w:after="60"/>
        <w:ind w:left="600"/>
      </w:pPr>
      <w:r>
        <w:rPr>
          <w:color w:val="0064B4"/>
          <w:sz w:val="15"/>
        </w:rPr>
        <w:t>Source : https://news.google.com/rss/articles/CBMihwFBVV95cUxOVmNzdHY1MFNiWUJBc3A3dHJ3Smh</w:t>
      </w:r>
    </w:p>
    <w:p>
      <w:pPr>
        <w:spacing w:before="40" w:after="40"/>
        <w:ind w:left="360"/>
      </w:pPr>
      <w:r>
        <w:rPr>
          <w:color w:val="646464"/>
          <w:sz w:val="17"/>
        </w:rPr>
        <w:t xml:space="preserve">[22/09/2026] 🟢  </w:t>
      </w:r>
      <w:r>
        <w:rPr>
          <w:b/>
          <w:color w:val="008000"/>
          <w:sz w:val="18"/>
        </w:rPr>
        <w:t>CEDEAO : la BIDC passe à la vitesse supérieure - Forbes Afrique</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annonce une accélération de ses activités et de son soutien financier aux projets régionaux. Cette montée en puissance vise à renforcer l'intégration économique et à financer des infrastructures structurantes dans l'espace communautaire. L'institution entend ainsi jouer un rôle plus</w:t>
      </w:r>
    </w:p>
    <w:p>
      <w:pPr>
        <w:spacing w:before="0" w:after="40"/>
        <w:ind w:left="600"/>
      </w:pPr>
      <w:r>
        <w:rPr>
          <w:color w:val="00643C"/>
          <w:sz w:val="16"/>
        </w:rPr>
        <w:t>Points clés : La BIDC renforce son rôle de financement des projets régionaux  •  Accélération des interventions dans les infrastructures et l'intégration économique  •  Impact potentiel sur le développement des marchés financiers de la CEDEAO</w:t>
      </w:r>
    </w:p>
    <w:p>
      <w:pPr>
        <w:spacing w:before="0" w:after="60"/>
        <w:ind w:left="600"/>
      </w:pPr>
      <w:r>
        <w:rPr>
          <w:color w:val="0064B4"/>
          <w:sz w:val="15"/>
        </w:rPr>
        <w:t>Source : https://news.google.com/rss/articles/CBMie0FVX3lxTE0xSFpuUzNWSDZDekR5T3htczlzd3l</w:t>
      </w:r>
    </w:p>
    <w:p>
      <w:pPr>
        <w:spacing w:before="40" w:after="40"/>
        <w:ind w:left="360"/>
      </w:pPr>
      <w:r>
        <w:rPr>
          <w:color w:val="646464"/>
          <w:sz w:val="17"/>
        </w:rPr>
        <w:t xml:space="preserve">[21/09/2026] 🔴  </w:t>
      </w:r>
      <w:r>
        <w:rPr>
          <w:b/>
          <w:color w:val="C00000"/>
          <w:sz w:val="18"/>
        </w:rPr>
        <w:t>La CEDEAO est marquée par l’incertitude et de profonds changements (spécialiste) - APS - Agence de Presse Sénégalaise</w:t>
      </w:r>
      <w:r>
        <w:rPr>
          <w:color w:val="787878"/>
          <w:sz w:val="15"/>
        </w:rPr>
        <w:t xml:space="preserve">  [économique]</w:t>
      </w:r>
      <w:r>
        <w:rPr>
          <w:color w:val="B47800"/>
          <w:sz w:val="16"/>
        </w:rPr>
        <w:t xml:space="preserve">  ★ 50/10</w:t>
      </w:r>
    </w:p>
    <w:p>
      <w:pPr>
        <w:spacing w:before="0" w:after="20"/>
        <w:ind w:left="600"/>
      </w:pPr>
      <w:r>
        <w:rPr>
          <w:color w:val="323232"/>
          <w:sz w:val="17"/>
        </w:rPr>
        <w:t>La CEDEAO traverse une période d'incertitude et de profonds changements selon un spécialiste cité par l'APS. Ces bouleversements concernent la gouvernance régionale, les relations entre États membres et les dynamiques d'intégration économique. L'issue de ces transformations reste incertaine, ce qui pourrait affecter la stabilité et la coopération e</w:t>
      </w:r>
    </w:p>
    <w:p>
      <w:pPr>
        <w:spacing w:before="0" w:after="40"/>
        <w:ind w:left="600"/>
      </w:pPr>
      <w:r>
        <w:rPr>
          <w:color w:val="00643C"/>
          <w:sz w:val="16"/>
        </w:rPr>
        <w:t>Points clés : La CEDEAO est confrontée à une période d'incertitude institutionnelle et politique  •  Des changements profonds affectent la dynamique d'intégration régionale  •  Les conséquences sur la stabilité et la coopération économique restent incertaines</w:t>
      </w:r>
    </w:p>
    <w:p>
      <w:pPr>
        <w:spacing w:before="0" w:after="60"/>
        <w:ind w:left="600"/>
      </w:pPr>
      <w:r>
        <w:rPr>
          <w:color w:val="0064B4"/>
          <w:sz w:val="15"/>
        </w:rPr>
        <w:t>Source : https://news.google.com/rss/articles/CBMiqgFBVV95cUxQZGVPZm5jZ3B0TmJYNDZJa2dNQU9</w:t>
      </w:r>
    </w:p>
    <w:p>
      <w:pPr>
        <w:spacing w:before="40" w:after="40"/>
        <w:ind w:left="360"/>
      </w:pPr>
      <w:r>
        <w:rPr>
          <w:color w:val="646464"/>
          <w:sz w:val="17"/>
        </w:rPr>
        <w:t xml:space="preserve">[21/09/2026] ⚪  </w:t>
      </w:r>
      <w:r>
        <w:rPr>
          <w:b/>
          <w:color w:val="505050"/>
          <w:sz w:val="18"/>
        </w:rPr>
        <w:t>Climat, les besoins de financement de la CEDEAO estimés à 294 milliards de dollars d’ici 2030 - SenePlus</w:t>
      </w:r>
      <w:r>
        <w:rPr>
          <w:color w:val="787878"/>
          <w:sz w:val="15"/>
        </w:rPr>
        <w:t xml:space="preserve">  [économique]</w:t>
      </w:r>
      <w:r>
        <w:rPr>
          <w:color w:val="B47800"/>
          <w:sz w:val="16"/>
        </w:rPr>
        <w:t xml:space="preserve">  ★ 50/10</w:t>
      </w:r>
    </w:p>
    <w:p>
      <w:pPr>
        <w:spacing w:before="0" w:after="20"/>
        <w:ind w:left="600"/>
      </w:pPr>
      <w:r>
        <w:rPr>
          <w:color w:val="323232"/>
          <w:sz w:val="17"/>
        </w:rPr>
        <w:t>La CEDEAO estime ses besoins de financement pour faire face au changement climatique à 294 milliards de dollars d'ici 2030. Ce montant reflète l'ampleur des investissements nécessaires pour l'adaptation et l'atténuation dans la région ouest-africaine. Ces financements devront mobiliser des sources publiques et privées, avec un rôle potentiel des ma</w:t>
      </w:r>
    </w:p>
    <w:p>
      <w:pPr>
        <w:spacing w:before="0" w:after="40"/>
        <w:ind w:left="600"/>
      </w:pPr>
      <w:r>
        <w:rPr>
          <w:color w:val="00643C"/>
          <w:sz w:val="16"/>
        </w:rPr>
        <w:t>Points clés : Besoin de financement climatique de la CEDEAO estimé à 294 milliards USD d'ici 2030  •  Enjeu majeur pour les pays d'Afrique de l'Ouest face au changement climatique  •  Opportunité potentielle pour la mobilisation de capitaux via les marchés financiers régionaux</w:t>
      </w:r>
    </w:p>
    <w:p>
      <w:pPr>
        <w:spacing w:before="0" w:after="60"/>
        <w:ind w:left="600"/>
      </w:pPr>
      <w:r>
        <w:rPr>
          <w:color w:val="0064B4"/>
          <w:sz w:val="15"/>
        </w:rPr>
        <w:t>Source : https://news.google.com/rss/articles/CBMivwFBVV95cUxQZEFFbnhtQVItN1djeEdPZVl5QXp</w:t>
      </w:r>
    </w:p>
    <w:p>
      <w:pPr>
        <w:spacing w:before="120" w:after="40"/>
      </w:pPr>
      <w:r>
        <w:rPr>
          <w:b/>
          <w:color w:val="00467F"/>
          <w:sz w:val="20"/>
        </w:rPr>
        <w:t>🔑 politique_monetaire  (2 alerte(s))</w:t>
      </w:r>
    </w:p>
    <w:p>
      <w:pPr>
        <w:spacing w:before="40" w:after="40"/>
        <w:ind w:left="360"/>
      </w:pPr>
      <w:r>
        <w:rPr>
          <w:color w:val="646464"/>
          <w:sz w:val="17"/>
        </w:rPr>
        <w:t xml:space="preserve">[22/09/2026] 🔴  </w:t>
      </w:r>
      <w:r>
        <w:rPr>
          <w:b/>
          <w:color w:val="C00000"/>
          <w:sz w:val="18"/>
        </w:rPr>
        <w:t>Philip Lane, de la Banque centrale européenne: «L’inflation va être plus élevée et plus durable qu’on ne le pensait - le</w:t>
      </w:r>
      <w:r>
        <w:rPr>
          <w:color w:val="787878"/>
          <w:sz w:val="15"/>
        </w:rPr>
        <w:t xml:space="preserve">  [politique_monetaire]</w:t>
      </w:r>
      <w:r>
        <w:rPr>
          <w:color w:val="B47800"/>
          <w:sz w:val="16"/>
        </w:rPr>
        <w:t xml:space="preserve">  ★ 50/10</w:t>
      </w:r>
    </w:p>
    <w:p>
      <w:pPr>
        <w:spacing w:before="0" w:after="20"/>
        <w:ind w:left="600"/>
      </w:pPr>
      <w:r>
        <w:rPr>
          <w:color w:val="323232"/>
          <w:sz w:val="17"/>
        </w:rPr>
        <w:t>Philip Lane, économiste en chef de la Banque centrale européenne, a déclaré que l'inflation dans la zone euro serait plus élevée et plus persistante que prévu initialement. Cette annonce suggère que la BCE pourrait maintenir une politique monétaire restrictive plus longtemps. Les marchés anticipent des taux d'intérêt plus élevés, ce qui pourrait pe</w:t>
      </w:r>
    </w:p>
    <w:p>
      <w:pPr>
        <w:spacing w:before="0" w:after="40"/>
        <w:ind w:left="600"/>
      </w:pPr>
      <w:r>
        <w:rPr>
          <w:color w:val="00643C"/>
          <w:sz w:val="16"/>
        </w:rPr>
        <w:t>Points clés : L'inflation en zone euro sera plus élevée et plus durable que prévu  •  La BCE pourrait prolonger sa politique monétaire restrictive  •  Risque de taux d'intérêt plus élevés plus longtemps</w:t>
      </w:r>
    </w:p>
    <w:p>
      <w:pPr>
        <w:spacing w:before="0" w:after="60"/>
        <w:ind w:left="600"/>
      </w:pPr>
      <w:r>
        <w:rPr>
          <w:color w:val="0064B4"/>
          <w:sz w:val="15"/>
        </w:rPr>
        <w:t>Source : https://news.google.com/rss/articles/CBMi2gFBVV95cUxNTmZ5Sm5zcTBxQnNfWlRKODhBazI</w:t>
      </w:r>
    </w:p>
    <w:p>
      <w:pPr>
        <w:spacing w:before="40" w:after="40"/>
        <w:ind w:left="360"/>
      </w:pPr>
      <w:r>
        <w:rPr>
          <w:color w:val="646464"/>
          <w:sz w:val="17"/>
        </w:rPr>
        <w:t xml:space="preserve">[21/09/2026] 🟢  </w:t>
      </w:r>
      <w:r>
        <w:rPr>
          <w:b/>
          <w:color w:val="008000"/>
          <w:sz w:val="18"/>
        </w:rPr>
        <w:t>Pontes, ce nouveau système qui permet de brancher l'euro sur la blockchain - Les Echos</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 système Pontes, développé pour connecter l'euro à la blockchain, représente une avancée majeure dans l'infrastructure des paiements numériques en Europe. Il vise à faciliter les transactions en euros sur les réseaux distribués, réduisant les coûts et les délais. Cette initiative pourrait renforcer l'intégration des monnaies fiduciaires avec les </w:t>
      </w:r>
    </w:p>
    <w:p>
      <w:pPr>
        <w:spacing w:before="0" w:after="40"/>
        <w:ind w:left="600"/>
      </w:pPr>
      <w:r>
        <w:rPr>
          <w:color w:val="00643C"/>
          <w:sz w:val="16"/>
        </w:rPr>
        <w:t>Points clés : Pontes permet de brancher l'euro sur la blockchain  •  Objectif : améliorer l'efficacité des paiements en euros  •  Contexte de digitalisation des monnaies et des infrastructures financières</w:t>
      </w:r>
    </w:p>
    <w:p>
      <w:pPr>
        <w:spacing w:before="0" w:after="60"/>
        <w:ind w:left="600"/>
      </w:pPr>
      <w:r>
        <w:rPr>
          <w:color w:val="0064B4"/>
          <w:sz w:val="15"/>
        </w:rPr>
        <w:t>Source : https://news.google.com/rss/articles/CBMiwgFBVV95cUxQR0RDTjZaMmFsTXUwU3JsTXJlemh</w:t>
      </w:r>
    </w:p>
    <w:p>
      <w:pPr>
        <w:spacing w:before="120" w:after="40"/>
      </w:pPr>
      <w:r>
        <w:rPr>
          <w:b/>
          <w:color w:val="00467F"/>
          <w:sz w:val="20"/>
        </w:rPr>
        <w:t>🔑 marche_financier  (1 alerte(s))</w:t>
      </w:r>
    </w:p>
    <w:p>
      <w:pPr>
        <w:spacing w:before="40" w:after="40"/>
        <w:ind w:left="360"/>
      </w:pPr>
      <w:r>
        <w:rPr>
          <w:color w:val="646464"/>
          <w:sz w:val="17"/>
        </w:rPr>
        <w:t xml:space="preserve">[20/09/2026] 🟢  </w:t>
      </w:r>
      <w:r>
        <w:rPr>
          <w:b/>
          <w:color w:val="008000"/>
          <w:sz w:val="18"/>
        </w:rPr>
        <w:t>Sonatel franchit 42 000 FCFA à la BRVM avant le fractionnement - africtelegraph.com</w:t>
      </w:r>
      <w:r>
        <w:rPr>
          <w:color w:val="787878"/>
          <w:sz w:val="15"/>
        </w:rPr>
        <w:t xml:space="preserve">  [marche_financier]</w:t>
      </w:r>
      <w:r>
        <w:rPr>
          <w:color w:val="B47800"/>
          <w:sz w:val="16"/>
        </w:rPr>
        <w:t xml:space="preserve">  ★ 50/10</w:t>
      </w:r>
    </w:p>
    <w:p>
      <w:pPr>
        <w:spacing w:before="0" w:after="20"/>
        <w:ind w:left="600"/>
      </w:pPr>
      <w:r>
        <w:rPr>
          <w:color w:val="323232"/>
          <w:sz w:val="17"/>
        </w:rPr>
        <w:t>L'action Sonatel a franchi le seuil symbolique de 42 000 FCFA à la BRVM, marquant une progression notable avant l'opération de fractionnement de son titre. Ce franchissement témoigne de l'intérêt soutenu des investisseurs pour la valeur, considérée comme un pilier du marché régional. Le fractionnement à venir devrait améliorer la liquidité et l'acc</w:t>
      </w:r>
    </w:p>
    <w:p>
      <w:pPr>
        <w:spacing w:before="0" w:after="40"/>
        <w:ind w:left="600"/>
      </w:pPr>
      <w:r>
        <w:rPr>
          <w:color w:val="00643C"/>
          <w:sz w:val="16"/>
        </w:rPr>
        <w:t>Points clés : Sonatel franchit le cap des 42 000 FCFA par action à la BRVM  •  L'événement intervient juste avant une opération de fractionnement du titre  •  Le fractionnement vise à accroître la liquidité et à attirer davantage d'investisseurs  •  Sonatel confirme son statut de valeur phare du marché régional</w:t>
      </w:r>
    </w:p>
    <w:p>
      <w:pPr>
        <w:spacing w:before="0" w:after="60"/>
        <w:ind w:left="600"/>
      </w:pPr>
      <w:r>
        <w:rPr>
          <w:color w:val="0064B4"/>
          <w:sz w:val="15"/>
        </w:rPr>
        <w:t>Source : https://news.google.com/rss/articles/CBMimwFBVV95cUxOYjRuLUE5NGhvbHFSRkI1X3FKVTY</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9,500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2,030</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7,995</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2,330</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2,050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1,985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2,430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7,750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3,160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7,800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5,200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2,105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15,800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16</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4,610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7,895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6,210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3,000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3,130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3,085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8,350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27</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12,485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28</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2,890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29</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16,500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30</w:t>
            </w:r>
          </w:p>
        </w:tc>
        <w:tc>
          <w:tcPr>
            <w:tcW w:type="dxa" w:w="1080"/>
            <w:shd w:fill="C6EFCE" w:val="clear"/>
          </w:tcPr>
          <w:p>
            <w:r>
              <w:rPr>
                <w:sz w:val="16"/>
              </w:rPr>
              <w:t>SEMC</w:t>
            </w:r>
          </w:p>
        </w:tc>
        <w:tc>
          <w:tcPr>
            <w:tcW w:type="dxa" w:w="1080"/>
            <w:shd w:fill="C6EFCE" w:val="clear"/>
          </w:tcPr>
          <w:p>
            <w:r>
              <w:rPr>
                <w:sz w:val="16"/>
              </w:rPr>
              <w:t>INDUSTRIELS</w:t>
            </w:r>
          </w:p>
        </w:tc>
        <w:tc>
          <w:tcPr>
            <w:tcW w:type="dxa" w:w="1080"/>
            <w:shd w:fill="C6EFCE" w:val="clear"/>
          </w:tcPr>
          <w:p>
            <w:r>
              <w:rPr>
                <w:sz w:val="16"/>
              </w:rPr>
              <w:t>1,495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31</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9,185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10,000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17,000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3,950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33,000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6,720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31,675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21,500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51,995</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BOAB</w:t>
            </w:r>
          </w:p>
        </w:tc>
        <w:tc>
          <w:tcPr>
            <w:tcW w:type="dxa" w:w="1728"/>
            <w:shd w:fill="DEEAF1" w:val="clear"/>
          </w:tcPr>
          <w:p>
            <w:r>
              <w:rPr>
                <w:sz w:val="17"/>
              </w:rPr>
              <w:t>BANK OF AFRICA BENIN</w:t>
            </w:r>
          </w:p>
        </w:tc>
        <w:tc>
          <w:tcPr>
            <w:tcW w:type="dxa" w:w="1728"/>
            <w:shd w:fill="DEEAF1" w:val="clear"/>
          </w:tcPr>
          <w:p>
            <w:r>
              <w:rPr>
                <w:sz w:val="17"/>
              </w:rPr>
              <w:t>9,500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2,030</w:t>
            </w:r>
          </w:p>
        </w:tc>
        <w:tc>
          <w:tcPr>
            <w:tcW w:type="dxa" w:w="1728"/>
            <w:shd w:fill="DEEAF1" w:val="clear"/>
          </w:tcPr>
          <w:p>
            <w:r>
              <w:rPr>
                <w:sz w:val="17"/>
              </w:rPr>
              <w:t>84/100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7,995</w:t>
            </w:r>
          </w:p>
        </w:tc>
        <w:tc>
          <w:tcPr>
            <w:tcW w:type="dxa" w:w="1728"/>
            <w:shd w:fill="DEEAF1" w:val="clear"/>
          </w:tcPr>
          <w:p>
            <w:r>
              <w:rPr>
                <w:sz w:val="17"/>
              </w:rPr>
              <w:t>82/100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2,330</w:t>
            </w:r>
          </w:p>
        </w:tc>
        <w:tc>
          <w:tcPr>
            <w:tcW w:type="dxa" w:w="1728"/>
            <w:shd w:fill="DEEAF1" w:val="clear"/>
          </w:tcPr>
          <w:p>
            <w:r>
              <w:rPr>
                <w:sz w:val="17"/>
              </w:rPr>
              <w:t>82/100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2,050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1,985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1,600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2,430</w:t>
            </w:r>
          </w:p>
        </w:tc>
        <w:tc>
          <w:tcPr>
            <w:tcW w:type="dxa" w:w="1728"/>
            <w:shd w:fill="DEEAF1" w:val="clear"/>
          </w:tcPr>
          <w:p>
            <w:r>
              <w:rPr>
                <w:sz w:val="17"/>
              </w:rPr>
              <w:t>78/100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9,500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2,030</w:t>
            </w:r>
          </w:p>
        </w:tc>
        <w:tc>
          <w:tcPr>
            <w:tcW w:type="dxa" w:w="1728"/>
            <w:shd w:fill="E2EFDA" w:val="clear"/>
          </w:tcPr>
          <w:p>
            <w:r>
              <w:rPr>
                <w:sz w:val="17"/>
              </w:rPr>
              <w:t>84/100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7,995</w:t>
            </w:r>
          </w:p>
        </w:tc>
        <w:tc>
          <w:tcPr>
            <w:tcW w:type="dxa" w:w="1728"/>
            <w:shd w:fill="E2EFDA" w:val="clear"/>
          </w:tcPr>
          <w:p>
            <w:r>
              <w:rPr>
                <w:sz w:val="17"/>
              </w:rPr>
              <w:t>82/100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2,330</w:t>
            </w:r>
          </w:p>
        </w:tc>
        <w:tc>
          <w:tcPr>
            <w:tcW w:type="dxa" w:w="1728"/>
            <w:shd w:fill="E2EFDA" w:val="clear"/>
          </w:tcPr>
          <w:p>
            <w:r>
              <w:rPr>
                <w:sz w:val="17"/>
              </w:rPr>
              <w:t>82/100</w:t>
            </w:r>
          </w:p>
        </w:tc>
        <w:tc>
          <w:tcPr>
            <w:tcW w:type="dxa" w:w="1728"/>
            <w:shd w:fill="E2EFDA" w:val="clear"/>
          </w:tcPr>
          <w:p>
            <w:r>
              <w:rPr>
                <w:sz w:val="17"/>
              </w:rPr>
              <w:t>11.2%</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2,050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1,985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CFAC</w:t>
            </w:r>
          </w:p>
        </w:tc>
        <w:tc>
          <w:tcPr>
            <w:tcW w:type="dxa" w:w="1728"/>
            <w:shd w:fill="E2EFDA" w:val="clear"/>
          </w:tcPr>
          <w:p>
            <w:r>
              <w:rPr>
                <w:sz w:val="17"/>
              </w:rPr>
              <w:t>CFAC - CFAO MOTORS CI</w:t>
            </w:r>
          </w:p>
        </w:tc>
        <w:tc>
          <w:tcPr>
            <w:tcW w:type="dxa" w:w="1728"/>
            <w:shd w:fill="E2EFDA" w:val="clear"/>
          </w:tcPr>
          <w:p>
            <w:r>
              <w:rPr>
                <w:sz w:val="17"/>
              </w:rPr>
              <w:t>1,600</w:t>
            </w:r>
          </w:p>
        </w:tc>
        <w:tc>
          <w:tcPr>
            <w:tcW w:type="dxa" w:w="1728"/>
            <w:shd w:fill="E2EFDA" w:val="clear"/>
          </w:tcPr>
          <w:p>
            <w:r>
              <w:rPr>
                <w:sz w:val="17"/>
              </w:rPr>
              <w:t>78/100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9,500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2,030</w:t>
            </w:r>
          </w:p>
        </w:tc>
        <w:tc>
          <w:tcPr>
            <w:tcW w:type="dxa" w:w="1728"/>
            <w:shd w:fill="FCE4D6" w:val="clear"/>
          </w:tcPr>
          <w:p>
            <w:r>
              <w:rPr>
                <w:sz w:val="17"/>
              </w:rPr>
              <w:t>84/100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7,995</w:t>
            </w:r>
          </w:p>
        </w:tc>
        <w:tc>
          <w:tcPr>
            <w:tcW w:type="dxa" w:w="1728"/>
            <w:shd w:fill="FCE4D6" w:val="clear"/>
          </w:tcPr>
          <w:p>
            <w:r>
              <w:rPr>
                <w:sz w:val="17"/>
              </w:rPr>
              <w:t>82/100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2,330</w:t>
            </w:r>
          </w:p>
        </w:tc>
        <w:tc>
          <w:tcPr>
            <w:tcW w:type="dxa" w:w="1728"/>
            <w:shd w:fill="FCE4D6" w:val="clear"/>
          </w:tcPr>
          <w:p>
            <w:r>
              <w:rPr>
                <w:sz w:val="17"/>
              </w:rPr>
              <w:t>82/100</w:t>
            </w:r>
          </w:p>
        </w:tc>
        <w:tc>
          <w:tcPr>
            <w:tcW w:type="dxa" w:w="1728"/>
            <w:shd w:fill="FCE4D6" w:val="clear"/>
          </w:tcPr>
          <w:p>
            <w:r>
              <w:rPr>
                <w:sz w:val="17"/>
              </w:rPr>
              <w:t>11.9%</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2,050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1,985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CFAC</w:t>
            </w:r>
          </w:p>
        </w:tc>
        <w:tc>
          <w:tcPr>
            <w:tcW w:type="dxa" w:w="1728"/>
            <w:shd w:fill="FCE4D6" w:val="clear"/>
          </w:tcPr>
          <w:p>
            <w:r>
              <w:rPr>
                <w:sz w:val="17"/>
              </w:rPr>
              <w:t>CFAC - CFAO MOTORS CI</w:t>
            </w:r>
          </w:p>
        </w:tc>
        <w:tc>
          <w:tcPr>
            <w:tcW w:type="dxa" w:w="1728"/>
            <w:shd w:fill="FCE4D6" w:val="clear"/>
          </w:tcPr>
          <w:p>
            <w:r>
              <w:rPr>
                <w:sz w:val="17"/>
              </w:rPr>
              <w:t>1,600</w:t>
            </w:r>
          </w:p>
        </w:tc>
        <w:tc>
          <w:tcPr>
            <w:tcW w:type="dxa" w:w="1728"/>
            <w:shd w:fill="FCE4D6" w:val="clear"/>
          </w:tcPr>
          <w:p>
            <w:r>
              <w:rPr>
                <w:sz w:val="17"/>
              </w:rPr>
              <w:t>78/100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Cours à 0.0% du plus bas 100j (3,390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(85.0 &gt; 70) — risque de correction</w:t>
      </w:r>
    </w:p>
    <w:p>
      <w:pPr>
        <w:pStyle w:val="ListBullet"/>
        <w:spacing w:before="20"/>
        <w:ind w:left="400"/>
      </w:pPr>
      <w:r>
        <w:rPr>
          <w:sz w:val="18"/>
        </w:rPr>
        <w:t>⚠️ Cours à 0.5% du plus haut 100j (42,190 FCFA)</w:t>
      </w:r>
    </w:p>
    <w:p>
      <w:pPr>
        <w:spacing w:before="120"/>
      </w:pPr>
      <w:r>
        <w:rPr>
          <w:b/>
          <w:color w:val="0050A0"/>
          <w:sz w:val="20"/>
        </w:rPr>
        <w:t>STAC — STAC - SETAO COTE D'IVOIRE</w:t>
      </w:r>
    </w:p>
    <w:p>
      <w:pPr>
        <w:pStyle w:val="ListBullet"/>
        <w:spacing w:before="20"/>
        <w:ind w:left="400"/>
      </w:pPr>
      <w:r>
        <w:rPr>
          <w:sz w:val="18"/>
        </w:rPr>
        <w:t>🟢 RSI survente (9.0 &lt; 30) — opportunité potentielle</w:t>
      </w:r>
    </w:p>
    <w:p>
      <w:pPr>
        <w:pStyle w:val="ListBullet"/>
        <w:spacing w:before="20"/>
        <w:ind w:left="400"/>
      </w:pPr>
      <w:r>
        <w:rPr>
          <w:sz w:val="18"/>
        </w:rPr>
        <w:t>⚠️ Cours à 0.0% du plus bas 100j (2,105 FCFA)</w:t>
      </w:r>
    </w:p>
    <w:p>
      <w:pPr>
        <w:spacing w:before="120"/>
      </w:pPr>
      <w:r>
        <w:rPr>
          <w:b/>
          <w:color w:val="0050A0"/>
          <w:sz w:val="20"/>
        </w:rPr>
        <w:t>BNBC — BNBC - BERNABE CI</w:t>
      </w:r>
    </w:p>
    <w:p>
      <w:pPr>
        <w:pStyle w:val="ListBullet"/>
        <w:spacing w:before="20"/>
        <w:ind w:left="400"/>
      </w:pPr>
      <w:r>
        <w:rPr>
          <w:sz w:val="18"/>
        </w:rPr>
        <w:t>🟢 RSI survente (28.7 &lt; 30) — opportunité potentielle</w:t>
      </w:r>
    </w:p>
    <w:p>
      <w:pPr>
        <w:spacing w:before="120"/>
      </w:pPr>
      <w:r>
        <w:rPr>
          <w:b/>
          <w:color w:val="0050A0"/>
          <w:sz w:val="20"/>
        </w:rPr>
        <w:t>BOAB — BANK OF AFRICA BENIN</w:t>
      </w:r>
    </w:p>
    <w:p>
      <w:pPr>
        <w:pStyle w:val="ListBullet"/>
        <w:spacing w:before="20"/>
        <w:ind w:left="400"/>
      </w:pPr>
      <w:r>
        <w:rPr>
          <w:sz w:val="18"/>
        </w:rPr>
        <w:t>🟢 RSI survente (26.3 &lt; 30) — opportunité potentielle</w:t>
      </w:r>
    </w:p>
    <w:p>
      <w:pPr>
        <w:spacing w:before="120"/>
      </w:pPr>
      <w:r>
        <w:rPr>
          <w:b/>
          <w:color w:val="0050A0"/>
          <w:sz w:val="20"/>
        </w:rPr>
        <w:t>BOABF — BANK OF AFRICA BURKINA FASO</w:t>
      </w:r>
    </w:p>
    <w:p>
      <w:pPr>
        <w:pStyle w:val="ListBullet"/>
        <w:spacing w:before="20"/>
        <w:ind w:left="400"/>
      </w:pPr>
      <w:r>
        <w:rPr>
          <w:sz w:val="18"/>
        </w:rPr>
        <w:t>🟢 RSI survente (8.0 &lt; 30) — opportunité potentielle</w:t>
      </w:r>
    </w:p>
    <w:p>
      <w:pPr>
        <w:spacing w:before="120"/>
      </w:pPr>
      <w:r>
        <w:rPr>
          <w:b/>
          <w:color w:val="0050A0"/>
          <w:sz w:val="20"/>
        </w:rPr>
        <w:t>BOAC — BANK OF AFRICA COTE D'IVOIRE</w:t>
      </w:r>
    </w:p>
    <w:p>
      <w:pPr>
        <w:pStyle w:val="ListBullet"/>
        <w:spacing w:before="20"/>
        <w:ind w:left="400"/>
      </w:pPr>
      <w:r>
        <w:rPr>
          <w:sz w:val="18"/>
        </w:rPr>
        <w:t>🟢 RSI survente (1.1 &lt; 30) — opportunité potentielle</w:t>
      </w:r>
    </w:p>
    <w:p>
      <w:pPr>
        <w:spacing w:before="120"/>
      </w:pPr>
      <w:r>
        <w:rPr>
          <w:b/>
          <w:color w:val="0050A0"/>
          <w:sz w:val="20"/>
        </w:rPr>
        <w:t>NEIC — NEIC - NEI-CEDA CI</w:t>
      </w:r>
    </w:p>
    <w:p>
      <w:pPr>
        <w:pStyle w:val="ListBullet"/>
        <w:spacing w:before="20"/>
        <w:ind w:left="400"/>
      </w:pPr>
      <w:r>
        <w:rPr>
          <w:sz w:val="18"/>
        </w:rPr>
        <w:t>🟢 RSI survente (25.2 &lt; 30) — opportunité potentielle</w:t>
      </w:r>
    </w:p>
    <w:p>
      <w:pPr>
        <w:spacing w:before="120"/>
      </w:pPr>
      <w:r>
        <w:rPr>
          <w:b/>
          <w:color w:val="0050A0"/>
          <w:sz w:val="20"/>
        </w:rPr>
        <w:t>ONTBF — ONTBF - ONATEL BURKINA FASO</w:t>
      </w:r>
    </w:p>
    <w:p>
      <w:pPr>
        <w:pStyle w:val="ListBullet"/>
        <w:spacing w:before="20"/>
        <w:ind w:left="400"/>
      </w:pPr>
      <w:r>
        <w:rPr>
          <w:sz w:val="18"/>
        </w:rPr>
        <w:t>⚠️ Cours à 2.3% du plus haut 100j (3,070 FCFA)</w:t>
      </w:r>
    </w:p>
    <w:p>
      <w:pPr>
        <w:spacing w:before="120"/>
      </w:pPr>
      <w:r>
        <w:rPr>
          <w:b/>
          <w:color w:val="0050A0"/>
          <w:sz w:val="20"/>
        </w:rPr>
        <w:t>PALC — PALC - PALM COTE D'IVOIRE</w:t>
      </w:r>
    </w:p>
    <w:p>
      <w:pPr>
        <w:pStyle w:val="ListBullet"/>
        <w:spacing w:before="20"/>
        <w:ind w:left="400"/>
      </w:pPr>
      <w:r>
        <w:rPr>
          <w:sz w:val="18"/>
        </w:rPr>
        <w:t>🟢 RSI survente (25.8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survente (23.9 &lt; 30) — opportunité potentielle</w:t>
      </w:r>
    </w:p>
    <w:p>
      <w:pPr>
        <w:spacing w:before="120"/>
      </w:pPr>
      <w:r>
        <w:rPr>
          <w:b/>
          <w:color w:val="0050A0"/>
          <w:sz w:val="20"/>
        </w:rPr>
        <w:t>SHEC — SHEC - VIVO ENERGY COTE D'IVOIRE</w:t>
      </w:r>
    </w:p>
    <w:p>
      <w:pPr>
        <w:pStyle w:val="ListBullet"/>
        <w:spacing w:before="20"/>
        <w:ind w:left="400"/>
      </w:pPr>
      <w:r>
        <w:rPr>
          <w:sz w:val="18"/>
        </w:rPr>
        <w:t>🔴 RSI surachat (73.6 &gt; 70) — risque de correction</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(28.7 &lt; 30) — opportunité potentielle</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survente (24.9 &lt; 30) — opportunité potentielle</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survente (28.4 &lt; 30) — opportunité potentielle</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survente (26.9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25 société(s) (53%)</w:t>
            </w:r>
          </w:p>
        </w:tc>
        <w:tc>
          <w:tcPr>
            <w:tcW w:type="dxa" w:w="1644"/>
            <w:shd w:fill="FFEB9C" w:val="clear"/>
          </w:tcPr>
          <w:p>
            <w:r>
              <w:rPr>
                <w:b/>
                <w:color w:val="825A00"/>
                <w:sz w:val="19"/>
              </w:rPr>
              <w:t>22 société(s) (47%)</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20.3/100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20.3/100).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28.3/100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27.8/100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CBIBF (28.3/100 — Moyen) : </w:t>
      </w:r>
      <w:r>
        <w:rPr>
          <w:sz w:val="17"/>
        </w:rPr>
        <w:t>Volatilité=Élevée | Bêta=Neutre  | Liquidité=Bonne | Divergence signaux=taux divergence=20% (Mixte ⚠️) | Stabilité=Stable</w:t>
      </w:r>
    </w:p>
    <w:p>
      <w:pPr>
        <w:pStyle w:val="ListBullet"/>
      </w:pPr>
      <w:r>
        <w:rPr>
          <w:b/>
          <w:color w:val="B40000"/>
          <w:sz w:val="18"/>
        </w:rPr>
        <w:t xml:space="preserve">#5 CIEC (27.8/100 — Moyen) : </w:t>
      </w:r>
      <w:r>
        <w:rPr>
          <w:sz w:val="17"/>
        </w:rPr>
        <w:t>Volatilité=Élevée | Bêta=Défensif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-1.28%  |  Médiane : -1.22%</w:t>
            </w:r>
          </w:p>
        </w:tc>
      </w:tr>
      <w:tr>
        <w:tc>
          <w:tcPr>
            <w:tcW w:type="dxa" w:w="2835"/>
            <w:shd w:fill="DEEAF1" w:val="clear"/>
          </w:tcPr>
          <w:p>
            <w:r>
              <w:rPr>
                <w:b/>
                <w:sz w:val="18"/>
              </w:rPr>
              <w:t>Répartition</w:t>
            </w:r>
          </w:p>
        </w:tc>
        <w:tc>
          <w:tcPr>
            <w:tcW w:type="dxa" w:w="7370"/>
          </w:tcPr>
          <w:p>
            <w:r>
              <w:rPr>
                <w:b/>
                <w:sz w:val="18"/>
              </w:rPr>
              <w:t>📈 16 sociétés en hausse (&gt;+1%)   📉 25 en baisse (&lt;-1%)   ➡️ 6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Légère tendance baissière avec signal mixte : 25 sociétés en baisse vs 16 en hausse. Variation moyenne : -1.28%.</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21,500 FCFA</w:t>
            </w:r>
          </w:p>
        </w:tc>
        <w:tc>
          <w:tcPr>
            <w:tcW w:type="dxa" w:w="1417"/>
            <w:shd w:fill="FFFFFF" w:val="clear"/>
          </w:tcPr>
          <w:p>
            <w:r>
              <w:rPr>
                <w:sz w:val="16"/>
              </w:rPr>
              <w:t>24,390 FCFA</w:t>
            </w:r>
          </w:p>
        </w:tc>
        <w:tc>
          <w:tcPr>
            <w:tcW w:type="dxa" w:w="1134"/>
            <w:shd w:fill="C6EFCE" w:val="clear"/>
          </w:tcPr>
          <w:p>
            <w:r>
              <w:rPr>
                <w:b/>
                <w:color w:val="007800"/>
                <w:sz w:val="16"/>
              </w:rPr>
              <w:t>+13.44%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3,085 FCFA</w:t>
            </w:r>
          </w:p>
        </w:tc>
        <w:tc>
          <w:tcPr>
            <w:tcW w:type="dxa" w:w="1417"/>
            <w:shd w:fill="FFFFFF" w:val="clear"/>
          </w:tcPr>
          <w:p>
            <w:r>
              <w:rPr>
                <w:sz w:val="16"/>
              </w:rPr>
              <w:t>3,421 FCFA</w:t>
            </w:r>
          </w:p>
        </w:tc>
        <w:tc>
          <w:tcPr>
            <w:tcW w:type="dxa" w:w="1134"/>
            <w:shd w:fill="C6EFCE" w:val="clear"/>
          </w:tcPr>
          <w:p>
            <w:r>
              <w:rPr>
                <w:b/>
                <w:color w:val="007800"/>
                <w:sz w:val="16"/>
              </w:rPr>
              <w:t>+10.90%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12,485 FCFA</w:t>
            </w:r>
          </w:p>
        </w:tc>
        <w:tc>
          <w:tcPr>
            <w:tcW w:type="dxa" w:w="1417"/>
            <w:shd w:fill="FFFFFF" w:val="clear"/>
          </w:tcPr>
          <w:p>
            <w:r>
              <w:rPr>
                <w:sz w:val="16"/>
              </w:rPr>
              <w:t>13,744 FCFA</w:t>
            </w:r>
          </w:p>
        </w:tc>
        <w:tc>
          <w:tcPr>
            <w:tcW w:type="dxa" w:w="1134"/>
            <w:shd w:fill="C6EFCE" w:val="clear"/>
          </w:tcPr>
          <w:p>
            <w:r>
              <w:rPr>
                <w:b/>
                <w:color w:val="007800"/>
                <w:sz w:val="16"/>
              </w:rPr>
              <w:t>+10.08%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38,000 FCFA</w:t>
            </w:r>
          </w:p>
        </w:tc>
        <w:tc>
          <w:tcPr>
            <w:tcW w:type="dxa" w:w="1417"/>
            <w:shd w:fill="FFFFFF" w:val="clear"/>
          </w:tcPr>
          <w:p>
            <w:r>
              <w:rPr>
                <w:sz w:val="16"/>
              </w:rPr>
              <w:t>41,454 FCFA</w:t>
            </w:r>
          </w:p>
        </w:tc>
        <w:tc>
          <w:tcPr>
            <w:tcW w:type="dxa" w:w="1134"/>
            <w:shd w:fill="C6EFCE" w:val="clear"/>
          </w:tcPr>
          <w:p>
            <w:r>
              <w:rPr>
                <w:b/>
                <w:color w:val="007800"/>
                <w:sz w:val="16"/>
              </w:rPr>
              <w:t>+9.09%</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6,210 FCFA</w:t>
            </w:r>
          </w:p>
        </w:tc>
        <w:tc>
          <w:tcPr>
            <w:tcW w:type="dxa" w:w="1417"/>
            <w:shd w:fill="FFFFFF" w:val="clear"/>
          </w:tcPr>
          <w:p>
            <w:r>
              <w:rPr>
                <w:sz w:val="16"/>
              </w:rPr>
              <w:t>6,709 FCFA</w:t>
            </w:r>
          </w:p>
        </w:tc>
        <w:tc>
          <w:tcPr>
            <w:tcW w:type="dxa" w:w="1134"/>
            <w:shd w:fill="C6EFCE" w:val="clear"/>
          </w:tcPr>
          <w:p>
            <w:r>
              <w:rPr>
                <w:b/>
                <w:color w:val="007800"/>
                <w:sz w:val="16"/>
              </w:rPr>
              <w:t>+8.04%</w:t>
            </w:r>
          </w:p>
        </w:tc>
        <w:tc>
          <w:tcPr>
            <w:tcW w:type="dxa" w:w="1020"/>
            <w:shd w:fill="FFC7CE" w:val="clear"/>
          </w:tcPr>
          <w:p>
            <w:r>
              <w:rPr>
                <w:sz w:val="16"/>
              </w:rPr>
              <w:t>Faible</w:t>
            </w:r>
          </w:p>
        </w:tc>
      </w:tr>
    </w:tbl>
    <w:p/>
    <w:p>
      <w:pPr>
        <w:pStyle w:val="ListBullet"/>
      </w:pPr>
      <w:r>
        <w:rPr>
          <w:b/>
          <w:color w:val="006400"/>
          <w:sz w:val="18"/>
        </w:rPr>
        <w:t xml:space="preserve">#1 STBC </w:t>
      </w:r>
      <w:r>
        <w:rPr>
          <w:sz w:val="17"/>
        </w:rPr>
        <w:t>(STBC - SITAB COTE D'IVOIRE) — hausse significative (+13.4%) — potentiel de revalorisation notable. Trajectoire : 📈 Hausse continue. Cours actuel : 21,500 FCFA → prédit J+10 : 24,390 FCFA. ⚠️ Confiance limitée — volatilité élevée ou données insuffisantes. Résultat indicatif uniquement.</w:t>
      </w:r>
    </w:p>
    <w:p>
      <w:pPr>
        <w:pStyle w:val="ListBullet"/>
      </w:pPr>
      <w:r>
        <w:rPr>
          <w:b/>
          <w:color w:val="006400"/>
          <w:sz w:val="18"/>
        </w:rPr>
        <w:t xml:space="preserve">#2 SCRC </w:t>
      </w:r>
      <w:r>
        <w:rPr>
          <w:sz w:val="17"/>
        </w:rPr>
        <w:t>(SCRC - SUCRIVOIRE) — hausse significative (+10.9%) — potentiel de revalorisation notable. Trajectoire : 📈 Hausse continue. Cours actuel : 3,085 FCFA → prédit J+10 : 3,421 FCFA. ⚠️ Confiance limitée — volatilité élevée ou données insuffisantes. Résultat indicatif uniquement.</w:t>
      </w:r>
    </w:p>
    <w:p>
      <w:pPr>
        <w:pStyle w:val="ListBullet"/>
      </w:pPr>
      <w:r>
        <w:rPr>
          <w:b/>
          <w:color w:val="006400"/>
          <w:sz w:val="18"/>
        </w:rPr>
        <w:t xml:space="preserve">#3 SDCC </w:t>
      </w:r>
      <w:r>
        <w:rPr>
          <w:sz w:val="17"/>
        </w:rPr>
        <w:t>(SDCC - Société de Distribution d'Eau de ) — hausse significative (+10.1%) — potentiel de revalorisation notable. Trajectoire : 📈 Hausse continue. Cours actuel : 12,485 FCFA → prédit J+10 : 13,744 FCFA. ⚠️ Confiance limitée — volatilité élevée ou données insuffisantes. Résultat indicatif uniquement.</w:t>
      </w:r>
    </w:p>
    <w:p>
      <w:pPr>
        <w:pStyle w:val="ListBullet"/>
      </w:pPr>
      <w:r>
        <w:rPr>
          <w:b/>
          <w:color w:val="006400"/>
          <w:sz w:val="18"/>
        </w:rPr>
        <w:t xml:space="preserve">#4 SLBC </w:t>
      </w:r>
      <w:r>
        <w:rPr>
          <w:sz w:val="17"/>
        </w:rPr>
        <w:t>(SLBC - SOLIBRA COTE D'IVOIRE) — hausse modérée (+9.1%) — signal raisonnable et crédible. Trajectoire : 📈 Hausse continue. Cours actuel : 38,000 FCFA → prédit J+10 : 41,454 FCFA. Confiance partielle — les premiers jours sont fiables, les jours lointains moins précis.</w:t>
      </w:r>
    </w:p>
    <w:p>
      <w:pPr>
        <w:pStyle w:val="ListBullet"/>
      </w:pPr>
      <w:r>
        <w:rPr>
          <w:b/>
          <w:color w:val="006400"/>
          <w:sz w:val="18"/>
        </w:rPr>
        <w:t xml:space="preserve">#5 BOAM </w:t>
      </w:r>
      <w:r>
        <w:rPr>
          <w:sz w:val="17"/>
        </w:rPr>
        <w:t>(BANK OF AFRICA MALI) — hausse modérée (+8.0%) — signal raisonnable et crédible. Trajectoire : 📈 Hausse continue. Cours actuel : 6,210 FCFA → prédit J+10 : 6,709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2,890 FCFA</w:t>
            </w:r>
          </w:p>
        </w:tc>
        <w:tc>
          <w:tcPr>
            <w:tcW w:type="dxa" w:w="1417"/>
            <w:shd w:fill="FFFFFF" w:val="clear"/>
          </w:tcPr>
          <w:p>
            <w:r>
              <w:rPr>
                <w:sz w:val="16"/>
              </w:rPr>
              <w:t>2,313 FCFA</w:t>
            </w:r>
          </w:p>
        </w:tc>
        <w:tc>
          <w:tcPr>
            <w:tcW w:type="dxa" w:w="1134"/>
            <w:shd w:fill="FFC7CE" w:val="clear"/>
          </w:tcPr>
          <w:p>
            <w:r>
              <w:rPr>
                <w:b/>
                <w:color w:val="B40000"/>
                <w:sz w:val="16"/>
              </w:rPr>
              <w:t>-19.96%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33,000 FCFA</w:t>
            </w:r>
          </w:p>
        </w:tc>
        <w:tc>
          <w:tcPr>
            <w:tcW w:type="dxa" w:w="1417"/>
            <w:shd w:fill="FFFFFF" w:val="clear"/>
          </w:tcPr>
          <w:p>
            <w:r>
              <w:rPr>
                <w:sz w:val="16"/>
              </w:rPr>
              <w:t>28,525 FCFA</w:t>
            </w:r>
          </w:p>
        </w:tc>
        <w:tc>
          <w:tcPr>
            <w:tcW w:type="dxa" w:w="1134"/>
            <w:shd w:fill="FFC7CE" w:val="clear"/>
          </w:tcPr>
          <w:p>
            <w:r>
              <w:rPr>
                <w:b/>
                <w:color w:val="B40000"/>
                <w:sz w:val="16"/>
              </w:rPr>
              <w:t>-13.56%</w:t>
            </w:r>
          </w:p>
        </w:tc>
        <w:tc>
          <w:tcPr>
            <w:tcW w:type="dxa" w:w="1020"/>
            <w:shd w:fill="FFEB9C" w:val="clear"/>
          </w:tcPr>
          <w:p>
            <w:r>
              <w:rPr>
                <w:sz w:val="16"/>
              </w:rPr>
              <w:t>Moyenne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6,720 FCFA</w:t>
            </w:r>
          </w:p>
        </w:tc>
        <w:tc>
          <w:tcPr>
            <w:tcW w:type="dxa" w:w="1417"/>
            <w:shd w:fill="FFFFFF" w:val="clear"/>
          </w:tcPr>
          <w:p>
            <w:r>
              <w:rPr>
                <w:sz w:val="16"/>
              </w:rPr>
              <w:t>5,951 FCFA</w:t>
            </w:r>
          </w:p>
        </w:tc>
        <w:tc>
          <w:tcPr>
            <w:tcW w:type="dxa" w:w="1134"/>
            <w:shd w:fill="FFC7CE" w:val="clear"/>
          </w:tcPr>
          <w:p>
            <w:r>
              <w:rPr>
                <w:b/>
                <w:color w:val="B40000"/>
                <w:sz w:val="16"/>
              </w:rPr>
              <w:t>-11.44%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3,950 FCFA</w:t>
            </w:r>
          </w:p>
        </w:tc>
        <w:tc>
          <w:tcPr>
            <w:tcW w:type="dxa" w:w="1417"/>
            <w:shd w:fill="FFFFFF" w:val="clear"/>
          </w:tcPr>
          <w:p>
            <w:r>
              <w:rPr>
                <w:sz w:val="16"/>
              </w:rPr>
              <w:t>3,538 FCFA</w:t>
            </w:r>
          </w:p>
        </w:tc>
        <w:tc>
          <w:tcPr>
            <w:tcW w:type="dxa" w:w="1134"/>
            <w:shd w:fill="FFC7CE" w:val="clear"/>
          </w:tcPr>
          <w:p>
            <w:r>
              <w:rPr>
                <w:b/>
                <w:color w:val="B40000"/>
                <w:sz w:val="16"/>
              </w:rPr>
              <w:t>-10.43%</w:t>
            </w:r>
          </w:p>
        </w:tc>
        <w:tc>
          <w:tcPr>
            <w:tcW w:type="dxa" w:w="1020"/>
            <w:shd w:fill="FFC7CE" w:val="clear"/>
          </w:tcPr>
          <w:p>
            <w:r>
              <w:rPr>
                <w:sz w:val="16"/>
              </w:rPr>
              <w:t>Faible</w:t>
            </w:r>
          </w:p>
        </w:tc>
      </w:tr>
    </w:tbl>
    <w:p/>
    <w:p>
      <w:pPr>
        <w:pStyle w:val="ListBullet"/>
      </w:pPr>
      <w:r>
        <w:rPr>
          <w:b/>
          <w:color w:val="B40000"/>
          <w:sz w:val="18"/>
        </w:rPr>
        <w:t xml:space="preserve">#1 SHEC </w:t>
      </w:r>
      <w:r>
        <w:rPr>
          <w:sz w:val="17"/>
        </w:rPr>
        <w:t>(SHEC - VIVO ENERGY COTE D'IVOIRE) — correction importante (-20.0%) — signal de dégradation significative. Trajectoire : 📉 Baisse continue. Cours actuel : 2,890 FCFA → prédit J+10 : 2,313 FCFA. ⚠️ Confiance limitée — volatilité élevée. Ne pas agir sur ce seul signal.</w:t>
      </w:r>
    </w:p>
    <w:p>
      <w:pPr>
        <w:pStyle w:val="ListBullet"/>
      </w:pPr>
      <w:r>
        <w:rPr>
          <w:b/>
          <w:color w:val="B40000"/>
          <w:sz w:val="18"/>
        </w:rPr>
        <w:t xml:space="preserve">#2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(-13.6%) — repli technique attendu. Trajectoire : 📉 Baisse continue. Cours actuel : 33,000 FCFA → prédit J+10 : 28,525 FCFA. Confiance partielle — surveiller l'évolution réelle des premiers jours.</w:t>
      </w:r>
    </w:p>
    <w:p>
      <w:pPr>
        <w:pStyle w:val="ListBullet"/>
      </w:pPr>
      <w:r>
        <w:rPr>
          <w:b/>
          <w:color w:val="B40000"/>
          <w:sz w:val="18"/>
        </w:rPr>
        <w:t xml:space="preserve">#4 CIEC </w:t>
      </w:r>
      <w:r>
        <w:rPr>
          <w:sz w:val="17"/>
        </w:rPr>
        <w:t>(CIEC - Compagnie Ivoirienne d'Electricit) — baisse modérée (-11.4%) — repli technique attendu. Trajectoire : 📉 Baisse continue. Cours actuel : 6,720 FCFA → prédit J+10 : 5,951 FCFA. ⚠️ Confiance limitée — volatilité élevée. Ne pas agir sur ce seul signal.</w:t>
      </w:r>
    </w:p>
    <w:p>
      <w:pPr>
        <w:pStyle w:val="ListBullet"/>
      </w:pPr>
      <w:r>
        <w:rPr>
          <w:b/>
          <w:color w:val="B40000"/>
          <w:sz w:val="18"/>
        </w:rPr>
        <w:t xml:space="preserve">#5 ABJC </w:t>
      </w:r>
      <w:r>
        <w:rPr>
          <w:sz w:val="17"/>
        </w:rPr>
        <w:t>(ABJC - SERVAIR ABIDJAN CI) — baisse modérée (-10.4%) — repli technique attendu. Trajectoire : 📉 Baisse continue. Cours actuel : 3,950 FCFA → prédit J+10 : 3,538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21,500</w:t>
            </w:r>
          </w:p>
        </w:tc>
        <w:tc>
          <w:tcPr>
            <w:tcW w:type="dxa" w:w="1417"/>
            <w:shd w:fill="FFFFFF" w:val="clear"/>
          </w:tcPr>
          <w:p>
            <w:r>
              <w:rPr>
                <w:sz w:val="16"/>
              </w:rPr>
              <w:t>24,390</w:t>
            </w:r>
          </w:p>
        </w:tc>
        <w:tc>
          <w:tcPr>
            <w:tcW w:type="dxa" w:w="1134"/>
            <w:shd w:fill="C6EFCE" w:val="clear"/>
          </w:tcPr>
          <w:p>
            <w:r>
              <w:rPr>
                <w:b/>
                <w:color w:val="007800"/>
                <w:sz w:val="16"/>
              </w:rPr>
              <w:t>+13.44%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3,085</w:t>
            </w:r>
          </w:p>
        </w:tc>
        <w:tc>
          <w:tcPr>
            <w:tcW w:type="dxa" w:w="1417"/>
            <w:shd w:fill="FFFFFF" w:val="clear"/>
          </w:tcPr>
          <w:p>
            <w:r>
              <w:rPr>
                <w:sz w:val="16"/>
              </w:rPr>
              <w:t>3,421</w:t>
            </w:r>
          </w:p>
        </w:tc>
        <w:tc>
          <w:tcPr>
            <w:tcW w:type="dxa" w:w="1134"/>
            <w:shd w:fill="C6EFCE" w:val="clear"/>
          </w:tcPr>
          <w:p>
            <w:r>
              <w:rPr>
                <w:b/>
                <w:color w:val="007800"/>
                <w:sz w:val="16"/>
              </w:rPr>
              <w:t>+10.90%</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12,485</w:t>
            </w:r>
          </w:p>
        </w:tc>
        <w:tc>
          <w:tcPr>
            <w:tcW w:type="dxa" w:w="1417"/>
            <w:shd w:fill="FFFFFF" w:val="clear"/>
          </w:tcPr>
          <w:p>
            <w:r>
              <w:rPr>
                <w:sz w:val="16"/>
              </w:rPr>
              <w:t>13,744</w:t>
            </w:r>
          </w:p>
        </w:tc>
        <w:tc>
          <w:tcPr>
            <w:tcW w:type="dxa" w:w="1134"/>
            <w:shd w:fill="C6EFCE" w:val="clear"/>
          </w:tcPr>
          <w:p>
            <w:r>
              <w:rPr>
                <w:b/>
                <w:color w:val="007800"/>
                <w:sz w:val="16"/>
              </w:rPr>
              <w:t>+10.08%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41,454</w:t>
            </w:r>
          </w:p>
        </w:tc>
        <w:tc>
          <w:tcPr>
            <w:tcW w:type="dxa" w:w="1134"/>
            <w:shd w:fill="C6EFCE" w:val="clear"/>
          </w:tcPr>
          <w:p>
            <w:r>
              <w:rPr>
                <w:b/>
                <w:color w:val="007800"/>
                <w:sz w:val="16"/>
              </w:rPr>
              <w:t>+9.09%</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6,210</w:t>
            </w:r>
          </w:p>
        </w:tc>
        <w:tc>
          <w:tcPr>
            <w:tcW w:type="dxa" w:w="1417"/>
            <w:shd w:fill="FFFFFF" w:val="clear"/>
          </w:tcPr>
          <w:p>
            <w:r>
              <w:rPr>
                <w:sz w:val="16"/>
              </w:rPr>
              <w:t>6,709</w:t>
            </w:r>
          </w:p>
        </w:tc>
        <w:tc>
          <w:tcPr>
            <w:tcW w:type="dxa" w:w="1134"/>
            <w:shd w:fill="C6EFCE" w:val="clear"/>
          </w:tcPr>
          <w:p>
            <w:r>
              <w:rPr>
                <w:b/>
                <w:color w:val="007800"/>
                <w:sz w:val="16"/>
              </w:rPr>
              <w:t>+8.04%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4,610</w:t>
            </w:r>
          </w:p>
        </w:tc>
        <w:tc>
          <w:tcPr>
            <w:tcW w:type="dxa" w:w="1417"/>
            <w:shd w:fill="FFFFFF" w:val="clear"/>
          </w:tcPr>
          <w:p>
            <w:r>
              <w:rPr>
                <w:sz w:val="16"/>
              </w:rPr>
              <w:t>4,938</w:t>
            </w:r>
          </w:p>
        </w:tc>
        <w:tc>
          <w:tcPr>
            <w:tcW w:type="dxa" w:w="1134"/>
            <w:shd w:fill="C6EFCE" w:val="clear"/>
          </w:tcPr>
          <w:p>
            <w:r>
              <w:rPr>
                <w:b/>
                <w:color w:val="007800"/>
                <w:sz w:val="16"/>
              </w:rPr>
              <w:t>+7.11%</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4,194</w:t>
            </w:r>
          </w:p>
        </w:tc>
        <w:tc>
          <w:tcPr>
            <w:tcW w:type="dxa" w:w="1134"/>
            <w:shd w:fill="C6EFCE" w:val="clear"/>
          </w:tcPr>
          <w:p>
            <w:r>
              <w:rPr>
                <w:b/>
                <w:color w:val="007800"/>
                <w:sz w:val="16"/>
              </w:rPr>
              <w:t>+4.84%</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7,800</w:t>
            </w:r>
          </w:p>
        </w:tc>
        <w:tc>
          <w:tcPr>
            <w:tcW w:type="dxa" w:w="1417"/>
            <w:shd w:fill="FFFFFF" w:val="clear"/>
          </w:tcPr>
          <w:p>
            <w:r>
              <w:rPr>
                <w:sz w:val="16"/>
              </w:rPr>
              <w:t>8,129</w:t>
            </w:r>
          </w:p>
        </w:tc>
        <w:tc>
          <w:tcPr>
            <w:tcW w:type="dxa" w:w="1134"/>
            <w:shd w:fill="C6EFCE" w:val="clear"/>
          </w:tcPr>
          <w:p>
            <w:r>
              <w:rPr>
                <w:b/>
                <w:color w:val="007800"/>
                <w:sz w:val="16"/>
              </w:rPr>
              <w:t>+4.22%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1,600</w:t>
            </w:r>
          </w:p>
        </w:tc>
        <w:tc>
          <w:tcPr>
            <w:tcW w:type="dxa" w:w="1417"/>
            <w:shd w:fill="FFFFFF" w:val="clear"/>
          </w:tcPr>
          <w:p>
            <w:r>
              <w:rPr>
                <w:sz w:val="16"/>
              </w:rPr>
              <w:t>1,666</w:t>
            </w:r>
          </w:p>
        </w:tc>
        <w:tc>
          <w:tcPr>
            <w:tcW w:type="dxa" w:w="1134"/>
            <w:shd w:fill="C6EFCE" w:val="clear"/>
          </w:tcPr>
          <w:p>
            <w:r>
              <w:rPr>
                <w:b/>
                <w:color w:val="007800"/>
                <w:sz w:val="16"/>
              </w:rPr>
              <w:t>+4.09%</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2,800</w:t>
            </w:r>
          </w:p>
        </w:tc>
        <w:tc>
          <w:tcPr>
            <w:tcW w:type="dxa" w:w="1417"/>
            <w:shd w:fill="FFFFFF" w:val="clear"/>
          </w:tcPr>
          <w:p>
            <w:r>
              <w:rPr>
                <w:sz w:val="16"/>
              </w:rPr>
              <w:t>2,910</w:t>
            </w:r>
          </w:p>
        </w:tc>
        <w:tc>
          <w:tcPr>
            <w:tcW w:type="dxa" w:w="1134"/>
            <w:shd w:fill="C6EFCE" w:val="clear"/>
          </w:tcPr>
          <w:p>
            <w:r>
              <w:rPr>
                <w:b/>
                <w:color w:val="007800"/>
                <w:sz w:val="16"/>
              </w:rPr>
              <w:t>+3.95%</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21,000</w:t>
            </w:r>
          </w:p>
        </w:tc>
        <w:tc>
          <w:tcPr>
            <w:tcW w:type="dxa" w:w="1417"/>
            <w:shd w:fill="FFFFFF" w:val="clear"/>
          </w:tcPr>
          <w:p>
            <w:r>
              <w:rPr>
                <w:sz w:val="16"/>
              </w:rPr>
              <w:t>21,710</w:t>
            </w:r>
          </w:p>
        </w:tc>
        <w:tc>
          <w:tcPr>
            <w:tcW w:type="dxa" w:w="1134"/>
            <w:shd w:fill="C6EFCE" w:val="clear"/>
          </w:tcPr>
          <w:p>
            <w:r>
              <w:rPr>
                <w:b/>
                <w:color w:val="007800"/>
                <w:sz w:val="16"/>
              </w:rPr>
              <w:t>+3.38%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15,800</w:t>
            </w:r>
          </w:p>
        </w:tc>
        <w:tc>
          <w:tcPr>
            <w:tcW w:type="dxa" w:w="1417"/>
            <w:shd w:fill="FFFFFF" w:val="clear"/>
          </w:tcPr>
          <w:p>
            <w:r>
              <w:rPr>
                <w:sz w:val="16"/>
              </w:rPr>
              <w:t>16,281</w:t>
            </w:r>
          </w:p>
        </w:tc>
        <w:tc>
          <w:tcPr>
            <w:tcW w:type="dxa" w:w="1134"/>
            <w:shd w:fill="C6EFCE" w:val="clear"/>
          </w:tcPr>
          <w:p>
            <w:r>
              <w:rPr>
                <w:b/>
                <w:color w:val="007800"/>
                <w:sz w:val="16"/>
              </w:rPr>
              <w:t>+3.05%</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3,130</w:t>
            </w:r>
          </w:p>
        </w:tc>
        <w:tc>
          <w:tcPr>
            <w:tcW w:type="dxa" w:w="1417"/>
            <w:shd w:fill="FFFFFF" w:val="clear"/>
          </w:tcPr>
          <w:p>
            <w:r>
              <w:rPr>
                <w:sz w:val="16"/>
              </w:rPr>
              <w:t>3,218</w:t>
            </w:r>
          </w:p>
        </w:tc>
        <w:tc>
          <w:tcPr>
            <w:tcW w:type="dxa" w:w="1134"/>
            <w:shd w:fill="C6EFCE" w:val="clear"/>
          </w:tcPr>
          <w:p>
            <w:r>
              <w:rPr>
                <w:b/>
                <w:color w:val="007800"/>
                <w:sz w:val="16"/>
              </w:rPr>
              <w:t>+2.81%</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16,755</w:t>
            </w:r>
          </w:p>
        </w:tc>
        <w:tc>
          <w:tcPr>
            <w:tcW w:type="dxa" w:w="1134"/>
            <w:shd w:fill="C6EFCE" w:val="clear"/>
          </w:tcPr>
          <w:p>
            <w:r>
              <w:rPr>
                <w:b/>
                <w:color w:val="007800"/>
                <w:sz w:val="16"/>
              </w:rPr>
              <w:t>+1.54%</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17,000</w:t>
            </w:r>
          </w:p>
        </w:tc>
        <w:tc>
          <w:tcPr>
            <w:tcW w:type="dxa" w:w="1417"/>
            <w:shd w:fill="FFFFFF" w:val="clear"/>
          </w:tcPr>
          <w:p>
            <w:r>
              <w:rPr>
                <w:sz w:val="16"/>
              </w:rPr>
              <w:t>17,255</w:t>
            </w:r>
          </w:p>
        </w:tc>
        <w:tc>
          <w:tcPr>
            <w:tcW w:type="dxa" w:w="1134"/>
            <w:shd w:fill="C6EFCE" w:val="clear"/>
          </w:tcPr>
          <w:p>
            <w:r>
              <w:rPr>
                <w:b/>
                <w:color w:val="007800"/>
                <w:sz w:val="16"/>
              </w:rPr>
              <w:t>+1.50%</w:t>
            </w:r>
          </w:p>
        </w:tc>
        <w:tc>
          <w:tcPr>
            <w:tcW w:type="dxa" w:w="1134"/>
            <w:shd w:fill="FFEB9C" w:val="clear"/>
          </w:tcPr>
          <w:p>
            <w:r>
              <w:rPr>
                <w:sz w:val="16"/>
              </w:rPr>
              <w:t>Moyenne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23,500</w:t>
            </w:r>
          </w:p>
        </w:tc>
        <w:tc>
          <w:tcPr>
            <w:tcW w:type="dxa" w:w="1417"/>
            <w:shd w:fill="FFFFFF" w:val="clear"/>
          </w:tcPr>
          <w:p>
            <w:r>
              <w:rPr>
                <w:sz w:val="16"/>
              </w:rPr>
              <w:t>23,851</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5,200</w:t>
            </w:r>
          </w:p>
        </w:tc>
        <w:tc>
          <w:tcPr>
            <w:tcW w:type="dxa" w:w="1417"/>
            <w:shd w:fill="FFFFFF" w:val="clear"/>
          </w:tcPr>
          <w:p>
            <w:r>
              <w:rPr>
                <w:sz w:val="16"/>
              </w:rPr>
              <w:t>5,243</w:t>
            </w:r>
          </w:p>
        </w:tc>
        <w:tc>
          <w:tcPr>
            <w:tcW w:type="dxa" w:w="1134"/>
            <w:shd w:fill="FFEB9C" w:val="clear"/>
          </w:tcPr>
          <w:p>
            <w:r>
              <w:rPr>
                <w:b/>
                <w:color w:val="646400"/>
                <w:sz w:val="16"/>
              </w:rPr>
              <w:t>+0.83%</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3,850</w:t>
            </w:r>
          </w:p>
        </w:tc>
        <w:tc>
          <w:tcPr>
            <w:tcW w:type="dxa" w:w="1417"/>
            <w:shd w:fill="FFFFFF" w:val="clear"/>
          </w:tcPr>
          <w:p>
            <w:r>
              <w:rPr>
                <w:sz w:val="16"/>
              </w:rPr>
              <w:t>3,861</w:t>
            </w:r>
          </w:p>
        </w:tc>
        <w:tc>
          <w:tcPr>
            <w:tcW w:type="dxa" w:w="1134"/>
            <w:shd w:fill="FFEB9C" w:val="clear"/>
          </w:tcPr>
          <w:p>
            <w:r>
              <w:rPr>
                <w:b/>
                <w:color w:val="646400"/>
                <w:sz w:val="16"/>
              </w:rPr>
              <w:t>+0.30%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9,500</w:t>
            </w:r>
          </w:p>
        </w:tc>
        <w:tc>
          <w:tcPr>
            <w:tcW w:type="dxa" w:w="1417"/>
            <w:shd w:fill="FFFFFF" w:val="clear"/>
          </w:tcPr>
          <w:p>
            <w:r>
              <w:rPr>
                <w:sz w:val="16"/>
              </w:rPr>
              <w:t>9,460</w:t>
            </w:r>
          </w:p>
        </w:tc>
        <w:tc>
          <w:tcPr>
            <w:tcW w:type="dxa" w:w="1134"/>
            <w:shd w:fill="FFEB9C" w:val="clear"/>
          </w:tcPr>
          <w:p>
            <w:r>
              <w:rPr>
                <w:b/>
                <w:color w:val="646400"/>
                <w:sz w:val="16"/>
              </w:rPr>
              <w:t>-0.43%</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2,030</w:t>
            </w:r>
          </w:p>
        </w:tc>
        <w:tc>
          <w:tcPr>
            <w:tcW w:type="dxa" w:w="1417"/>
            <w:shd w:fill="FFFFFF" w:val="clear"/>
          </w:tcPr>
          <w:p>
            <w:r>
              <w:rPr>
                <w:sz w:val="16"/>
              </w:rPr>
              <w:t>2,019</w:t>
            </w:r>
          </w:p>
        </w:tc>
        <w:tc>
          <w:tcPr>
            <w:tcW w:type="dxa" w:w="1134"/>
            <w:shd w:fill="FFEB9C" w:val="clear"/>
          </w:tcPr>
          <w:p>
            <w:r>
              <w:rPr>
                <w:b/>
                <w:color w:val="646400"/>
                <w:sz w:val="16"/>
              </w:rPr>
              <w:t>-0.53%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51,995</w:t>
            </w:r>
          </w:p>
        </w:tc>
        <w:tc>
          <w:tcPr>
            <w:tcW w:type="dxa" w:w="1417"/>
            <w:shd w:fill="FFFFFF" w:val="clear"/>
          </w:tcPr>
          <w:p>
            <w:r>
              <w:rPr>
                <w:sz w:val="16"/>
              </w:rPr>
              <w:t>51,698</w:t>
            </w:r>
          </w:p>
        </w:tc>
        <w:tc>
          <w:tcPr>
            <w:tcW w:type="dxa" w:w="1134"/>
            <w:shd w:fill="FFEB9C" w:val="clear"/>
          </w:tcPr>
          <w:p>
            <w:r>
              <w:rPr>
                <w:b/>
                <w:color w:val="646400"/>
                <w:sz w:val="16"/>
              </w:rPr>
              <w:t>-0.57%</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7,895</w:t>
            </w:r>
          </w:p>
        </w:tc>
        <w:tc>
          <w:tcPr>
            <w:tcW w:type="dxa" w:w="1417"/>
            <w:shd w:fill="FFFFFF" w:val="clear"/>
          </w:tcPr>
          <w:p>
            <w:r>
              <w:rPr>
                <w:sz w:val="16"/>
              </w:rPr>
              <w:t>7,846</w:t>
            </w:r>
          </w:p>
        </w:tc>
        <w:tc>
          <w:tcPr>
            <w:tcW w:type="dxa" w:w="1134"/>
            <w:shd w:fill="FFEB9C" w:val="clear"/>
          </w:tcPr>
          <w:p>
            <w:r>
              <w:rPr>
                <w:b/>
                <w:color w:val="646400"/>
                <w:sz w:val="16"/>
              </w:rPr>
              <w:t>-0.62%</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7,750</w:t>
            </w:r>
          </w:p>
        </w:tc>
        <w:tc>
          <w:tcPr>
            <w:tcW w:type="dxa" w:w="1417"/>
            <w:shd w:fill="FFFFFF" w:val="clear"/>
          </w:tcPr>
          <w:p>
            <w:r>
              <w:rPr>
                <w:sz w:val="16"/>
              </w:rPr>
              <w:t>7,664</w:t>
            </w:r>
          </w:p>
        </w:tc>
        <w:tc>
          <w:tcPr>
            <w:tcW w:type="dxa" w:w="1134"/>
            <w:shd w:fill="FFC7CE" w:val="clear"/>
          </w:tcPr>
          <w:p>
            <w:r>
              <w:rPr>
                <w:b/>
                <w:color w:val="B40000"/>
                <w:sz w:val="16"/>
              </w:rPr>
              <w:t>-1.11%</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8,350</w:t>
            </w:r>
          </w:p>
        </w:tc>
        <w:tc>
          <w:tcPr>
            <w:tcW w:type="dxa" w:w="1417"/>
            <w:shd w:fill="FFFFFF" w:val="clear"/>
          </w:tcPr>
          <w:p>
            <w:r>
              <w:rPr>
                <w:sz w:val="16"/>
              </w:rPr>
              <w:t>8,248</w:t>
            </w:r>
          </w:p>
        </w:tc>
        <w:tc>
          <w:tcPr>
            <w:tcW w:type="dxa" w:w="1134"/>
            <w:shd w:fill="FFC7CE" w:val="clear"/>
          </w:tcPr>
          <w:p>
            <w:r>
              <w:rPr>
                <w:b/>
                <w:color w:val="B40000"/>
                <w:sz w:val="16"/>
              </w:rPr>
              <w:t>-1.22%</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2,105</w:t>
            </w:r>
          </w:p>
        </w:tc>
        <w:tc>
          <w:tcPr>
            <w:tcW w:type="dxa" w:w="1417"/>
            <w:shd w:fill="FFFFFF" w:val="clear"/>
          </w:tcPr>
          <w:p>
            <w:r>
              <w:rPr>
                <w:sz w:val="16"/>
              </w:rPr>
              <w:t>2,076</w:t>
            </w:r>
          </w:p>
        </w:tc>
        <w:tc>
          <w:tcPr>
            <w:tcW w:type="dxa" w:w="1134"/>
            <w:shd w:fill="FFC7CE" w:val="clear"/>
          </w:tcPr>
          <w:p>
            <w:r>
              <w:rPr>
                <w:b/>
                <w:color w:val="B40000"/>
                <w:sz w:val="16"/>
              </w:rPr>
              <w:t>-1.38%</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4,305</w:t>
            </w:r>
          </w:p>
        </w:tc>
        <w:tc>
          <w:tcPr>
            <w:tcW w:type="dxa" w:w="1417"/>
            <w:shd w:fill="FFFFFF" w:val="clear"/>
          </w:tcPr>
          <w:p>
            <w:r>
              <w:rPr>
                <w:sz w:val="16"/>
              </w:rPr>
              <w:t>4,211</w:t>
            </w:r>
          </w:p>
        </w:tc>
        <w:tc>
          <w:tcPr>
            <w:tcW w:type="dxa" w:w="1134"/>
            <w:shd w:fill="FFC7CE" w:val="clear"/>
          </w:tcPr>
          <w:p>
            <w:r>
              <w:rPr>
                <w:b/>
                <w:color w:val="B40000"/>
                <w:sz w:val="16"/>
              </w:rPr>
              <w:t>-2.19%</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31,675</w:t>
            </w:r>
          </w:p>
        </w:tc>
        <w:tc>
          <w:tcPr>
            <w:tcW w:type="dxa" w:w="1417"/>
            <w:shd w:fill="FFFFFF" w:val="clear"/>
          </w:tcPr>
          <w:p>
            <w:r>
              <w:rPr>
                <w:sz w:val="16"/>
              </w:rPr>
              <w:t>30,929</w:t>
            </w:r>
          </w:p>
        </w:tc>
        <w:tc>
          <w:tcPr>
            <w:tcW w:type="dxa" w:w="1134"/>
            <w:shd w:fill="FFC7CE" w:val="clear"/>
          </w:tcPr>
          <w:p>
            <w:r>
              <w:rPr>
                <w:b/>
                <w:color w:val="B40000"/>
                <w:sz w:val="16"/>
              </w:rPr>
              <w:t>-2.36%</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37,049</w:t>
            </w:r>
          </w:p>
        </w:tc>
        <w:tc>
          <w:tcPr>
            <w:tcW w:type="dxa" w:w="1134"/>
            <w:shd w:fill="FFC7CE" w:val="clear"/>
          </w:tcPr>
          <w:p>
            <w:r>
              <w:rPr>
                <w:b/>
                <w:color w:val="B40000"/>
                <w:sz w:val="16"/>
              </w:rPr>
              <w:t>-2.50%</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7,995</w:t>
            </w:r>
          </w:p>
        </w:tc>
        <w:tc>
          <w:tcPr>
            <w:tcW w:type="dxa" w:w="1417"/>
            <w:shd w:fill="FFFFFF" w:val="clear"/>
          </w:tcPr>
          <w:p>
            <w:r>
              <w:rPr>
                <w:sz w:val="16"/>
              </w:rPr>
              <w:t>7,763</w:t>
            </w:r>
          </w:p>
        </w:tc>
        <w:tc>
          <w:tcPr>
            <w:tcW w:type="dxa" w:w="1134"/>
            <w:shd w:fill="FFC7CE" w:val="clear"/>
          </w:tcPr>
          <w:p>
            <w:r>
              <w:rPr>
                <w:b/>
                <w:color w:val="B40000"/>
                <w:sz w:val="16"/>
              </w:rPr>
              <w:t>-2.91%</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2,430</w:t>
            </w:r>
          </w:p>
        </w:tc>
        <w:tc>
          <w:tcPr>
            <w:tcW w:type="dxa" w:w="1417"/>
            <w:shd w:fill="FFFFFF" w:val="clear"/>
          </w:tcPr>
          <w:p>
            <w:r>
              <w:rPr>
                <w:sz w:val="16"/>
              </w:rPr>
              <w:t>2,353</w:t>
            </w:r>
          </w:p>
        </w:tc>
        <w:tc>
          <w:tcPr>
            <w:tcW w:type="dxa" w:w="1134"/>
            <w:shd w:fill="FFC7CE" w:val="clear"/>
          </w:tcPr>
          <w:p>
            <w:r>
              <w:rPr>
                <w:b/>
                <w:color w:val="B40000"/>
                <w:sz w:val="16"/>
              </w:rPr>
              <w:t>-3.17%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1,985</w:t>
            </w:r>
          </w:p>
        </w:tc>
        <w:tc>
          <w:tcPr>
            <w:tcW w:type="dxa" w:w="1417"/>
            <w:shd w:fill="FFFFFF" w:val="clear"/>
          </w:tcPr>
          <w:p>
            <w:r>
              <w:rPr>
                <w:sz w:val="16"/>
              </w:rPr>
              <w:t>1,913</w:t>
            </w:r>
          </w:p>
        </w:tc>
        <w:tc>
          <w:tcPr>
            <w:tcW w:type="dxa" w:w="1134"/>
            <w:shd w:fill="FFC7CE" w:val="clear"/>
          </w:tcPr>
          <w:p>
            <w:r>
              <w:rPr>
                <w:b/>
                <w:color w:val="B40000"/>
                <w:sz w:val="16"/>
              </w:rPr>
              <w:t>-3.65%</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-3.66%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2,330</w:t>
            </w:r>
          </w:p>
        </w:tc>
        <w:tc>
          <w:tcPr>
            <w:tcW w:type="dxa" w:w="1417"/>
            <w:shd w:fill="FFFFFF" w:val="clear"/>
          </w:tcPr>
          <w:p>
            <w:r>
              <w:rPr>
                <w:sz w:val="16"/>
              </w:rPr>
              <w:t>2,241</w:t>
            </w:r>
          </w:p>
        </w:tc>
        <w:tc>
          <w:tcPr>
            <w:tcW w:type="dxa" w:w="1134"/>
            <w:shd w:fill="FFC7CE" w:val="clear"/>
          </w:tcPr>
          <w:p>
            <w:r>
              <w:rPr>
                <w:b/>
                <w:color w:val="B40000"/>
                <w:sz w:val="16"/>
              </w:rPr>
              <w:t>-3.83%</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3,000</w:t>
            </w:r>
          </w:p>
        </w:tc>
        <w:tc>
          <w:tcPr>
            <w:tcW w:type="dxa" w:w="1417"/>
            <w:shd w:fill="FFFFFF" w:val="clear"/>
          </w:tcPr>
          <w:p>
            <w:r>
              <w:rPr>
                <w:sz w:val="16"/>
              </w:rPr>
              <w:t>2,880</w:t>
            </w:r>
          </w:p>
        </w:tc>
        <w:tc>
          <w:tcPr>
            <w:tcW w:type="dxa" w:w="1134"/>
            <w:shd w:fill="FFC7CE" w:val="clear"/>
          </w:tcPr>
          <w:p>
            <w:r>
              <w:rPr>
                <w:b/>
                <w:color w:val="B40000"/>
                <w:sz w:val="16"/>
              </w:rPr>
              <w:t>-3.99%</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11,060</w:t>
            </w:r>
          </w:p>
        </w:tc>
        <w:tc>
          <w:tcPr>
            <w:tcW w:type="dxa" w:w="1134"/>
            <w:shd w:fill="FFC7CE" w:val="clear"/>
          </w:tcPr>
          <w:p>
            <w:r>
              <w:rPr>
                <w:b/>
                <w:color w:val="B40000"/>
                <w:sz w:val="16"/>
              </w:rPr>
              <w:t>-4.65%</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42,000</w:t>
            </w:r>
          </w:p>
        </w:tc>
        <w:tc>
          <w:tcPr>
            <w:tcW w:type="dxa" w:w="1417"/>
            <w:shd w:fill="FFFFFF" w:val="clear"/>
          </w:tcPr>
          <w:p>
            <w:r>
              <w:rPr>
                <w:sz w:val="16"/>
              </w:rPr>
              <w:t>39,783</w:t>
            </w:r>
          </w:p>
        </w:tc>
        <w:tc>
          <w:tcPr>
            <w:tcW w:type="dxa" w:w="1134"/>
            <w:shd w:fill="FFC7CE" w:val="clear"/>
          </w:tcPr>
          <w:p>
            <w:r>
              <w:rPr>
                <w:b/>
                <w:color w:val="B40000"/>
                <w:sz w:val="16"/>
              </w:rPr>
              <w:t>-5.28%</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3,390</w:t>
            </w:r>
          </w:p>
        </w:tc>
        <w:tc>
          <w:tcPr>
            <w:tcW w:type="dxa" w:w="1417"/>
            <w:shd w:fill="FFFFFF" w:val="clear"/>
          </w:tcPr>
          <w:p>
            <w:r>
              <w:rPr>
                <w:sz w:val="16"/>
              </w:rPr>
              <w:t>3,185</w:t>
            </w:r>
          </w:p>
        </w:tc>
        <w:tc>
          <w:tcPr>
            <w:tcW w:type="dxa" w:w="1134"/>
            <w:shd w:fill="FFC7CE" w:val="clear"/>
          </w:tcPr>
          <w:p>
            <w:r>
              <w:rPr>
                <w:b/>
                <w:color w:val="B40000"/>
                <w:sz w:val="16"/>
              </w:rPr>
              <w:t>-6.05%</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2,050</w:t>
            </w:r>
          </w:p>
        </w:tc>
        <w:tc>
          <w:tcPr>
            <w:tcW w:type="dxa" w:w="1417"/>
            <w:shd w:fill="FFFFFF" w:val="clear"/>
          </w:tcPr>
          <w:p>
            <w:r>
              <w:rPr>
                <w:sz w:val="16"/>
              </w:rPr>
              <w:t>1,916</w:t>
            </w:r>
          </w:p>
        </w:tc>
        <w:tc>
          <w:tcPr>
            <w:tcW w:type="dxa" w:w="1134"/>
            <w:shd w:fill="FFC7CE" w:val="clear"/>
          </w:tcPr>
          <w:p>
            <w:r>
              <w:rPr>
                <w:b/>
                <w:color w:val="B40000"/>
                <w:sz w:val="16"/>
              </w:rPr>
              <w:t>-6.53%</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10,000</w:t>
            </w:r>
          </w:p>
        </w:tc>
        <w:tc>
          <w:tcPr>
            <w:tcW w:type="dxa" w:w="1417"/>
            <w:shd w:fill="FFFFFF" w:val="clear"/>
          </w:tcPr>
          <w:p>
            <w:r>
              <w:rPr>
                <w:sz w:val="16"/>
              </w:rPr>
              <w:t>9,342</w:t>
            </w:r>
          </w:p>
        </w:tc>
        <w:tc>
          <w:tcPr>
            <w:tcW w:type="dxa" w:w="1134"/>
            <w:shd w:fill="FFC7CE" w:val="clear"/>
          </w:tcPr>
          <w:p>
            <w:r>
              <w:rPr>
                <w:b/>
                <w:color w:val="B40000"/>
                <w:sz w:val="16"/>
              </w:rPr>
              <w:t>-6.58%</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9,185</w:t>
            </w:r>
          </w:p>
        </w:tc>
        <w:tc>
          <w:tcPr>
            <w:tcW w:type="dxa" w:w="1417"/>
            <w:shd w:fill="FFFFFF" w:val="clear"/>
          </w:tcPr>
          <w:p>
            <w:r>
              <w:rPr>
                <w:sz w:val="16"/>
              </w:rPr>
              <w:t>8,560</w:t>
            </w:r>
          </w:p>
        </w:tc>
        <w:tc>
          <w:tcPr>
            <w:tcW w:type="dxa" w:w="1134"/>
            <w:shd w:fill="FFC7CE" w:val="clear"/>
          </w:tcPr>
          <w:p>
            <w:r>
              <w:rPr>
                <w:b/>
                <w:color w:val="B40000"/>
                <w:sz w:val="16"/>
              </w:rPr>
              <w:t>-6.80%</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3,160</w:t>
            </w:r>
          </w:p>
        </w:tc>
        <w:tc>
          <w:tcPr>
            <w:tcW w:type="dxa" w:w="1417"/>
            <w:shd w:fill="FFFFFF" w:val="clear"/>
          </w:tcPr>
          <w:p>
            <w:r>
              <w:rPr>
                <w:sz w:val="16"/>
              </w:rPr>
              <w:t>2,909</w:t>
            </w:r>
          </w:p>
        </w:tc>
        <w:tc>
          <w:tcPr>
            <w:tcW w:type="dxa" w:w="1134"/>
            <w:shd w:fill="FFC7CE" w:val="clear"/>
          </w:tcPr>
          <w:p>
            <w:r>
              <w:rPr>
                <w:b/>
                <w:color w:val="B40000"/>
                <w:sz w:val="16"/>
              </w:rPr>
              <w:t>-7.95%</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3,950</w:t>
            </w:r>
          </w:p>
        </w:tc>
        <w:tc>
          <w:tcPr>
            <w:tcW w:type="dxa" w:w="1417"/>
            <w:shd w:fill="FFFFFF" w:val="clear"/>
          </w:tcPr>
          <w:p>
            <w:r>
              <w:rPr>
                <w:sz w:val="16"/>
              </w:rPr>
              <w:t>3,538</w:t>
            </w:r>
          </w:p>
        </w:tc>
        <w:tc>
          <w:tcPr>
            <w:tcW w:type="dxa" w:w="1134"/>
            <w:shd w:fill="FFC7CE" w:val="clear"/>
          </w:tcPr>
          <w:p>
            <w:r>
              <w:rPr>
                <w:b/>
                <w:color w:val="B40000"/>
                <w:sz w:val="16"/>
              </w:rPr>
              <w:t>-10.43%</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6,720</w:t>
            </w:r>
          </w:p>
        </w:tc>
        <w:tc>
          <w:tcPr>
            <w:tcW w:type="dxa" w:w="1417"/>
            <w:shd w:fill="FFFFFF" w:val="clear"/>
          </w:tcPr>
          <w:p>
            <w:r>
              <w:rPr>
                <w:sz w:val="16"/>
              </w:rPr>
              <w:t>5,951</w:t>
            </w:r>
          </w:p>
        </w:tc>
        <w:tc>
          <w:tcPr>
            <w:tcW w:type="dxa" w:w="1134"/>
            <w:shd w:fill="FFC7CE" w:val="clear"/>
          </w:tcPr>
          <w:p>
            <w:r>
              <w:rPr>
                <w:b/>
                <w:color w:val="B40000"/>
                <w:sz w:val="16"/>
              </w:rPr>
              <w:t>-11.44%</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33,000</w:t>
            </w:r>
          </w:p>
        </w:tc>
        <w:tc>
          <w:tcPr>
            <w:tcW w:type="dxa" w:w="1417"/>
            <w:shd w:fill="FFFFFF" w:val="clear"/>
          </w:tcPr>
          <w:p>
            <w:r>
              <w:rPr>
                <w:sz w:val="16"/>
              </w:rPr>
              <w:t>28,525</w:t>
            </w:r>
          </w:p>
        </w:tc>
        <w:tc>
          <w:tcPr>
            <w:tcW w:type="dxa" w:w="1134"/>
            <w:shd w:fill="FFC7CE" w:val="clear"/>
          </w:tcPr>
          <w:p>
            <w:r>
              <w:rPr>
                <w:b/>
                <w:color w:val="B40000"/>
                <w:sz w:val="16"/>
              </w:rPr>
              <w:t>-13.56%</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2,890</w:t>
            </w:r>
          </w:p>
        </w:tc>
        <w:tc>
          <w:tcPr>
            <w:tcW w:type="dxa" w:w="1417"/>
            <w:shd w:fill="FFFFFF" w:val="clear"/>
          </w:tcPr>
          <w:p>
            <w:r>
              <w:rPr>
                <w:sz w:val="16"/>
              </w:rPr>
              <w:t>2,313</w:t>
            </w:r>
          </w:p>
        </w:tc>
        <w:tc>
          <w:tcPr>
            <w:tcW w:type="dxa" w:w="1134"/>
            <w:shd w:fill="FFC7CE" w:val="clear"/>
          </w:tcPr>
          <w:p>
            <w:r>
              <w:rPr>
                <w:b/>
                <w:color w:val="B40000"/>
                <w:sz w:val="16"/>
              </w:rPr>
              <w:t>-19.96%</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3,615 titres</w:t>
            </w:r>
          </w:p>
        </w:tc>
        <w:tc>
          <w:tcPr>
            <w:tcW w:type="dxa" w:w="2268"/>
            <w:shd w:fill="FFF2CC" w:val="clear"/>
          </w:tcPr>
          <w:p>
            <w:r>
              <w:rPr>
                <w:b/>
                <w:color w:val="503200"/>
                <w:sz w:val="16"/>
              </w:rPr>
              <w:t xml:space="preserve">Cours actuel : </w:t>
            </w:r>
            <w:r>
              <w:rPr>
                <w:color w:val="000000"/>
                <w:sz w:val="17"/>
              </w:rPr>
              <w:t>3,950 FCFA</w:t>
            </w:r>
          </w:p>
          <w:p>
            <w:r>
              <w:rPr>
                <w:b/>
                <w:color w:val="503200"/>
                <w:sz w:val="16"/>
              </w:rPr>
              <w:t xml:space="preserve">Var. 100 jours : </w:t>
            </w:r>
            <w:r>
              <w:rPr>
                <w:b/>
                <w:color w:val="007800"/>
                <w:sz w:val="17"/>
              </w:rPr>
              <w:t>+4.50%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10.87% (Moyenne) — μ=3,294 FCFA, σ=358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β=0.4157 (Défensif) — Cov=0.000017, Var(idx)=0.000040, ρ=0.089,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σ_j=2.96%/j (Stable) — Vol. annualisée≈46.9%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3,740</w:t>
            </w:r>
          </w:p>
        </w:tc>
        <w:tc>
          <w:tcPr>
            <w:tcW w:type="dxa" w:w="1440"/>
            <w:shd w:fill="FAFAFA" w:val="clear"/>
          </w:tcPr>
          <w:p>
            <w:r>
              <w:rPr>
                <w:b/>
                <w:sz w:val="17"/>
              </w:rPr>
              <w:t>3,874</w:t>
            </w:r>
          </w:p>
        </w:tc>
        <w:tc>
          <w:tcPr>
            <w:tcW w:type="dxa" w:w="1440"/>
            <w:shd w:fill="FAFAFA" w:val="clear"/>
          </w:tcPr>
          <w:p>
            <w:r>
              <w:rPr>
                <w:sz w:val="17"/>
              </w:rPr>
              <w:t>4,008</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2026-09-23</w:t>
            </w:r>
          </w:p>
        </w:tc>
        <w:tc>
          <w:tcPr>
            <w:tcW w:type="dxa" w:w="1440"/>
            <w:shd w:fill="FFDCE0" w:val="clear"/>
          </w:tcPr>
          <w:p>
            <w:r>
              <w:rPr>
                <w:sz w:val="17"/>
              </w:rPr>
              <w:t>3,641</w:t>
            </w:r>
          </w:p>
        </w:tc>
        <w:tc>
          <w:tcPr>
            <w:tcW w:type="dxa" w:w="1440"/>
            <w:shd w:fill="FFDCE0" w:val="clear"/>
          </w:tcPr>
          <w:p>
            <w:r>
              <w:rPr>
                <w:b/>
                <w:sz w:val="17"/>
              </w:rPr>
              <w:t>3,828</w:t>
            </w:r>
          </w:p>
        </w:tc>
        <w:tc>
          <w:tcPr>
            <w:tcW w:type="dxa" w:w="1440"/>
            <w:shd w:fill="FFDCE0" w:val="clear"/>
          </w:tcPr>
          <w:p>
            <w:r>
              <w:rPr>
                <w:sz w:val="17"/>
              </w:rPr>
              <w:t>4,016</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2026-09-24</w:t>
            </w:r>
          </w:p>
        </w:tc>
        <w:tc>
          <w:tcPr>
            <w:tcW w:type="dxa" w:w="1440"/>
            <w:shd w:fill="FFDCE0" w:val="clear"/>
          </w:tcPr>
          <w:p>
            <w:r>
              <w:rPr>
                <w:sz w:val="17"/>
              </w:rPr>
              <w:t>3,554</w:t>
            </w:r>
          </w:p>
        </w:tc>
        <w:tc>
          <w:tcPr>
            <w:tcW w:type="dxa" w:w="1440"/>
            <w:shd w:fill="FFDCE0" w:val="clear"/>
          </w:tcPr>
          <w:p>
            <w:r>
              <w:rPr>
                <w:b/>
                <w:sz w:val="17"/>
              </w:rPr>
              <w:t>3,781</w:t>
            </w:r>
          </w:p>
        </w:tc>
        <w:tc>
          <w:tcPr>
            <w:tcW w:type="dxa" w:w="1440"/>
            <w:shd w:fill="FFDCE0" w:val="clear"/>
          </w:tcPr>
          <w:p>
            <w:r>
              <w:rPr>
                <w:sz w:val="17"/>
              </w:rPr>
              <w:t>4,007</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3,479</w:t>
            </w:r>
          </w:p>
        </w:tc>
        <w:tc>
          <w:tcPr>
            <w:tcW w:type="dxa" w:w="1440"/>
            <w:shd w:fill="FFDCE0" w:val="clear"/>
          </w:tcPr>
          <w:p>
            <w:r>
              <w:rPr>
                <w:b/>
                <w:sz w:val="17"/>
              </w:rPr>
              <w:t>3,738</w:t>
            </w:r>
          </w:p>
        </w:tc>
        <w:tc>
          <w:tcPr>
            <w:tcW w:type="dxa" w:w="1440"/>
            <w:shd w:fill="FFDCE0" w:val="clear"/>
          </w:tcPr>
          <w:p>
            <w:r>
              <w:rPr>
                <w:sz w:val="17"/>
              </w:rPr>
              <w:t>3,996</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3,413</w:t>
            </w:r>
          </w:p>
        </w:tc>
        <w:tc>
          <w:tcPr>
            <w:tcW w:type="dxa" w:w="1440"/>
            <w:shd w:fill="FFDCE0" w:val="clear"/>
          </w:tcPr>
          <w:p>
            <w:r>
              <w:rPr>
                <w:b/>
                <w:sz w:val="17"/>
              </w:rPr>
              <w:t>3,699</w:t>
            </w:r>
          </w:p>
        </w:tc>
        <w:tc>
          <w:tcPr>
            <w:tcW w:type="dxa" w:w="1440"/>
            <w:shd w:fill="FFDCE0" w:val="clear"/>
          </w:tcPr>
          <w:p>
            <w:r>
              <w:rPr>
                <w:sz w:val="17"/>
              </w:rPr>
              <w:t>3,985</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3,352</w:t>
            </w:r>
          </w:p>
        </w:tc>
        <w:tc>
          <w:tcPr>
            <w:tcW w:type="dxa" w:w="1440"/>
            <w:shd w:fill="FFDCE0" w:val="clear"/>
          </w:tcPr>
          <w:p>
            <w:r>
              <w:rPr>
                <w:b/>
                <w:sz w:val="17"/>
              </w:rPr>
              <w:t>3,663</w:t>
            </w:r>
          </w:p>
        </w:tc>
        <w:tc>
          <w:tcPr>
            <w:tcW w:type="dxa" w:w="1440"/>
            <w:shd w:fill="FFDCE0" w:val="clear"/>
          </w:tcPr>
          <w:p>
            <w:r>
              <w:rPr>
                <w:sz w:val="17"/>
              </w:rPr>
              <w:t>3,973</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3,297</w:t>
            </w:r>
          </w:p>
        </w:tc>
        <w:tc>
          <w:tcPr>
            <w:tcW w:type="dxa" w:w="1440"/>
            <w:shd w:fill="FFDCE0" w:val="clear"/>
          </w:tcPr>
          <w:p>
            <w:r>
              <w:rPr>
                <w:b/>
                <w:sz w:val="17"/>
              </w:rPr>
              <w:t>3,629</w:t>
            </w:r>
          </w:p>
        </w:tc>
        <w:tc>
          <w:tcPr>
            <w:tcW w:type="dxa" w:w="1440"/>
            <w:shd w:fill="FFDCE0" w:val="clear"/>
          </w:tcPr>
          <w:p>
            <w:r>
              <w:rPr>
                <w:sz w:val="17"/>
              </w:rPr>
              <w:t>3,960</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3,245</w:t>
            </w:r>
          </w:p>
        </w:tc>
        <w:tc>
          <w:tcPr>
            <w:tcW w:type="dxa" w:w="1440"/>
            <w:shd w:fill="FFDCE0" w:val="clear"/>
          </w:tcPr>
          <w:p>
            <w:r>
              <w:rPr>
                <w:b/>
                <w:sz w:val="17"/>
              </w:rPr>
              <w:t>3,597</w:t>
            </w:r>
          </w:p>
        </w:tc>
        <w:tc>
          <w:tcPr>
            <w:tcW w:type="dxa" w:w="1440"/>
            <w:shd w:fill="FFDCE0" w:val="clear"/>
          </w:tcPr>
          <w:p>
            <w:r>
              <w:rPr>
                <w:sz w:val="17"/>
              </w:rPr>
              <w:t>3,948</w:t>
            </w:r>
          </w:p>
        </w:tc>
        <w:tc>
          <w:tcPr>
            <w:tcW w:type="dxa" w:w="1440"/>
            <w:shd w:fill="FFDCE0" w:val="clear"/>
          </w:tcPr>
          <w:p>
            <w:r>
              <w:rPr>
                <w:b/>
                <w:color w:val="C00000"/>
                <w:sz w:val="17"/>
              </w:rPr>
              <w:t>-8.9%</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3,197</w:t>
            </w:r>
          </w:p>
        </w:tc>
        <w:tc>
          <w:tcPr>
            <w:tcW w:type="dxa" w:w="1440"/>
            <w:shd w:fill="FFDCE0" w:val="clear"/>
          </w:tcPr>
          <w:p>
            <w:r>
              <w:rPr>
                <w:b/>
                <w:sz w:val="17"/>
              </w:rPr>
              <w:t>3,567</w:t>
            </w:r>
          </w:p>
        </w:tc>
        <w:tc>
          <w:tcPr>
            <w:tcW w:type="dxa" w:w="1440"/>
            <w:shd w:fill="FFDCE0" w:val="clear"/>
          </w:tcPr>
          <w:p>
            <w:r>
              <w:rPr>
                <w:sz w:val="17"/>
              </w:rPr>
              <w:t>3,936</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3,151</w:t>
            </w:r>
          </w:p>
        </w:tc>
        <w:tc>
          <w:tcPr>
            <w:tcW w:type="dxa" w:w="1440"/>
            <w:shd w:fill="FFDCE0" w:val="clear"/>
          </w:tcPr>
          <w:p>
            <w:r>
              <w:rPr>
                <w:b/>
                <w:sz w:val="17"/>
              </w:rPr>
              <w:t>3,538</w:t>
            </w:r>
          </w:p>
        </w:tc>
        <w:tc>
          <w:tcPr>
            <w:tcW w:type="dxa" w:w="1440"/>
            <w:shd w:fill="FFDCE0" w:val="clear"/>
          </w:tcPr>
          <w:p>
            <w:r>
              <w:rPr>
                <w:sz w:val="17"/>
              </w:rPr>
              <w:t>3,925</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SERVAIR ABIDJAN (ABJC)</w:t>
        <w:br/>
        <w:t>**Bourse Régionale des Valeurs Mobilières (BRVM) — Secteur : Services aéroportuaires**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**43,10 Mds FCFA**, Servair Abidjan se positionne comme une valeur de taille intermédiaire sur le compartiment BRVM, loin des blue chips bancaires et télécoms mais suffisamment liquide pour intéresser les investisseurs institutionnels régionaux. Le **BPA de 124 FCFA/action** traduit une rentabilité unitaire correcte, mais le **PER de 31,9x** signale que le marché paie le titre près de trois fois le multiple moyen de la BRVM (~8-12x), soit une prime de croissance très généreuse qui n'est pas confirmée par les derniers résultats trimestriels. Le **P/B de 8,35x** — très supérieur au seuil de 4x — indique que la valeur de marché représente plus de huit fois les fonds propres comptables, ce qui est difficilement justifiable pour une entreprise de services à actifs corporels limités. Enfin, l'**EV/EBITDA de 16,5x** (au-dessus du seuil exigeant de 15x) confirme que la valeur d'entreprise intègre déjà une anticipation de forte reprise opérationnelle, laissant peu de marge de sécurité en cas de déception. L'ensemble de ces ratios dessine une **valorisation tendue, voire surévaluée**, en décalage avec la dynamique bénéficiaire récente.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**variation totale de +4,50%**, avec une dernière séance en hausse de **+0,51%**, portant le cours à **3 950 FCFA**. Le titre a évolué dans un range large de **2 800 FCFA (plus bas) à 4 095 FCFA (plus haut)**, soit un spread de près de 46%, témoignant d'une forte amplitude de trading. La tendance générale est **haussière mais fragile**, le cours actuel se situant à seulement 3,5% de son plus haut, ce qui suggère une pression acheteuse récente mais un essoufflement possible. Les statistiques descriptives révèlent une **moyenne (3 294 FCFA) nettement supérieure à la médiane (3 182 FCFA)**, signe d'une distribution asymétrique tirée vers le haut par des pics ponctuels ; le **mode à 3 150 FCFA** confirme que le cours a longtemps stagné sous son niveau actuel. L'**écart-type de 360 FCFA (CV = 10,9%)** indique une dispersion modérée en valeur relative, mais la **volatilité annualisée de 46,9%** classe le titre dans la catégorie **très volatile (&gt;30%)**, ce qui est élevé même pour la BRVM. Le **kurtosis de -0,415 (mésokurtique)** suggère une distribution proche de la normale, donc un risque de pics extrêmes limité, tandis que le **skewness de +0,833 (asymétrie positive)** indique que les journées de baisse sont plus fréquentes que les journées de hausse, mais d'amplitude moindre — un profil de consolidation lente avec des rebonds brutaux.</w:t>
      </w:r>
    </w:p>
    <w:p>
      <w:pPr>
        <w:spacing w:after="120" w:line="276" w:lineRule="auto"/>
      </w:pPr>
      <w:r>
        <w:t>---</w:t>
      </w:r>
    </w:p>
    <w:p>
      <w:pPr>
        <w:spacing w:after="120" w:line="276" w:lineRule="auto"/>
      </w:pPr>
      <w:r>
        <w:t>## PARTIE 2 : ANALYSE TECHNIQUE DÉTAILLÉE</w:t>
      </w:r>
    </w:p>
    <w:p>
      <w:pPr>
        <w:spacing w:after="120" w:line="276" w:lineRule="auto"/>
      </w:pPr>
      <w:r>
        <w:t>**Moyennes Mobiles** : La MM20 (3 901,25 FCFA) est légèrement inférieure au cours actuel (3 950 FCFA), tandis que la MM50 (3 429,70 FCFA) est nettement en dessous, confirmant une configuration haussière de court et moyen terme. Le croisement MM20 &gt; MM50 et la position du cours au-dessus des deux moyennes justifient la **décision d'ACHAT** technique, bien que l'écart entre le cours et la MM20 soit faible (1,2%), signalant une possible consolidation.</w:t>
      </w:r>
    </w:p>
    <w:p>
      <w:pPr>
        <w:spacing w:after="120" w:line="276" w:lineRule="auto"/>
      </w:pPr>
      <w:r>
        <w:t>**Bandes de Bollinger** : Le cours (3 950 FCFA) se situe dans la moitié supérieure de la bande, entre la borne inférieure (3 602 FCFA) et la borne supérieure (4 200 FCFA), sans la toucher. Cette position centrale, couplée à une largeur de bande élevée (598 FCFA), traduit une **volatilité soutenue mais sans excès**, justifiant la **décision NEUTRE** — le titre n'est ni en surachat ni en survente technique.</w:t>
      </w:r>
    </w:p>
    <w:p>
      <w:pPr>
        <w:spacing w:after="120" w:line="276" w:lineRule="auto"/>
      </w:pPr>
      <w:r>
        <w:t>**MACD** : La valeur du MACD (167,04) est inférieure à son signal (190,06), générant un **croisement baissier** et un momentum négatif. Cette divergence indique un essoufflement de la tendance haussière récente, justifiant la **décision de VENTE** à court terme, en contradiction avec les moyennes mobiles.</w:t>
      </w:r>
    </w:p>
    <w:p>
      <w:pPr>
        <w:spacing w:after="120" w:line="276" w:lineRule="auto"/>
      </w:pPr>
      <w:r>
        <w:t>**RSI** : À 57,34, le RSI se situe dans la zone neutre (30-70), sans signal de surachat (&gt;70) ni de survente (&lt;30). Cette valeur médiane reflète un **équilibre entre acheteurs et vendeurs**, justifiant la **décision NEUTRE** — aucune pression directionnelle dominante.</w:t>
      </w:r>
    </w:p>
    <w:p>
      <w:pPr>
        <w:spacing w:after="120" w:line="276" w:lineRule="auto"/>
      </w:pPr>
      <w:r>
        <w:t>**Stochastique** : Le %K (52,46) est inférieur au %D (61,20), avec un croisement baissier en zone neutre. Cette configuration suggère une **perte de momentum haussier** à court terme, justifiant la **décision NEUTRE** — le titre pourrait consolider avant de reprendre sa tendance.</w:t>
      </w:r>
    </w:p>
    <w:p>
      <w:pPr>
        <w:spacing w:after="120" w:line="276" w:lineRule="auto"/>
      </w:pPr>
      <w:r>
        <w:t>**Conclusion technique** : Les indicateurs sont **mitigés** — les moyennes mobiles confirment une tendance haussière de fond, mais le MACD baissier et le stochastique en perte de momentum signalent une **divergence baissière à court terme**. Le RSI et les Bandes de Bollinger en zone neutre indiquent l'absence de signal fort. La configuration globale suggère une **phase de consolidation** avant une éventuelle reprise, avec un risque de correction vers la MM20 (3 901 FCFA) voire la borne inférieure de Bollinger (3 602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Servair Abidjan a réalisé un **chiffre d'affaires de 13,298 Mds FCFA** (contre 12,467 Mds en 2024, soit +6,7%), confirmant la dynamique commerciale. Le **résultat net s'établit à 1,351 Mds FCFA**, en baisse de 12,1% par rapport à 2024 (1,515 Mds), principalement en raison d'une **charge d'impôt en hausse de 46,7%** (839,75 M FCFA). La rentabilité reste solide avec un **ROE de 26,18%** (excellent, &gt;15%) et un **ROA de 14,64%**, tandis que la **marge nette de 10,16%** et la **marge opérationnelle de 16,38%** témoignent d'une bonne maîtrise des coûts. La structure financière est saine : **autonomie financière de 55,92%**, **endettement financier quasi nul** (dettes financières de 65,89 M FCFA seulement), et **trésorerie nette de 4,035 Mds FCFA**. Le **BFR de 257,45 M FCFA** est positif mais faible, et les **délais clients (70,10 jours)** et **fournisseurs (92,11 jours)** sont équilibrés, le délai fournisseurs supérieur au délai clients étant favorable à la trésorerie.</w:t>
      </w:r>
    </w:p>
    <w:p>
      <w:pPr>
        <w:spacing w:after="120" w:line="276" w:lineRule="auto"/>
      </w:pPr>
      <w:r>
        <w:t>**Adaptation au secteur (ENTREPRISE)** : Le **délai client de 70 jours** constitue un point de vigilance modéré (risque de trésorerie), mais il est compensé par un **délai fournisseur de 92 jours** qui finance une partie du cycle d'exploitation. La **rotation des actifs de 144,13%** indique une bonne efficacité dans l'utilisation des actifs pour générer du chiffre d'affaires. Le **taux de couverture des intérêts de 36 092%** (résultat d'exploitation / charges financières) est exceptionnellement élevé, reflétant l'absence quasi-totale de dette financière.</w:t>
      </w:r>
    </w:p>
    <w:p>
      <w:pPr>
        <w:spacing w:after="120" w:line="276" w:lineRule="auto"/>
      </w:pPr>
      <w:r>
        <w:t>**Estimations basées sur les rapports trimestriels** : Le **rapport T1 2026 (publié le 30/04/2026)** révèle une **croissance du CA de +1,9%** (3,237 Mds FCFA vs 3,176 Mds au T1 2025), mais une **chute du résultat net de -35,6%** (222,6 M FCFA vs 345,9 M FCFA) et un **résultat des activités ordinaires en recul de -27,4%**. Cette dégradation est attribuée à des **ajustements de redevances aéroportuaires** (depuis avril 2025) et à un **environnement géopolitique défavorable** (tensions au Moyen-Orient affectant les compagnies aériennes clientes). Sur la base de ce T1 2026, on peut **estimer que l'exercice 2026 devrait afficher une contraction du résultat net** par rapport à 2025, sauf redressement significatif au T2/T3. Le **rapport T3 2025 (publié le 30/09/2025)** montrait pourtant une **croissance du CA de +10,3%** et un **résultat net en hausse de +17,1%**, illustrant la **volatilité des performances trimestrielles**. Le **rapport annuel 2025 (états financiers provisoires)** confirme la **baisse du résultat net de 25,4%** à 1,35 Md FCFA, avec une **marge nette de 14,6%** et des **capitaux propres de 2,17 Mds FCFA** (chiffre divergent des 5,159 Mds des données structurées, probablement dû à des retraitements).</w:t>
      </w:r>
    </w:p>
    <w:p>
      <w:pPr>
        <w:spacing w:after="120" w:line="276" w:lineRule="auto"/>
      </w:pPr>
      <w:r>
        <w:t>**Recommandation fondamentale** : La société présente une **solidité financière indéniable** (trésorerie abondante, endettement nul, ROE élevé), mais fait face à une **dégradation récente de sa rentabilité** (T1 2026 : -35,6% de résultat net) et à des **risques exogènes** (redevances aéroportuaires, tensions géopolitiques). La **valorisation boursière exigeante** (PER 31,9x, P/B 8,35x) ne laisse pas de marge d'erreur. La recommandation fondamentale est **CONSERVER**, avec une surveillance étroite des prochains trimestres pour évaluer la capacité de l'entreprise à redresser sa rentabilité.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la valorisation, les signaux techniques, les fondamentaux et les prédictions IA. **En termes de valorisation (Partie 0)**, les ratios PER (31,9x), P/B (8,35x) et EV/EBITDA (16,5x) indiquent une **surévaluation manifeste** par rapport aux moyennes de la BRVM et aux performances récentes. **Le comportement du cours (Partie 1)** montre une tendance haussière fragile (+4,50% sur 100 jours) avec une **volatilité très élevée (46,9%)** et une asymétrie positive (skewness +0,833) suggérant des baisses fréquentes mais limitées — un profil qui ne milite pas pour une exposition agressive. **Les signaux techniques (Partie 2)** sont **mitigés** : les moyennes mobiles confirment une tendance haussière de fond, mais le MACD baissier et le stochastique en perte de momentum signalent une **divergence baissière à court terme**, plaidant pour une consolidation. **Les fondamentaux (Partie 3)** révèlent une **solidité financière réelle** (ROE 26,18%, trésorerie 4,035 Mds FCFA, endettement nul) mais une **dégradation récente de la rentabilité** (T1 2026 : résultat net -35,6%), ce qui contredit la prime de croissance intégrée dans le cours. **Les prédictions IA (J+1 à J+10)** anticipent une **trajectoire baissière** (de 3 874 FCFA à 3 699 FCFA, soit -4,4% en 5 séances), ce qui **confirme les signaux techniques baissiers** (MACD, stochastique) et la **surévaluation fondamentale**.</w:t>
      </w:r>
    </w:p>
    <w:p>
      <w:pPr>
        <w:spacing w:after="120" w:line="276" w:lineRule="auto"/>
      </w:pPr>
      <w:r>
        <w:t>**Recommandation finale** : **CONSERVER** (avec un biais baissier à court terme). La convergence entre la surévaluation, les signaux techniques baissiers et les prédictions IA négatives suggère une **correction imminente**, mais la solidité financière de l'entreprise et sa capacité à générer de la trésorerie limitent le risque de baisse prolongée. **Niveau de confiance : Moyen** (les indicateurs sont divergents, avec une tendance de fond haussière contrariée par des signaux court terme baissiers). **Niveau de risque global : Élevé** (volatilité 46,9%, valorisation tendue, dégradation des résultats). **Horizon d'investissement optimal : Moyen terme (3-12 mois)**, en attendant la publication des résultats semestriels 2026 pour évaluer la capacité de redressement de la rentabilité. Un **achat spéculatif** pourrait être envisagé sur repli vers 3 600-3 700 FCFA (borne inférieure de Bollinger), mais une **vente** est justifiée pour les investisseurs averses au risque ou à la recherche de valorisations plus attractives sur la BRVM.</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577.60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13,154 titres</w:t>
            </w:r>
          </w:p>
        </w:tc>
        <w:tc>
          <w:tcPr>
            <w:tcW w:type="dxa" w:w="2268"/>
            <w:shd w:fill="FFF2CC" w:val="clear"/>
          </w:tcPr>
          <w:p>
            <w:r>
              <w:rPr>
                <w:b/>
                <w:color w:val="503200"/>
                <w:sz w:val="16"/>
              </w:rPr>
              <w:t xml:space="preserve">Cours actuel : </w:t>
            </w:r>
            <w:r>
              <w:rPr>
                <w:color w:val="000000"/>
                <w:sz w:val="17"/>
              </w:rPr>
              <w:t>10,000 FCFA</w:t>
            </w:r>
          </w:p>
          <w:p>
            <w:r>
              <w:rPr>
                <w:b/>
                <w:color w:val="503200"/>
                <w:sz w:val="16"/>
              </w:rPr>
              <w:t xml:space="preserve">Var. 100 jours : </w:t>
            </w:r>
            <w:r>
              <w:rPr>
                <w:b/>
                <w:color w:val="007800"/>
                <w:sz w:val="17"/>
              </w:rPr>
              <w:t>+92.12%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25.10% (Élevée) — μ=6,978 FCFA, σ=1,751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β=0.5234 (Défensif) — Cov=0.000021, Var(idx)=0.000040, ρ=0.149,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13,154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2026-09-22</w:t>
            </w:r>
          </w:p>
        </w:tc>
        <w:tc>
          <w:tcPr>
            <w:tcW w:type="dxa" w:w="1440"/>
            <w:shd w:fill="FFDCE0" w:val="clear"/>
          </w:tcPr>
          <w:p>
            <w:r>
              <w:rPr>
                <w:sz w:val="17"/>
              </w:rPr>
              <w:t>9,321</w:t>
            </w:r>
          </w:p>
        </w:tc>
        <w:tc>
          <w:tcPr>
            <w:tcW w:type="dxa" w:w="1440"/>
            <w:shd w:fill="FFDCE0" w:val="clear"/>
          </w:tcPr>
          <w:p>
            <w:r>
              <w:rPr>
                <w:b/>
                <w:sz w:val="17"/>
              </w:rPr>
              <w:t>9,717</w:t>
            </w:r>
          </w:p>
        </w:tc>
        <w:tc>
          <w:tcPr>
            <w:tcW w:type="dxa" w:w="1440"/>
            <w:shd w:fill="FFDCE0" w:val="clear"/>
          </w:tcPr>
          <w:p>
            <w:r>
              <w:rPr>
                <w:sz w:val="17"/>
              </w:rPr>
              <w:t>10,113</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2026-09-23</w:t>
            </w:r>
          </w:p>
        </w:tc>
        <w:tc>
          <w:tcPr>
            <w:tcW w:type="dxa" w:w="1440"/>
            <w:shd w:fill="FFDCE0" w:val="clear"/>
          </w:tcPr>
          <w:p>
            <w:r>
              <w:rPr>
                <w:sz w:val="17"/>
              </w:rPr>
              <w:t>9,096</w:t>
            </w:r>
          </w:p>
        </w:tc>
        <w:tc>
          <w:tcPr>
            <w:tcW w:type="dxa" w:w="1440"/>
            <w:shd w:fill="FFDCE0" w:val="clear"/>
          </w:tcPr>
          <w:p>
            <w:r>
              <w:rPr>
                <w:b/>
                <w:sz w:val="17"/>
              </w:rPr>
              <w:t>9,652</w:t>
            </w:r>
          </w:p>
        </w:tc>
        <w:tc>
          <w:tcPr>
            <w:tcW w:type="dxa" w:w="1440"/>
            <w:shd w:fill="FFDCE0" w:val="clear"/>
          </w:tcPr>
          <w:p>
            <w:r>
              <w:rPr>
                <w:sz w:val="17"/>
              </w:rPr>
              <w:t>10,209</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8,913</w:t>
            </w:r>
          </w:p>
        </w:tc>
        <w:tc>
          <w:tcPr>
            <w:tcW w:type="dxa" w:w="1440"/>
            <w:shd w:fill="FFDCE0" w:val="clear"/>
          </w:tcPr>
          <w:p>
            <w:r>
              <w:rPr>
                <w:b/>
                <w:sz w:val="17"/>
              </w:rPr>
              <w:t>9,590</w:t>
            </w:r>
          </w:p>
        </w:tc>
        <w:tc>
          <w:tcPr>
            <w:tcW w:type="dxa" w:w="1440"/>
            <w:shd w:fill="FFDCE0" w:val="clear"/>
          </w:tcPr>
          <w:p>
            <w:r>
              <w:rPr>
                <w:sz w:val="17"/>
              </w:rPr>
              <w:t>10,267</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8,758</w:t>
            </w:r>
          </w:p>
        </w:tc>
        <w:tc>
          <w:tcPr>
            <w:tcW w:type="dxa" w:w="1440"/>
            <w:shd w:fill="FFDCE0" w:val="clear"/>
          </w:tcPr>
          <w:p>
            <w:r>
              <w:rPr>
                <w:b/>
                <w:sz w:val="17"/>
              </w:rPr>
              <w:t>9,535</w:t>
            </w:r>
          </w:p>
        </w:tc>
        <w:tc>
          <w:tcPr>
            <w:tcW w:type="dxa" w:w="1440"/>
            <w:shd w:fill="FFDCE0" w:val="clear"/>
          </w:tcPr>
          <w:p>
            <w:r>
              <w:rPr>
                <w:sz w:val="17"/>
              </w:rPr>
              <w:t>10,313</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8,623</w:t>
            </w:r>
          </w:p>
        </w:tc>
        <w:tc>
          <w:tcPr>
            <w:tcW w:type="dxa" w:w="1440"/>
            <w:shd w:fill="FFDCE0" w:val="clear"/>
          </w:tcPr>
          <w:p>
            <w:r>
              <w:rPr>
                <w:b/>
                <w:sz w:val="17"/>
              </w:rPr>
              <w:t>9,488</w:t>
            </w:r>
          </w:p>
        </w:tc>
        <w:tc>
          <w:tcPr>
            <w:tcW w:type="dxa" w:w="1440"/>
            <w:shd w:fill="FFDCE0" w:val="clear"/>
          </w:tcPr>
          <w:p>
            <w:r>
              <w:rPr>
                <w:sz w:val="17"/>
              </w:rPr>
              <w:t>10,353</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8,505</w:t>
            </w:r>
          </w:p>
        </w:tc>
        <w:tc>
          <w:tcPr>
            <w:tcW w:type="dxa" w:w="1440"/>
            <w:shd w:fill="FFDCE0" w:val="clear"/>
          </w:tcPr>
          <w:p>
            <w:r>
              <w:rPr>
                <w:b/>
                <w:sz w:val="17"/>
              </w:rPr>
              <w:t>9,448</w:t>
            </w:r>
          </w:p>
        </w:tc>
        <w:tc>
          <w:tcPr>
            <w:tcW w:type="dxa" w:w="1440"/>
            <w:shd w:fill="FFDCE0" w:val="clear"/>
          </w:tcPr>
          <w:p>
            <w:r>
              <w:rPr>
                <w:sz w:val="17"/>
              </w:rPr>
              <w:t>10,392</w:t>
            </w:r>
          </w:p>
        </w:tc>
        <w:tc>
          <w:tcPr>
            <w:tcW w:type="dxa" w:w="1440"/>
            <w:shd w:fill="FFDCE0" w:val="clear"/>
          </w:tcPr>
          <w:p>
            <w:r>
              <w:rPr>
                <w:b/>
                <w:color w:val="C00000"/>
                <w:sz w:val="17"/>
              </w:rPr>
              <w:t>-5.5%</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8,399</w:t>
            </w:r>
          </w:p>
        </w:tc>
        <w:tc>
          <w:tcPr>
            <w:tcW w:type="dxa" w:w="1440"/>
            <w:shd w:fill="FFDCE0" w:val="clear"/>
          </w:tcPr>
          <w:p>
            <w:r>
              <w:rPr>
                <w:b/>
                <w:sz w:val="17"/>
              </w:rPr>
              <w:t>9,415</w:t>
            </w:r>
          </w:p>
        </w:tc>
        <w:tc>
          <w:tcPr>
            <w:tcW w:type="dxa" w:w="1440"/>
            <w:shd w:fill="FFDCE0" w:val="clear"/>
          </w:tcPr>
          <w:p>
            <w:r>
              <w:rPr>
                <w:sz w:val="17"/>
              </w:rPr>
              <w:t>10,430</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8,304</w:t>
            </w:r>
          </w:p>
        </w:tc>
        <w:tc>
          <w:tcPr>
            <w:tcW w:type="dxa" w:w="1440"/>
            <w:shd w:fill="FFDCE0" w:val="clear"/>
          </w:tcPr>
          <w:p>
            <w:r>
              <w:rPr>
                <w:b/>
                <w:sz w:val="17"/>
              </w:rPr>
              <w:t>9,386</w:t>
            </w:r>
          </w:p>
        </w:tc>
        <w:tc>
          <w:tcPr>
            <w:tcW w:type="dxa" w:w="1440"/>
            <w:shd w:fill="FFDCE0" w:val="clear"/>
          </w:tcPr>
          <w:p>
            <w:r>
              <w:rPr>
                <w:sz w:val="17"/>
              </w:rPr>
              <w:t>10,469</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8,217</w:t>
            </w:r>
          </w:p>
        </w:tc>
        <w:tc>
          <w:tcPr>
            <w:tcW w:type="dxa" w:w="1440"/>
            <w:shd w:fill="FFDCE0" w:val="clear"/>
          </w:tcPr>
          <w:p>
            <w:r>
              <w:rPr>
                <w:b/>
                <w:sz w:val="17"/>
              </w:rPr>
              <w:t>9,362</w:t>
            </w:r>
          </w:p>
        </w:tc>
        <w:tc>
          <w:tcPr>
            <w:tcW w:type="dxa" w:w="1440"/>
            <w:shd w:fill="FFDCE0" w:val="clear"/>
          </w:tcPr>
          <w:p>
            <w:r>
              <w:rPr>
                <w:sz w:val="17"/>
              </w:rPr>
              <w:t>10,508</w:t>
            </w:r>
          </w:p>
        </w:tc>
        <w:tc>
          <w:tcPr>
            <w:tcW w:type="dxa" w:w="1440"/>
            <w:shd w:fill="FFDCE0" w:val="clear"/>
          </w:tcPr>
          <w:p>
            <w:r>
              <w:rPr>
                <w:b/>
                <w:color w:val="C00000"/>
                <w:sz w:val="17"/>
              </w:rPr>
              <w:t>-6.4%</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8,138</w:t>
            </w:r>
          </w:p>
        </w:tc>
        <w:tc>
          <w:tcPr>
            <w:tcW w:type="dxa" w:w="1440"/>
            <w:shd w:fill="FFDCE0" w:val="clear"/>
          </w:tcPr>
          <w:p>
            <w:r>
              <w:rPr>
                <w:b/>
                <w:sz w:val="17"/>
              </w:rPr>
              <w:t>9,342</w:t>
            </w:r>
          </w:p>
        </w:tc>
        <w:tc>
          <w:tcPr>
            <w:tcW w:type="dxa" w:w="1440"/>
            <w:shd w:fill="FFDCE0" w:val="clear"/>
          </w:tcPr>
          <w:p>
            <w:r>
              <w:rPr>
                <w:sz w:val="17"/>
              </w:rPr>
              <w:t>10,546</w:t>
            </w:r>
          </w:p>
        </w:tc>
        <w:tc>
          <w:tcPr>
            <w:tcW w:type="dxa" w:w="1440"/>
            <w:shd w:fill="FFDCE0" w:val="clear"/>
          </w:tcPr>
          <w:p>
            <w:r>
              <w:rPr>
                <w:b/>
                <w:color w:val="C00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(BIIC Bénin)**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577,60 milliards FCFA, la BICB s'impose comme l'une des plus grandes capitalisations bancaires de la BRVM, ce qui témoigne de sa position de leader incontestée sur le marché béninois. Le BPA de 627 FCFA/action signifie que chaque titre génère près de 627 FCFA de bénéfice net, un niveau remarquable qui traduit la forte rentabilité de la banque. Le PER de 15,9x se situe au-dessus de la moyenne BRVM (~8-12x), indiquant que les investisseurs paient une prime pour cette valeur de qualité, ce qui est cohérent avec son statut de leader sectoriel. Le P/B de 4,27x révèle que le marché valorise la banque à plus de quatre fois sa valeur comptable, une prime exigeante qui reflète les anticipations de croissance future. Enfin, l'EV/EBITDA de 26,3x, très supérieur au seuil de 15x, confirme que la valorisation actuelle intègre déjà une grande partie du potentiel de croissance,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spectaculaire de +92,12%, passant d'un plus bas de 5 105 FCFA à un plus haut de 10 790 FCFA, avant de clôturer à 10 000 FCFA (recul de -1,09% sur la dernière séance). Ce range de trading de plus de 5 600 FCFA témoigne d'une tendance haussière puissante, portée par des fondamentaux solides et un intérêt croissant des investisseurs pour le secteur bancaire de l'UEMOA. Les statistiques descriptives révèlent une moyenne de 6 978 FCFA contre une médiane de 6 368 FCFA, un écart qui confirme une distribution asymétrique avec une concentration des cours sur la première partie de la période, suivie d'une accélération haussière. L'écart-type de 1 760 FCFA (CV=25,2%) indique une dispersion modérée à élevée du cours, tandis que le kurtosis de -0,701 (mésokurtique) suggère une distribution proche de la normale, sans risque excessif de pics extrêmes. Le skewness positif de 0,765 confirme cette asymétrie avec davantage de journées sous la moyenne, caractéristique d'une phase d'accumulation suivie d'un rallye. La volatilité annualisée de 35,2% positionne le titre dans la catégorie des valeurs à volatilité élevée (&gt;30%), ce qui est cohérent avec un marché frontière comme la BRVM et appelle à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(9 823 FCFA) et la MM50 (8 408 FCFA) se situent toutes deux sous le cours actuel de 10 000 FCFA, avec la MM20 au-dessus de la MM50, configurant un croisement haussier classique. Cette configuration en "golden cross" confirme la dynamique positive et justifie la décision d'achat, le cours évoluant au-dessus de ses supports mobiles.</w:t>
      </w:r>
    </w:p>
    <w:p>
      <w:pPr>
        <w:spacing w:after="120" w:line="276" w:lineRule="auto"/>
      </w:pPr>
      <w:r>
        <w:t>**Bandes de Bollinger** : Le cours (10 000 FCFA) se situe dans la partie supérieure de la bande, entre la borne inférieure (8 207 FCFA) et la borne supérieure (11 439 FCFA), sans franchir cette dernière. Cette position neutre indique que le titre n'est ni en surachat extrême ni en survente, la volatilité restant contenue dans les bandes, ce qui justifie la décision neutre.</w:t>
      </w:r>
    </w:p>
    <w:p>
      <w:pPr>
        <w:spacing w:after="120" w:line="276" w:lineRule="auto"/>
      </w:pPr>
      <w:r>
        <w:t>**MACD** : La valeur du MACD (581,03) est inférieure à son signal (670,33), générant une divergence baissière qui traduit un essoufflement du momentum haussier. Cette configuration, bien que le MACD reste en territoire positif, justifie la décision de vente à court terme, suggérant une possible consolidation après le rallye.</w:t>
      </w:r>
    </w:p>
    <w:p>
      <w:pPr>
        <w:spacing w:after="120" w:line="276" w:lineRule="auto"/>
      </w:pPr>
      <w:r>
        <w:t>**RSI** : À 60,45, le RSI se situe en zone neutre (entre 30 et 70), sans atteindre le seuil de surachat (&gt;70). Cette position indique que le titre conserve un potentiel de hausse sans être excessivement tendu, justifiant la décision neutre qui appelle à la prudence sans signal de retournement.</w:t>
      </w:r>
    </w:p>
    <w:p>
      <w:pPr>
        <w:spacing w:after="120" w:line="276" w:lineRule="auto"/>
      </w:pPr>
      <w:r>
        <w:t>**Stochastique** : Le %K (33,61) est nettement inférieur au %D (55,87), avec un croisement baissier en zone basse. Cette configuration suggère une pression vendeuse à court terme, bien que le %K approche de la zone de survente (&lt;20), ce qui justifie la décision neutre en attendant un éventuel rebond technique.</w:t>
      </w:r>
    </w:p>
    <w:p>
      <w:pPr>
        <w:spacing w:after="120" w:line="276" w:lineRule="auto"/>
      </w:pPr>
      <w:r>
        <w:t>**Conclusion technique** : Les indicateurs présentent une divergence notable : les moyennes mobiles confirment la tendance haussière de fond, tandis que le MACD et le stochastique signalent un essoufflement à court terme. Le RSI et les bandes de Bollinger en zone neutre suggèrent une consolidation possible avant une nouvelle impulsion. Cette configuration mixte plaide pour une posture attentiste à court terme, avec un biais haussier tant que le cours se maintient au-dessus de la MM20 (9 823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par rapport à 2024, confirmant la dynamique commerciale soutenue de la banque. Le résultat net s'établit à 36,237 milliards FCFA, générant un ROE exceptionnel de 26,82% (largement supérieur au seuil de 15% considéré comme excellent) et un ROA de 1,96%. Le coefficient d'exploitation de 31,12% témoigne d'une efficacité opérationnelle remarquable (seuil d'excellence &lt;50%), tandis que le coût du risque de 9,61% reste modéré, reflétant un portefeuille de crédits globalement sain. La structure financière affiche une autonomie financière de 7,33% (faible mais caractéristique du modèle bancaire) et une solvabilité générale de 107,90%, confirmant la solidité du bilan. Le ratio crédits nets/dépôts de 97,5% indique une transformation tendue, avec des créances clientèle de 1 151,5 milliards FCFA face à des dépôts de 1 181,0 milliards FCFA.</w:t>
      </w:r>
    </w:p>
    <w:p>
      <w:pPr>
        <w:spacing w:after="120" w:line="276" w:lineRule="auto"/>
      </w:pPr>
      <w:r>
        <w:t>**Estimations basées sur les rapports trimestriels** : Le rapport du T1 2026 (publié en 2026) révèle une accélération spectaculaire avec un PNB de 14,6 milliards FCFA (+35%) et un résultat net de 8,0 milliards FCFA (+48%), suggérant que l'exercice 2026 devrait dépasser les performances de 2025. Le rapport S1 2026 (analysé le 22 septembre 2026) confirme cette tendance avec un PNB de 31,882 milliards FCFA (+19%) et un résultat net de 18,368 milliards FCFA (+11%), bien que la marge nette se comprime à 57,6% contre 61,6% au S1 2025 en raison d'un coût du risque négatif de -3,579 milliards FCFA (reprises de provisions exceptionnelles en 2025). Le rapport T3 2025 (30 septembre 2025) avait déjà signalé un recul de 9% du résultat net à 13,128 milliards FCFA, attribué à une politique prudente de provisionnement face à la croissance rapide des crédits (+30%).</w:t>
      </w:r>
    </w:p>
    <w:p>
      <w:pPr>
        <w:spacing w:after="120" w:line="276" w:lineRule="auto"/>
      </w:pPr>
      <w:r>
        <w:t>**Évolution et recommandation fondamentale** : L'évolution sur deux ans montre une croissance robuste du PNB (45,2 Mds en 2024 → 52,8 Mds en 2025 → estimation ~65 Mds en 2026) et du résultat net (30,3 Mds en 2024 → 36,2 Mds en 2025 → estimation ~40 Mds en 2026). Les points forts incluent le leadership sectoriel, la rentabilité exceptionnelle (ROE &gt;26%) et la solvabilité solide (19,64%). Les risques identifiés sont la tension sur la liquidité (ratio crédits/dépôts à 97,5%), la croissance rapide des crédits (+37,3% en 2025) qui pourrait générer des impayés futurs, et la normalisation du coût du risque après les reprises exceptionnelles de 2025. La recommandation fondamentale est **CONSERVER** avec un biais positif, la banque affichant des fondamentaux solides mais une valorisation exigeante qui limite le potentiel de hausse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partielle des signaux. **Sur la valorisation (Partie 0)** , les ratios PER (15,9x), P/B (4,27x) et EV/EBITDA (26,3x) indiquent une surévaluation relative par rapport aux moyennes du marché, la prime de qualité étant déjà intégrée dans le cours. **Le comportement du cours (Partie 1)** est exceptionnellement haussier (+92,12% sur 100 jours) avec une volatilité élevée (35,2%) et une asymétrie positive (skewness 0,765), suggérant que le rallye pourrait s'essouffler après une telle performance. **Les signaux techniques (Partie 2)** sont mitigés : les moyennes mobiles confirment la tendance haussière, mais le MACD et le stochastique signalent un essoufflement à court terme, plaidant pour une consolidation. **Les fondamentaux (Partie 3)** restent solides avec un ROE de 26,82%, un coefficient d'exploitation de 31,12% et une croissance du PNB de 16,49% en 2025, tandis que les rapports T1 2026 (+48% de résultat net) et S1 2026 (+11%) confirment la dynamique positive. **Les prédictions IA (J+1 à J+10)** anticipent une correction progressive de 10 000 FCFA vers 9 488 FCFA (-5,1%), ce qui contredit la tendance haussière récente et suggère une prise de bénéfices imminente.</w:t>
      </w:r>
    </w:p>
    <w:p>
      <w:pPr>
        <w:spacing w:after="120" w:line="276" w:lineRule="auto"/>
      </w:pPr>
      <w:r>
        <w:t>**Recommandation finale : CONSERVER**</w:t>
      </w:r>
    </w:p>
    <w:p>
      <w:pPr>
        <w:spacing w:after="120" w:line="276" w:lineRule="auto"/>
      </w:pPr>
      <w:r>
        <w:t>Cette recommandation reflète la convergence entre des fondamentaux solides (croissance, rentabilité, leadership) et une valorisation exigeante couplée à des signaux techniques de court terme baissiers. Les investisseurs déjà positionnés peuvent conserver le titre en profitant de la dynamique fondamentale, tandis que les nouveaux entrants attendront une correction vers la MM20 (9 823 FCFA) ou la borne inférieure de Bollinger (8 207 FCFA) pour se positionner. Le niveau de confiance est **Moyen**, la visibilité sur la normalisation du coût du risque et la tension sur la liquidité restant incertaine. Le niveau de risque global est **Élevé**, en raison de la volatilité du titre (35,2%) et de la valorisation tendue. L'horizon d'investissement optimal est le **moyen terme (3-12 mois)** , le temps que la banque confirme la soutenabilité de sa croissance et que la valorisation se normalise.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527.92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672 titres</w:t>
            </w:r>
          </w:p>
        </w:tc>
        <w:tc>
          <w:tcPr>
            <w:tcW w:type="dxa" w:w="2268"/>
            <w:shd w:fill="FFF2CC" w:val="clear"/>
          </w:tcPr>
          <w:p>
            <w:r>
              <w:rPr>
                <w:b/>
                <w:color w:val="503200"/>
                <w:sz w:val="16"/>
              </w:rPr>
              <w:t xml:space="preserve">Cours actuel : </w:t>
            </w:r>
            <w:r>
              <w:rPr>
                <w:color w:val="000000"/>
                <w:sz w:val="17"/>
              </w:rPr>
              <w:t>31,675 FCFA</w:t>
            </w:r>
          </w:p>
          <w:p>
            <w:r>
              <w:rPr>
                <w:b/>
                <w:color w:val="503200"/>
                <w:sz w:val="16"/>
              </w:rPr>
              <w:t xml:space="preserve">Var. 100 jours : </w:t>
            </w:r>
            <w:r>
              <w:rPr>
                <w:b/>
                <w:color w:val="007800"/>
                <w:sz w:val="17"/>
              </w:rPr>
              <w:t>+29.82%</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24,400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6.96% (Moyenne) — μ=28,673 FCFA, σ=1,996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β=0.5972 (Défensif) — Cov=0.000024, Var(idx)=0.000040, ρ=0.211,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672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30,356</w:t>
            </w:r>
          </w:p>
        </w:tc>
        <w:tc>
          <w:tcPr>
            <w:tcW w:type="dxa" w:w="1440"/>
            <w:shd w:fill="FAFAFA" w:val="clear"/>
          </w:tcPr>
          <w:p>
            <w:r>
              <w:rPr>
                <w:b/>
                <w:sz w:val="17"/>
              </w:rPr>
              <w:t>31,511</w:t>
            </w:r>
          </w:p>
        </w:tc>
        <w:tc>
          <w:tcPr>
            <w:tcW w:type="dxa" w:w="1440"/>
            <w:shd w:fill="FAFAFA" w:val="clear"/>
          </w:tcPr>
          <w:p>
            <w:r>
              <w:rPr>
                <w:sz w:val="17"/>
              </w:rPr>
              <w:t>32,666</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29,824</w:t>
            </w:r>
          </w:p>
        </w:tc>
        <w:tc>
          <w:tcPr>
            <w:tcW w:type="dxa" w:w="1440"/>
            <w:shd w:fill="FAFAFA" w:val="clear"/>
          </w:tcPr>
          <w:p>
            <w:r>
              <w:rPr>
                <w:b/>
                <w:sz w:val="17"/>
              </w:rPr>
              <w:t>31,454</w:t>
            </w:r>
          </w:p>
        </w:tc>
        <w:tc>
          <w:tcPr>
            <w:tcW w:type="dxa" w:w="1440"/>
            <w:shd w:fill="FAFAFA" w:val="clear"/>
          </w:tcPr>
          <w:p>
            <w:r>
              <w:rPr>
                <w:sz w:val="17"/>
              </w:rPr>
              <w:t>33,085</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29,385</w:t>
            </w:r>
          </w:p>
        </w:tc>
        <w:tc>
          <w:tcPr>
            <w:tcW w:type="dxa" w:w="1440"/>
            <w:shd w:fill="FAFAFA" w:val="clear"/>
          </w:tcPr>
          <w:p>
            <w:r>
              <w:rPr>
                <w:b/>
                <w:sz w:val="17"/>
              </w:rPr>
              <w:t>31,377</w:t>
            </w:r>
          </w:p>
        </w:tc>
        <w:tc>
          <w:tcPr>
            <w:tcW w:type="dxa" w:w="1440"/>
            <w:shd w:fill="FAFAFA" w:val="clear"/>
          </w:tcPr>
          <w:p>
            <w:r>
              <w:rPr>
                <w:sz w:val="17"/>
              </w:rPr>
              <w:t>33,369</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29,009</w:t>
            </w:r>
          </w:p>
        </w:tc>
        <w:tc>
          <w:tcPr>
            <w:tcW w:type="dxa" w:w="1440"/>
            <w:shd w:fill="FAFAFA" w:val="clear"/>
          </w:tcPr>
          <w:p>
            <w:r>
              <w:rPr>
                <w:b/>
                <w:sz w:val="17"/>
              </w:rPr>
              <w:t>31,304</w:t>
            </w:r>
          </w:p>
        </w:tc>
        <w:tc>
          <w:tcPr>
            <w:tcW w:type="dxa" w:w="1440"/>
            <w:shd w:fill="FAFAFA" w:val="clear"/>
          </w:tcPr>
          <w:p>
            <w:r>
              <w:rPr>
                <w:sz w:val="17"/>
              </w:rPr>
              <w:t>33,599</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28,676</w:t>
            </w:r>
          </w:p>
        </w:tc>
        <w:tc>
          <w:tcPr>
            <w:tcW w:type="dxa" w:w="1440"/>
            <w:shd w:fill="FAFAFA" w:val="clear"/>
          </w:tcPr>
          <w:p>
            <w:r>
              <w:rPr>
                <w:b/>
                <w:sz w:val="17"/>
              </w:rPr>
              <w:t>31,236</w:t>
            </w:r>
          </w:p>
        </w:tc>
        <w:tc>
          <w:tcPr>
            <w:tcW w:type="dxa" w:w="1440"/>
            <w:shd w:fill="FAFAFA" w:val="clear"/>
          </w:tcPr>
          <w:p>
            <w:r>
              <w:rPr>
                <w:sz w:val="17"/>
              </w:rPr>
              <w:t>33,796</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28,373</w:t>
            </w:r>
          </w:p>
        </w:tc>
        <w:tc>
          <w:tcPr>
            <w:tcW w:type="dxa" w:w="1440"/>
            <w:shd w:fill="FAFAFA" w:val="clear"/>
          </w:tcPr>
          <w:p>
            <w:r>
              <w:rPr>
                <w:b/>
                <w:sz w:val="17"/>
              </w:rPr>
              <w:t>31,171</w:t>
            </w:r>
          </w:p>
        </w:tc>
        <w:tc>
          <w:tcPr>
            <w:tcW w:type="dxa" w:w="1440"/>
            <w:shd w:fill="FAFAFA" w:val="clear"/>
          </w:tcPr>
          <w:p>
            <w:r>
              <w:rPr>
                <w:sz w:val="17"/>
              </w:rPr>
              <w:t>33,970</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28,091</w:t>
            </w:r>
          </w:p>
        </w:tc>
        <w:tc>
          <w:tcPr>
            <w:tcW w:type="dxa" w:w="1440"/>
            <w:shd w:fill="FAFAFA" w:val="clear"/>
          </w:tcPr>
          <w:p>
            <w:r>
              <w:rPr>
                <w:b/>
                <w:sz w:val="17"/>
              </w:rPr>
              <w:t>31,108</w:t>
            </w:r>
          </w:p>
        </w:tc>
        <w:tc>
          <w:tcPr>
            <w:tcW w:type="dxa" w:w="1440"/>
            <w:shd w:fill="FAFAFA" w:val="clear"/>
          </w:tcPr>
          <w:p>
            <w:r>
              <w:rPr>
                <w:sz w:val="17"/>
              </w:rPr>
              <w:t>34,125</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27,828</w:t>
            </w:r>
          </w:p>
        </w:tc>
        <w:tc>
          <w:tcPr>
            <w:tcW w:type="dxa" w:w="1440"/>
            <w:shd w:fill="FAFAFA" w:val="clear"/>
          </w:tcPr>
          <w:p>
            <w:r>
              <w:rPr>
                <w:b/>
                <w:sz w:val="17"/>
              </w:rPr>
              <w:t>31,047</w:t>
            </w:r>
          </w:p>
        </w:tc>
        <w:tc>
          <w:tcPr>
            <w:tcW w:type="dxa" w:w="1440"/>
            <w:shd w:fill="FAFAFA" w:val="clear"/>
          </w:tcPr>
          <w:p>
            <w:r>
              <w:rPr>
                <w:sz w:val="17"/>
              </w:rPr>
              <w:t>34,266</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27,580</w:t>
            </w:r>
          </w:p>
        </w:tc>
        <w:tc>
          <w:tcPr>
            <w:tcW w:type="dxa" w:w="1440"/>
            <w:shd w:fill="FFDCE0" w:val="clear"/>
          </w:tcPr>
          <w:p>
            <w:r>
              <w:rPr>
                <w:b/>
                <w:sz w:val="17"/>
              </w:rPr>
              <w:t>30,987</w:t>
            </w:r>
          </w:p>
        </w:tc>
        <w:tc>
          <w:tcPr>
            <w:tcW w:type="dxa" w:w="1440"/>
            <w:shd w:fill="FFDCE0" w:val="clear"/>
          </w:tcPr>
          <w:p>
            <w:r>
              <w:rPr>
                <w:sz w:val="17"/>
              </w:rPr>
              <w:t>34,395</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27,344</w:t>
            </w:r>
          </w:p>
        </w:tc>
        <w:tc>
          <w:tcPr>
            <w:tcW w:type="dxa" w:w="1440"/>
            <w:shd w:fill="FFDCE0" w:val="clear"/>
          </w:tcPr>
          <w:p>
            <w:r>
              <w:rPr>
                <w:b/>
                <w:sz w:val="17"/>
              </w:rPr>
              <w:t>30,929</w:t>
            </w:r>
          </w:p>
        </w:tc>
        <w:tc>
          <w:tcPr>
            <w:tcW w:type="dxa" w:w="1440"/>
            <w:shd w:fill="FFDCE0" w:val="clear"/>
          </w:tcPr>
          <w:p>
            <w:r>
              <w:rPr>
                <w:sz w:val="17"/>
              </w:rPr>
              <w:t>34,514</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527,92 Mds FCFA, BICC s'impose comme l'une des valeurs bancaires les plus capitalisées de la cote BRVM, ce qui témoigne de sa stature de blue chip régionale. Le BPA de 2 191 FCFA/action signifie que chaque titre génère près de 2 200 FCFA de bénéfice net, un niveau élevé qui traduit la forte rentabilité de la banque. Le PER de 14,5x se situe au-dessus de la moyenne BRVM (~8-12x), signalant que le marché consent une prime de qualité à BICC, sans pour autant basculer dans une valorisation spéculative. Le P/B de 4,38x constitue en revanche un point d'attention : le marché valorise la banque à plus de quatre fois sa valeur comptable, ce qui intègre déjà une anticipation de croissance soutenue et une exigence de rentabilité durable. Enfin, l'EV/EBITDA de 10,4x, bien que dans la fourchette élevée (10-15x), reste cohérent avec la capacité opérationnelle de la banque et sa génération de cash-flows récurrents.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performance remarquable de **+29,82%**, clôturant à 31 675 FCFA, avec une variation nulle sur la dernière séance (J-1 : +0,00%), signe d'une stabilisation après le rallye. Le range de trading s'établit entre un plus bas de 24 400 FCFA et un plus haut de 34 000 FCFA, soit une amplitude de près de 40%, confirmant une tendance nettement haussière portée par la dynamique fondamentale. Les statistiques descriptives révèlent une distribution quasi-symétrique : la moyenne (28 673 FCFA) et la médiane (28 670 FCFA) sont pratiquement confondues, tandis que le skewness de 0,424 indique une légère asymétrie positive (quelques pics haussiers). Le kurtosis de 0,874 (mésokurtique) suggère un comportement proche d'une loi normale, sans risque extrême de queues épaisses. L'écart-type de 2 006 FCFA et le coefficient de variation de 7,0% traduisent une dispersion modérée du cours autour de sa moyenne, et la volatilité annualisée de 28,4% positionne le titre dans la catégorie **modérée à élevée** (15-30%), cohérente avec une valeur de croissance recherchée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(31 531,5 FCFA) et la MM50 (29 813,9 FCFA) se situent toutes deux sous le cours actuel (31 675 FCFA), avec la MM20 au-dessus de la MM50 — configuration haussière classique (golden cross). La décision technique est à l'**Achat**, le cours évoluant au-dessus de ses supports dynamiques.</w:t>
      </w:r>
    </w:p>
    <w:p>
      <w:pPr>
        <w:spacing w:after="120" w:line="276" w:lineRule="auto"/>
      </w:pPr>
      <w:r>
        <w:t>**Bandes de Bollinger** : Le cours (31 675 FCFA) évolue dans la partie haute de la bande (borne supérieure 34 886 FCFA, borne inférieure 28 176 FCFA), sans franchissement de la borne haute. La décision est **Neutre**, traduisant une absence de signal de surachat extrême et une volatilité contenue.</w:t>
      </w:r>
    </w:p>
    <w:p>
      <w:pPr>
        <w:spacing w:after="120" w:line="276" w:lineRule="auto"/>
      </w:pPr>
      <w:r>
        <w:t>**MACD** : La valeur du MACD (639,75) est inférieure à son signal (836,4), générant une décision de **Vente**. Cette divergence baissière indique un essoufflement du momentum haussier à court terme, bien que le MACD reste en territoire positif.</w:t>
      </w:r>
    </w:p>
    <w:p>
      <w:pPr>
        <w:spacing w:after="120" w:line="276" w:lineRule="auto"/>
      </w:pPr>
      <w:r>
        <w:t>**RSI** : À 59,44, le RSI se situe en zone neutre (30-70), sans surachat (&gt;70) ni survente (&lt;30). La décision est **Neutre**, confirmant que le titre conserve un potentiel de hausse sans être techniquement épuisé.</w:t>
      </w:r>
    </w:p>
    <w:p>
      <w:pPr>
        <w:spacing w:after="120" w:line="276" w:lineRule="auto"/>
      </w:pPr>
      <w:r>
        <w:t>**Stochastique** : Le %K (35,42) et le %D (37,21) évoluent en zone basse, proches du seuil de survente (20), avec un %K légèrement sous le %D. La décision est **Neutre**, suggérant une possible reprise technique à court terme si le croisement haussier se confirme.</w:t>
      </w:r>
    </w:p>
    <w:p>
      <w:pPr>
        <w:spacing w:after="120" w:line="276" w:lineRule="auto"/>
      </w:pPr>
      <w:r>
        <w:t>**Conclusion technique** : Les indicateurs présentent un tableau **mitigé mais globalement constructif**. Les moyennes mobiles confirment la tendance haussière de fond, tandis que le MACD signale un ralentissement du momentum. Le RSI et le stochastique, en zone neutre, laissent place à une consolidation avant une éventuelle reprise. La convergence des signaux penche vers un **maintien de la position haussière** avec une prudence sur le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(PNB, équivalent du chiffre d'affaires pour une banque) de **79,563 Mds FCFA**, un résultat net de **36,520 Mds FCFA**, un ROE exceptionnel de **30,29%** (largement supérieur au seuil de 15% considéré comme excellent) et un ROA de **3,24%**. Le coefficient d'exploitation s'établit à **50,83%**, sous le seuil de 60% qui définit une banque efficace — signe d'une maîtrise remarquable des charges. Le coût du risque, mesuré par le ratio provisions/charges financières, ressort à **-12,15%**, indiquant une bonne qualité du portefeuille de crédits. La structure bilancielle révèle une collecte de dépôts clients de **952,872 Mds FCFA** face à des créances clientèle de **524,439 Mds FCFA**, soit un ratio de transformation (crédits/dépôts) de 55%, traduisant une liquidité abondante mais une marge de progression dans l'octroi de crédits. Les capitaux propres de **120,570 Mds FCFA** et l'autonomie financière de 10,71% (faible, mais structurellement normale pour une banque) complètent un bilan solide.</w:t>
      </w:r>
    </w:p>
    <w:p>
      <w:pPr>
        <w:spacing w:after="120" w:line="276" w:lineRule="auto"/>
      </w:pPr>
      <w:r>
        <w:t>**Estimations basées sur les rapports trimestriels** : Le rapport du **T1 2026 (publié le 31 mars 2026)** confirme la dynamique : PNB de 21 214 MFCFA (+17,0% en glissement annuel), résultat net de 10 387 MFCFA (+29,7%), marge nette de 49,0% et dépôts clients en hausse de +14,5% à 996 392 MFCFA. Le rapport du **T3 2025 (30 septembre 2025)** affichait déjà un PNB cumulé de 58 119 MFCFA (+16,4%) et un résultat net de 27 402 MFCFA (+50,8%), avec une marge nette de 47,1%. Sur la base de ces tendances, on peut estimer que l'exercice 2026 devrait enregistrer une croissance du PNB de l'ordre de 15-17% et un résultat net approchant 45-48 Mds FCFA, confirmant la trajectoire exceptionnelle de la banque. Le principal point de vigilance reste la contraction des encours de crédits (-4,5% au T1 2026), compensée par une meilleure marge et des commissions en hausse. **Recommandation fondamentale : ACHAT**, justifiée par une rentabilité exceptionnelle, une maîtrise des coûts et une dynamique commerciale soutenue.</w:t>
      </w:r>
    </w:p>
    <w:p>
      <w:pPr>
        <w:spacing w:after="120" w:line="276" w:lineRule="auto"/>
      </w:pPr>
      <w:r>
        <w:t>---</w:t>
      </w:r>
    </w:p>
    <w:p>
      <w:pPr>
        <w:spacing w:after="120" w:line="276" w:lineRule="auto"/>
      </w:pPr>
      <w:r>
        <w:t>## PARTIE 4 : CONCLUSION D'INVESTISSEMENT</w:t>
      </w:r>
    </w:p>
    <w:p>
      <w:pPr>
        <w:spacing w:after="120" w:line="276" w:lineRule="auto"/>
      </w:pPr>
      <w:r>
        <w:t>La synthèse des quatre parties converge vers un **biais haussier modéré**. La **valorisation (Partie 0)** est exigeante (PER 14,5x, P/B 4,38x, EV/EBITDA 10,4x), intégrant déjà une prime de qualité, mais reste justifiée par un ROE de 30,29% et une croissance à deux chiffres. Le **comportement du cours (Partie 1)** est favorable : tendance haussière (+29,82% sur 100 jours), volatilité modérée (28,4%), distribution symétrique (skewness 0,424) et absence de risque extrême (kurtosis 0,874). Les **signaux techniques (Partie 2)** sont mitigés : les moyennes mobiles confirment la tendance haussière, mais le MACD génère un signal de vente à court terme, tandis que le RSI et le stochastique restent neutres. Les **fondamentaux (Partie 3)** sont excellents : PNB 2025 de 79,563 Mds FCFA, résultat net de 36,520 Mds FCFA, ROE de 30,29%, coefficient d'exploitation de 50,83% et croissance confirmée par les rapports T1 2026 (+17% de PNB, +29,7% de résultat net). Les **prédictions IA (J+1 à J+10)** anticipent une légère consolidation (31 511 → 31 236 FCFA), ce qui contredit partiellement le momentum haussier mais s'inscrit dans une phase de respiration après le rallye.</w:t>
      </w:r>
    </w:p>
    <w:p>
      <w:pPr>
        <w:spacing w:after="120" w:line="276" w:lineRule="auto"/>
      </w:pPr>
      <w:r>
        <w:t>**Recommandation finale : ACHAT**</w:t>
        <w:br/>
        <w:t>**Justification** : La convergence entre une rentabilité exceptionnelle (ROE 30,29%), une croissance soutenue (+17% de PNB au T1 2026) et une tendance de fond haussière l'emporte sur les signaux techniques de court terme (MACD baissier) et la légère consolidation anticipée par l'IA. Le titre reste une valeur de qualité sur la BRVM, adaptée aux investisseurs recherchant une croissance rentable.</w:t>
        <w:br/>
        <w:t>**Niveau de confiance** : Élevé</w:t>
        <w:br/>
        <w:t>**Niveau de risque global** : Moyen (valorisation exigeante, dépendance aux taux d'intérêt, contraction des crédits)</w:t>
        <w:br/>
        <w:t>**Horizon d'investissement optimal** : Moyen à long terme (6 à 18 mois), afin de laisser la dynamique fondamentale se matérialiser et d'absorber la consolidation technique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2,946 titres</w:t>
            </w:r>
          </w:p>
        </w:tc>
        <w:tc>
          <w:tcPr>
            <w:tcW w:type="dxa" w:w="2268"/>
            <w:shd w:fill="FFF2CC" w:val="clear"/>
          </w:tcPr>
          <w:p>
            <w:r>
              <w:rPr>
                <w:b/>
                <w:color w:val="503200"/>
                <w:sz w:val="16"/>
              </w:rPr>
              <w:t xml:space="preserve">Cours actuel : </w:t>
            </w:r>
            <w:r>
              <w:rPr>
                <w:color w:val="000000"/>
                <w:sz w:val="17"/>
              </w:rPr>
              <w:t>1,985 FCFA</w:t>
            </w:r>
          </w:p>
          <w:p>
            <w:r>
              <w:rPr>
                <w:b/>
                <w:color w:val="503200"/>
                <w:sz w:val="16"/>
              </w:rPr>
              <w:t xml:space="preserve">Var. 100 jours : </w:t>
            </w:r>
            <w:r>
              <w:rPr>
                <w:b/>
                <w:color w:val="007800"/>
                <w:sz w:val="17"/>
              </w:rPr>
              <w:t>+24.84%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13.02% (Moyenne) — μ=1,871 FCFA, σ=244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β=0.2753 (Défensif) — Cov=0.000011, Var(idx)=0.000040, ρ=0.051,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1,864</w:t>
            </w:r>
          </w:p>
        </w:tc>
        <w:tc>
          <w:tcPr>
            <w:tcW w:type="dxa" w:w="1440"/>
            <w:shd w:fill="FAFAFA" w:val="clear"/>
          </w:tcPr>
          <w:p>
            <w:r>
              <w:rPr>
                <w:b/>
                <w:sz w:val="17"/>
              </w:rPr>
              <w:t>1,978</w:t>
            </w:r>
          </w:p>
        </w:tc>
        <w:tc>
          <w:tcPr>
            <w:tcW w:type="dxa" w:w="1440"/>
            <w:shd w:fill="FAFAFA" w:val="clear"/>
          </w:tcPr>
          <w:p>
            <w:r>
              <w:rPr>
                <w:sz w:val="17"/>
              </w:rPr>
              <w:t>2,093</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1,810</w:t>
            </w:r>
          </w:p>
        </w:tc>
        <w:tc>
          <w:tcPr>
            <w:tcW w:type="dxa" w:w="1440"/>
            <w:shd w:fill="FAFAFA" w:val="clear"/>
          </w:tcPr>
          <w:p>
            <w:r>
              <w:rPr>
                <w:b/>
                <w:sz w:val="17"/>
              </w:rPr>
              <w:t>1,971</w:t>
            </w:r>
          </w:p>
        </w:tc>
        <w:tc>
          <w:tcPr>
            <w:tcW w:type="dxa" w:w="1440"/>
            <w:shd w:fill="FAFAFA" w:val="clear"/>
          </w:tcPr>
          <w:p>
            <w:r>
              <w:rPr>
                <w:sz w:val="17"/>
              </w:rPr>
              <w:t>2,133</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1,767</w:t>
            </w:r>
          </w:p>
        </w:tc>
        <w:tc>
          <w:tcPr>
            <w:tcW w:type="dxa" w:w="1440"/>
            <w:shd w:fill="FAFAFA" w:val="clear"/>
          </w:tcPr>
          <w:p>
            <w:r>
              <w:rPr>
                <w:b/>
                <w:sz w:val="17"/>
              </w:rPr>
              <w:t>1,965</w:t>
            </w:r>
          </w:p>
        </w:tc>
        <w:tc>
          <w:tcPr>
            <w:tcW w:type="dxa" w:w="1440"/>
            <w:shd w:fill="FAFAFA" w:val="clear"/>
          </w:tcPr>
          <w:p>
            <w:r>
              <w:rPr>
                <w:sz w:val="17"/>
              </w:rPr>
              <w:t>2,162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1,730</w:t>
            </w:r>
          </w:p>
        </w:tc>
        <w:tc>
          <w:tcPr>
            <w:tcW w:type="dxa" w:w="1440"/>
            <w:shd w:fill="FAFAFA" w:val="clear"/>
          </w:tcPr>
          <w:p>
            <w:r>
              <w:rPr>
                <w:b/>
                <w:sz w:val="17"/>
              </w:rPr>
              <w:t>1,957</w:t>
            </w:r>
          </w:p>
        </w:tc>
        <w:tc>
          <w:tcPr>
            <w:tcW w:type="dxa" w:w="1440"/>
            <w:shd w:fill="FAFAFA" w:val="clear"/>
          </w:tcPr>
          <w:p>
            <w:r>
              <w:rPr>
                <w:sz w:val="17"/>
              </w:rPr>
              <w:t>2,184</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1,697</w:t>
            </w:r>
          </w:p>
        </w:tc>
        <w:tc>
          <w:tcPr>
            <w:tcW w:type="dxa" w:w="1440"/>
            <w:shd w:fill="FAFAFA" w:val="clear"/>
          </w:tcPr>
          <w:p>
            <w:r>
              <w:rPr>
                <w:b/>
                <w:sz w:val="17"/>
              </w:rPr>
              <w:t>1,950</w:t>
            </w:r>
          </w:p>
        </w:tc>
        <w:tc>
          <w:tcPr>
            <w:tcW w:type="dxa" w:w="1440"/>
            <w:shd w:fill="FAFAFA" w:val="clear"/>
          </w:tcPr>
          <w:p>
            <w:r>
              <w:rPr>
                <w:sz w:val="17"/>
              </w:rPr>
              <w:t>2,202</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1,666</w:t>
            </w:r>
          </w:p>
        </w:tc>
        <w:tc>
          <w:tcPr>
            <w:tcW w:type="dxa" w:w="1440"/>
            <w:shd w:fill="FFDCE0" w:val="clear"/>
          </w:tcPr>
          <w:p>
            <w:r>
              <w:rPr>
                <w:b/>
                <w:sz w:val="17"/>
              </w:rPr>
              <w:t>1,942</w:t>
            </w:r>
          </w:p>
        </w:tc>
        <w:tc>
          <w:tcPr>
            <w:tcW w:type="dxa" w:w="1440"/>
            <w:shd w:fill="FFDCE0" w:val="clear"/>
          </w:tcPr>
          <w:p>
            <w:r>
              <w:rPr>
                <w:sz w:val="17"/>
              </w:rPr>
              <w:t>2,218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1,637</w:t>
            </w:r>
          </w:p>
        </w:tc>
        <w:tc>
          <w:tcPr>
            <w:tcW w:type="dxa" w:w="1440"/>
            <w:shd w:fill="FFDCE0" w:val="clear"/>
          </w:tcPr>
          <w:p>
            <w:r>
              <w:rPr>
                <w:b/>
                <w:sz w:val="17"/>
              </w:rPr>
              <w:t>1,934</w:t>
            </w:r>
          </w:p>
        </w:tc>
        <w:tc>
          <w:tcPr>
            <w:tcW w:type="dxa" w:w="1440"/>
            <w:shd w:fill="FFDCE0" w:val="clear"/>
          </w:tcPr>
          <w:p>
            <w:r>
              <w:rPr>
                <w:sz w:val="17"/>
              </w:rPr>
              <w:t>2,231</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1,611</w:t>
            </w:r>
          </w:p>
        </w:tc>
        <w:tc>
          <w:tcPr>
            <w:tcW w:type="dxa" w:w="1440"/>
            <w:shd w:fill="FFDCE0" w:val="clear"/>
          </w:tcPr>
          <w:p>
            <w:r>
              <w:rPr>
                <w:b/>
                <w:sz w:val="17"/>
              </w:rPr>
              <w:t>1,927</w:t>
            </w:r>
          </w:p>
        </w:tc>
        <w:tc>
          <w:tcPr>
            <w:tcW w:type="dxa" w:w="1440"/>
            <w:shd w:fill="FFDCE0" w:val="clear"/>
          </w:tcPr>
          <w:p>
            <w:r>
              <w:rPr>
                <w:sz w:val="17"/>
              </w:rPr>
              <w:t>2,243</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1,585</w:t>
            </w:r>
          </w:p>
        </w:tc>
        <w:tc>
          <w:tcPr>
            <w:tcW w:type="dxa" w:w="1440"/>
            <w:shd w:fill="FFDCE0" w:val="clear"/>
          </w:tcPr>
          <w:p>
            <w:r>
              <w:rPr>
                <w:b/>
                <w:sz w:val="17"/>
              </w:rPr>
              <w:t>1,920</w:t>
            </w:r>
          </w:p>
        </w:tc>
        <w:tc>
          <w:tcPr>
            <w:tcW w:type="dxa" w:w="1440"/>
            <w:shd w:fill="FFDCE0" w:val="clear"/>
          </w:tcPr>
          <w:p>
            <w:r>
              <w:rPr>
                <w:sz w:val="17"/>
              </w:rPr>
              <w:t>2,254</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1,562</w:t>
            </w:r>
          </w:p>
        </w:tc>
        <w:tc>
          <w:tcPr>
            <w:tcW w:type="dxa" w:w="1440"/>
            <w:shd w:fill="FFDCE0" w:val="clear"/>
          </w:tcPr>
          <w:p>
            <w:r>
              <w:rPr>
                <w:b/>
                <w:sz w:val="17"/>
              </w:rPr>
              <w:t>1,913</w:t>
            </w:r>
          </w:p>
        </w:tc>
        <w:tc>
          <w:tcPr>
            <w:tcW w:type="dxa" w:w="1440"/>
            <w:shd w:fill="FFDCE0" w:val="clear"/>
          </w:tcPr>
          <w:p>
            <w:r>
              <w:rPr>
                <w:sz w:val="17"/>
              </w:rPr>
              <w:t>2,263</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13,15 milliards FCFA, BNBC se situe dans la catégorie des petites capitalisations de la BRVM, ce qui expose le titre à une liquidité limitée (volume moyen de 2 946 titres/jour) et à une plus grande sensibilité aux mouvements spéculatifs. Le BPA de 3 FCFA/action traduit une rentabilité par action quasi symbolique, et le PER de 589,1x — très largement supérieur à la moyenne BRVM (~8-12x) — signale que les investisseurs paient un prix déconnecté des bénéfices actuels, ce qui rend toute déception sur les résultats très risquée. À l'inverse, le P/B de 0,74x indique que le marché valorise l'entreprise à 26% en dessous de sa valeur comptable (capitaux propres de 17,77 Mds FCFA), ce qui constitue une opportunité potentielle de valeur patrimoniale. Enfin, l'EV/EBITDA de 24,2x, très supérieur au seuil de 15x, montre que la valeur d'entreprise intègre une prime spéculative par rapport à la capacité opérationnelle réelle, ce qui contraste avec la faiblesse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progression totale de +24,84%, portée par un rallye haussier marqué, malgré un repli de -0,75% lors de la dernière séance (J-1) qui suggère un essoufflement à court terme. Le cours actuel de 1 985 FCFA se situe dans la partie haute du range de trading, dont le plus bas a été atteint à 1 300 FCFA et le plus haut à 2 400 FCFA, soit une amplitude de 84,6% qui témoigne d'une forte volatilité directionnelle. La tendance générale reste haussière sur la période, mais le repli récent sous la moyenne mobile 20 jours (2 165 FCFA) indique une possible consolidation. Les statistiques descriptives révèlent une moyenne de 1 871 FCFA légèrement inférieure à la médiane de 1 940 FCFA, signe d'une asymétrie négative confirmée par le skewness de -0,406 (distribution symétrique avec une queue gauche plus épaisse, donc quelques séances de forte baisse). L'écart-type de 245 FCFA avec un coefficient de variation de 13,1% traduit une dispersion modérée autour de la moyenne, tandis que le kurtosis de -0,392 (mésokurtique) indique une distribution proche de la normale, sans risque majeur de pics extrêmes. La volatilité annualisée de 54,0% classe le titre dans la catégorie des valeurs à volatilité élevée (&gt;30%), ce qui implique un risque de perte en capital significatif pour un investisseur non averti.</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(2 165 FCFA) est supérieure à la MM50 (2 021,2 FCFA), ce qui confirme une configuration haussière de fond. Cependant, le cours actuel (1 985 FCFA) évolue en dessous de ces deux moyennes, signalant une pression baissière de court terme. La décision technique affichée est "Achat", probablement en anticipation d'un rebond vers les moyennes, mais la position du cours sous ces niveaux invite à la prudence.</w:t>
      </w:r>
    </w:p>
    <w:p>
      <w:pPr>
        <w:spacing w:after="120" w:line="276" w:lineRule="auto"/>
      </w:pPr>
      <w:r>
        <w:t>**Bandes de Bollinger** : Le cours (1 985 FCFA) se situe dans la partie basse de la bande, entre la borne inférieure (1 927,78 FCFA) et la borne supérieure (2 402,22 FCFA). La largeur de la bande (474 FCFA) reflète une volatilité élevée. La décision "Neutre" s'explique par l'absence de signal clair : le cours n'est ni en surachat (proche borne supérieure) ni en survente extrême (proche borne inférieure), mais sa proximité avec la borne basse suggère un potentiel de rebond limité.</w:t>
      </w:r>
    </w:p>
    <w:p>
      <w:pPr>
        <w:spacing w:after="120" w:line="276" w:lineRule="auto"/>
      </w:pPr>
      <w:r>
        <w:t>**MACD** : La valeur du MACD (6,98) est nettement inférieure à son signal (37,485), ce qui constitue un croisement baissier (death cross) et confirme un momentum négatif. La décision "Vente" est cohérente avec cette divergence, indiquant que la dynamique haussière des dernières semaines s'essouffle et que les vendeurs prennent le dessus.</w:t>
      </w:r>
    </w:p>
    <w:p>
      <w:pPr>
        <w:spacing w:after="120" w:line="276" w:lineRule="auto"/>
      </w:pPr>
      <w:r>
        <w:t>**RSI** : À 28,718, le RSI se situe en zone de survente (&lt;30), ce qui déclenche une décision "Achat" en anticipation d'un rebond technique. Cette lecture est cohérente avec la proximité de la borne inférieure de Bollinger, mais elle doit être tempérée par le contexte baissier du MACD : un RSI bas peut persister en tendance baissière.</w:t>
      </w:r>
    </w:p>
    <w:p>
      <w:pPr>
        <w:spacing w:after="120" w:line="276" w:lineRule="auto"/>
      </w:pPr>
      <w:r>
        <w:t>**Stochastique** : Le %K (0,0) et le %D (1,408) sont tous deux en zone extrême de survente, avec un %K au plancher absolu. La décision "Achat" repose sur l'anticipation d'un croisement haussier imminent, mais l'absence de %K positif traduit une pression vendeuse encore très forte.</w:t>
      </w:r>
    </w:p>
    <w:p>
      <w:pPr>
        <w:spacing w:after="120" w:line="276" w:lineRule="auto"/>
      </w:pPr>
      <w:r>
        <w:t>**Conclusion technique** : Les indicateurs sont divergents : les oscillateurs (RSI, Stochastique) signalent une survente propice à un rebond, tandis que le MACD et la position du cours sous les moyennes mobiles confirment une tendance baissière de court terme. Cette configuration suggère un possible rebond technique à très court terme, mais la prudence reste de mise tant que le cours ne repasse pas au-dessus de la MM20 (2 165 FCFA). La convergence des signaux baissiers (MACD, position sous MM) l'emporte sur les signaux d'achat, ce qui plaide pour une consolidation avant toute reprise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préoccupante : le chiffre d'affaires s'établit à 42,454 Mds FCFA, en recul de -6,31% par rapport à 2024 (45,312 Mds FCFA), tandis que le résultat net n'est que de 22,32 M FCFA, soit une marge nette de 0,0526% — quasi nulle. Le ROE de 0,1256% et le ROA de 0,0454% sont extrêmement faibles, confirmant une rentabilité anémique malgré des capitaux propres solides de 17,77 Mds FCFA. En tant qu'entreprise non bancaire, l'analyse des délais d'exploitation est critique : le délai clients de 104,40 jours est élevé et traduit un risque de trésorerie important, tandis que le délai fournisseurs de 116,09 jours est favorable à la trésorerie. La durée de stockage de 339,23 jours est très élevée, immobilisant massivement du capital (stocks de 28,949 Mds FCFA). Le BFR de 29,373 Mds FCFA (positif) pèse lourdement sur la trésorerie, qui est négative à -16,689 Mds FCFA, créant un risque de liquidité majeur. Le ratio d'endettement de 105,48% et la capacité de remboursement de 19,17 années (dettes financières/CAF) sont des signaux d'alerte. Les rapports trimestriels confirment cette tendance : le rapport du T1 2026 (publié le 31/12/2026) fait état d'un chiffre d'affaires stable à 11,194 Mds FCFA (-0,12%) mais d'un résultat net positif de 65,566 M FCFA contre une perte de 16,147 M FCFA au T1 2025, soit une amélioration spectaculaire de +506% — bien que cette performance soit attribuée à l'intégration de la division Équipement, encore en phase de démarrage. Le rapport du T3 2025 (30/09/2025) indiquait une perte nette cumulée de -157,03 M FCFA, avec un chiffre d'affaires en recul de -3% sur neuf mois et une contraction de -13% au T3 seul. Le rapport du S1 2025 (30/06/2025) montrait une perte de -139,57 M FCFA malgré une croissance de +3% du CA. Sur la base du T1 2026, on peut estimer que l'exercice 2026 devrait bénéficier d'un effet de base favorable et d'une amélioration progressive, mais la rentabilité structurelle reste fragile et dépendante de la montée en puissance des nouvelles divisions. La recommandation fondamentale est de **conserver** avec une surveillance accrue : la solidité des capitaux propres et l'amélioration du résultat net au T1 2026 sont des points positifs, mais la trésorerie négative, la faible rentabilité et le risque de liquidité constituent des défis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et risqué. Sur le plan de la **valorisation (Partie 0)**, le PER de 589,1x et l'EV/EBITDA de 24,2x indiquent une surévaluation manifeste par rapport aux bénéfices et à la capacité opérationnelle, bien que le P/B de 0,74x suggère une décote sur la valeur comptable — un signal contradictoire qui reflète la spéculation sur un retournement. Le **comportement du cours (Partie 1)** est haussier sur 100 jours (+24,84%) mais avec une volatilité élevée (54%) et une asymétrie négative (skewness -0,406) qui prévient de risques de corrections brutales. Les **signaux techniques (Partie 2)** sont divergents : les oscillateurs (RSI 28,7, Stochastique 0,0) plaident pour un rebond technique, mais le MACD baissier et la position du cours sous les moyennes mobiles confirment une pression vendeuse persistante. Les **fondamentaux (Partie 3)** sont fragiles : chiffre d'affaires en recul (-6,31% en 2025), marge nette quasi nulle (0,05%), trésorerie négative (-16,69 Mds FCFA) et endettement élevé (105,48%), même si le T1 2026 montre une amélioration spectaculaire du résultat net (+506%) portée par la division Équipement. Les **prédictions IA (J+1 à J+10)** anticipent une trajectoire baissière continue, de 1 978 FCFA à 1 950 FCFA, ce qui contredit les signaux d'achat des oscillateurs mais confirme la tendance baissière du MACD et la pression vendeuse. Sur la base de cette synthèse globale, la recommandation finale est **CONSERVER** avec un niveau de confiance **Moyen** et un risque global **Élevé**. La convergence entre la surévaluation (PER/EV-EBITDA), la faiblesse des fondamentaux (marge nette, trésorerie) et les prédictions baissières l'emporte sur les signaux d'achat techniques à court terme. L'horizon d'investissement optimal est **moyen terme (3-12 mois)**, en attendant la confirmation d'une amélioration durable de la rentabilité et de la trésorerie, notamment via les résultats du T2 2026 et la montée en puissance des divisions Équipement et Power. Une dégradation supplémentaire des fondamentaux ou une cassure du support de 1 927 FCFA (borne inférieure de Bollinger) justifierait un passage à la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385.33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5,493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+11.76%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8,500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6.09% (Moyenne) — μ=9,157 FCFA, σ=557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β=0.1091 (Défensif) — Cov=0.000004, Var(idx)=0.000040, ρ=0.041,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9,247</w:t>
            </w:r>
          </w:p>
        </w:tc>
        <w:tc>
          <w:tcPr>
            <w:tcW w:type="dxa" w:w="1440"/>
            <w:shd w:fill="FAFAFA" w:val="clear"/>
          </w:tcPr>
          <w:p>
            <w:r>
              <w:rPr>
                <w:b/>
                <w:sz w:val="17"/>
              </w:rPr>
              <w:t>9,615</w:t>
            </w:r>
          </w:p>
        </w:tc>
        <w:tc>
          <w:tcPr>
            <w:tcW w:type="dxa" w:w="1440"/>
            <w:shd w:fill="FAFAFA" w:val="clear"/>
          </w:tcPr>
          <w:p>
            <w:r>
              <w:rPr>
                <w:sz w:val="17"/>
              </w:rPr>
              <w:t>9,982</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9,083</w:t>
            </w:r>
          </w:p>
        </w:tc>
        <w:tc>
          <w:tcPr>
            <w:tcW w:type="dxa" w:w="1440"/>
            <w:shd w:fill="FAFAFA" w:val="clear"/>
          </w:tcPr>
          <w:p>
            <w:r>
              <w:rPr>
                <w:b/>
                <w:sz w:val="17"/>
              </w:rPr>
              <w:t>9,603</w:t>
            </w:r>
          </w:p>
        </w:tc>
        <w:tc>
          <w:tcPr>
            <w:tcW w:type="dxa" w:w="1440"/>
            <w:shd w:fill="FAFAFA" w:val="clear"/>
          </w:tcPr>
          <w:p>
            <w:r>
              <w:rPr>
                <w:sz w:val="17"/>
              </w:rPr>
              <w:t>10,122</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8,964</w:t>
            </w:r>
          </w:p>
        </w:tc>
        <w:tc>
          <w:tcPr>
            <w:tcW w:type="dxa" w:w="1440"/>
            <w:shd w:fill="FAFAFA" w:val="clear"/>
          </w:tcPr>
          <w:p>
            <w:r>
              <w:rPr>
                <w:b/>
                <w:sz w:val="17"/>
              </w:rPr>
              <w:t>9,600</w:t>
            </w:r>
          </w:p>
        </w:tc>
        <w:tc>
          <w:tcPr>
            <w:tcW w:type="dxa" w:w="1440"/>
            <w:shd w:fill="FAFAFA" w:val="clear"/>
          </w:tcPr>
          <w:p>
            <w:r>
              <w:rPr>
                <w:sz w:val="17"/>
              </w:rPr>
              <w:t>10,236</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8,850</w:t>
            </w:r>
          </w:p>
        </w:tc>
        <w:tc>
          <w:tcPr>
            <w:tcW w:type="dxa" w:w="1440"/>
            <w:shd w:fill="FAFAFA" w:val="clear"/>
          </w:tcPr>
          <w:p>
            <w:r>
              <w:rPr>
                <w:b/>
                <w:sz w:val="17"/>
              </w:rPr>
              <w:t>9,583</w:t>
            </w:r>
          </w:p>
        </w:tc>
        <w:tc>
          <w:tcPr>
            <w:tcW w:type="dxa" w:w="1440"/>
            <w:shd w:fill="FAFAFA" w:val="clear"/>
          </w:tcPr>
          <w:p>
            <w:r>
              <w:rPr>
                <w:sz w:val="17"/>
              </w:rPr>
              <w:t>10,316</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8,744</w:t>
            </w:r>
          </w:p>
        </w:tc>
        <w:tc>
          <w:tcPr>
            <w:tcW w:type="dxa" w:w="1440"/>
            <w:shd w:fill="FAFAFA" w:val="clear"/>
          </w:tcPr>
          <w:p>
            <w:r>
              <w:rPr>
                <w:b/>
                <w:sz w:val="17"/>
              </w:rPr>
              <w:t>9,561</w:t>
            </w:r>
          </w:p>
        </w:tc>
        <w:tc>
          <w:tcPr>
            <w:tcW w:type="dxa" w:w="1440"/>
            <w:shd w:fill="FAFAFA" w:val="clear"/>
          </w:tcPr>
          <w:p>
            <w:r>
              <w:rPr>
                <w:sz w:val="17"/>
              </w:rPr>
              <w:t>10,379</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8,646</w:t>
            </w:r>
          </w:p>
        </w:tc>
        <w:tc>
          <w:tcPr>
            <w:tcW w:type="dxa" w:w="1440"/>
            <w:shd w:fill="FAFAFA" w:val="clear"/>
          </w:tcPr>
          <w:p>
            <w:r>
              <w:rPr>
                <w:b/>
                <w:sz w:val="17"/>
              </w:rPr>
              <w:t>9,540</w:t>
            </w:r>
          </w:p>
        </w:tc>
        <w:tc>
          <w:tcPr>
            <w:tcW w:type="dxa" w:w="1440"/>
            <w:shd w:fill="FAFAFA" w:val="clear"/>
          </w:tcPr>
          <w:p>
            <w:r>
              <w:rPr>
                <w:sz w:val="17"/>
              </w:rPr>
              <w:t>10,433</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8,555</w:t>
            </w:r>
          </w:p>
        </w:tc>
        <w:tc>
          <w:tcPr>
            <w:tcW w:type="dxa" w:w="1440"/>
            <w:shd w:fill="FAFAFA" w:val="clear"/>
          </w:tcPr>
          <w:p>
            <w:r>
              <w:rPr>
                <w:b/>
                <w:sz w:val="17"/>
              </w:rPr>
              <w:t>9,519</w:t>
            </w:r>
          </w:p>
        </w:tc>
        <w:tc>
          <w:tcPr>
            <w:tcW w:type="dxa" w:w="1440"/>
            <w:shd w:fill="FAFAFA" w:val="clear"/>
          </w:tcPr>
          <w:p>
            <w:r>
              <w:rPr>
                <w:sz w:val="17"/>
              </w:rPr>
              <w:t>10,482</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8,471</w:t>
            </w:r>
          </w:p>
        </w:tc>
        <w:tc>
          <w:tcPr>
            <w:tcW w:type="dxa" w:w="1440"/>
            <w:shd w:fill="FAFAFA" w:val="clear"/>
          </w:tcPr>
          <w:p>
            <w:r>
              <w:rPr>
                <w:b/>
                <w:sz w:val="17"/>
              </w:rPr>
              <w:t>9,498</w:t>
            </w:r>
          </w:p>
        </w:tc>
        <w:tc>
          <w:tcPr>
            <w:tcW w:type="dxa" w:w="1440"/>
            <w:shd w:fill="FAFAFA" w:val="clear"/>
          </w:tcPr>
          <w:p>
            <w:r>
              <w:rPr>
                <w:sz w:val="17"/>
              </w:rPr>
              <w:t>10,526</w:t>
            </w:r>
          </w:p>
        </w:tc>
        <w:tc>
          <w:tcPr>
            <w:tcW w:type="dxa" w:w="1440"/>
            <w:shd w:fill="FAFAFA" w:val="clear"/>
          </w:tcPr>
          <w:p>
            <w:r>
              <w:rPr>
                <w:b/>
                <w:color w:val="C00000"/>
                <w:sz w:val="17"/>
              </w:rPr>
              <w:t>-0.0%</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8,391</w:t>
            </w:r>
          </w:p>
        </w:tc>
        <w:tc>
          <w:tcPr>
            <w:tcW w:type="dxa" w:w="1440"/>
            <w:shd w:fill="FAFAFA" w:val="clear"/>
          </w:tcPr>
          <w:p>
            <w:r>
              <w:rPr>
                <w:b/>
                <w:sz w:val="17"/>
              </w:rPr>
              <w:t>9,478</w:t>
            </w:r>
          </w:p>
        </w:tc>
        <w:tc>
          <w:tcPr>
            <w:tcW w:type="dxa" w:w="1440"/>
            <w:shd w:fill="FAFAFA" w:val="clear"/>
          </w:tcPr>
          <w:p>
            <w:r>
              <w:rPr>
                <w:sz w:val="17"/>
              </w:rPr>
              <w:t>10,566</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8,315</w:t>
            </w:r>
          </w:p>
        </w:tc>
        <w:tc>
          <w:tcPr>
            <w:tcW w:type="dxa" w:w="1440"/>
            <w:shd w:fill="FAFAFA" w:val="clear"/>
          </w:tcPr>
          <w:p>
            <w:r>
              <w:rPr>
                <w:b/>
                <w:sz w:val="17"/>
              </w:rPr>
              <w:t>9,460</w:t>
            </w:r>
          </w:p>
        </w:tc>
        <w:tc>
          <w:tcPr>
            <w:tcW w:type="dxa" w:w="1440"/>
            <w:shd w:fill="FAFAFA" w:val="clear"/>
          </w:tcPr>
          <w:p>
            <w:r>
              <w:rPr>
                <w:sz w:val="17"/>
              </w:rPr>
              <w:t>10,604</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BANK OF AFRICA BÉNIN (BOAB)**</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385,33 milliards FCFA, BOAB s'impose comme l'une des valeurs bancaires de référence de la cote BRVM, un niveau qui traduit la confiance du marché envers l'un des établissements les plus solides du secteur financier béninois. Le BPA de 496 FCFA par action signifie que chaque titre génère près de 500 FCFA de bénéfice net, un niveau confortable au regard du cours actuel de 9 500 FCFA. Le PER de 19,2x apparaît nettement supérieur à la moyenne du marché BRVM (généralement comprise entre 8 et 12x), ce qui indique que les investisseurs acceptent de payer une prime significative pour cette valeur bancaire, justifiée par sa régularité bénéficiaire et sa solidité financière. Le P/B de 3,28x confirme cette prime de croissance : le marché valorise BOAB à plus de trois fois sa valeur comptable, reflétant la qualité perçue de ses fonds propres et sa capacité à générer des rendements supérieurs à la moyenne. Enfin, l'EV/EBITDA de 19,7x, très exigeant (seuil d'alerte généralement fixé à 15x), suggère que la valeur intègre déjà une bonne partie des anticipations de croissance, ce qui limite le potentiel d'appréciation à court terme et invite à la prudence sur les points d'entrée.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 affiche une progression totale de +11,76%, mais la dernière séance (J-1) enregistre un repli marqué de -3,55%, signalant une prise de bénéfices après un rallye haussier. Le cours actuel de 9 500 FCFA se situe dans la partie médiane du range de trading, dont le plus haut atteint 10 350 FCFA et le plus bas 8 500 FCFA, soit une amplitude de 1 850 FCFA (21,8%) qui témoigne d'une réelle dynamique de marché. La tendance générale reste haussière sur la période, portée par la bonne tenue des fondamentaux bancaires, mais le repli récent invite à la vigilance. Les statistiques descriptives révèlent une moyenne de 9 157 FCFA supérieure à la médiane de 8 925 FCFA, avec un mode à 8 700 FCFA : cet écart entre moyenne et médiane, couplé à un skewness positif de 0,968, indique une asymétrie à droite — le cours a passé plus de journées sous sa moyenne, mais les poussées haussières ont été suffisamment fortes pour tirer la moyenne vers le haut. L'écart-type de 560 FCFA (CV de 6,1%) traduit une dispersion modérée du cours, tandis que le kurtosis de -0,474 (mésokurtique) suggère une distribution proche de la normale, sans risque excessif de pics extrêmes. La volatilité annualisée de 26,5% positionne le titre dans la catégorie des valeurs à volatilité modérée (15-30%), compatible avec un profil d'investisseur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10 132,5 FCFA et la MM50 à 9 331,6 FCFA, toutes deux supérieures au cours actuel de 9 500 FCFA pour la MM20, mais la MM50 reste en dessous. Le cours évolue donc sous sa moyenne court terme mais au-dessus de sa moyenne moyen terme, configuration qui traduit une correction à court terme au sein d'une tendance haussière de fond. La décision technique affichée est "Achat", cohérente avec le positionnement du cours au-dessus de la MM50 et la perspective d'un rebond vers la MM20.</w:t>
      </w:r>
    </w:p>
    <w:p>
      <w:pPr>
        <w:spacing w:after="120" w:line="276" w:lineRule="auto"/>
      </w:pPr>
      <w:r>
        <w:t>**Bandes de Bollinger** : La borne supérieure se situe à 10 533,5 FCFA et la borne inférieure à 9 731,5 FCFA, avec un cours actuel de 9 500 FCFA qui évolue légèrement sous la borne inférieure — situation inhabituelle qui signale une pression vendeuse à court terme et une possible surréaction baissière. L'écart entre les bornes (802 FCFA) reflète une volatilité contenue. La décision "Achat" s'explique par le fait qu'un cours sous la borne inférieure est statistiquement peu durable et préfigure souvent un retour vers la moyenne.</w:t>
      </w:r>
    </w:p>
    <w:p>
      <w:pPr>
        <w:spacing w:after="120" w:line="276" w:lineRule="auto"/>
      </w:pPr>
      <w:r>
        <w:t>**MACD** : La valeur du MACD (141,512) est inférieure à son signal (252,953), configuration baissière qui indique un essoufflement du momentum haussier. La décision "Vente" reflète cette divergence négative, le MACD ayant probablement amorcé un croisement baissier sous sa ligne de signal. Ce signal contredit les autres indicateurs et invite à la prudence sur le timing d'entrée.</w:t>
      </w:r>
    </w:p>
    <w:p>
      <w:pPr>
        <w:spacing w:after="120" w:line="276" w:lineRule="auto"/>
      </w:pPr>
      <w:r>
        <w:t>**RSI** : À 26,349, le RSI se situe nettement en zone de survente (seuil &lt;30), ce qui constitue un signal d'achat classique. Cette lecture suggère que la pression vendeuse récente a été excessive et qu'un rebond technique est probable à court terme. La décision "Achat" est ici pleinement justifiée par le caractère extrême de la survente.</w:t>
      </w:r>
    </w:p>
    <w:p>
      <w:pPr>
        <w:spacing w:after="120" w:line="276" w:lineRule="auto"/>
      </w:pPr>
      <w:r>
        <w:t>**Stochastique** : Le %K à 0,0 et le %D à 9,524 indiquent que le cours clôture au plus bas de sa fourchette récente, en zone de survente extrême. Le croisement potentiel du %K au-dessus du %D constituerait un signal d'achat, mais en l'état, la configuration reste baissière. La décision "Achat" anticipe un retournement imminent.</w:t>
      </w:r>
    </w:p>
    <w:p>
      <w:pPr>
        <w:spacing w:after="120" w:line="276" w:lineRule="auto"/>
      </w:pPr>
      <w:r>
        <w:t>**Conclusion technique** : Les indicateurs présentent une divergence notable : les oscillateurs (RSI à 26,3, Stochastique en survente, Bandes de Bollinger sous la borne inférieure) plaident pour un rebond technique imminent, tandis que le MACD en configuration baissière tempère cet optimisme. La position du cours au-dessus de la MM50 mais sous la MM20 confirme une correction au sein d'une tendance haussière. La convergence des signaux de survente suggère une fenêtre d'achat tactique, mais la confirmation par un retournement du MACD serait souhaitable pour valider un point d'entrée durable.</w:t>
      </w:r>
    </w:p>
    <w:p>
      <w:pPr>
        <w:spacing w:after="120" w:line="276" w:lineRule="auto"/>
      </w:pPr>
      <w:r>
        <w:t>---</w:t>
      </w:r>
    </w:p>
    <w:p>
      <w:pPr>
        <w:spacing w:after="120" w:line="276" w:lineRule="auto"/>
      </w:pPr>
      <w:r>
        <w:t>## PARTIE 3 : ANALYSE FONDAMENTALE</w:t>
      </w:r>
    </w:p>
    <w:p>
      <w:pPr>
        <w:spacing w:after="120" w:line="276" w:lineRule="auto"/>
      </w:pPr>
      <w:r>
        <w:t>Les données financières structurées de l'exercice 2025 brossent le portrait d'une banque solide et rentable. Le Produit Net Bancaire (équivalent du chiffre d'affaires pour une banque) s'établit à 51,274 milliards FCFA, en croissance de 10,2% sur un an, porté par 55,728 milliards FCFA de produits d'intérêts et 12,339 milliards FCFA de commissions. Le résultat net atteint 20,107 milliards FCFA, soit une marge nette remarquable de 39,2%. La rentabilité des fonds propres (ROE) ressort à 17,1%, niveau excellent (&gt;15%), tandis que le ROA de 2,08% confirme l'efficacité de l'utilisation des actifs. Le coefficient d'exploitation de 49,5% place BOAB parmi les banques les plus efficaces du secteur (seuil d'excellence &lt;50%), traduisant une maîtrise rigoureuse des charges. Le coût du risque, à 22,5% des charges financières, reste élevé et constitue le principal point de vigilance, signalant un portefeuille de crédits exposé. La structure financière affiche une autonomie financière de 12,2% (capitaux propres/total bilan), un ratio d'endettement de 98,8% et une solvabilité générale de 113,9%, conforme aux exigences bancaires. Les dépôts clientèle (711,642 milliards FCFA) couvrent largement les créances clientèle (391,724 milliards FCFA), avec un ratio de transformation de 55%, indicateur d'une gestion prudente de la liquidité.</w:t>
      </w:r>
    </w:p>
    <w:p>
      <w:pPr>
        <w:spacing w:after="120" w:line="276" w:lineRule="auto"/>
      </w:pPr>
      <w:r>
        <w:t>Les rapports narratifs confirment cette dynamique. Le rapport du T1 2026 (publié en 2026) fait état d'un PNB de 12,329 milliards FCFA (+11%) et d'un résultat net de 4,502 milliards FCFA (+1%), avec des dépôts en progression de 3,5% à 753,7 milliards FCFA. Le rapport du T3 2025 (daté du 30 septembre 2025) mentionne un PNB trimestriel de 37,065 milliards FCFA (+9%) et un résultat net de 15,880 milliards FCFA (+13%), malgré une contraction des crédits (-10%) et des dépôts (-5%) sur un an. Le rapport du S1 2025 (30 juin 2025) indique un PNB de 24,556 milliards FCFA (+5,91%) et un résultat net de 11,012 milliards FCFA (+0,75%), avec un ROE de 20,3% et un coefficient d'exploitation de 46,1%. L'exercice 2024 (rapport du 31 décembre 2024) avait enregistré un résultat net de 19,647 milliards FCFA (-8,7%) et un ROE de 16,7%, avec une augmentation de capital portant le capital social de 20,3 à 40,6 milliards FCFA. On estime, sur la base du T1 2026 (PNB +11%, résultat net +1%), que l'exercice 2026 devrait maintenir une croissance du PNB à deux chiffres, mais la pression sur la rentabilité nette (croissance limitée du résultat net) constitue un point de vigilance. La recommandation fondamentale est de **conserver** la valeur : solidité financière avérée, rentabilité supérieure à la moyenne, mais valorisation exigeante et coût du risque élevé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de BOAB (PER 19,2x, P/B 3,28x, EV/EBITDA 19,7x) indique une valeur correctement valorisée à légèrement surévaluée par rapport aux standards du marché BRVM, la prime accordée reflétant la qualité des fondamentaux mais limitant le potentiel d'appréciation. Le comportement du cours sur 100 jours (+11,76%) est haussier, mais le repli de -3,55% en J-1 et le skewness positif (0,968) suggèrent une correction en cours, avec une volatilité modérée (26,5%) et une distribution proche de la normale (kurtosis -0,474), sans risque extrême. Les signaux techniques sont divergents : les oscillateurs (RSI 26,3, Stochastique en survente, cours sous la borne inférieure de Bollinger) plaident pour un rebond imminent, tandis que le MACD en configuration baissière appelle à la prudence. Les fondamentaux restent solides (ROE 17,1%, coefficient d'exploitation 49,5%, PNB +10,2% en 2025), avec une croissance attendue du PNB en 2026 (T1 : +11%) mais une pression sur le résultat net (+1% au T1 2026). Les prédictions IA anticipent une légère érosion du cours sur 10 jours (9 615 → 9 561 FCFA), ce qui contredit les signaux de survente technique et suggère que le rebond pourrait être différé. Sur la base de cette synthèse, la recommandation finale est **CONSERVER** : la convergence entre fondamentaux solides et valorisation exigeante ne justifie pas un achat agressif, mais la qualité de l'établissement et les signaux de survente technique interdisent toute vente. Le niveau de confiance est **Moyen** (divergence technique), le risque global est **Moyen** (coût du risque élevé, valorisation tendue), et l'horizon optimal est le **moyen terme (3-12 mois)**, le temps que la correction technique s'achève et que la croissance bénéficiaire se confirme.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343.20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6,639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+43.12%</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18.61% (Élevée) — μ=6,642 FCFA, σ=1,236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β=0.4084 (Défensif) — Cov=0.000016, Var(idx)=0.000040, ρ=0.124,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6,639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7,593</w:t>
            </w:r>
          </w:p>
        </w:tc>
        <w:tc>
          <w:tcPr>
            <w:tcW w:type="dxa" w:w="1440"/>
            <w:shd w:fill="FAFAFA" w:val="clear"/>
          </w:tcPr>
          <w:p>
            <w:r>
              <w:rPr>
                <w:b/>
                <w:sz w:val="17"/>
              </w:rPr>
              <w:t>7,931</w:t>
            </w:r>
          </w:p>
        </w:tc>
        <w:tc>
          <w:tcPr>
            <w:tcW w:type="dxa" w:w="1440"/>
            <w:shd w:fill="FAFAFA" w:val="clear"/>
          </w:tcPr>
          <w:p>
            <w:r>
              <w:rPr>
                <w:sz w:val="17"/>
              </w:rPr>
              <w:t>8,269</w:t>
            </w:r>
          </w:p>
        </w:tc>
        <w:tc>
          <w:tcPr>
            <w:tcW w:type="dxa" w:w="1440"/>
            <w:shd w:fill="FAFAFA" w:val="clear"/>
          </w:tcPr>
          <w:p>
            <w:r>
              <w:rPr>
                <w:b/>
                <w:color w:val="008000"/>
                <w:sz w:val="17"/>
              </w:rPr>
              <w:t>+1.7%</w:t>
            </w:r>
          </w:p>
        </w:tc>
      </w:tr>
      <w:tr>
        <w:tc>
          <w:tcPr>
            <w:tcW w:type="dxa" w:w="1440"/>
            <w:shd w:fill="C6EFCE" w:val="clear"/>
          </w:tcPr>
          <w:p>
            <w:r>
              <w:rPr>
                <w:sz w:val="17"/>
              </w:rPr>
              <w:t>J+2  Moyenne</w:t>
            </w:r>
          </w:p>
        </w:tc>
        <w:tc>
          <w:tcPr>
            <w:tcW w:type="dxa" w:w="1440"/>
            <w:shd w:fill="C6EFCE" w:val="clear"/>
          </w:tcPr>
          <w:p>
            <w:r>
              <w:rPr>
                <w:sz w:val="17"/>
              </w:rPr>
              <w:t>2026-09-23</w:t>
            </w:r>
          </w:p>
        </w:tc>
        <w:tc>
          <w:tcPr>
            <w:tcW w:type="dxa" w:w="1440"/>
            <w:shd w:fill="C6EFCE" w:val="clear"/>
          </w:tcPr>
          <w:p>
            <w:r>
              <w:rPr>
                <w:sz w:val="17"/>
              </w:rPr>
              <w:t>7,528</w:t>
            </w:r>
          </w:p>
        </w:tc>
        <w:tc>
          <w:tcPr>
            <w:tcW w:type="dxa" w:w="1440"/>
            <w:shd w:fill="C6EFCE" w:val="clear"/>
          </w:tcPr>
          <w:p>
            <w:r>
              <w:rPr>
                <w:b/>
                <w:sz w:val="17"/>
              </w:rPr>
              <w:t>8,011</w:t>
            </w:r>
          </w:p>
        </w:tc>
        <w:tc>
          <w:tcPr>
            <w:tcW w:type="dxa" w:w="1440"/>
            <w:shd w:fill="C6EFCE" w:val="clear"/>
          </w:tcPr>
          <w:p>
            <w:r>
              <w:rPr>
                <w:sz w:val="17"/>
              </w:rPr>
              <w:t>8,493</w:t>
            </w:r>
          </w:p>
        </w:tc>
        <w:tc>
          <w:tcPr>
            <w:tcW w:type="dxa" w:w="1440"/>
            <w:shd w:fill="C6EFCE" w:val="clear"/>
          </w:tcPr>
          <w:p>
            <w:r>
              <w:rPr>
                <w:b/>
                <w:color w:val="008000"/>
                <w:sz w:val="17"/>
              </w:rPr>
              <w:t>+2.7%</w:t>
            </w:r>
          </w:p>
        </w:tc>
      </w:tr>
      <w:tr>
        <w:tc>
          <w:tcPr>
            <w:tcW w:type="dxa" w:w="1440"/>
            <w:shd w:fill="C6EFCE" w:val="clear"/>
          </w:tcPr>
          <w:p>
            <w:r>
              <w:rPr>
                <w:sz w:val="17"/>
              </w:rPr>
              <w:t>J+3  Moyenne</w:t>
            </w:r>
          </w:p>
        </w:tc>
        <w:tc>
          <w:tcPr>
            <w:tcW w:type="dxa" w:w="1440"/>
            <w:shd w:fill="C6EFCE" w:val="clear"/>
          </w:tcPr>
          <w:p>
            <w:r>
              <w:rPr>
                <w:sz w:val="17"/>
              </w:rPr>
              <w:t>2026-09-24</w:t>
            </w:r>
          </w:p>
        </w:tc>
        <w:tc>
          <w:tcPr>
            <w:tcW w:type="dxa" w:w="1440"/>
            <w:shd w:fill="C6EFCE" w:val="clear"/>
          </w:tcPr>
          <w:p>
            <w:r>
              <w:rPr>
                <w:sz w:val="17"/>
              </w:rPr>
              <w:t>7,465</w:t>
            </w:r>
          </w:p>
        </w:tc>
        <w:tc>
          <w:tcPr>
            <w:tcW w:type="dxa" w:w="1440"/>
            <w:shd w:fill="C6EFCE" w:val="clear"/>
          </w:tcPr>
          <w:p>
            <w:r>
              <w:rPr>
                <w:b/>
                <w:sz w:val="17"/>
              </w:rPr>
              <w:t>8,060</w:t>
            </w:r>
          </w:p>
        </w:tc>
        <w:tc>
          <w:tcPr>
            <w:tcW w:type="dxa" w:w="1440"/>
            <w:shd w:fill="C6EFCE" w:val="clear"/>
          </w:tcPr>
          <w:p>
            <w:r>
              <w:rPr>
                <w:sz w:val="17"/>
              </w:rPr>
              <w:t>8,654</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7,396</w:t>
            </w:r>
          </w:p>
        </w:tc>
        <w:tc>
          <w:tcPr>
            <w:tcW w:type="dxa" w:w="1440"/>
            <w:shd w:fill="C6EFCE" w:val="clear"/>
          </w:tcPr>
          <w:p>
            <w:r>
              <w:rPr>
                <w:b/>
                <w:sz w:val="17"/>
              </w:rPr>
              <w:t>8,085</w:t>
            </w:r>
          </w:p>
        </w:tc>
        <w:tc>
          <w:tcPr>
            <w:tcW w:type="dxa" w:w="1440"/>
            <w:shd w:fill="C6EFCE" w:val="clear"/>
          </w:tcPr>
          <w:p>
            <w:r>
              <w:rPr>
                <w:sz w:val="17"/>
              </w:rPr>
              <w:t>8,774</w:t>
            </w:r>
          </w:p>
        </w:tc>
        <w:tc>
          <w:tcPr>
            <w:tcW w:type="dxa" w:w="1440"/>
            <w:shd w:fill="C6EFCE" w:val="clear"/>
          </w:tcPr>
          <w:p>
            <w:r>
              <w:rPr>
                <w:b/>
                <w:color w:val="008000"/>
                <w:sz w:val="17"/>
              </w:rPr>
              <w:t>+3.7%</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7,327</w:t>
            </w:r>
          </w:p>
        </w:tc>
        <w:tc>
          <w:tcPr>
            <w:tcW w:type="dxa" w:w="1440"/>
            <w:shd w:fill="C6EFCE" w:val="clear"/>
          </w:tcPr>
          <w:p>
            <w:r>
              <w:rPr>
                <w:b/>
                <w:sz w:val="17"/>
              </w:rPr>
              <w:t>8,098</w:t>
            </w:r>
          </w:p>
        </w:tc>
        <w:tc>
          <w:tcPr>
            <w:tcW w:type="dxa" w:w="1440"/>
            <w:shd w:fill="C6EFCE" w:val="clear"/>
          </w:tcPr>
          <w:p>
            <w:r>
              <w:rPr>
                <w:sz w:val="17"/>
              </w:rPr>
              <w:t>8,869</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7,261</w:t>
            </w:r>
          </w:p>
        </w:tc>
        <w:tc>
          <w:tcPr>
            <w:tcW w:type="dxa" w:w="1440"/>
            <w:shd w:fill="C6EFCE" w:val="clear"/>
          </w:tcPr>
          <w:p>
            <w:r>
              <w:rPr>
                <w:b/>
                <w:sz w:val="17"/>
              </w:rPr>
              <w:t>8,107</w:t>
            </w:r>
          </w:p>
        </w:tc>
        <w:tc>
          <w:tcPr>
            <w:tcW w:type="dxa" w:w="1440"/>
            <w:shd w:fill="C6EFCE" w:val="clear"/>
          </w:tcPr>
          <w:p>
            <w:r>
              <w:rPr>
                <w:sz w:val="17"/>
              </w:rPr>
              <w:t>8,952</w:t>
            </w:r>
          </w:p>
        </w:tc>
        <w:tc>
          <w:tcPr>
            <w:tcW w:type="dxa" w:w="1440"/>
            <w:shd w:fill="C6EFCE" w:val="clear"/>
          </w:tcPr>
          <w:p>
            <w:r>
              <w:rPr>
                <w:b/>
                <w:color w:val="008000"/>
                <w:sz w:val="17"/>
              </w:rPr>
              <w:t>+3.9%</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7,199</w:t>
            </w:r>
          </w:p>
        </w:tc>
        <w:tc>
          <w:tcPr>
            <w:tcW w:type="dxa" w:w="1440"/>
            <w:shd w:fill="C6EFCE" w:val="clear"/>
          </w:tcPr>
          <w:p>
            <w:r>
              <w:rPr>
                <w:b/>
                <w:sz w:val="17"/>
              </w:rPr>
              <w:t>8,113</w:t>
            </w:r>
          </w:p>
        </w:tc>
        <w:tc>
          <w:tcPr>
            <w:tcW w:type="dxa" w:w="1440"/>
            <w:shd w:fill="C6EFCE" w:val="clear"/>
          </w:tcPr>
          <w:p>
            <w:r>
              <w:rPr>
                <w:sz w:val="17"/>
              </w:rPr>
              <w:t>9,027</w:t>
            </w:r>
          </w:p>
        </w:tc>
        <w:tc>
          <w:tcPr>
            <w:tcW w:type="dxa" w:w="1440"/>
            <w:shd w:fill="C6EFCE" w:val="clear"/>
          </w:tcPr>
          <w:p>
            <w:r>
              <w:rPr>
                <w:b/>
                <w:color w:val="008000"/>
                <w:sz w:val="17"/>
              </w:rPr>
              <w:t>+4.0%</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7,141</w:t>
            </w:r>
          </w:p>
        </w:tc>
        <w:tc>
          <w:tcPr>
            <w:tcW w:type="dxa" w:w="1440"/>
            <w:shd w:fill="C6EFCE" w:val="clear"/>
          </w:tcPr>
          <w:p>
            <w:r>
              <w:rPr>
                <w:b/>
                <w:sz w:val="17"/>
              </w:rPr>
              <w:t>8,119</w:t>
            </w:r>
          </w:p>
        </w:tc>
        <w:tc>
          <w:tcPr>
            <w:tcW w:type="dxa" w:w="1440"/>
            <w:shd w:fill="C6EFCE" w:val="clear"/>
          </w:tcPr>
          <w:p>
            <w:r>
              <w:rPr>
                <w:sz w:val="17"/>
              </w:rPr>
              <w:t>9,096</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7,086</w:t>
            </w:r>
          </w:p>
        </w:tc>
        <w:tc>
          <w:tcPr>
            <w:tcW w:type="dxa" w:w="1440"/>
            <w:shd w:fill="C6EFCE" w:val="clear"/>
          </w:tcPr>
          <w:p>
            <w:r>
              <w:rPr>
                <w:b/>
                <w:sz w:val="17"/>
              </w:rPr>
              <w:t>8,124</w:t>
            </w:r>
          </w:p>
        </w:tc>
        <w:tc>
          <w:tcPr>
            <w:tcW w:type="dxa" w:w="1440"/>
            <w:shd w:fill="C6EFCE" w:val="clear"/>
          </w:tcPr>
          <w:p>
            <w:r>
              <w:rPr>
                <w:sz w:val="17"/>
              </w:rPr>
              <w:t>9,162</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7,034</w:t>
            </w:r>
          </w:p>
        </w:tc>
        <w:tc>
          <w:tcPr>
            <w:tcW w:type="dxa" w:w="1440"/>
            <w:shd w:fill="C6EFCE" w:val="clear"/>
          </w:tcPr>
          <w:p>
            <w:r>
              <w:rPr>
                <w:b/>
                <w:sz w:val="17"/>
              </w:rPr>
              <w:t>8,129</w:t>
            </w:r>
          </w:p>
        </w:tc>
        <w:tc>
          <w:tcPr>
            <w:tcW w:type="dxa" w:w="1440"/>
            <w:shd w:fill="C6EFCE" w:val="clear"/>
          </w:tcPr>
          <w:p>
            <w:r>
              <w:rPr>
                <w:sz w:val="17"/>
              </w:rPr>
              <w:t>9,224</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343,20 milliards FCFA, BOABF se positionne parmi les valeurs bancaires de premier plan de la cote BRVM, reflétant sa stature de banque systémique au Burkina Faso. Le BPA de 438 FCFA/action signifie que chaque titre génère près de 438 FCFA de bénéfice net, ce qui, rapporté au cours actuel de 7 800 FCFA, donne un PER de 17,8x — nettement supérieur à la moyenne du marché BRVM (8-12x), traduisant une prime de qualité et de rareté que les investisseurs accordent à ce titre. Le P/B de 2,71x indique que le marché valorise la banque à près de trois fois sa valeur comptable, une prime de croissance justifiée par la solidité des fonds propres (126,5 Mds FCFA) et la régularité des résultats. Enfin, l'EV/EBITDA de 7,8x, situé dans la fourchette raisonnable de 5-10x, suggère que la valeur d'entreprise reste cohérente avec la capacité opérationnelle de la banque, sans exagération manifeste malgré le PER élevé.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progression spectaculaire de +43,12%, passant d'un plus bas de 5 300 FCFA à un plus haut de 9 090 FCFA, pour un cours actuel de 7 800 FCFA — la dernière séance (J-1) affichant une stabilité parfaite (+0,00%). Cette tendance haussière marquée s'inscrit dans un contexte de forte demande sur les valeurs bancaires de la BRVM, mais le repli depuis le sommet de 9 090 FCFA suggère une prise de bénéfices récente. Les statistiques descriptives révèlent une moyenne de 6 642 FCFA nettement supérieure à la médiane de 6 025 FCFA, confirmant une asymétrie positive (skewness de 0,643) avec davantage de journées sous la moyenne — le mode à 5 400 FCFA indiquant que le cours a longtemps stagné avant son envolée. L'écart-type de 1 242 FCFA (CV de 18,7%) traduit une dispersion modérée, tandis que le kurtosis de -0,926 (mésokurtique) suggère une distribution proche de la normale, sans risque excessif de pics extrêmes. La volatilité annualisée de 33,0% classe ce titre dans la catégorie des valeurs à volatilité élevée (&gt;30%), ce qui est cohérent avec son statut de valeur de croissance sur un marché frontière.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(8 649 FCFA) et la MM50 (7 712 FCFA) encadrent le cours actuel de 7 800 FCFA, qui se situe juste au-dessus de la MM50 mais en dessous de la MM20. Cette configuration indique que la tendance de moyen terme reste haussière (cours &gt; MM50), mais que le momentum court terme s'est affaibli (cours &lt; MM20). La décision technique affichée est "Achat", soutenue par le croisement haussier des moyennes (MM20 &gt; MM50), bien que le repli sous la MM20 invite à la prudence.</w:t>
      </w:r>
    </w:p>
    <w:p>
      <w:pPr>
        <w:spacing w:after="120" w:line="276" w:lineRule="auto"/>
      </w:pPr>
      <w:r>
        <w:t>**Bandes de Bollinger** : Le cours de 7 800 FCFA évolue dans la partie basse du canal, entre la borne inférieure de 7 762,69 FCFA et la borne supérieure de 9 535,31 FCFA. La proximité immédiate de la borne inférieure suggère que le titre est survendu à court terme et pourrait rebondir vers la moyenne mobile (8 649 FCFA). La décision "Neutre" reflète cette position ambiguë : ni signal d'achat franc, ni signal de vente, mais une zone de consolidation probable.</w:t>
      </w:r>
    </w:p>
    <w:p>
      <w:pPr>
        <w:spacing w:after="120" w:line="276" w:lineRule="auto"/>
      </w:pPr>
      <w:r>
        <w:t>**MACD** : La valeur du MACD (110,43) est nettement inférieure à son signal (312,09), générant un croisement baissier qui indique un essoufflement du momentum haussier. Cette divergence négative, bien que le MACD reste en territoire positif, suggère que la dynamique haussière s'essouffle et qu'une correction ou consolidation est en cours. La décision "Vente" confirme ce signal de prudence à court terme.</w:t>
      </w:r>
    </w:p>
    <w:p>
      <w:pPr>
        <w:spacing w:after="120" w:line="276" w:lineRule="auto"/>
      </w:pPr>
      <w:r>
        <w:t>**RSI** : Avec une valeur de 8,04, le RSI se situe très largement en zone de survente (seuil de 30), un niveau extrême qui historiquement précède souvent un rebond technique. Cette lecture est corroborée par la décision "Achat" affichée, le marché ayant probablement surréagi à la baisse récente. Un RSI aussi bas sur un titre en tendance haussière de fond constitue un signal d'opportunité contrariante.</w:t>
      </w:r>
    </w:p>
    <w:p>
      <w:pPr>
        <w:spacing w:after="120" w:line="276" w:lineRule="auto"/>
      </w:pPr>
      <w:r>
        <w:t>**Stochastique** : Les valeurs %K et %D sont toutes deux à 0,0, confirmant une situation de survente extrême et un possible épuisement de la pression vendeuse. La décision "Achat" est cohérente avec ce positionnement, le croisement des lignes stochastiques en zone basse étant traditionnellement un signal d'entrée.</w:t>
      </w:r>
    </w:p>
    <w:p>
      <w:pPr>
        <w:spacing w:after="120" w:line="276" w:lineRule="auto"/>
      </w:pPr>
      <w:r>
        <w:t>**Conclusion technique** : Les indicateurs présentent une divergence notable : les signaux de survente (RSI à 8, Stochastique à 0, proximité de la borne basse de Bollinger) plaident pour un rebond à court terme, tandis que le MACD baissier et le cours sous la MM20 tempèrent cet optimisme. La convergence des signaux de survente suggère une opportunité d'achat tactique, mais la confirmation d'un retournement nécessitera un franchissement de la MM20 (8 649 FCFA). Le titre se trouve dans une zone de consolidation critique, entre support technique (7 762 FCFA) et résistance (8 649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de 57 820 millions FCFA, quasi stable par rapport à 2024 (+0,6%), mais a enregistré un résultat net de 19 252 millions FCFA, en recul de -14,1% — la cause principale étant un coût du risque quasi doublé, passé de 4 303 à 8 355 millions FCFA. Le ROE de 15,22% demeure excellent (&gt;15%), témoignant d'une rentabilité des fonds propres solide, tandis que le ROA de 1,68% reste modeste mais conforme aux standards bancaires. Le coefficient d'exploitation de 47,19% classe la banque parmi les établissements très efficaces (&lt;50%), et le ratio de solvabilité générale de 112,38% confirme la solidité du bilan (Total Actif de 1 148,7 Mds FCFA). Cependant, le ratio d'endettement de 96,61% et l'autonomie financière de seulement 11,01% (capitaux propres / total bilan) révèlent une structure financière très dépendante des dépôts clientèle (877,8 Mds FCFA), ce qui est caractéristique du modèle bancaire mais expose la banque au risque de retrait massif. Le coût du risque de 33,92% (provisions / charges financières) reste élevé, signalant un portefeuille de crédits sous pression, bien que les rapports plus récents montrent une nette amélioration.</w:t>
      </w:r>
    </w:p>
    <w:p>
      <w:pPr>
        <w:spacing w:after="120" w:line="276" w:lineRule="auto"/>
      </w:pPr>
      <w:r>
        <w:t>Les rapports trimestriels de 2026 confirment cette dynamique contrastée. Au T1 2026 (rapport du 31/03/2026), le PNB a chuté de -10,75% à 12 694 millions FCFA, et le résultat net de -12,99% à 4 520 millions FCFA — le trimestre le plus faible des quatre documents analysés. En revanche, au S1 2026 (rapport du 30/06/2026), le résultat net a bondi de +31,0% à 10 770 millions FCFA, porté par une amélioration spectaculaire du coût du risque (-65,2% à -2 396 millions), bien que le PNB ait continué de reculer (-5,2% à 27 539 millions). Cette dissociation entre un PNB en contraction et un résultat net en forte hausse révèle que la rentabilité actuelle repose sur la normalisation du risque plutôt que sur la croissance commerciale. Les dépôts clientèle progressent de +7,4% à 942 692 millions FCFA, mais les crédits nets ne progressent que de +1,3% à 479 993 millions, creusant l'écart de transformation. Sur la base du S1 2026, on peut estimer que l'exercice 2026 devrait afficher un résultat net en hausse (potentiellement autour de 21-22 Mds FCFA), mais avec un PNB toujours sous pression. La recommandation fondamentale est de **CONSERVER** : la solidité du bilan et l'amélioration du coût du risque sont rassurantes, mais la stagnation du PNB et la dépendance aux dépôts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(PER de 17,8x, P/B de 2,71x, EV/EBITDA de 7,8x) indique que le marché intègre déjà une prime de qualité significative, le titre n'étant ni sous-évalué ni excessivement cher au regard de ses fondamentaux bancaires. Le comportement du cours sur 100 jours (+43,12%) témoigne d'un fort appétit des investisseurs, mais le repli depuis le sommet de 9 090 FCFA et la volatilité élevée (33%) suggèrent une phase de consolidation, avec une asymétrie positive (skewness de 0,643) indiquant que les baisses récentes pourraient être des opportunités. Les signaux techniques sont divergents : les indicateurs de survente (RSI à 8,04, Stochastique à 0,0) plaident pour un rebond imminent, mais le MACD baissier et le cours sous la MM20 (8 649 FCFA) appellent à la prudence — une convergence haussière ne sera confirmée qu'au-dessus de ce niveau. Les fondamentaux (ROE de 15,22%, coefficient d'exploitation de 47,19%) demeurent solides, et l'amélioration du coût du risque au S1 2026 (+31% de résultat net) est un signal positif, mais la contraction du PNB (-5,2% au S1 2026) reste une préoccupation majeure. Les prédictions IA (7 931 FCFA à 8 098 FCFA sur 10 jours) confirment une trajectoire haussière modérée, cohérente avec les signaux de survente technique. Sur la base de cette synthèse, la recommandation finale est **CONSERVER**, avec un biais haussier à court terme : la convergence entre les signaux techniques de survente, les prédictions IA positives et la normalisation du coût du risque soutient un rebond, mais la faiblesse du PNB et la valorisation déjà exigeante limitent le potentiel de hausse à long terme. Le niveau de confiance est **Moyen** (divergence entre technique et fondamental), le risque global est **Moyen** (volatilité élevée mais bilan solide), et l'horizon optimal est **moyen terme (3-12 mois)** , le temps que la dynamique commerciale se confirme ou s'infirme.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10,575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+32.57%</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15.47% (Élevée) — μ=10,329 FCFA, σ=1,598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β=0.1574 (Défensif) — Cov=0.000006, Var(idx)=0.000040, ρ=0.061,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10,575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11,224</w:t>
            </w:r>
          </w:p>
        </w:tc>
        <w:tc>
          <w:tcPr>
            <w:tcW w:type="dxa" w:w="1440"/>
            <w:shd w:fill="FAFAFA" w:val="clear"/>
          </w:tcPr>
          <w:p>
            <w:r>
              <w:rPr>
                <w:b/>
                <w:sz w:val="17"/>
              </w:rPr>
              <w:t>11,544</w:t>
            </w:r>
          </w:p>
        </w:tc>
        <w:tc>
          <w:tcPr>
            <w:tcW w:type="dxa" w:w="1440"/>
            <w:shd w:fill="FAFAFA" w:val="clear"/>
          </w:tcPr>
          <w:p>
            <w:r>
              <w:rPr>
                <w:sz w:val="17"/>
              </w:rPr>
              <w:t>11,864</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11,011</w:t>
            </w:r>
          </w:p>
        </w:tc>
        <w:tc>
          <w:tcPr>
            <w:tcW w:type="dxa" w:w="1440"/>
            <w:shd w:fill="FAFAFA" w:val="clear"/>
          </w:tcPr>
          <w:p>
            <w:r>
              <w:rPr>
                <w:b/>
                <w:sz w:val="17"/>
              </w:rPr>
              <w:t>11,459</w:t>
            </w:r>
          </w:p>
        </w:tc>
        <w:tc>
          <w:tcPr>
            <w:tcW w:type="dxa" w:w="1440"/>
            <w:shd w:fill="FAFAFA" w:val="clear"/>
          </w:tcPr>
          <w:p>
            <w:r>
              <w:rPr>
                <w:sz w:val="17"/>
              </w:rPr>
              <w:t>11,908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10,848</w:t>
            </w:r>
          </w:p>
        </w:tc>
        <w:tc>
          <w:tcPr>
            <w:tcW w:type="dxa" w:w="1440"/>
            <w:shd w:fill="FAFAFA" w:val="clear"/>
          </w:tcPr>
          <w:p>
            <w:r>
              <w:rPr>
                <w:b/>
                <w:sz w:val="17"/>
              </w:rPr>
              <w:t>11,394</w:t>
            </w:r>
          </w:p>
        </w:tc>
        <w:tc>
          <w:tcPr>
            <w:tcW w:type="dxa" w:w="1440"/>
            <w:shd w:fill="FAFAFA" w:val="clear"/>
          </w:tcPr>
          <w:p>
            <w:r>
              <w:rPr>
                <w:sz w:val="17"/>
              </w:rPr>
              <w:t>11,940</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2026-09-25</w:t>
            </w:r>
          </w:p>
        </w:tc>
        <w:tc>
          <w:tcPr>
            <w:tcW w:type="dxa" w:w="1440"/>
            <w:shd w:fill="FFDCE0" w:val="clear"/>
          </w:tcPr>
          <w:p>
            <w:r>
              <w:rPr>
                <w:sz w:val="17"/>
              </w:rPr>
              <w:t>10,708</w:t>
            </w:r>
          </w:p>
        </w:tc>
        <w:tc>
          <w:tcPr>
            <w:tcW w:type="dxa" w:w="1440"/>
            <w:shd w:fill="FFDCE0" w:val="clear"/>
          </w:tcPr>
          <w:p>
            <w:r>
              <w:rPr>
                <w:b/>
                <w:sz w:val="17"/>
              </w:rPr>
              <w:t>11,335</w:t>
            </w:r>
          </w:p>
        </w:tc>
        <w:tc>
          <w:tcPr>
            <w:tcW w:type="dxa" w:w="1440"/>
            <w:shd w:fill="FFDCE0" w:val="clear"/>
          </w:tcPr>
          <w:p>
            <w:r>
              <w:rPr>
                <w:sz w:val="17"/>
              </w:rPr>
              <w:t>11,963</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2026-09-28</w:t>
            </w:r>
          </w:p>
        </w:tc>
        <w:tc>
          <w:tcPr>
            <w:tcW w:type="dxa" w:w="1440"/>
            <w:shd w:fill="FFDCE0" w:val="clear"/>
          </w:tcPr>
          <w:p>
            <w:r>
              <w:rPr>
                <w:sz w:val="17"/>
              </w:rPr>
              <w:t>10,583</w:t>
            </w:r>
          </w:p>
        </w:tc>
        <w:tc>
          <w:tcPr>
            <w:tcW w:type="dxa" w:w="1440"/>
            <w:shd w:fill="FFDCE0" w:val="clear"/>
          </w:tcPr>
          <w:p>
            <w:r>
              <w:rPr>
                <w:b/>
                <w:sz w:val="17"/>
              </w:rPr>
              <w:t>11,281</w:t>
            </w:r>
          </w:p>
        </w:tc>
        <w:tc>
          <w:tcPr>
            <w:tcW w:type="dxa" w:w="1440"/>
            <w:shd w:fill="FFDCE0" w:val="clear"/>
          </w:tcPr>
          <w:p>
            <w:r>
              <w:rPr>
                <w:sz w:val="17"/>
              </w:rPr>
              <w:t>11,980</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2026-09-29</w:t>
            </w:r>
          </w:p>
        </w:tc>
        <w:tc>
          <w:tcPr>
            <w:tcW w:type="dxa" w:w="1440"/>
            <w:shd w:fill="FFDCE0" w:val="clear"/>
          </w:tcPr>
          <w:p>
            <w:r>
              <w:rPr>
                <w:sz w:val="17"/>
              </w:rPr>
              <w:t>10,469</w:t>
            </w:r>
          </w:p>
        </w:tc>
        <w:tc>
          <w:tcPr>
            <w:tcW w:type="dxa" w:w="1440"/>
            <w:shd w:fill="FFDCE0" w:val="clear"/>
          </w:tcPr>
          <w:p>
            <w:r>
              <w:rPr>
                <w:b/>
                <w:sz w:val="17"/>
              </w:rPr>
              <w:t>11,231</w:t>
            </w:r>
          </w:p>
        </w:tc>
        <w:tc>
          <w:tcPr>
            <w:tcW w:type="dxa" w:w="1440"/>
            <w:shd w:fill="FFDCE0" w:val="clear"/>
          </w:tcPr>
          <w:p>
            <w:r>
              <w:rPr>
                <w:sz w:val="17"/>
              </w:rPr>
              <w:t>11,993</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2026-09-30</w:t>
            </w:r>
          </w:p>
        </w:tc>
        <w:tc>
          <w:tcPr>
            <w:tcW w:type="dxa" w:w="1440"/>
            <w:shd w:fill="FFDCE0" w:val="clear"/>
          </w:tcPr>
          <w:p>
            <w:r>
              <w:rPr>
                <w:sz w:val="17"/>
              </w:rPr>
              <w:t>10,365</w:t>
            </w:r>
          </w:p>
        </w:tc>
        <w:tc>
          <w:tcPr>
            <w:tcW w:type="dxa" w:w="1440"/>
            <w:shd w:fill="FFDCE0" w:val="clear"/>
          </w:tcPr>
          <w:p>
            <w:r>
              <w:rPr>
                <w:b/>
                <w:sz w:val="17"/>
              </w:rPr>
              <w:t>11,184</w:t>
            </w:r>
          </w:p>
        </w:tc>
        <w:tc>
          <w:tcPr>
            <w:tcW w:type="dxa" w:w="1440"/>
            <w:shd w:fill="FFDCE0" w:val="clear"/>
          </w:tcPr>
          <w:p>
            <w:r>
              <w:rPr>
                <w:sz w:val="17"/>
              </w:rPr>
              <w:t>12,003</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2026-10-01</w:t>
            </w:r>
          </w:p>
        </w:tc>
        <w:tc>
          <w:tcPr>
            <w:tcW w:type="dxa" w:w="1440"/>
            <w:shd w:fill="FFDCE0" w:val="clear"/>
          </w:tcPr>
          <w:p>
            <w:r>
              <w:rPr>
                <w:sz w:val="17"/>
              </w:rPr>
              <w:t>10,268</w:t>
            </w:r>
          </w:p>
        </w:tc>
        <w:tc>
          <w:tcPr>
            <w:tcW w:type="dxa" w:w="1440"/>
            <w:shd w:fill="FFDCE0" w:val="clear"/>
          </w:tcPr>
          <w:p>
            <w:r>
              <w:rPr>
                <w:b/>
                <w:sz w:val="17"/>
              </w:rPr>
              <w:t>11,140</w:t>
            </w:r>
          </w:p>
        </w:tc>
        <w:tc>
          <w:tcPr>
            <w:tcW w:type="dxa" w:w="1440"/>
            <w:shd w:fill="FFDCE0" w:val="clear"/>
          </w:tcPr>
          <w:p>
            <w:r>
              <w:rPr>
                <w:sz w:val="17"/>
              </w:rPr>
              <w:t>12,013</w:t>
            </w:r>
          </w:p>
        </w:tc>
        <w:tc>
          <w:tcPr>
            <w:tcW w:type="dxa" w:w="1440"/>
            <w:shd w:fill="FFDCE0" w:val="clear"/>
          </w:tcPr>
          <w:p>
            <w:r>
              <w:rPr>
                <w:b/>
                <w:color w:val="C00000"/>
                <w:sz w:val="17"/>
              </w:rPr>
              <w:t>-4.0%</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10,177</w:t>
            </w:r>
          </w:p>
        </w:tc>
        <w:tc>
          <w:tcPr>
            <w:tcW w:type="dxa" w:w="1440"/>
            <w:shd w:fill="FFDCE0" w:val="clear"/>
          </w:tcPr>
          <w:p>
            <w:r>
              <w:rPr>
                <w:b/>
                <w:sz w:val="17"/>
              </w:rPr>
              <w:t>11,099</w:t>
            </w:r>
          </w:p>
        </w:tc>
        <w:tc>
          <w:tcPr>
            <w:tcW w:type="dxa" w:w="1440"/>
            <w:shd w:fill="FFDCE0" w:val="clear"/>
          </w:tcPr>
          <w:p>
            <w:r>
              <w:rPr>
                <w:sz w:val="17"/>
              </w:rPr>
              <w:t>12,021</w:t>
            </w:r>
          </w:p>
        </w:tc>
        <w:tc>
          <w:tcPr>
            <w:tcW w:type="dxa" w:w="1440"/>
            <w:shd w:fill="FFDCE0" w:val="clear"/>
          </w:tcPr>
          <w:p>
            <w:r>
              <w:rPr>
                <w:b/>
                <w:color w:val="C00000"/>
                <w:sz w:val="17"/>
              </w:rPr>
              <w:t>-4.3%</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10,092</w:t>
            </w:r>
          </w:p>
        </w:tc>
        <w:tc>
          <w:tcPr>
            <w:tcW w:type="dxa" w:w="1440"/>
            <w:shd w:fill="FFDCE0" w:val="clear"/>
          </w:tcPr>
          <w:p>
            <w:r>
              <w:rPr>
                <w:b/>
                <w:sz w:val="17"/>
              </w:rPr>
              <w:t>11,060</w:t>
            </w:r>
          </w:p>
        </w:tc>
        <w:tc>
          <w:tcPr>
            <w:tcW w:type="dxa" w:w="1440"/>
            <w:shd w:fill="FFDCE0" w:val="clear"/>
          </w:tcPr>
          <w:p>
            <w:r>
              <w:rPr>
                <w:sz w:val="17"/>
              </w:rPr>
              <w:t>12,028</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464,00 Mds FCFA, BOAC s'impose comme l'une des valeurs bancaires de référence de la BRVM, représentant un pilier de la cote ivoirienne. Le BPA de 888 FCFA/action signifie que chaque titre génère près de 888 FCFA de bénéfice net, un niveau de rentabilité par action particulièrement élevé pour le marché régional. Le PER de 13,1x situe le titre légèrement au-dessus de la fourchette moyenne de la BRVM (~8-12x), traduisant une prime modérée mais justifiée par la qualité des fondamentaux ; le P/B de 3,64x confirme que le marché valorise la banque à plus de 3,5 fois sa valeur comptable, soit une prime de croissance significative accordée par les investisseurs. En revanche, l'EV/EBITDA de 26,6x apparaît très exigeant (&gt;15x), signalant que la valeur d'entreprise intègre déjà une forte anticipation de croissance opérationnelle — un niveau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BOAC affiche une performance remarquable de +32,57%, malgré un repli de -1,74% lors de la dernière séance (J-1), le cours s'établissant à 11 600 FCFA. Le titre a évolué dans un range large de 8 585 FCFA (plus bas) à 13 450 FCFA (plus haut), soit une amplitude de près de 57%, témoignant d'une dynamique haussière soutenue mais ponctuée de corrections. La tendance générale demeure clairement haussière, portée par la bonne tenue des résultats et un intérêt croissant des investisseurs pour les valeurs bancaires ivoiriennes. Les statistiques descriptives révèlent une moyenne de 10 329 FCFA nettement supérieure à la médiane de 9 495 FCFA, signe d'une distribution asymétrique tirée vers le haut par les récents sommets ; le mode à 11 600 FCFA coïncide avec le cours actuel, suggérant un palier de consolidation. L'écart-type de 1 606 FCFA (CV = 15,6%) indique une dispersion modérée du cours, tandis que le kurtosis de -1,318 (distribution platykurtique) traduit une faible concentration des variations et un risque de pics extrêmes limité. Le skewness positif de 0,566 confirme une asymétrie à droite, avec davantage de journées sous la moyenne mais des hausses ponctuelles marquées. Enfin, la volatilité annualisée de 25,8% classe le titre dans la catégorie modérée (15-30%), cohérente avec un profil bancaire stable.</w:t>
      </w:r>
    </w:p>
    <w:p>
      <w:pPr>
        <w:spacing w:after="120" w:line="276" w:lineRule="auto"/>
      </w:pPr>
      <w:r>
        <w:t>---</w:t>
      </w:r>
    </w:p>
    <w:p>
      <w:pPr>
        <w:spacing w:after="120" w:line="276" w:lineRule="auto"/>
      </w:pPr>
      <w:r>
        <w:t>## PARTIE 2 : ANALYSE TECHNIQUE DÉTAILLÉE</w:t>
      </w:r>
    </w:p>
    <w:p>
      <w:pPr>
        <w:spacing w:after="120" w:line="276" w:lineRule="auto"/>
      </w:pPr>
      <w:r>
        <w:t>**Moyennes Mobiles :** La MM20 (12 383,75 FCFA) et la MM50 (11 677,60 FCFA) encadrent le cours actuel de 11 600 FCFA, qui évolue légèrement sous ses deux moyennes. La MM20 reste supérieure à la MM50, configuration haussière classique, mais le cours sous la MM20 signale une pression vendeuse de court terme. La décision technique reste néanmoins « Achat », la structure de fond demeurant positive tant que la MM50 tient.</w:t>
      </w:r>
    </w:p>
    <w:p>
      <w:pPr>
        <w:spacing w:after="120" w:line="276" w:lineRule="auto"/>
      </w:pPr>
      <w:r>
        <w:t>**Bandes de Bollinger :** Le cours (11 600 FCFA) se situe sous la borne inférieure (11 739,39 FCFA), une configuration inhabituelle qui signale une survente technique et un possible rebond à court terme. La borne supérieure à 13 028,11 FCFA délimite un canal large, cohérent avec la volatilité modérée observée. La décision « Achat » s'explique par cette position hors bande basse, souvent annonciatrice d'un retour vers la moyenne.</w:t>
      </w:r>
    </w:p>
    <w:p>
      <w:pPr>
        <w:spacing w:after="120" w:line="276" w:lineRule="auto"/>
      </w:pPr>
      <w:r>
        <w:t>**MACD :** La valeur du MACD (-0,323) est négative et très inférieure à son signal (167,597), générant une divergence baissière marquée et une décision « Vente ». Ce signal contredit les autres indicateurs et traduit un essoufflement du momentum haussier à court terme, nécessitant une vigilance accrue sur les prochaines séances.</w:t>
      </w:r>
    </w:p>
    <w:p>
      <w:pPr>
        <w:spacing w:after="120" w:line="276" w:lineRule="auto"/>
      </w:pPr>
      <w:r>
        <w:t>**RSI :** À 1,093, le RSI est en zone de survente extrême (seuil &lt;30), bien en dessous du niveau neutre. Cette valeur exceptionnellement basse signale un épuisement des vendeurs et une probabilité élevée de rebond technique, justifiant la décision « Achat » malgré la faiblesse récente du cours.</w:t>
      </w:r>
    </w:p>
    <w:p>
      <w:pPr>
        <w:spacing w:after="120" w:line="276" w:lineRule="auto"/>
      </w:pPr>
      <w:r>
        <w:t>**Stochastique :** Le %K et le %D sont tous deux à 0,0, positionnant l'indicateur en survente maximale. Aucun croisement haussier n'est encore visible, mais cette configuration extrême précède souvent un retournement à la hausse, d'où la décision « Achat ».</w:t>
      </w:r>
    </w:p>
    <w:p>
      <w:pPr>
        <w:spacing w:after="120" w:line="276" w:lineRule="auto"/>
      </w:pPr>
      <w:r>
        <w:t>**Conclusion technique :** Les indicateurs présentent une divergence notable : les Bandes de Bollinger, le RSI et le Stochastique plaident pour un rebond imminent depuis des zones de survente extrême, tandis que le MACD émet un signal baissier de momentum. Les moyennes mobiles conservent une structure haussière de fond. La convergence des signaux de survente suggère une fenêtre d'achat tactique, sous réserve de confirmation par un retour du cours au-dessus de la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(équivalent du chiffre d'affaires bancaire) de 73 545 Mds FCFA, en hausse de +1,1% sur un an, et un résultat net de 35 540 Mds FCFA, en progression de +10,9% par rapport aux 32 045 Mds FCFA de 2024. La rentabilité des fonds propres (ROE) atteint un niveau exceptionnel de 27,91% (&gt;15% = excellent), tandis que le ROA ressort à 3,22%, confirmant l'efficacité de l'utilisation des actifs. Le coefficient d'exploitation s'établit à 36,70%, très en dessous du seuil de 60%, signe d'une banque hautement efficace. Le coût du risque, à 6,67% des charges financières, reste contenu mais mérite une surveillance au regard de la hausse de +52,1% des créances en souffrance (taux de sinistralité de 8,59%, provisionnement à 65,76%). La structure bilancielle est solide : les dépôts clientèle (850 548 Mds FCFA) couvrent largement les créances clientèle (430 433 Mds FCFA), avec un ratio de transformation sain, et la liquidité générale atteint 3 684%, bien au-dessus du seuil de 1.</w:t>
      </w:r>
    </w:p>
    <w:p>
      <w:pPr>
        <w:spacing w:after="120" w:line="276" w:lineRule="auto"/>
      </w:pPr>
      <w:r>
        <w:t>**Estimations basées sur les rapports trimestriels :** Le rapport du T1 2026 (daté du 31/03/2026) indique un PNB de 18 960 Mds FCFA (+3,09% sur un an) et un résultat net de 10 801 Mds FCFA (+0,91%), mais signale une dégradation brutale du coût net du risque (+314,75%, à -652 Mds FCFA) — un point de vigilance majeur. Le rapport du T3 2025 (30/09/2025) faisait état d'un PNB cumulé de 53 494 Mds FCFA (+0,23%) et d'un résultat net de 26 632 Mds FCFA (+1,29%), avec un coût du risque en amélioration (+10,18%). Sur la base de ces tendances, on peut estimer que l'exercice 2026 devrait maintenir une croissance modérée du PNB (autour de +2 à +3%), mais la dégradation du coût du risque au T1 2026 pourrait peser sur la rentabilité si elle se confirme. Le rapport annuel 2025 (31/12/2025) confirme la solidité structurelle avec un total bilan de 1 103 306 Mds FCFA (+2,6%) et des capitaux propres en hausse à 127 340 Mds FCFA. La politique de dividende (684 FCFA/action au titre de 2024, soit ~65% de distribution) offre un rendement attractif d'environ 5,9% au cours actuel. **Recommandation fondamentale : ACHAT**, portée par une rentabilité exceptionnelle (ROE ~28%), une efficacité opérationnelle remarquable et un dividende généreux, tempérée par la vigilance sur la qualité du crédit.</w:t>
      </w:r>
    </w:p>
    <w:p>
      <w:pPr>
        <w:spacing w:after="120" w:line="276" w:lineRule="auto"/>
      </w:pPr>
      <w:r>
        <w:t>---</w:t>
      </w:r>
    </w:p>
    <w:p>
      <w:pPr>
        <w:spacing w:after="120" w:line="276" w:lineRule="auto"/>
      </w:pPr>
      <w:r>
        <w:t>## PARTIE 4 : CONCLUSION D'INVESTISSEMENT</w:t>
      </w:r>
    </w:p>
    <w:p>
      <w:pPr>
        <w:spacing w:after="120" w:line="276" w:lineRule="auto"/>
      </w:pPr>
      <w:r>
        <w:t>La valorisation de BOAC (Partie 0) apparaît raisonnable au regard de ses fondamentaux : le PER de 13,1x, légèrement supérieur à la moyenne BRVM, se justifie par un ROE exceptionnel de 27,91%, tandis que le P/B de 3,64x traduit une prime de croissance méritée ; l'EV/EBITDA de 26,6x reste toutefois très exigeant et limite le potentiel de revalorisation à court terme. Le comportement du cours (Partie 1) est nettement haussier (+32,57% sur 100 jours) avec une volatilité modérée (25,8%) et des statistiques rassurantes (kurtosis faible, skewness positif), bien que le repli de -1,74% en J-1 et la position sous la MM20 signalent une consolidation en cours. Les signaux techniques (Partie 2) sont divergents : le RSI (1,093), le Stochastique (0,0) et les Bandes de Bollinger (cours sous la borne inférieure) pointent une survente extrême propice à un rebond, mais le MACD baissier invite à la prudence — la convergence des indicateurs de survente l'emporte toutefois sur le signal isolé du MACD. Les fondamentaux (Partie 3) demeurent solides : PNB 2025 de 73 545 Mds FCFA, résultat net de 35 540 Mds FCFA (+10,9%), ROE de 27,91%, coefficient d'exploitation de 36,70%, et dividende attractif (~5,9%), malgré la dégradation du coût du risque au T1 2026 à surveiller. Les prédictions IA (J+1 à J+10) anticipent une légère correction baissière (11 544 → 11 281 FCFA, soit -2,3%), ce qui contredit partiellement les signaux de survente technique mais reste cohérent avec la consolidation en cours. **Synthèse globale :** la convergence entre valorisation raisonnable, fondamentaux solides et signaux techniques de survente soutient une recommandation **ACHAT**, avec un niveau de confiance **Moyen** (la divergence du MACD et la dégradation du coût du risque au T1 2026 tempèrent l'optimisme) et un risque global **Moyen**. L'horizon d'investissement optimal est le **moyen terme (3-12 mois)**, le temps que la consolidation s'achève et que les fondamentaux 2026 se confirment.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170.46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6,313 titres</w:t>
            </w:r>
          </w:p>
        </w:tc>
        <w:tc>
          <w:tcPr>
            <w:tcW w:type="dxa" w:w="2268"/>
            <w:shd w:fill="FFF2CC" w:val="clear"/>
          </w:tcPr>
          <w:p>
            <w:r>
              <w:rPr>
                <w:b/>
                <w:color w:val="503200"/>
                <w:sz w:val="16"/>
              </w:rPr>
              <w:t xml:space="preserve">Cours actuel : </w:t>
            </w:r>
            <w:r>
              <w:rPr>
                <w:color w:val="000000"/>
                <w:sz w:val="17"/>
              </w:rPr>
              <w:t>6,210 FCFA</w:t>
            </w:r>
          </w:p>
          <w:p>
            <w:r>
              <w:rPr>
                <w:b/>
                <w:color w:val="503200"/>
                <w:sz w:val="16"/>
              </w:rPr>
              <w:t xml:space="preserve">Var. 100 jours : </w:t>
            </w:r>
            <w:r>
              <w:rPr>
                <w:b/>
                <w:color w:val="007800"/>
                <w:sz w:val="17"/>
              </w:rPr>
              <w:t>+32.98%</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14.64% (Moyenne) — μ=5,483 FCFA, σ=803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β=0.7153 (Défensif) — Cov=0.000029, Var(idx)=0.000040, ρ=0.195,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5,840</w:t>
            </w:r>
          </w:p>
        </w:tc>
        <w:tc>
          <w:tcPr>
            <w:tcW w:type="dxa" w:w="1440"/>
            <w:shd w:fill="FAFAFA" w:val="clear"/>
          </w:tcPr>
          <w:p>
            <w:r>
              <w:rPr>
                <w:b/>
                <w:sz w:val="17"/>
              </w:rPr>
              <w:t>6,090</w:t>
            </w:r>
          </w:p>
        </w:tc>
        <w:tc>
          <w:tcPr>
            <w:tcW w:type="dxa" w:w="1440"/>
            <w:shd w:fill="FAFAFA" w:val="clear"/>
          </w:tcPr>
          <w:p>
            <w:r>
              <w:rPr>
                <w:sz w:val="17"/>
              </w:rPr>
              <w:t>6,340</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5,806</w:t>
            </w:r>
          </w:p>
        </w:tc>
        <w:tc>
          <w:tcPr>
            <w:tcW w:type="dxa" w:w="1440"/>
            <w:shd w:fill="FAFAFA" w:val="clear"/>
          </w:tcPr>
          <w:p>
            <w:r>
              <w:rPr>
                <w:b/>
                <w:sz w:val="17"/>
              </w:rPr>
              <w:t>6,164</w:t>
            </w:r>
          </w:p>
        </w:tc>
        <w:tc>
          <w:tcPr>
            <w:tcW w:type="dxa" w:w="1440"/>
            <w:shd w:fill="FAFAFA" w:val="clear"/>
          </w:tcPr>
          <w:p>
            <w:r>
              <w:rPr>
                <w:sz w:val="17"/>
              </w:rPr>
              <w:t>6,522</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5,832</w:t>
            </w:r>
          </w:p>
        </w:tc>
        <w:tc>
          <w:tcPr>
            <w:tcW w:type="dxa" w:w="1440"/>
            <w:shd w:fill="FAFAFA" w:val="clear"/>
          </w:tcPr>
          <w:p>
            <w:r>
              <w:rPr>
                <w:b/>
                <w:sz w:val="17"/>
              </w:rPr>
              <w:t>6,278</w:t>
            </w:r>
          </w:p>
        </w:tc>
        <w:tc>
          <w:tcPr>
            <w:tcW w:type="dxa" w:w="1440"/>
            <w:shd w:fill="FAFAFA" w:val="clear"/>
          </w:tcPr>
          <w:p>
            <w:r>
              <w:rPr>
                <w:sz w:val="17"/>
              </w:rPr>
              <w:t>6,724</w:t>
            </w:r>
          </w:p>
        </w:tc>
        <w:tc>
          <w:tcPr>
            <w:tcW w:type="dxa" w:w="1440"/>
            <w:shd w:fill="FAFAFA" w:val="clear"/>
          </w:tcPr>
          <w:p>
            <w:r>
              <w:rPr>
                <w:b/>
                <w:color w:val="008000"/>
                <w:sz w:val="17"/>
              </w:rPr>
              <w:t>+1.1%</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5,851</w:t>
            </w:r>
          </w:p>
        </w:tc>
        <w:tc>
          <w:tcPr>
            <w:tcW w:type="dxa" w:w="1440"/>
            <w:shd w:fill="C6EFCE" w:val="clear"/>
          </w:tcPr>
          <w:p>
            <w:r>
              <w:rPr>
                <w:b/>
                <w:sz w:val="17"/>
              </w:rPr>
              <w:t>6,374</w:t>
            </w:r>
          </w:p>
        </w:tc>
        <w:tc>
          <w:tcPr>
            <w:tcW w:type="dxa" w:w="1440"/>
            <w:shd w:fill="C6EFCE" w:val="clear"/>
          </w:tcPr>
          <w:p>
            <w:r>
              <w:rPr>
                <w:sz w:val="17"/>
              </w:rPr>
              <w:t>6,897</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5,856</w:t>
            </w:r>
          </w:p>
        </w:tc>
        <w:tc>
          <w:tcPr>
            <w:tcW w:type="dxa" w:w="1440"/>
            <w:shd w:fill="C6EFCE" w:val="clear"/>
          </w:tcPr>
          <w:p>
            <w:r>
              <w:rPr>
                <w:b/>
                <w:sz w:val="17"/>
              </w:rPr>
              <w:t>6,448</w:t>
            </w:r>
          </w:p>
        </w:tc>
        <w:tc>
          <w:tcPr>
            <w:tcW w:type="dxa" w:w="1440"/>
            <w:shd w:fill="C6EFCE" w:val="clear"/>
          </w:tcPr>
          <w:p>
            <w:r>
              <w:rPr>
                <w:sz w:val="17"/>
              </w:rPr>
              <w:t>7,040</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5,854</w:t>
            </w:r>
          </w:p>
        </w:tc>
        <w:tc>
          <w:tcPr>
            <w:tcW w:type="dxa" w:w="1440"/>
            <w:shd w:fill="C6EFCE" w:val="clear"/>
          </w:tcPr>
          <w:p>
            <w:r>
              <w:rPr>
                <w:b/>
                <w:sz w:val="17"/>
              </w:rPr>
              <w:t>6,509</w:t>
            </w:r>
          </w:p>
        </w:tc>
        <w:tc>
          <w:tcPr>
            <w:tcW w:type="dxa" w:w="1440"/>
            <w:shd w:fill="C6EFCE" w:val="clear"/>
          </w:tcPr>
          <w:p>
            <w:r>
              <w:rPr>
                <w:sz w:val="17"/>
              </w:rPr>
              <w:t>7,163</w:t>
            </w:r>
          </w:p>
        </w:tc>
        <w:tc>
          <w:tcPr>
            <w:tcW w:type="dxa" w:w="1440"/>
            <w:shd w:fill="C6EFCE" w:val="clear"/>
          </w:tcPr>
          <w:p>
            <w:r>
              <w:rPr>
                <w:b/>
                <w:color w:val="008000"/>
                <w:sz w:val="17"/>
              </w:rPr>
              <w:t>+4.8%</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5,850</w:t>
            </w:r>
          </w:p>
        </w:tc>
        <w:tc>
          <w:tcPr>
            <w:tcW w:type="dxa" w:w="1440"/>
            <w:shd w:fill="C6EFCE" w:val="clear"/>
          </w:tcPr>
          <w:p>
            <w:r>
              <w:rPr>
                <w:b/>
                <w:sz w:val="17"/>
              </w:rPr>
              <w:t>6,563</w:t>
            </w:r>
          </w:p>
        </w:tc>
        <w:tc>
          <w:tcPr>
            <w:tcW w:type="dxa" w:w="1440"/>
            <w:shd w:fill="C6EFCE" w:val="clear"/>
          </w:tcPr>
          <w:p>
            <w:r>
              <w:rPr>
                <w:sz w:val="17"/>
              </w:rPr>
              <w:t>7,276</w:t>
            </w:r>
          </w:p>
        </w:tc>
        <w:tc>
          <w:tcPr>
            <w:tcW w:type="dxa" w:w="1440"/>
            <w:shd w:fill="C6EFCE" w:val="clear"/>
          </w:tcPr>
          <w:p>
            <w:r>
              <w:rPr>
                <w:b/>
                <w:color w:val="008000"/>
                <w:sz w:val="17"/>
              </w:rPr>
              <w:t>+5.7%</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5,846</w:t>
            </w:r>
          </w:p>
        </w:tc>
        <w:tc>
          <w:tcPr>
            <w:tcW w:type="dxa" w:w="1440"/>
            <w:shd w:fill="C6EFCE" w:val="clear"/>
          </w:tcPr>
          <w:p>
            <w:r>
              <w:rPr>
                <w:b/>
                <w:sz w:val="17"/>
              </w:rPr>
              <w:t>6,614</w:t>
            </w:r>
          </w:p>
        </w:tc>
        <w:tc>
          <w:tcPr>
            <w:tcW w:type="dxa" w:w="1440"/>
            <w:shd w:fill="C6EFCE" w:val="clear"/>
          </w:tcPr>
          <w:p>
            <w:r>
              <w:rPr>
                <w:sz w:val="17"/>
              </w:rPr>
              <w:t>7,382</w:t>
            </w:r>
          </w:p>
        </w:tc>
        <w:tc>
          <w:tcPr>
            <w:tcW w:type="dxa" w:w="1440"/>
            <w:shd w:fill="C6EFCE" w:val="clear"/>
          </w:tcPr>
          <w:p>
            <w:r>
              <w:rPr>
                <w:b/>
                <w:color w:val="008000"/>
                <w:sz w:val="17"/>
              </w:rPr>
              <w:t>+6.5%</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5,842</w:t>
            </w:r>
          </w:p>
        </w:tc>
        <w:tc>
          <w:tcPr>
            <w:tcW w:type="dxa" w:w="1440"/>
            <w:shd w:fill="C6EFCE" w:val="clear"/>
          </w:tcPr>
          <w:p>
            <w:r>
              <w:rPr>
                <w:b/>
                <w:sz w:val="17"/>
              </w:rPr>
              <w:t>6,663</w:t>
            </w:r>
          </w:p>
        </w:tc>
        <w:tc>
          <w:tcPr>
            <w:tcW w:type="dxa" w:w="1440"/>
            <w:shd w:fill="C6EFCE" w:val="clear"/>
          </w:tcPr>
          <w:p>
            <w:r>
              <w:rPr>
                <w:sz w:val="17"/>
              </w:rPr>
              <w:t>7,483</w:t>
            </w:r>
          </w:p>
        </w:tc>
        <w:tc>
          <w:tcPr>
            <w:tcW w:type="dxa" w:w="1440"/>
            <w:shd w:fill="C6EFCE" w:val="clear"/>
          </w:tcPr>
          <w:p>
            <w:r>
              <w:rPr>
                <w:b/>
                <w:color w:val="008000"/>
                <w:sz w:val="17"/>
              </w:rPr>
              <w:t>+7.3%</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5,838</w:t>
            </w:r>
          </w:p>
        </w:tc>
        <w:tc>
          <w:tcPr>
            <w:tcW w:type="dxa" w:w="1440"/>
            <w:shd w:fill="C6EFCE" w:val="clear"/>
          </w:tcPr>
          <w:p>
            <w:r>
              <w:rPr>
                <w:b/>
                <w:sz w:val="17"/>
              </w:rPr>
              <w:t>6,709</w:t>
            </w:r>
          </w:p>
        </w:tc>
        <w:tc>
          <w:tcPr>
            <w:tcW w:type="dxa" w:w="1440"/>
            <w:shd w:fill="C6EFCE" w:val="clear"/>
          </w:tcPr>
          <w:p>
            <w:r>
              <w:rPr>
                <w:sz w:val="17"/>
              </w:rPr>
              <w:t>7,580</w:t>
            </w:r>
          </w:p>
        </w:tc>
        <w:tc>
          <w:tcPr>
            <w:tcW w:type="dxa" w:w="1440"/>
            <w:shd w:fill="C6EFCE" w:val="clear"/>
          </w:tcPr>
          <w:p>
            <w:r>
              <w:rPr>
                <w:b/>
                <w:color w:val="008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170,46 milliards FCFA, BOA Mali se positionne comme une valeur de taille intermédiaire sur la BRVM, représentant un poids notable dans l'indice sectoriel bancaire sans toutefois rivaliser avec les géants régionaux comme SGBCI ou ETIT. Le BPA de 404 FCFA/action signifie que chaque titre détenu génère près de 404 FCFA de bénéfice net, un niveau qui, rapporté au cours actuel de 6 210 FCFA, offre un rendement bénéficiaire implicite d'environ 6,5%. Le PER de 15,4x traduit une valorisation modérée mais supérieure à la moyenne du marché BRVM (8-12x), suggérant que les investisseurs intègrent déjà une prime de qualité liée à la résilience historique de la banque. Le P/B de 3,42x indique que le marché valorise la banque à plus de trois fois sa valeur comptable, une prime de croissance significative qui se justifie par un ROE de 22,24% (largement supérieur au coût des fonds propres estimé à 12-15% en zone UEMOA). Enfin, l'EV/EBITDA de 8,0x, dans la fourchette raisonnable de 5-10x, confirme que la valeur d'entreprise reste cohérente avec la capacité opérationnelle de génération de cash-flows.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BOAM affiche une performance remarquable de +32,98%, portée par un momentum haussier soutenu, bien que la dernière séance (J-1) enregistre un repli marqué de -7,38%, signalant une prise de bénéfices ou une correction technique après le récent sommet. Le range de trading est particulièrement large, avec un plus haut à 7 195 FCFA et un plus bas à 4 425 FCFA, soit un écart de 2 770 FCFA (62,6% du plus bas), témoignant d'une forte amplitude de négociation. La moyenne de 5 483 FCFA se situe légèrement au-dessus de la médiane de 5 410 FCFA, tandis que le mode à 4 670 FCFA — nettement inférieur — révèle que le niveau de prix le plus fréquemment échangé se situe dans la partie basse du range, ce qui suggère que le récent rallye s'est construit sur une base de volumes plus faibles aux niveaux élevés. L'écart-type de 807 FCFA avec un coefficient de variation de 14,7% indique une dispersion modérée du cours autour de sa moyenne, cohérente avec un titre liquide mais sensible aux annonces. Le kurtosis de -0,956 (mésokurtique) signifie que la distribution des rendements est proche d'une loi normale, avec un risque de pics extrêmes limité — rassurant pour la gestion du risque. Le skewness positif de 0,531 indique une asymétrie à droite : bien que le titre ait connu plus de journées sous la moyenne, les journées haussières ont été plus amples, expliquant la performance globale positive. La volatilité annualisée de 36,9% classe BOAM dans la catégorie des titres à volatilité élevée (&gt;30%), ce qui est typique des valeurs bancaires africaines mais nécessite une tolérance au risque importante.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6 736,5 FCFA et la MM50 à 6 170,5 FCFA, toutes deux supérieures au cours actuel de 6 210 FCFA. Le cours évolue donc sous sa moyenne court terme mais reste au-dessus de sa moyenne moyen terme, configuration qui traduit une correction à court terme dans une tendance de fond haussière. La décision technique affichée est "Achat", justifiée par le fait que la MM50 continue de soutenir le cours et que la structure MM20 &gt; MM50 confirme la tendance haussière primaire.</w:t>
      </w:r>
    </w:p>
    <w:p>
      <w:pPr>
        <w:spacing w:after="120" w:line="276" w:lineRule="auto"/>
      </w:pPr>
      <w:r>
        <w:t>**Bandes de Bollinger :** La borne supérieure se situe à 7 303,5 FCFA et la borne inférieure à 6 169,5 FCFA, avec un cours actuel de 6 210 FCFA qui évolue tout près de la bande basse. Cette position indique que le titre a corrigé vers le bas de son canal de volatilité, sans toutefois le franchir — un signal de possible rebond technique. La décision "Neutre" reflète l'absence de signal directionnel fort, le cours étant proche d'une zone de support dynamique.</w:t>
      </w:r>
    </w:p>
    <w:p>
      <w:pPr>
        <w:spacing w:after="120" w:line="276" w:lineRule="auto"/>
      </w:pPr>
      <w:r>
        <w:t>**MACD :** La valeur du MACD (178,6) est inférieure à son signal (263,7), générant une divergence baissière qui traduit un essoufflement du momentum haussier. La décision "Vente" suggère que la dynamique positive des dernières semaines s'affaiblit, et qu'une consolidation ou un repli supplémentaire est probable à court terme avant une reprise éventuelle.</w:t>
      </w:r>
    </w:p>
    <w:p>
      <w:pPr>
        <w:spacing w:after="120" w:line="276" w:lineRule="auto"/>
      </w:pPr>
      <w:r>
        <w:t>**RSI :** À 42,8, le RSI se situe en zone neutre (30-70), sans signal de surachat ni de survente. Cette valeur modérée indique que le titre n'est ni épuisé à la hausse ni survendu, laissant la porte ouverte à une reprise comme à une poursuite de la correction. La décision "Neutre" confirme l'absence de signal fort.</w:t>
      </w:r>
    </w:p>
    <w:p>
      <w:pPr>
        <w:spacing w:after="120" w:line="276" w:lineRule="auto"/>
      </w:pPr>
      <w:r>
        <w:t>**Stochastique :** Le %K à 0,0 et le %D à 33,8 montrent que le %K a atteint son plancher absolu, ce qui est un signal de survente extrême. La décision "Achat" repose sur l'anticipation d'un rebond technique imminent, le %K étant susceptible de croiser le %D à la hausse dans les prochaines séances.</w:t>
      </w:r>
    </w:p>
    <w:p>
      <w:pPr>
        <w:spacing w:after="120" w:line="276" w:lineRule="auto"/>
      </w:pPr>
      <w:r>
        <w:t>**Conclusion technique :** Les indicateurs présentent une divergence notable : les moyennes mobiles et le stochastique plaident pour un achat (support MM50, survente extrême), tandis que le MACD et les bandes de Bollinger suggèrent une prudence (momentum baissier, cours proche de la borne basse). Le RSI neutre ne tranche pas. Dans l'ensemble, le titre se trouve dans une phase de correction au sein d'une tendance haussière, avec un potentiel de rebond technique à court terme mais une confirmation nécessaire par le MACD pour valider une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Mali affiche un Produit Net Bancaire (PNB) de 37,996 milliards FCFA, en croissance de 5,08% par rapport à 2024, confirmant la dynamique commerciale de la banque. Le résultat net s'établit à 11,081 milliards FCFA, en très forte hausse par rapport aux 9,12 milliards de 2024 (+21,5%), porté par une marge nette de 29,16% et une marge opérationnelle de 24,78%. Le ROE de 22,24% et le ROA de 1,87% témoignent d'une rentabilité des fonds propres excellente (&gt;15%) et d'une efficacité dans l'utilisation des actifs. Le coefficient d'exploitation de 63,14% reste supérieur au seuil de 60% mais s'améliore par rapport aux exercices précédents (59,3% en 2022, 43,9% en 2024 selon les rapports), reflétant une maîtrise progressive des charges. Le coût du risque, à 43,39% des charges financières, demeure élevé et constitue le principal point de vigilance, bien qu'en amélioration par rapport à 2022 (13,26 milliards FCFA de provisions). La structure financière montre une autonomie financière de 8,40% (faible mais typique des banques) et une solvabilité générale de 109,16% (supérieure à 1, donc solvable). Le ratio dépôts/créances s'établit à 502,89/253,65 = 1,98x, indiquant une surliquidité confortable mais une transformation crédit limitée (les dépôts financent largement les crédits, avec un excédent placé en titres d'État).</w:t>
      </w:r>
    </w:p>
    <w:p>
      <w:pPr>
        <w:spacing w:after="120" w:line="276" w:lineRule="auto"/>
      </w:pPr>
      <w:r>
        <w:t>**Estimations basées sur les rapports trimestriels :** Le rapport du T1 2026 (publié le 31/03/2026) révèle un PNB de 10 322 millions FCFA, en hausse de +22,97% par rapport au T1 2025 (8 394 millions), signalant une accélération très nette de la croissance. Si cette dynamique se maintient, on peut estimer que le PNB annuel 2026 pourrait atteindre 45-48 milliards FCFA, soit une croissance de 18-25% sur 2025. Le rapport du T3 2025 (30/09/2025) indiquait un PNB cumulé de 28,52 milliards (+5,8%) et un résultat net de 9,16 milliards (+26,2%), confirmant la trajectoire haussière. Le rapport du S1 2025 (30/06/2025) faisait état d'un PNB de 18,71 milliards (+2,7%) et d'un résultat net de 6,21 milliards (+28,8%), avec une baisse spectaculaire du coût du risque (-32,7%). Le rapport annuel 2024 (états financiers certifiés) montrait un PNB de 36,16 milliards (+1,8%) et un résultat net de 9,12 milliards (+57,9%), avec un ROE estimé à 21,1%. L'évolution temporelle des indicateurs montre une accélération de la croissance du PNB (de +1,8% en 2024 à +5,08% en 2025, puis +22,97% au T1 2026) et une rentabilité qui se maintient à des niveaux élevés (ROE &gt;20%). Les risques identifiés dans les rapports incluent l'instabilité politique et sécuritaire au Mali, la dépendance à l'égard du marché malien, et la volatilité des provisions de crédit. La recommandation fondamentale est positive : la banque affiche une solidité financière, une croissance accélérée et une rentabilité supérieure à la moyenne du secteur, bien que le risque pays et le coût du risque élevé justifient une prime de prudence.</w:t>
      </w:r>
    </w:p>
    <w:p>
      <w:pPr>
        <w:spacing w:after="120" w:line="276" w:lineRule="auto"/>
      </w:pPr>
      <w:r>
        <w:t>---</w:t>
      </w:r>
    </w:p>
    <w:p>
      <w:pPr>
        <w:spacing w:after="120" w:line="276" w:lineRule="auto"/>
      </w:pPr>
      <w:r>
        <w:t>## PARTIE 4 : CONCLUSION D'INVESTISSEMENT</w:t>
      </w:r>
    </w:p>
    <w:p>
      <w:pPr>
        <w:spacing w:after="120" w:line="276" w:lineRule="auto"/>
      </w:pPr>
      <w:r>
        <w:t>La valorisation de BOAM (PER 15,4x, P/B 3,42x, EV/EBITDA 8,0x) indique une action correctement valorisée, voire légèrement surévaluée par rapport à la moyenne du marché BRVM (PER 8-12x), mais cette prime se justifie par un ROE de 22,24% et une croissance accélérée du PNB (+22,97% au T1 2026). Le comportement du cours sur 100 jours est haussier (+32,98%) mais la correction récente (-7,38% en J-1) et la volatilité élevée (36,9%) suggèrent une phase de consolidation, avec une distribution des rendements proche de la normale (kurtosis -0,956) et une asymétrie positive (skewness 0,531) qui indique un potentiel de rebond. Les signaux techniques sont mitigés : le stochastique en survente extrême (%K=0) et le support de la MM50 plaident pour un rebond, mais le MACD baissier et la position du cours sous la MM20 incitent à la prudence à court terme. Les fondamentaux sont solides : PNB de 37,996 milliards FCFA en 2025, résultat net de 11,081 milliards, ROE de 22,24%, et les rapports trimestriels (T1 2026, T3 2025, S1 2025) confirment une accélération de la croissance et une amélioration du coût du risque. Les prédictions IA (J+1 à J+10) anticipent une reprise progressive de 6 090 FCFA à 6 448 FCFA, ce qui confirme le scénario d'un rebond technique après la correction. Sur la base de cette synthèse, la recommandation finale est **CONSERVER** avec un biais haussier : la convergence entre fondamentaux solides, prédictions IA positives et signaux de survente technique soutient une reprise à moyen terme, mais la valorisation déjà exigeante et le risque pays (Mali) limitent le potentiel d'achat agressif. Le niveau de confiance est **Moyen** (les signaux techniques sont divergents et la volatilité élevée), le risque global est **Moyen à Élevé** (risque pays et coût du risque), et l'horizon d'investissement optimal est **moyen terme (3-12 mois)** pour capturer la croissance bénéficiaire tout en laissant le temps à la correction technique de se résorber.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8,798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+52.27%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17.39% (Élevée) — μ=4,529 FCFA, σ=788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β=0.6635 (Défensif) — Cov=0.000027, Var(idx)=0.000040, ρ=0.198,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5,131</w:t>
            </w:r>
          </w:p>
        </w:tc>
        <w:tc>
          <w:tcPr>
            <w:tcW w:type="dxa" w:w="1440"/>
            <w:shd w:fill="FAFAFA" w:val="clear"/>
          </w:tcPr>
          <w:p>
            <w:r>
              <w:rPr>
                <w:b/>
                <w:sz w:val="17"/>
              </w:rPr>
              <w:t>5,269</w:t>
            </w:r>
          </w:p>
        </w:tc>
        <w:tc>
          <w:tcPr>
            <w:tcW w:type="dxa" w:w="1440"/>
            <w:shd w:fill="FAFAFA" w:val="clear"/>
          </w:tcPr>
          <w:p>
            <w:r>
              <w:rPr>
                <w:sz w:val="17"/>
              </w:rPr>
              <w:t>5,406</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5,060</w:t>
            </w:r>
          </w:p>
        </w:tc>
        <w:tc>
          <w:tcPr>
            <w:tcW w:type="dxa" w:w="1440"/>
            <w:shd w:fill="FAFAFA" w:val="clear"/>
          </w:tcPr>
          <w:p>
            <w:r>
              <w:rPr>
                <w:b/>
                <w:sz w:val="17"/>
              </w:rPr>
              <w:t>5,254</w:t>
            </w:r>
          </w:p>
        </w:tc>
        <w:tc>
          <w:tcPr>
            <w:tcW w:type="dxa" w:w="1440"/>
            <w:shd w:fill="FAFAFA" w:val="clear"/>
          </w:tcPr>
          <w:p>
            <w:r>
              <w:rPr>
                <w:sz w:val="17"/>
              </w:rPr>
              <w:t>5,448</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5,014</w:t>
            </w:r>
          </w:p>
        </w:tc>
        <w:tc>
          <w:tcPr>
            <w:tcW w:type="dxa" w:w="1440"/>
            <w:shd w:fill="FAFAFA" w:val="clear"/>
          </w:tcPr>
          <w:p>
            <w:r>
              <w:rPr>
                <w:b/>
                <w:sz w:val="17"/>
              </w:rPr>
              <w:t>5,251</w:t>
            </w:r>
          </w:p>
        </w:tc>
        <w:tc>
          <w:tcPr>
            <w:tcW w:type="dxa" w:w="1440"/>
            <w:shd w:fill="FAFAFA" w:val="clear"/>
          </w:tcPr>
          <w:p>
            <w:r>
              <w:rPr>
                <w:sz w:val="17"/>
              </w:rPr>
              <w:t>5,489</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4,976</w:t>
            </w:r>
          </w:p>
        </w:tc>
        <w:tc>
          <w:tcPr>
            <w:tcW w:type="dxa" w:w="1440"/>
            <w:shd w:fill="FAFAFA" w:val="clear"/>
          </w:tcPr>
          <w:p>
            <w:r>
              <w:rPr>
                <w:b/>
                <w:sz w:val="17"/>
              </w:rPr>
              <w:t>5,250</w:t>
            </w:r>
          </w:p>
        </w:tc>
        <w:tc>
          <w:tcPr>
            <w:tcW w:type="dxa" w:w="1440"/>
            <w:shd w:fill="FAFAFA" w:val="clear"/>
          </w:tcPr>
          <w:p>
            <w:r>
              <w:rPr>
                <w:sz w:val="17"/>
              </w:rPr>
              <w:t>5,525</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4,943</w:t>
            </w:r>
          </w:p>
        </w:tc>
        <w:tc>
          <w:tcPr>
            <w:tcW w:type="dxa" w:w="1440"/>
            <w:shd w:fill="FAFAFA" w:val="clear"/>
          </w:tcPr>
          <w:p>
            <w:r>
              <w:rPr>
                <w:b/>
                <w:sz w:val="17"/>
              </w:rPr>
              <w:t>5,249</w:t>
            </w:r>
          </w:p>
        </w:tc>
        <w:tc>
          <w:tcPr>
            <w:tcW w:type="dxa" w:w="1440"/>
            <w:shd w:fill="FAFAFA" w:val="clear"/>
          </w:tcPr>
          <w:p>
            <w:r>
              <w:rPr>
                <w:sz w:val="17"/>
              </w:rPr>
              <w:t>5,556</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4,912</w:t>
            </w:r>
          </w:p>
        </w:tc>
        <w:tc>
          <w:tcPr>
            <w:tcW w:type="dxa" w:w="1440"/>
            <w:shd w:fill="FAFAFA" w:val="clear"/>
          </w:tcPr>
          <w:p>
            <w:r>
              <w:rPr>
                <w:b/>
                <w:sz w:val="17"/>
              </w:rPr>
              <w:t>5,248</w:t>
            </w:r>
          </w:p>
        </w:tc>
        <w:tc>
          <w:tcPr>
            <w:tcW w:type="dxa" w:w="1440"/>
            <w:shd w:fill="FAFAFA" w:val="clear"/>
          </w:tcPr>
          <w:p>
            <w:r>
              <w:rPr>
                <w:sz w:val="17"/>
              </w:rPr>
              <w:t>5,584</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4,884</w:t>
            </w:r>
          </w:p>
        </w:tc>
        <w:tc>
          <w:tcPr>
            <w:tcW w:type="dxa" w:w="1440"/>
            <w:shd w:fill="FAFAFA" w:val="clear"/>
          </w:tcPr>
          <w:p>
            <w:r>
              <w:rPr>
                <w:b/>
                <w:sz w:val="17"/>
              </w:rPr>
              <w:t>5,247</w:t>
            </w:r>
          </w:p>
        </w:tc>
        <w:tc>
          <w:tcPr>
            <w:tcW w:type="dxa" w:w="1440"/>
            <w:shd w:fill="FAFAFA" w:val="clear"/>
          </w:tcPr>
          <w:p>
            <w:r>
              <w:rPr>
                <w:sz w:val="17"/>
              </w:rPr>
              <w:t>5,609</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4,858</w:t>
            </w:r>
          </w:p>
        </w:tc>
        <w:tc>
          <w:tcPr>
            <w:tcW w:type="dxa" w:w="1440"/>
            <w:shd w:fill="FAFAFA" w:val="clear"/>
          </w:tcPr>
          <w:p>
            <w:r>
              <w:rPr>
                <w:b/>
                <w:sz w:val="17"/>
              </w:rPr>
              <w:t>5,245</w:t>
            </w:r>
          </w:p>
        </w:tc>
        <w:tc>
          <w:tcPr>
            <w:tcW w:type="dxa" w:w="1440"/>
            <w:shd w:fill="FAFAFA" w:val="clear"/>
          </w:tcPr>
          <w:p>
            <w:r>
              <w:rPr>
                <w:sz w:val="17"/>
              </w:rPr>
              <w:t>5,633</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4,833</w:t>
            </w:r>
          </w:p>
        </w:tc>
        <w:tc>
          <w:tcPr>
            <w:tcW w:type="dxa" w:w="1440"/>
            <w:shd w:fill="FAFAFA" w:val="clear"/>
          </w:tcPr>
          <w:p>
            <w:r>
              <w:rPr>
                <w:b/>
                <w:sz w:val="17"/>
              </w:rPr>
              <w:t>5,244</w:t>
            </w:r>
          </w:p>
        </w:tc>
        <w:tc>
          <w:tcPr>
            <w:tcW w:type="dxa" w:w="1440"/>
            <w:shd w:fill="FAFAFA" w:val="clear"/>
          </w:tcPr>
          <w:p>
            <w:r>
              <w:rPr>
                <w:sz w:val="17"/>
              </w:rPr>
              <w:t>5,655</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4,810</w:t>
            </w:r>
          </w:p>
        </w:tc>
        <w:tc>
          <w:tcPr>
            <w:tcW w:type="dxa" w:w="1440"/>
            <w:shd w:fill="FAFAFA" w:val="clear"/>
          </w:tcPr>
          <w:p>
            <w:r>
              <w:rPr>
                <w:b/>
                <w:sz w:val="17"/>
              </w:rPr>
              <w:t>5,243</w:t>
            </w:r>
          </w:p>
        </w:tc>
        <w:tc>
          <w:tcPr>
            <w:tcW w:type="dxa" w:w="1440"/>
            <w:shd w:fill="FAFAFA" w:val="clear"/>
          </w:tcPr>
          <w:p>
            <w:r>
              <w:rPr>
                <w:sz w:val="17"/>
              </w:rPr>
              <w:t>5,676</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BANK OF AFRICA NIGER (BOAN)**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108,16 milliards FCFA, un niveau significatif à l'échelle de la BRVM qui positionne la banque parmi les valeurs moyennes de la cote, mais qui contraste fortement avec la faiblesse de ses bénéfices actuels. Le BPA de 20 FCFA par action signifie que chaque titre ne génère que 20 FCFA de bénéfice net, un niveau dérisoire au regard du cours de 5 200 FCFA. Le PER de 264,4x est exceptionnellement élevé — très loin de la moyenne BRVM (~8-12x) — et traduit une décorrélation totale entre le prix de marché et la rentabilité effective : les investisseurs paient 264 fois les bénéfices, ce qui n'est justifiable que par l'anticipation d'un rebond spectaculaire des profits. Le P/B de 3,00x indique que le marché valorise la banque à trois fois sa valeur comptable (capitaux propres de 36,06 Mds FCFA), soit une prime de croissance significative qui n'est pas corroborée par les performances récentes. Enfin, l'EV/EBITDA de 39,9x, très supérieur au seuil de 15x généralement considéré comme exigeant, confirme que la valeur d'entreprise intègre des attentes de rentabilité opérationnelle future très optimistes, rendant le titre vulnérable à toute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remarquable de +52,27%, passant d'environ 3 400 FCFA à 5 200 FCFA, malgré un repli de -2,80% lors de la dernière séance (J-1). Le range de trading est particulièrement large, avec un plus haut à 5 645 FCFA et un plus bas à 3 395 FCFA, soit un écart de 2 250 FCFA (66% du plus bas) qui témoigne d'une forte amplitude de mouvement. La tendance générale est clairement haussière sur la période, portée par les anticipations de redressement de la banque après l'année 2025 catastrophique. Les statistiques descriptives révèlent une moyenne de 4 529 FCFA légèrement inférieure à la médiane de 4 605 FCFA, suggérant une très légère asymétrie négative confirmée par le skewness de -0,079 (distribution quasi-symétrique). L'écart-type de 792 FCFA avec un coefficient de variation de 17,5% indique une dispersion modérée du cours autour de sa moyenne. Le kurtosis de -1,733 (distribution platykurtique) signale une distribution aplatie avec une faible concentration des valeurs extrêmes — le titre n'a pas connu de pics de volatilité brutaux sur la période, ce qui est rassurant. La volatilité annualisée de 33,6% classe BOAN dans la catégorie des titres à volatilité élevée (&gt;30%), ce qui est cohérent avec le contexte de redressement incertain et la forte progression récente du cours.</w:t>
      </w:r>
    </w:p>
    <w:p>
      <w:pPr>
        <w:spacing w:after="120" w:line="276" w:lineRule="auto"/>
      </w:pPr>
      <w:r>
        <w:t>---</w:t>
      </w:r>
    </w:p>
    <w:p>
      <w:pPr>
        <w:spacing w:after="120" w:line="276" w:lineRule="auto"/>
      </w:pPr>
      <w:r>
        <w:t>## PARTIE 2 : ANALYSE TECHNIQUE DÉTAILLÉE</w:t>
      </w:r>
    </w:p>
    <w:p>
      <w:pPr>
        <w:spacing w:after="120" w:line="276" w:lineRule="auto"/>
      </w:pPr>
      <w:r>
        <w:t>**Moyennes Mobiles** : La MM20 (5 437,25 FCFA) et la MM50 (5 279,50 FCFA) sont toutes deux supérieures au cours actuel de 5 200 FCFA, ce qui place le titre en position de repli sous ses moyennes. La MM20 &gt; MM50 indique une configuration haussière de fond, mais le croisement du cours sous ces deux moyennes suggère une consolidation en cours. La décision technique affichée est "Achat", probablement basée sur la structure haussière des moyennes, mais la prudence est de mise tant que le cours ne repasse pas au-dessus de la MM20.</w:t>
      </w:r>
    </w:p>
    <w:p>
      <w:pPr>
        <w:spacing w:after="120" w:line="276" w:lineRule="auto"/>
      </w:pPr>
      <w:r>
        <w:t>**Bandes de Bollinger** : Le cours actuel (5 200 FCFA) se situe sous la borne inférieure des Bandes de Bollinger (5 231,12 FCFA), ce qui est un signal de survente technique à court terme. La borne supérieure est à 5 643,38 FCFA, soit un écart de 412 FCFA entre les bornes, reflétant une volatilité modérée. La décision "Achat" est cohérente avec la position du cours sous la borne inférieure, qui suggère un potentiel de rebond vers la moyenne mobile des bandes.</w:t>
      </w:r>
    </w:p>
    <w:p>
      <w:pPr>
        <w:spacing w:after="120" w:line="276" w:lineRule="auto"/>
      </w:pPr>
      <w:r>
        <w:t>**MACD** : La valeur du MACD (39,02) est inférieure à son signal (84,57), générant une divergence baissière qui indique un affaiblissement du momentum haussier. La décision "Vente" reflète cette perte de dynamique positive, bien que le MACD reste en territoire positif, ce qui n'invalide pas la tendance haussière de fond mais suggère une correction en cours.</w:t>
      </w:r>
    </w:p>
    <w:p>
      <w:pPr>
        <w:spacing w:after="120" w:line="276" w:lineRule="auto"/>
      </w:pPr>
      <w:r>
        <w:t>**RSI** : Avec une valeur de 31,92, le RSI se situe juste au-dessus du seuil de survente (30), ce qui est un signal "Neutre" mais proche de la zone de survente. Cela indique que le titre n'est pas encore techniquement survendu, mais qu'il s'en approche, ce qui pourrait attirer les acheteurs à contre-tendance.</w:t>
      </w:r>
    </w:p>
    <w:p>
      <w:pPr>
        <w:spacing w:after="120" w:line="276" w:lineRule="auto"/>
      </w:pPr>
      <w:r>
        <w:t>**Stochastique** : Les valeurs %K et %D sont toutes deux à 0,0, ce qui est un signal de survente extrême. La décision "Achat" est justifiée par cette configuration, qui précède souvent un rebond technique à court terme, bien que la fiabilité de ce signal soit renforcée par la position du cours sous les Bandes de Bollinger.</w:t>
      </w:r>
    </w:p>
    <w:p>
      <w:pPr>
        <w:spacing w:after="120" w:line="276" w:lineRule="auto"/>
      </w:pPr>
      <w:r>
        <w:t>**Conclusion technique** : Les indicateurs techniques présentent un tableau mitigé. Les signaux d'achat (Bollinger, Stochastique, Moyennes Mobiles) dominent, mais le MACD en divergence baissière et le RSI proche de la survente tempèrent l'optimisme. Le titre se trouve dans une phase de consolidation après une forte hausse, avec un potentiel de rebond à court terme mais une dynamique de momentum affaiblie. La convergence des signaux de survente (Bollinger, Stochastique) suggère qu'un rebond technique est probable, mais la prudence reste de mise tant que le MACD ne se retourne pas.</w:t>
      </w:r>
    </w:p>
    <w:p>
      <w:pPr>
        <w:spacing w:after="120" w:line="276" w:lineRule="auto"/>
      </w:pPr>
      <w:r>
        <w:t>---</w:t>
      </w:r>
    </w:p>
    <w:p>
      <w:pPr>
        <w:spacing w:after="120" w:line="276" w:lineRule="auto"/>
      </w:pPr>
      <w:r>
        <w:t>## PARTIE 3 : ANALYSE FONDAMENTALE</w:t>
      </w:r>
    </w:p>
    <w:p>
      <w:pPr>
        <w:spacing w:after="120" w:line="276" w:lineRule="auto"/>
      </w:pPr>
      <w:r>
        <w:t>En 2025, BOAN a traversé une année extrêmement difficile, comme en témoignent les états financiers annuels : le Produit Net Bancaire (PNB) s'est établi à 21 125 millions FCFA, en léger repli de -1,2% par rapport à 2024 (21 380 M FCFA), tandis que le résultat net s'est effondré de -91,8% à seulement 409 millions FCFA contre 5 002 millions un an plus tôt. Cette chute spectaculaire s'explique par une explosion du coût du risque (+121,5% à 6 016 M FCFA), incluant une provision exceptionnelle de 4,8 milliards FCFA liée au taux de sinistralité sectoriel de 24% au Niger, ainsi que par une hausse des charges générales (+6,5%) sous pression fiscale accrue. Les ratios de rentabilité se sont effondrés : le ROE est passé de 11,39% en 2024 à 1,05% en 2025, et le ROA de 1,49% à 0,13%, des niveaux très inférieurs aux standards bancaires. Le coefficient d'exploitation, à 74,37%, demeure élevé (bien au-dessus du seuil de 60% d'efficacité), reflétant une structure de coûts lourde. La structure financière reste néanmoins solide avec un ratio de solvabilité de 14,06% (conforme aux exigences UEMOA de 10%) et un coefficient de liquidité de 123,95%, tandis que les dépôts clientèle ont progressé de +4% à 189,9 milliards FCFA, surperformant un secteur en hausse de seulement +1%. La contraction volontaire des crédits de -20,9% à 128,4 milliards FCFA traduit une politique prudente de réduction des risques, avec une réorientation vers les PME (+19% en nombre de dossiers). Les rapports trimestriels de 2026 confirment un début de redressement : au T1 2026 (rapport du 31 mars 2026), le PNB a progressé de +7,9% à 5 170 millions FCFA, le résultat net de +28,9% à 1 467,3 millions FCFA, et le coefficient d'exploitation s'est amélioré à 56,2% (contre 66,8% un an plus tôt), grâce à une baisse des frais généraux de -9,1%. Le coût du risque reste toutefois élevé (+104,3% à 673,1 millions FCFA), reflétant la poursuite de l'assainissement du portefeuille. Sur la base de ce T1 2026, on peut estimer que l'exercice 2026 devrait afficher un PNB en croissance de +6% à +8% (objectif budgétaire de 22 327 M FCFA, soit +6,4%) et un résultat net en forte progression, potentiellement multiplié par 6 à 8 par rapport à 2025, sous réserve de la maîtrise du coût du risque. La recommandation fondamentale est de **CONSERVER** avec une vigilance accrue : la banque dispose d'atouts solides (soutien du groupe BOA, ratios prudentiels conformes, plan stratégique 2025-2027 axé sur la digitalisation et la qualité du portefeuille), mais les risques restent élevés (créances douteuses à 24%, dépendance au contexte géopolitique nigérien, absence de dividende depuis 3 ans).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notable entre les signaux. Sur le plan de la **valorisation (Partie 0)**, les ratios sont extrêmement tendus : PER de 264,4x, P/B de 3,00x et EV/EBITDA de 39,9x indiquent une surévaluation manifeste par rapport aux bénéfices actuels, le marché ayant déjà intégré un redressement spectaculaire des profits. Le **comportement du cours (Partie 1)** est haussier sur 100 jours (+52,27%) avec une volatilité élevée (33,6%) et une distribution platykurtique (absence de pics extrêmes), mais le repli de -2,80% en J-1 et la position sous les moyennes mobiles suggèrent une consolidation. Les **signaux techniques (Partie 2)** sont mitigés : les indicateurs de survente (Bollinger, Stochastique) plaident pour un rebond, mais le MACD en divergence baissière et le RSI proche de la survente tempèrent l'optimisme, créant une divergence entre momentum et signaux d'achat. Les **fondamentaux (Partie 3)** montrent une année 2025 catastrophique (ROE de 1,05%, résultat net de 409 M FCFA) mais un début de redressement confirmé au T1 2026 (résultat net +28,9%, coefficient d'exploitation à 56,2%), avec des estimations 2026 optimistes mais conditionnées à la maîtrise du coût du risque. Les **prédictions IA (J+1 à J+10)** anticipent une légère baisse du cours de 5 269 FCFA à 5 249 FCFA, soit une trajectoire baissière modérée qui contredit les signaux d'achat techniques à court terme mais s'aligne sur la consolidation en cours. Sur la base de cette synthèse, la recommandation finale est **CONSERVER** avec un niveau de confiance **Moyen** et un risque global **Élevé**. La convergence entre la surévaluation boursière, la consolidation technique et les fondamentaux encore fragiles (malgré le rebond du T1 2026) ne justifie pas un achat agressif à ces niveaux, mais la solidité des ratios prudentiels et le soutien du groupe BOA excluent une vente. L'horizon d'investissement optimal est le **moyen terme (3-12 mois)**, le temps que les trimestres 2026 confirment la tendance au redressement et que la valorisation se normalise par la croissance des bénéfices plutôt que par la hausse du cours. Un suivi rapproché des indicateurs de coût du risque et de la qualité du portefeuille crédit est impératif avant tout renforcement de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287.82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10,808 titres</w:t>
            </w:r>
          </w:p>
        </w:tc>
        <w:tc>
          <w:tcPr>
            <w:tcW w:type="dxa" w:w="2268"/>
            <w:shd w:fill="FFF2CC" w:val="clear"/>
          </w:tcPr>
          <w:p>
            <w:r>
              <w:rPr>
                <w:b/>
                <w:color w:val="503200"/>
                <w:sz w:val="16"/>
              </w:rPr>
              <w:t xml:space="preserve">Cours actuel : </w:t>
            </w:r>
            <w:r>
              <w:rPr>
                <w:color w:val="000000"/>
                <w:sz w:val="17"/>
              </w:rPr>
              <w:t>7,995 FCFA</w:t>
            </w:r>
          </w:p>
          <w:p>
            <w:r>
              <w:rPr>
                <w:b/>
                <w:color w:val="503200"/>
                <w:sz w:val="16"/>
              </w:rPr>
              <w:t xml:space="preserve">Var. 100 jours : </w:t>
            </w:r>
            <w:r>
              <w:rPr>
                <w:b/>
                <w:color w:val="007800"/>
                <w:sz w:val="17"/>
              </w:rPr>
              <w:t>+15.04%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6,940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5.09% (Moyenne) — μ=7,656 FCFA, σ=390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β=0.2747 (Défensif) — Cov=0.000011, Var(idx)=0.000040, ρ=0.111,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10,808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7,788</w:t>
            </w:r>
          </w:p>
        </w:tc>
        <w:tc>
          <w:tcPr>
            <w:tcW w:type="dxa" w:w="1440"/>
            <w:shd w:fill="FAFAFA" w:val="clear"/>
          </w:tcPr>
          <w:p>
            <w:r>
              <w:rPr>
                <w:b/>
                <w:sz w:val="17"/>
              </w:rPr>
              <w:t>7,980</w:t>
            </w:r>
          </w:p>
        </w:tc>
        <w:tc>
          <w:tcPr>
            <w:tcW w:type="dxa" w:w="1440"/>
            <w:shd w:fill="FAFAFA" w:val="clear"/>
          </w:tcPr>
          <w:p>
            <w:r>
              <w:rPr>
                <w:sz w:val="17"/>
              </w:rPr>
              <w:t>8,173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7,682</w:t>
            </w:r>
          </w:p>
        </w:tc>
        <w:tc>
          <w:tcPr>
            <w:tcW w:type="dxa" w:w="1440"/>
            <w:shd w:fill="FAFAFA" w:val="clear"/>
          </w:tcPr>
          <w:p>
            <w:r>
              <w:rPr>
                <w:b/>
                <w:sz w:val="17"/>
              </w:rPr>
              <w:t>7,953</w:t>
            </w:r>
          </w:p>
        </w:tc>
        <w:tc>
          <w:tcPr>
            <w:tcW w:type="dxa" w:w="1440"/>
            <w:shd w:fill="FAFAFA" w:val="clear"/>
          </w:tcPr>
          <w:p>
            <w:r>
              <w:rPr>
                <w:sz w:val="17"/>
              </w:rPr>
              <w:t>8,224</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7,596</w:t>
            </w:r>
          </w:p>
        </w:tc>
        <w:tc>
          <w:tcPr>
            <w:tcW w:type="dxa" w:w="1440"/>
            <w:shd w:fill="FAFAFA" w:val="clear"/>
          </w:tcPr>
          <w:p>
            <w:r>
              <w:rPr>
                <w:b/>
                <w:sz w:val="17"/>
              </w:rPr>
              <w:t>7,927</w:t>
            </w:r>
          </w:p>
        </w:tc>
        <w:tc>
          <w:tcPr>
            <w:tcW w:type="dxa" w:w="1440"/>
            <w:shd w:fill="FAFAFA" w:val="clear"/>
          </w:tcPr>
          <w:p>
            <w:r>
              <w:rPr>
                <w:sz w:val="17"/>
              </w:rPr>
              <w:t>8,258</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2026-09-25</w:t>
            </w:r>
          </w:p>
        </w:tc>
        <w:tc>
          <w:tcPr>
            <w:tcW w:type="dxa" w:w="1440"/>
            <w:shd w:fill="FAFAFA" w:val="clear"/>
          </w:tcPr>
          <w:p>
            <w:r>
              <w:rPr>
                <w:sz w:val="17"/>
              </w:rPr>
              <w:t>7,519</w:t>
            </w:r>
          </w:p>
        </w:tc>
        <w:tc>
          <w:tcPr>
            <w:tcW w:type="dxa" w:w="1440"/>
            <w:shd w:fill="FAFAFA" w:val="clear"/>
          </w:tcPr>
          <w:p>
            <w:r>
              <w:rPr>
                <w:b/>
                <w:sz w:val="17"/>
              </w:rPr>
              <w:t>7,901</w:t>
            </w:r>
          </w:p>
        </w:tc>
        <w:tc>
          <w:tcPr>
            <w:tcW w:type="dxa" w:w="1440"/>
            <w:shd w:fill="FAFAFA" w:val="clear"/>
          </w:tcPr>
          <w:p>
            <w:r>
              <w:rPr>
                <w:sz w:val="17"/>
              </w:rPr>
              <w:t>8,282</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2026-09-28</w:t>
            </w:r>
          </w:p>
        </w:tc>
        <w:tc>
          <w:tcPr>
            <w:tcW w:type="dxa" w:w="1440"/>
            <w:shd w:fill="FAFAFA" w:val="clear"/>
          </w:tcPr>
          <w:p>
            <w:r>
              <w:rPr>
                <w:sz w:val="17"/>
              </w:rPr>
              <w:t>7,450</w:t>
            </w:r>
          </w:p>
        </w:tc>
        <w:tc>
          <w:tcPr>
            <w:tcW w:type="dxa" w:w="1440"/>
            <w:shd w:fill="FAFAFA" w:val="clear"/>
          </w:tcPr>
          <w:p>
            <w:r>
              <w:rPr>
                <w:b/>
                <w:sz w:val="17"/>
              </w:rPr>
              <w:t>7,875</w:t>
            </w:r>
          </w:p>
        </w:tc>
        <w:tc>
          <w:tcPr>
            <w:tcW w:type="dxa" w:w="1440"/>
            <w:shd w:fill="FAFAFA" w:val="clear"/>
          </w:tcPr>
          <w:p>
            <w:r>
              <w:rPr>
                <w:sz w:val="17"/>
              </w:rPr>
              <w:t>8,300</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2026-09-29</w:t>
            </w:r>
          </w:p>
        </w:tc>
        <w:tc>
          <w:tcPr>
            <w:tcW w:type="dxa" w:w="1440"/>
            <w:shd w:fill="FAFAFA" w:val="clear"/>
          </w:tcPr>
          <w:p>
            <w:r>
              <w:rPr>
                <w:sz w:val="17"/>
              </w:rPr>
              <w:t>7,387</w:t>
            </w:r>
          </w:p>
        </w:tc>
        <w:tc>
          <w:tcPr>
            <w:tcW w:type="dxa" w:w="1440"/>
            <w:shd w:fill="FAFAFA" w:val="clear"/>
          </w:tcPr>
          <w:p>
            <w:r>
              <w:rPr>
                <w:b/>
                <w:sz w:val="17"/>
              </w:rPr>
              <w:t>7,850</w:t>
            </w:r>
          </w:p>
        </w:tc>
        <w:tc>
          <w:tcPr>
            <w:tcW w:type="dxa" w:w="1440"/>
            <w:shd w:fill="FAFAFA" w:val="clear"/>
          </w:tcPr>
          <w:p>
            <w:r>
              <w:rPr>
                <w:sz w:val="17"/>
              </w:rPr>
              <w:t>8,314</w:t>
            </w:r>
          </w:p>
        </w:tc>
        <w:tc>
          <w:tcPr>
            <w:tcW w:type="dxa" w:w="1440"/>
            <w:shd w:fill="FAFAFA" w:val="clear"/>
          </w:tcPr>
          <w:p>
            <w:r>
              <w:rPr>
                <w:b/>
                <w:color w:val="C00000"/>
                <w:sz w:val="17"/>
              </w:rPr>
              <w:t>-1.8%</w:t>
            </w:r>
          </w:p>
        </w:tc>
      </w:tr>
      <w:tr>
        <w:tc>
          <w:tcPr>
            <w:tcW w:type="dxa" w:w="1440"/>
            <w:shd w:fill="FFDCE0" w:val="clear"/>
          </w:tcPr>
          <w:p>
            <w:r>
              <w:rPr>
                <w:sz w:val="17"/>
              </w:rPr>
              <w:t>J+7  Moyenne</w:t>
            </w:r>
          </w:p>
        </w:tc>
        <w:tc>
          <w:tcPr>
            <w:tcW w:type="dxa" w:w="1440"/>
            <w:shd w:fill="FFDCE0" w:val="clear"/>
          </w:tcPr>
          <w:p>
            <w:r>
              <w:rPr>
                <w:sz w:val="17"/>
              </w:rPr>
              <w:t>2026-09-30</w:t>
            </w:r>
          </w:p>
        </w:tc>
        <w:tc>
          <w:tcPr>
            <w:tcW w:type="dxa" w:w="1440"/>
            <w:shd w:fill="FFDCE0" w:val="clear"/>
          </w:tcPr>
          <w:p>
            <w:r>
              <w:rPr>
                <w:sz w:val="17"/>
              </w:rPr>
              <w:t>7,328</w:t>
            </w:r>
          </w:p>
        </w:tc>
        <w:tc>
          <w:tcPr>
            <w:tcW w:type="dxa" w:w="1440"/>
            <w:shd w:fill="FFDCE0" w:val="clear"/>
          </w:tcPr>
          <w:p>
            <w:r>
              <w:rPr>
                <w:b/>
                <w:sz w:val="17"/>
              </w:rPr>
              <w:t>7,827</w:t>
            </w:r>
          </w:p>
        </w:tc>
        <w:tc>
          <w:tcPr>
            <w:tcW w:type="dxa" w:w="1440"/>
            <w:shd w:fill="FFDCE0" w:val="clear"/>
          </w:tcPr>
          <w:p>
            <w:r>
              <w:rPr>
                <w:sz w:val="17"/>
              </w:rPr>
              <w:t>8,327</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2026-10-01</w:t>
            </w:r>
          </w:p>
        </w:tc>
        <w:tc>
          <w:tcPr>
            <w:tcW w:type="dxa" w:w="1440"/>
            <w:shd w:fill="FFDCE0" w:val="clear"/>
          </w:tcPr>
          <w:p>
            <w:r>
              <w:rPr>
                <w:sz w:val="17"/>
              </w:rPr>
              <w:t>7,272</w:t>
            </w:r>
          </w:p>
        </w:tc>
        <w:tc>
          <w:tcPr>
            <w:tcW w:type="dxa" w:w="1440"/>
            <w:shd w:fill="FFDCE0" w:val="clear"/>
          </w:tcPr>
          <w:p>
            <w:r>
              <w:rPr>
                <w:b/>
                <w:sz w:val="17"/>
              </w:rPr>
              <w:t>7,805</w:t>
            </w:r>
          </w:p>
        </w:tc>
        <w:tc>
          <w:tcPr>
            <w:tcW w:type="dxa" w:w="1440"/>
            <w:shd w:fill="FFDCE0" w:val="clear"/>
          </w:tcPr>
          <w:p>
            <w:r>
              <w:rPr>
                <w:sz w:val="17"/>
              </w:rPr>
              <w:t>8,337</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7,220</w:t>
            </w:r>
          </w:p>
        </w:tc>
        <w:tc>
          <w:tcPr>
            <w:tcW w:type="dxa" w:w="1440"/>
            <w:shd w:fill="FFDCE0" w:val="clear"/>
          </w:tcPr>
          <w:p>
            <w:r>
              <w:rPr>
                <w:b/>
                <w:sz w:val="17"/>
              </w:rPr>
              <w:t>7,783</w:t>
            </w:r>
          </w:p>
        </w:tc>
        <w:tc>
          <w:tcPr>
            <w:tcW w:type="dxa" w:w="1440"/>
            <w:shd w:fill="FFDCE0" w:val="clear"/>
          </w:tcPr>
          <w:p>
            <w:r>
              <w:rPr>
                <w:sz w:val="17"/>
              </w:rPr>
              <w:t>8,346</w:t>
            </w:r>
          </w:p>
        </w:tc>
        <w:tc>
          <w:tcPr>
            <w:tcW w:type="dxa" w:w="1440"/>
            <w:shd w:fill="FFDCE0" w:val="clear"/>
          </w:tcPr>
          <w:p>
            <w:r>
              <w:rPr>
                <w:b/>
                <w:color w:val="C00000"/>
                <w:sz w:val="17"/>
              </w:rPr>
              <w:t>-2.6%</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7,171</w:t>
            </w:r>
          </w:p>
        </w:tc>
        <w:tc>
          <w:tcPr>
            <w:tcW w:type="dxa" w:w="1440"/>
            <w:shd w:fill="FFDCE0" w:val="clear"/>
          </w:tcPr>
          <w:p>
            <w:r>
              <w:rPr>
                <w:b/>
                <w:sz w:val="17"/>
              </w:rPr>
              <w:t>7,763</w:t>
            </w:r>
          </w:p>
        </w:tc>
        <w:tc>
          <w:tcPr>
            <w:tcW w:type="dxa" w:w="1440"/>
            <w:shd w:fill="FFDCE0" w:val="clear"/>
          </w:tcPr>
          <w:p>
            <w:r>
              <w:rPr>
                <w:sz w:val="17"/>
              </w:rPr>
              <w:t>8,355</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287,82 milliards FCFA, BOAS s'impose comme l'une des valeurs bancaires de référence de la cote BRVM, témoignant d'une liquidité et d'une profondeur de marché appréciables pour la zone UEMOA. Le BPA de 608 FCFA/action signifie que chaque titre génère près de 608 FCFA de bénéfice net, un niveau de rentabilité par action robuste qui traduit la qualité des résultats de la banque. Le PER de 13,1x se situe légèrement au-dessus de la moyenne BRVM (~8-12x), ce qui indique que les investisseurs acceptent de payer une prime modérée pour la qualité de la croissance et la régularité des bénéfices de BOAS — sans pour autant tomber dans une surévaluation manifeste. Le P/B de 2,98x montre que le marché valorise la banque à près de trois fois sa valeur comptable, une prime de croissance justifiée par un ROE de 22,7%, très supérieur au coût des fonds propres. Enfin, l'EV/EBITDA de 8,5x, dans la fourchette raisonnable de 5-10x, confirme que la valeur d'entreprise reste cohérente avec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 enregistré une progression totale de +15,04%, malgré un léger repli de -0,68% lors de la dernière séance, portant le cours actuel à 7 995 FCFA. Le range de trading s'établit entre un plus bas de 6 940 FCFA et un plus haut de 8 500 FCFA, soit une amplitude de près de 22%, reflétant une tendance générale haussière soutenue par la dynamique fondamentale de la banque. Les statistiques descriptives révèlent une moyenne de 7 656 FCFA légèrement supérieure à la médiane de 7 560 FCFA, avec un mode à 7 700 FCFA : cet écart modéré entre moyenne et médiane, conjugué à un skewness de 0,465 (distribution symétrique), indique une distribution équilibrée sans biais directionnel marqué. L'écart-type de 392 FCFA et le coefficient de variation de 5,1% traduisent une dispersion relativement contenue du cours autour de sa moyenne, signe d'une certaine stabilité. Le kurtosis de -0,810 (mésokurtique) suggère une distribution proche de la normale, avec un risque de pics extrêmes limité — un facteur rassurant pour la gestion du risque. Enfin, la volatilité annualisée de 24,9% positionne BOAS dans la catégorie des titres à volatilité modérée (15-30%), offrant un compromis intéressant entre potentiel de rendement et maîtrise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8 272,25 FCFA et la MM50 à 7 913,20 FCFA, toutes deux supérieures au cours actuel de 7 995 FCFA pour la MM20, mais la MM50 reste légèrement en dessous. Cette configuration indique que le titre évolue sous sa moyenne court terme mais au-dessus de sa moyenne moyen terme, signalant une correction temporaire dans une tendance de fond haussière. La décision technique est à l'**Achat**, la MM50 jouant le rôle de support dynamique.</w:t>
      </w:r>
    </w:p>
    <w:p>
      <w:pPr>
        <w:spacing w:after="120" w:line="276" w:lineRule="auto"/>
      </w:pPr>
      <w:r>
        <w:t>**Bandes de Bollinger** : La borne supérieure se situe à 8 519,26 FCFA et la borne inférieure à 8 025,24 FCFA, tandis que le cours actuel de 7 995 FCFA évolue légèrement en dessous de la borne inférieure. Cette position suggère que le titre est en zone de survente relative à court terme, ce qui peut précéder un rebond technique. La décision est à l'**Achat**, la pression baissière semblant s'essouffler.</w:t>
      </w:r>
    </w:p>
    <w:p>
      <w:pPr>
        <w:spacing w:after="120" w:line="276" w:lineRule="auto"/>
      </w:pPr>
      <w:r>
        <w:t>**MACD** : La valeur du MACD (57,865) est nettement inférieure à son signal (110,359), générant une divergence baissière qui traduit un momentum négatif à court terme. Cette configuration incite à la prudence, la décision technique étant à la **Vente**, bien que l'écart puisse se résorber rapidement.</w:t>
      </w:r>
    </w:p>
    <w:p>
      <w:pPr>
        <w:spacing w:after="120" w:line="276" w:lineRule="auto"/>
      </w:pPr>
      <w:r>
        <w:t>**RSI** : À 36,508, le RSI se situe dans la zone neutre basse (30-70), sans atteindre le seuil de survente (&lt;30). Cette position indique un équilibre précaire, avec une légère pression vendeuse mais sans excès. La décision est **Neutre**, le titre n'étant ni suracheté ni survendu.</w:t>
      </w:r>
    </w:p>
    <w:p>
      <w:pPr>
        <w:spacing w:after="120" w:line="276" w:lineRule="auto"/>
      </w:pPr>
      <w:r>
        <w:t>**Stochastique** : Les valeurs %K et %D sont toutes deux à 0,0, signalant une situation de survente extrême. Un tel niveau est généralement suivi d'un rebond technique, ce qui justifie la décision à l'**Achat** malgré le contexte baissier à court terme.</w:t>
      </w:r>
    </w:p>
    <w:p>
      <w:pPr>
        <w:spacing w:after="120" w:line="276" w:lineRule="auto"/>
      </w:pPr>
      <w:r>
        <w:t>**Conclusion technique** : Les indicateurs présentent une divergence notable. Les signaux d'achat (Moyennes Mobiles, Bandes de Bollinger, Stochastique) dominent, soutenus par une survente extrême du stochastique et une position sous la borne inférieure de Bollinger. Cependant, le MACD baissier et le RSI neutre tempèrent l'optimisme, suggérant une phase de consolidation avant une reprise potentielle. La convergence des signaux d'achat à moyen terme est contrebalancée par un momentum court terme négatif.</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solide et rentable : le Produit Net Bancaire (PNB) s'établit à 51,926 milliards FCFA, avec un résultat net de 21,905 milliards FCFA, soit une marge nette exceptionnelle de 42,19%. Le ROE atteint 22,69% (&gt;15% = excellent) et le ROA 2,62%, confirmant une création de valeur significative pour les actionnaires. Le coefficient d'exploitation de 44,02% (&lt;60% = banque efficace, &lt;50% = excellente) témoigne d'une maîtrise remarquable des charges. Le coût du risque, à 23,31% des charges financières, reste un point de vigilance, bien qu'il soit en amélioration selon les rapports trimestriels. La structure financière affiche une autonomie financière de 11,54% (faible mais typique du modèle bancaire) et une solvabilité générale de 113,05%, garantissant la solidité du bilan. Les dépôts clientèle (686,927 milliards FCFA) couvrent largement les créances clientèle (386,424 milliards FCFA), avec un ratio de transformation de 56,3%, reflétant une gestion prudente de la liquidité. Les rapports narratifs confirment cette dynamique : le rapport du T3 2025 (30/09/2025) fait état d'un PNB de 37,44 milliards FCFA (+6,71%) et d'un résultat net de 16,37 milliards FCFA (+10,01%), avec un coefficient d'exploitation en baisse à 44,4%. Le rapport du T1 2026 (31/03/2026) montre une accélération avec un PNB de 12,58 milliards FCFA (+6,82%) et un résultat net de 5,741 milliards FCFA (+9,78%), ainsi qu'une forte progression des dépôts clients (+13,6% à 631,038 milliards FCFA). Sur la base de ces tendances, on estime que l'exercice 2026 devrait enregistrer une croissance du PNB d'environ 6-7% et une progression du résultat net de 9-10%, poursuivant la trajectoire vertueuse observée depuis 2021 (croissance du résultat net de 44,4% en 2021, puis stabilisation à un rythme élevé). La recommandation fondamentale est **solide** : la banque affiche une rentabilité exceptionnelle, une efficacité opérationnelle confirmée et une dynamique commerciale soutenue, avec un risque principal lié à la concentration sur le marché sénégalais et à l'évolution du coût du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mais globalement favorable. La valorisation (Partie 0) est modérément exigeante avec un PER de 13,1x et un P/B de 2,98x, mais justifiée par un ROE de 22,7% et une croissance régulière — le titre n'est ni sous-évalué ni surévalué. Le comportement du cours (Partie 1) est haussier sur 100 jours (+15,04%), avec une volatilité modérée (24,9%) et des statistiques rassurantes (kurtosis -0,810, skewness 0,465), bien que la récente correction de -0,68% et la position sous la MM20 tempèrent l'élan. Les signaux techniques (Partie 2) sont divergents : les indicateurs d'achat (MM50, Bollinger, Stochastique en survente extrême) dominent, mais le MACD baissier et le RSI neutre suggèrent une consolidation à court terme. Les fondamentaux (Partie 3) sont excellents, avec un PNB de 51,93 milliards FCFA, un résultat net de 21,91 milliards FCFA, un coefficient d'exploitation de 44,02% et des perspectives de croissance de 6-7% pour 2026. Les prédictions IA (J+1 à J+10) anticipent une légère baisse vers 7 875 FCFA d'ici le 28 septembre 2026, ce qui contredit les signaux d'achat techniques à court terme mais s'inscrit dans une phase de consolidation avant une reprise. Sur la base de cette synthèse, la recommandation finale est **ACHAT**, avec un niveau de confiance **Moyen** et un risque global **Moyen**. La convergence entre fondamentaux solides, valorisation raisonnable et signaux techniques d'achat à moyen terme soutient cette décision, bien que la divergence à court terme (MACD baissier, prédictions IA baissières) invite à la prudence. L'horizon d'investissement optimal est le **moyen terme (3-12 mois)**, le temps que la consolidation technique s'achève et que la croissance fondamentale se matérialise dans les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20.07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2,057 titres</w:t>
            </w:r>
          </w:p>
        </w:tc>
        <w:tc>
          <w:tcPr>
            <w:tcW w:type="dxa" w:w="2268"/>
            <w:shd w:fill="FFF2CC" w:val="clear"/>
          </w:tcPr>
          <w:p>
            <w:r>
              <w:rPr>
                <w:b/>
                <w:color w:val="503200"/>
                <w:sz w:val="16"/>
              </w:rPr>
              <w:t xml:space="preserve">Cours actuel : </w:t>
            </w:r>
            <w:r>
              <w:rPr>
                <w:color w:val="000000"/>
                <w:sz w:val="17"/>
              </w:rPr>
              <w:t>3,390 FCFA</w:t>
            </w:r>
          </w:p>
          <w:p>
            <w:r>
              <w:rPr>
                <w:b/>
                <w:color w:val="503200"/>
                <w:sz w:val="16"/>
              </w:rPr>
              <w:t xml:space="preserve">Var. 100 jours : </w:t>
            </w:r>
            <w:r>
              <w:rPr>
                <w:b/>
                <w:color w:val="B40000"/>
                <w:sz w:val="17"/>
              </w:rPr>
              <w:t>-8.38%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3,390 FCFA</w:t>
            </w:r>
          </w:p>
          <w:p>
            <w:r>
              <w:rPr>
                <w:b/>
                <w:color w:val="503200"/>
                <w:sz w:val="16"/>
              </w:rPr>
              <w:t xml:space="preserve">Volatilité ann. : </w:t>
            </w:r>
            <w:r>
              <w:rPr>
                <w:color w:val="000000"/>
                <w:sz w:val="17"/>
              </w:rPr>
              <w:t>44.5%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7.34% (Moyenne) — μ=3,704 FCFA, σ=272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β=0.1829 (Défensif) — Cov=0.000007, Var(idx)=0.000040, ρ=0.041,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σ_j=2.80%/j (Stable) — Vol. annualisée≈44.5%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3,294</w:t>
            </w:r>
          </w:p>
        </w:tc>
        <w:tc>
          <w:tcPr>
            <w:tcW w:type="dxa" w:w="1440"/>
            <w:shd w:fill="FAFAFA" w:val="clear"/>
          </w:tcPr>
          <w:p>
            <w:r>
              <w:rPr>
                <w:b/>
                <w:sz w:val="17"/>
              </w:rPr>
              <w:t>3,366</w:t>
            </w:r>
          </w:p>
        </w:tc>
        <w:tc>
          <w:tcPr>
            <w:tcW w:type="dxa" w:w="1440"/>
            <w:shd w:fill="FAFAFA" w:val="clear"/>
          </w:tcPr>
          <w:p>
            <w:r>
              <w:rPr>
                <w:sz w:val="17"/>
              </w:rPr>
              <w:t>3,439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3,243</w:t>
            </w:r>
          </w:p>
        </w:tc>
        <w:tc>
          <w:tcPr>
            <w:tcW w:type="dxa" w:w="1440"/>
            <w:shd w:fill="FAFAFA" w:val="clear"/>
          </w:tcPr>
          <w:p>
            <w:r>
              <w:rPr>
                <w:b/>
                <w:sz w:val="17"/>
              </w:rPr>
              <w:t>3,345</w:t>
            </w:r>
          </w:p>
        </w:tc>
        <w:tc>
          <w:tcPr>
            <w:tcW w:type="dxa" w:w="1440"/>
            <w:shd w:fill="FAFAFA" w:val="clear"/>
          </w:tcPr>
          <w:p>
            <w:r>
              <w:rPr>
                <w:sz w:val="17"/>
              </w:rPr>
              <w:t>3,447</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3,200</w:t>
            </w:r>
          </w:p>
        </w:tc>
        <w:tc>
          <w:tcPr>
            <w:tcW w:type="dxa" w:w="1440"/>
            <w:shd w:fill="FAFAFA" w:val="clear"/>
          </w:tcPr>
          <w:p>
            <w:r>
              <w:rPr>
                <w:b/>
                <w:sz w:val="17"/>
              </w:rPr>
              <w:t>3,324</w:t>
            </w:r>
          </w:p>
        </w:tc>
        <w:tc>
          <w:tcPr>
            <w:tcW w:type="dxa" w:w="1440"/>
            <w:shd w:fill="FAFAFA" w:val="clear"/>
          </w:tcPr>
          <w:p>
            <w:r>
              <w:rPr>
                <w:sz w:val="17"/>
              </w:rPr>
              <w:t>3,449</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2026-09-25</w:t>
            </w:r>
          </w:p>
        </w:tc>
        <w:tc>
          <w:tcPr>
            <w:tcW w:type="dxa" w:w="1440"/>
            <w:shd w:fill="FFDCE0" w:val="clear"/>
          </w:tcPr>
          <w:p>
            <w:r>
              <w:rPr>
                <w:sz w:val="17"/>
              </w:rPr>
              <w:t>3,162</w:t>
            </w:r>
          </w:p>
        </w:tc>
        <w:tc>
          <w:tcPr>
            <w:tcW w:type="dxa" w:w="1440"/>
            <w:shd w:fill="FFDCE0" w:val="clear"/>
          </w:tcPr>
          <w:p>
            <w:r>
              <w:rPr>
                <w:b/>
                <w:sz w:val="17"/>
              </w:rPr>
              <w:t>3,304</w:t>
            </w:r>
          </w:p>
        </w:tc>
        <w:tc>
          <w:tcPr>
            <w:tcW w:type="dxa" w:w="1440"/>
            <w:shd w:fill="FFDCE0" w:val="clear"/>
          </w:tcPr>
          <w:p>
            <w:r>
              <w:rPr>
                <w:sz w:val="17"/>
              </w:rPr>
              <w:t>3,447</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2026-09-28</w:t>
            </w:r>
          </w:p>
        </w:tc>
        <w:tc>
          <w:tcPr>
            <w:tcW w:type="dxa" w:w="1440"/>
            <w:shd w:fill="FFDCE0" w:val="clear"/>
          </w:tcPr>
          <w:p>
            <w:r>
              <w:rPr>
                <w:sz w:val="17"/>
              </w:rPr>
              <w:t>3,126</w:t>
            </w:r>
          </w:p>
        </w:tc>
        <w:tc>
          <w:tcPr>
            <w:tcW w:type="dxa" w:w="1440"/>
            <w:shd w:fill="FFDCE0" w:val="clear"/>
          </w:tcPr>
          <w:p>
            <w:r>
              <w:rPr>
                <w:b/>
                <w:sz w:val="17"/>
              </w:rPr>
              <w:t>3,285</w:t>
            </w:r>
          </w:p>
        </w:tc>
        <w:tc>
          <w:tcPr>
            <w:tcW w:type="dxa" w:w="1440"/>
            <w:shd w:fill="FFDCE0" w:val="clear"/>
          </w:tcPr>
          <w:p>
            <w:r>
              <w:rPr>
                <w:sz w:val="17"/>
              </w:rPr>
              <w:t>3,443</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2026-09-29</w:t>
            </w:r>
          </w:p>
        </w:tc>
        <w:tc>
          <w:tcPr>
            <w:tcW w:type="dxa" w:w="1440"/>
            <w:shd w:fill="FFDCE0" w:val="clear"/>
          </w:tcPr>
          <w:p>
            <w:r>
              <w:rPr>
                <w:sz w:val="17"/>
              </w:rPr>
              <w:t>3,092</w:t>
            </w:r>
          </w:p>
        </w:tc>
        <w:tc>
          <w:tcPr>
            <w:tcW w:type="dxa" w:w="1440"/>
            <w:shd w:fill="FFDCE0" w:val="clear"/>
          </w:tcPr>
          <w:p>
            <w:r>
              <w:rPr>
                <w:b/>
                <w:sz w:val="17"/>
              </w:rPr>
              <w:t>3,265</w:t>
            </w:r>
          </w:p>
        </w:tc>
        <w:tc>
          <w:tcPr>
            <w:tcW w:type="dxa" w:w="1440"/>
            <w:shd w:fill="FFDCE0" w:val="clear"/>
          </w:tcPr>
          <w:p>
            <w:r>
              <w:rPr>
                <w:sz w:val="17"/>
              </w:rPr>
              <w:t>3,437</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2026-09-30</w:t>
            </w:r>
          </w:p>
        </w:tc>
        <w:tc>
          <w:tcPr>
            <w:tcW w:type="dxa" w:w="1440"/>
            <w:shd w:fill="FFDCE0" w:val="clear"/>
          </w:tcPr>
          <w:p>
            <w:r>
              <w:rPr>
                <w:sz w:val="17"/>
              </w:rPr>
              <w:t>3,060</w:t>
            </w:r>
          </w:p>
        </w:tc>
        <w:tc>
          <w:tcPr>
            <w:tcW w:type="dxa" w:w="1440"/>
            <w:shd w:fill="FFDCE0" w:val="clear"/>
          </w:tcPr>
          <w:p>
            <w:r>
              <w:rPr>
                <w:b/>
                <w:sz w:val="17"/>
              </w:rPr>
              <w:t>3,245</w:t>
            </w:r>
          </w:p>
        </w:tc>
        <w:tc>
          <w:tcPr>
            <w:tcW w:type="dxa" w:w="1440"/>
            <w:shd w:fill="FFDCE0" w:val="clear"/>
          </w:tcPr>
          <w:p>
            <w:r>
              <w:rPr>
                <w:sz w:val="17"/>
              </w:rPr>
              <w:t>3,430</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2026-10-01</w:t>
            </w:r>
          </w:p>
        </w:tc>
        <w:tc>
          <w:tcPr>
            <w:tcW w:type="dxa" w:w="1440"/>
            <w:shd w:fill="FFDCE0" w:val="clear"/>
          </w:tcPr>
          <w:p>
            <w:r>
              <w:rPr>
                <w:sz w:val="17"/>
              </w:rPr>
              <w:t>3,029</w:t>
            </w:r>
          </w:p>
        </w:tc>
        <w:tc>
          <w:tcPr>
            <w:tcW w:type="dxa" w:w="1440"/>
            <w:shd w:fill="FFDCE0" w:val="clear"/>
          </w:tcPr>
          <w:p>
            <w:r>
              <w:rPr>
                <w:b/>
                <w:sz w:val="17"/>
              </w:rPr>
              <w:t>3,225</w:t>
            </w:r>
          </w:p>
        </w:tc>
        <w:tc>
          <w:tcPr>
            <w:tcW w:type="dxa" w:w="1440"/>
            <w:shd w:fill="FFDCE0" w:val="clear"/>
          </w:tcPr>
          <w:p>
            <w:r>
              <w:rPr>
                <w:sz w:val="17"/>
              </w:rPr>
              <w:t>3,422</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2,998</w:t>
            </w:r>
          </w:p>
        </w:tc>
        <w:tc>
          <w:tcPr>
            <w:tcW w:type="dxa" w:w="1440"/>
            <w:shd w:fill="FFDCE0" w:val="clear"/>
          </w:tcPr>
          <w:p>
            <w:r>
              <w:rPr>
                <w:b/>
                <w:sz w:val="17"/>
              </w:rPr>
              <w:t>3,205</w:t>
            </w:r>
          </w:p>
        </w:tc>
        <w:tc>
          <w:tcPr>
            <w:tcW w:type="dxa" w:w="1440"/>
            <w:shd w:fill="FFDCE0" w:val="clear"/>
          </w:tcPr>
          <w:p>
            <w:r>
              <w:rPr>
                <w:sz w:val="17"/>
              </w:rPr>
              <w:t>3,413</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2,968</w:t>
            </w:r>
          </w:p>
        </w:tc>
        <w:tc>
          <w:tcPr>
            <w:tcW w:type="dxa" w:w="1440"/>
            <w:shd w:fill="FFDCE0" w:val="clear"/>
          </w:tcPr>
          <w:p>
            <w:r>
              <w:rPr>
                <w:b/>
                <w:sz w:val="17"/>
              </w:rPr>
              <w:t>3,185</w:t>
            </w:r>
          </w:p>
        </w:tc>
        <w:tc>
          <w:tcPr>
            <w:tcW w:type="dxa" w:w="1440"/>
            <w:shd w:fill="FFDCE0" w:val="clear"/>
          </w:tcPr>
          <w:p>
            <w:r>
              <w:rPr>
                <w:sz w:val="17"/>
              </w:rPr>
              <w:t>3,402</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20,07 milliards FCFA, CABC se situe dans la catégorie des valeurs moyennes de la BRVM, loin des poids lourds comme SONATEL ou ETIT, mais suffisamment liquide pour intéresser les investisseurs institutionnels régionaux. Le BPA de 243 FCFA/action confère au titre un PER de 13,9x, légèrement supérieur à la moyenne du marché BRVM (8-12x), ce qui suggère que les investisseurs paient une prime modérée pour les bénéfices actuels, probablement justifiée par les perspectives de croissance du secteur des câbles. Le P/B de 2,15x indique que le marché valorise l'entreprise à plus du double de sa valeur comptable, traduisant une prime de croissance accordée par les investisseurs, bien que cette prime reste dans la fourchette raisonnable de 2-4x. Enfin, l'EV/EBITDA de 7,0x situe la valeur d'entreprise à un niveau raisonnable (5-10x), reflétant une capacité opérationnelle correctement valorisée par le marché, sans excès ni décote significative.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 enregistré une variation totale de -8,38%, avec une dernière séance en repli de -0,44%, confirmant une tendance baissière persistante. Le cours actuel de 3 390 FCFA se situe exactement au plus bas de la période, tandis que le plus haut a atteint 4 500 FCFA, soit un range de trading de 1 110 FCFA (32,7% d'amplitude), témoignant d'une volatilité significative. La moyenne des cours s'établit à 3 704 FCFA, supérieure à la médiane de 3 610 FCFA, cet écart de 94 FCFA révélant une asymétrie positive : quelques journées de cours élevés tirent la moyenne vers le haut, mais la majorité des séances se sont déroulées sous ce niveau. L'écart-type de 273 FCFA (CV=7,4%) indique une dispersion modérée autour de la moyenne, tandis que le kurtosis de 0,714 (mésokurtique) suggère une distribution proche de la normale, sans risque excessif de pics extrêmes. Le skewness de 1,125 confirme cette asymétrie positive avec davantage de journées sous la moyenne, ce qui est cohérent avec la tendance baissière. La volatilité annualisée de 44,5% classe le titre dans la catégorie des valeurs à volatilité élevée (&gt;30%), ce qui implique un risque de prix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(3 490,25 FCFA) et la MM50 (3 590,60 FCFA) se situent toutes deux au-dessus du cours actuel (3 390 FCFA), avec la MM20 en dessous de la MM50, configuration typique d'une tendance baissière. Le cours évoluant sous ses deux moyennes mobiles, la pression vendeuse est confirmée, justifiant la décision technique de **Vente**.</w:t>
      </w:r>
    </w:p>
    <w:p>
      <w:pPr>
        <w:spacing w:after="120" w:line="276" w:lineRule="auto"/>
      </w:pPr>
      <w:r>
        <w:t>**Bandes de Bollinger** : Le cours (3 390 FCFA) évolue pratiquement sur la borne inférieure (3 385,50 FCFA), tandis que la borne supérieure se situe à 3 595 FCFA. Cette position basse dans le canal indique une pression baissière, mais la proximité de la borne inférieure pourrait signaler une zone de survente technique. La décision est **Neutre**, reflétant l'absence de signal directionnel fort malgré la position extrême.</w:t>
      </w:r>
    </w:p>
    <w:p>
      <w:pPr>
        <w:spacing w:after="120" w:line="276" w:lineRule="auto"/>
      </w:pPr>
      <w:r>
        <w:t>**MACD** : La valeur du MACD (-53,642) est inférieure à son signal (-50,575), avec un histogramme négatif, confirmant un momentum baissier. La divergence négative entre le MACD et son signal indique que la tendance baissière se poursuit sans signe de retournement imminent, justifiant la décision de **Vente**.</w:t>
      </w:r>
    </w:p>
    <w:p>
      <w:pPr>
        <w:spacing w:after="120" w:line="276" w:lineRule="auto"/>
      </w:pPr>
      <w:r>
        <w:t>**RSI** : À 37,931, le RSI se situe dans la zone neutre basse (30-70), sans atteindre le seuil de survente (&lt;30). Cette valeur indique que le titre n'est pas encore techniquement survendu, mais la proximité de la zone de survente suggère une possible accélération baissière ou un rebond technique à court terme. La décision est **Neutre**.</w:t>
      </w:r>
    </w:p>
    <w:p>
      <w:pPr>
        <w:spacing w:after="120" w:line="276" w:lineRule="auto"/>
      </w:pPr>
      <w:r>
        <w:t>**Stochastique** : Le %K (0,0) est nettement inférieur au %D (4,762), avec un croisement en zone de survente extrême. Cette configuration est généralement interprétée comme un signal d'achat contrarien, car elle suggère que la pression vendeuse est à son paroxysme et qu'un rebond pourrait survenir. La décision est **Achat**, en divergence avec les autres indicateurs.</w:t>
      </w:r>
    </w:p>
    <w:p>
      <w:pPr>
        <w:spacing w:after="120" w:line="276" w:lineRule="auto"/>
      </w:pPr>
      <w:r>
        <w:t>**Conclusion technique** : Les indicateurs techniques présentent une divergence notable : les moyennes mobiles et le MACD confirment une tendance baissière, tandis que le stochastique en zone de survente extrême suggère un possible rebond à court terme. Le RSI neutre et les bandes de Bollinger en position basse renforcent l'idée d'une pression baissière persistante, mais la configuration du stochastique invite à la prudence pour les vendeurs à découvert. La convergence des signaux baissiers (MM, MACD) domine, mais le stochastique constitue un signal d'alerte pour un retournement potentiel.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CABC a réalisé un chiffre d'affaires de 21,263 milliards FCFA, en croissance de 11,18% par rapport à 2024, confirmant la dynamique commerciale positive observée depuis 2023. Le résultat net s'établit à 1,439 milliard FCFA, soit une marge nette de 6,77%, en amélioration par rapport aux 6,4% de 2024. Le ROE de 15,40% (excellent, &gt;15%) et le ROA de 6,10% témoignent d'une rentabilité solide des fonds propres et des actifs. La structure financière est saine avec une autonomie financière de 39,58% (&gt;30%), une liquidité générale de 242,60% (&gt;1) et un ratio d'endettement de 60,42%, bien que les dettes financières totales (417,60 M FCFA) restent faibles par rapport aux capitaux propres (9,346 Mds FCFA). Cependant, deux points de vigilance majeurs émergent : le délai clients de 144,69 jours (élevé, signalant un risque de trésorerie) et la durée de stockage de 152,12 jours (immobilisation de capital importante). Le BFR de 7,186 Mds FCFA et le fonds de roulement de 12,325 Mds FCFA indiquent une gestion du besoin en fonds de roulement à surveiller, bien que la trésorerie nette de 5,139 Mds FCFA reste confortable.</w:t>
      </w:r>
    </w:p>
    <w:p>
      <w:pPr>
        <w:spacing w:after="120" w:line="276" w:lineRule="auto"/>
      </w:pPr>
      <w:r>
        <w:t>**Estimations basées sur les rapports trimestriels** : Le rapport du 3ème trimestre 2025 (daté du 30 septembre 2025) indique un chiffre d'affaires cumulé de 16,630 milliards FCFA (+13,7% vs 9M 2024) et un résultat net de 1,3295 milliard FCFA (+26,0%), avec une marge nette de 8,0% et une marge opérationnelle de 11,5%. Le rapport du 1er semestre 2025 (daté du 30 juin 2025) faisait état d'un résultat net de 851,5 M FCFA (+55,3%) et d'une marge nette de 7,9%. Sur la base de ces tendances, on estime que l'exercice 2025 devrait clôturer avec un chiffre d'affaires supérieur à 21 milliards FCFA et un résultat net autour de 1,4-1,5 milliard FCFA, confirmant la trajectoire de croissance. Toutefois, le rapport du T1 2026 (daté de 2026) signale un chiffre d'affaires en baisse de 26,5% à 3,794 milliards FCFA et une perte nette de 221,7 M FCFA, due à une maintenance planifiée et à l'inflation des cours des métaux (+23%). La direction anticipe une normalisation dès le T2 2026, mais cette contre-performance temporaire invite à la prudence pour l'exercice en cours.</w:t>
      </w:r>
    </w:p>
    <w:p>
      <w:pPr>
        <w:spacing w:after="120" w:line="276" w:lineRule="auto"/>
      </w:pPr>
      <w:r>
        <w:t>**Recommandation fondamentale** : CABC présente des fondamentaux solides (croissance du CA, ROE &gt;15%, structure financière saine) mais des risques opérationnels persistants (délais clients et stocks élevés, volatilité des matières premières, concurrence accrue). La recommandation fondamentale est **Conserver**, avec une surveillance active des indicateurs de trésorerie et de la normalisation des performances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CABC (PER 13,9x, P/B 2,15x, EV/EBITDA 7,0x) indique une légère surévaluation par rapport à la moyenne du marché BRVM, mais reste justifiée par les perspectives de croissance du secteur. Le comportement du cours sur 100 jours est préoccupant : tendance baissière (-8,38%), cours au plus bas de la période (3 390 FCFA), volatilité élevée (44,5%) et skewness positive (1,125) signalant une pression vendeuse persistante. Les signaux techniques sont majoritairement baissiers (MM20 et MM50 au-dessus du cours, MACD négatif), bien que le stochastique en zone de survente extrême (%K=0,0) suggère un possible rebond à court terme. Les fondamentaux restent solides (CA 2025 de 21,263 Mds FCFA, résultat net de 1,439 Md FCFA, ROE de 15,40%), mais le rapport T1 2026 fait état d'une perte nette de 221,7 M FCFA, créant une incertitude sur l'exercice en cours. Les prédictions IA (J+1 à J+10) anticipent une poursuite de la baisse jusqu'à 3 285 FCFA, confirmant la tendance baissière à court terme. Sur la base de cette synthèse, la recommandation finale est **VENTE**, avec un niveau de confiance **Moyen** et un risque global **Élevé**. La convergence entre la tendance baissière du cours, les signaux techniques majoritairement négatifs et les prédictions IA baissières l'emporte sur la solidité des fondamentaux et le signal contrarien du stochastique. L'horizon d'investissement optimal est **court terme** (&lt;3 mois) pour les investisseurs cherchant à profiter d'un rebond technique, mais **moyen terme** (3-12 mois) pour ceux qui souhaitent attendre la normalisation des performances au T2 2026 avant de se positionner.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1056.00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1,566 titres</w:t>
            </w:r>
          </w:p>
        </w:tc>
        <w:tc>
          <w:tcPr>
            <w:tcW w:type="dxa" w:w="2268"/>
            <w:shd w:fill="FFF2CC" w:val="clear"/>
          </w:tcPr>
          <w:p>
            <w:r>
              <w:rPr>
                <w:b/>
                <w:color w:val="503200"/>
                <w:sz w:val="16"/>
              </w:rPr>
              <w:t xml:space="preserve">Cours actuel : </w:t>
            </w:r>
            <w:r>
              <w:rPr>
                <w:color w:val="000000"/>
                <w:sz w:val="17"/>
              </w:rPr>
              <w:t>33,000 FCFA</w:t>
            </w:r>
          </w:p>
          <w:p>
            <w:r>
              <w:rPr>
                <w:b/>
                <w:color w:val="503200"/>
                <w:sz w:val="16"/>
              </w:rPr>
              <w:t xml:space="preserve">Var. 100 jours : </w:t>
            </w:r>
            <w:r>
              <w:rPr>
                <w:b/>
                <w:color w:val="007800"/>
                <w:sz w:val="17"/>
              </w:rPr>
              <w:t>+103.70%</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20.61% (Élevée) — μ=25,450 FCFA, σ=5,245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β=0.9780 (Neutre (suit le marché)) — Cov=0.000039, Var(idx)=0.000040, ρ=0.244,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1,566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2026-09-22</w:t>
            </w:r>
          </w:p>
        </w:tc>
        <w:tc>
          <w:tcPr>
            <w:tcW w:type="dxa" w:w="1440"/>
            <w:shd w:fill="FFDCE0" w:val="clear"/>
          </w:tcPr>
          <w:p>
            <w:r>
              <w:rPr>
                <w:sz w:val="17"/>
              </w:rPr>
              <w:t>30,117</w:t>
            </w:r>
          </w:p>
        </w:tc>
        <w:tc>
          <w:tcPr>
            <w:tcW w:type="dxa" w:w="1440"/>
            <w:shd w:fill="FFDCE0" w:val="clear"/>
          </w:tcPr>
          <w:p>
            <w:r>
              <w:rPr>
                <w:b/>
                <w:sz w:val="17"/>
              </w:rPr>
              <w:t>31,080</w:t>
            </w:r>
          </w:p>
        </w:tc>
        <w:tc>
          <w:tcPr>
            <w:tcW w:type="dxa" w:w="1440"/>
            <w:shd w:fill="FFDCE0" w:val="clear"/>
          </w:tcPr>
          <w:p>
            <w:r>
              <w:rPr>
                <w:sz w:val="17"/>
              </w:rPr>
              <w:t>32,042</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2026-09-23</w:t>
            </w:r>
          </w:p>
        </w:tc>
        <w:tc>
          <w:tcPr>
            <w:tcW w:type="dxa" w:w="1440"/>
            <w:shd w:fill="FFDCE0" w:val="clear"/>
          </w:tcPr>
          <w:p>
            <w:r>
              <w:rPr>
                <w:sz w:val="17"/>
              </w:rPr>
              <w:t>28,922</w:t>
            </w:r>
          </w:p>
        </w:tc>
        <w:tc>
          <w:tcPr>
            <w:tcW w:type="dxa" w:w="1440"/>
            <w:shd w:fill="FFDCE0" w:val="clear"/>
          </w:tcPr>
          <w:p>
            <w:r>
              <w:rPr>
                <w:b/>
                <w:sz w:val="17"/>
              </w:rPr>
              <w:t>30,246</w:t>
            </w:r>
          </w:p>
        </w:tc>
        <w:tc>
          <w:tcPr>
            <w:tcW w:type="dxa" w:w="1440"/>
            <w:shd w:fill="FFDCE0" w:val="clear"/>
          </w:tcPr>
          <w:p>
            <w:r>
              <w:rPr>
                <w:sz w:val="17"/>
              </w:rPr>
              <w:t>31,571</w:t>
            </w:r>
          </w:p>
        </w:tc>
        <w:tc>
          <w:tcPr>
            <w:tcW w:type="dxa" w:w="1440"/>
            <w:shd w:fill="FFDCE0" w:val="clear"/>
          </w:tcPr>
          <w:p>
            <w:r>
              <w:rPr>
                <w:b/>
                <w:color w:val="C00000"/>
                <w:sz w:val="17"/>
              </w:rPr>
              <w:t>-8.3%</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28,256</w:t>
            </w:r>
          </w:p>
        </w:tc>
        <w:tc>
          <w:tcPr>
            <w:tcW w:type="dxa" w:w="1440"/>
            <w:shd w:fill="FFDCE0" w:val="clear"/>
          </w:tcPr>
          <w:p>
            <w:r>
              <w:rPr>
                <w:b/>
                <w:sz w:val="17"/>
              </w:rPr>
              <w:t>29,857</w:t>
            </w:r>
          </w:p>
        </w:tc>
        <w:tc>
          <w:tcPr>
            <w:tcW w:type="dxa" w:w="1440"/>
            <w:shd w:fill="FFDCE0" w:val="clear"/>
          </w:tcPr>
          <w:p>
            <w:r>
              <w:rPr>
                <w:sz w:val="17"/>
              </w:rPr>
              <w:t>31,458</w:t>
            </w:r>
          </w:p>
        </w:tc>
        <w:tc>
          <w:tcPr>
            <w:tcW w:type="dxa" w:w="1440"/>
            <w:shd w:fill="FFDCE0" w:val="clear"/>
          </w:tcPr>
          <w:p>
            <w:r>
              <w:rPr>
                <w:b/>
                <w:color w:val="C00000"/>
                <w:sz w:val="17"/>
              </w:rPr>
              <w:t>-9.5%</w:t>
            </w:r>
          </w:p>
        </w:tc>
      </w:tr>
      <w:tr>
        <w:tc>
          <w:tcPr>
            <w:tcW w:type="dxa" w:w="1440"/>
            <w:shd w:fill="FFDCE0" w:val="clear"/>
          </w:tcPr>
          <w:p>
            <w:r>
              <w:rPr>
                <w:sz w:val="17"/>
              </w:rPr>
              <w:t>J+4  Moyenne</w:t>
            </w:r>
          </w:p>
        </w:tc>
        <w:tc>
          <w:tcPr>
            <w:tcW w:type="dxa" w:w="1440"/>
            <w:shd w:fill="FFDCE0" w:val="clear"/>
          </w:tcPr>
          <w:p>
            <w:r>
              <w:rPr>
                <w:sz w:val="17"/>
              </w:rPr>
              <w:t>2026-09-25</w:t>
            </w:r>
          </w:p>
        </w:tc>
        <w:tc>
          <w:tcPr>
            <w:tcW w:type="dxa" w:w="1440"/>
            <w:shd w:fill="FFDCE0" w:val="clear"/>
          </w:tcPr>
          <w:p>
            <w:r>
              <w:rPr>
                <w:sz w:val="17"/>
              </w:rPr>
              <w:t>27,740</w:t>
            </w:r>
          </w:p>
        </w:tc>
        <w:tc>
          <w:tcPr>
            <w:tcW w:type="dxa" w:w="1440"/>
            <w:shd w:fill="FFDCE0" w:val="clear"/>
          </w:tcPr>
          <w:p>
            <w:r>
              <w:rPr>
                <w:b/>
                <w:sz w:val="17"/>
              </w:rPr>
              <w:t>29,571</w:t>
            </w:r>
          </w:p>
        </w:tc>
        <w:tc>
          <w:tcPr>
            <w:tcW w:type="dxa" w:w="1440"/>
            <w:shd w:fill="FFDCE0" w:val="clear"/>
          </w:tcPr>
          <w:p>
            <w:r>
              <w:rPr>
                <w:sz w:val="17"/>
              </w:rPr>
              <w:t>31,403</w:t>
            </w:r>
          </w:p>
        </w:tc>
        <w:tc>
          <w:tcPr>
            <w:tcW w:type="dxa" w:w="1440"/>
            <w:shd w:fill="FFDCE0" w:val="clear"/>
          </w:tcPr>
          <w:p>
            <w:r>
              <w:rPr>
                <w:b/>
                <w:color w:val="C00000"/>
                <w:sz w:val="17"/>
              </w:rPr>
              <w:t>-10.4%</w:t>
            </w:r>
          </w:p>
        </w:tc>
      </w:tr>
      <w:tr>
        <w:tc>
          <w:tcPr>
            <w:tcW w:type="dxa" w:w="1440"/>
            <w:shd w:fill="FFDCE0" w:val="clear"/>
          </w:tcPr>
          <w:p>
            <w:r>
              <w:rPr>
                <w:sz w:val="17"/>
              </w:rPr>
              <w:t>J+5  Moyenne</w:t>
            </w:r>
          </w:p>
        </w:tc>
        <w:tc>
          <w:tcPr>
            <w:tcW w:type="dxa" w:w="1440"/>
            <w:shd w:fill="FFDCE0" w:val="clear"/>
          </w:tcPr>
          <w:p>
            <w:r>
              <w:rPr>
                <w:sz w:val="17"/>
              </w:rPr>
              <w:t>2026-09-28</w:t>
            </w:r>
          </w:p>
        </w:tc>
        <w:tc>
          <w:tcPr>
            <w:tcW w:type="dxa" w:w="1440"/>
            <w:shd w:fill="FFDCE0" w:val="clear"/>
          </w:tcPr>
          <w:p>
            <w:r>
              <w:rPr>
                <w:sz w:val="17"/>
              </w:rPr>
              <w:t>27,291</w:t>
            </w:r>
          </w:p>
        </w:tc>
        <w:tc>
          <w:tcPr>
            <w:tcW w:type="dxa" w:w="1440"/>
            <w:shd w:fill="FFDCE0" w:val="clear"/>
          </w:tcPr>
          <w:p>
            <w:r>
              <w:rPr>
                <w:b/>
                <w:sz w:val="17"/>
              </w:rPr>
              <w:t>29,321</w:t>
            </w:r>
          </w:p>
        </w:tc>
        <w:tc>
          <w:tcPr>
            <w:tcW w:type="dxa" w:w="1440"/>
            <w:shd w:fill="FFDCE0" w:val="clear"/>
          </w:tcPr>
          <w:p>
            <w:r>
              <w:rPr>
                <w:sz w:val="17"/>
              </w:rPr>
              <w:t>31,351</w:t>
            </w:r>
          </w:p>
        </w:tc>
        <w:tc>
          <w:tcPr>
            <w:tcW w:type="dxa" w:w="1440"/>
            <w:shd w:fill="FFDCE0" w:val="clear"/>
          </w:tcPr>
          <w:p>
            <w:r>
              <w:rPr>
                <w:b/>
                <w:color w:val="C00000"/>
                <w:sz w:val="17"/>
              </w:rPr>
              <w:t>-11.1%</w:t>
            </w:r>
          </w:p>
        </w:tc>
      </w:tr>
      <w:tr>
        <w:tc>
          <w:tcPr>
            <w:tcW w:type="dxa" w:w="1440"/>
            <w:shd w:fill="FFDCE0" w:val="clear"/>
          </w:tcPr>
          <w:p>
            <w:r>
              <w:rPr>
                <w:sz w:val="17"/>
              </w:rPr>
              <w:t>J+6  Moyenne</w:t>
            </w:r>
          </w:p>
        </w:tc>
        <w:tc>
          <w:tcPr>
            <w:tcW w:type="dxa" w:w="1440"/>
            <w:shd w:fill="FFDCE0" w:val="clear"/>
          </w:tcPr>
          <w:p>
            <w:r>
              <w:rPr>
                <w:sz w:val="17"/>
              </w:rPr>
              <w:t>2026-09-29</w:t>
            </w:r>
          </w:p>
        </w:tc>
        <w:tc>
          <w:tcPr>
            <w:tcW w:type="dxa" w:w="1440"/>
            <w:shd w:fill="FFDCE0" w:val="clear"/>
          </w:tcPr>
          <w:p>
            <w:r>
              <w:rPr>
                <w:sz w:val="17"/>
              </w:rPr>
              <w:t>26,903</w:t>
            </w:r>
          </w:p>
        </w:tc>
        <w:tc>
          <w:tcPr>
            <w:tcW w:type="dxa" w:w="1440"/>
            <w:shd w:fill="FFDCE0" w:val="clear"/>
          </w:tcPr>
          <w:p>
            <w:r>
              <w:rPr>
                <w:b/>
                <w:sz w:val="17"/>
              </w:rPr>
              <w:t>29,111</w:t>
            </w:r>
          </w:p>
        </w:tc>
        <w:tc>
          <w:tcPr>
            <w:tcW w:type="dxa" w:w="1440"/>
            <w:shd w:fill="FFDCE0" w:val="clear"/>
          </w:tcPr>
          <w:p>
            <w:r>
              <w:rPr>
                <w:sz w:val="17"/>
              </w:rPr>
              <w:t>31,319</w:t>
            </w:r>
          </w:p>
        </w:tc>
        <w:tc>
          <w:tcPr>
            <w:tcW w:type="dxa" w:w="1440"/>
            <w:shd w:fill="FFDCE0" w:val="clear"/>
          </w:tcPr>
          <w:p>
            <w:r>
              <w:rPr>
                <w:b/>
                <w:color w:val="C00000"/>
                <w:sz w:val="17"/>
              </w:rPr>
              <w:t>-11.8%</w:t>
            </w:r>
          </w:p>
        </w:tc>
      </w:tr>
      <w:tr>
        <w:tc>
          <w:tcPr>
            <w:tcW w:type="dxa" w:w="1440"/>
            <w:shd w:fill="FFDCE0" w:val="clear"/>
          </w:tcPr>
          <w:p>
            <w:r>
              <w:rPr>
                <w:sz w:val="17"/>
              </w:rPr>
              <w:t>J+7  Moyenne</w:t>
            </w:r>
          </w:p>
        </w:tc>
        <w:tc>
          <w:tcPr>
            <w:tcW w:type="dxa" w:w="1440"/>
            <w:shd w:fill="FFDCE0" w:val="clear"/>
          </w:tcPr>
          <w:p>
            <w:r>
              <w:rPr>
                <w:sz w:val="17"/>
              </w:rPr>
              <w:t>2026-09-30</w:t>
            </w:r>
          </w:p>
        </w:tc>
        <w:tc>
          <w:tcPr>
            <w:tcW w:type="dxa" w:w="1440"/>
            <w:shd w:fill="FFDCE0" w:val="clear"/>
          </w:tcPr>
          <w:p>
            <w:r>
              <w:rPr>
                <w:sz w:val="17"/>
              </w:rPr>
              <w:t>26,563</w:t>
            </w:r>
          </w:p>
        </w:tc>
        <w:tc>
          <w:tcPr>
            <w:tcW w:type="dxa" w:w="1440"/>
            <w:shd w:fill="FFDCE0" w:val="clear"/>
          </w:tcPr>
          <w:p>
            <w:r>
              <w:rPr>
                <w:b/>
                <w:sz w:val="17"/>
              </w:rPr>
              <w:t>28,933</w:t>
            </w:r>
          </w:p>
        </w:tc>
        <w:tc>
          <w:tcPr>
            <w:tcW w:type="dxa" w:w="1440"/>
            <w:shd w:fill="FFDCE0" w:val="clear"/>
          </w:tcPr>
          <w:p>
            <w:r>
              <w:rPr>
                <w:sz w:val="17"/>
              </w:rPr>
              <w:t>31,304</w:t>
            </w:r>
          </w:p>
        </w:tc>
        <w:tc>
          <w:tcPr>
            <w:tcW w:type="dxa" w:w="1440"/>
            <w:shd w:fill="FFDCE0" w:val="clear"/>
          </w:tcPr>
          <w:p>
            <w:r>
              <w:rPr>
                <w:b/>
                <w:color w:val="C00000"/>
                <w:sz w:val="17"/>
              </w:rPr>
              <w:t>-12.3%</w:t>
            </w:r>
          </w:p>
        </w:tc>
      </w:tr>
      <w:tr>
        <w:tc>
          <w:tcPr>
            <w:tcW w:type="dxa" w:w="1440"/>
            <w:shd w:fill="FFDCE0" w:val="clear"/>
          </w:tcPr>
          <w:p>
            <w:r>
              <w:rPr>
                <w:sz w:val="17"/>
              </w:rPr>
              <w:t>J+8  Moyenne</w:t>
            </w:r>
          </w:p>
        </w:tc>
        <w:tc>
          <w:tcPr>
            <w:tcW w:type="dxa" w:w="1440"/>
            <w:shd w:fill="FFDCE0" w:val="clear"/>
          </w:tcPr>
          <w:p>
            <w:r>
              <w:rPr>
                <w:sz w:val="17"/>
              </w:rPr>
              <w:t>2026-10-01</w:t>
            </w:r>
          </w:p>
        </w:tc>
        <w:tc>
          <w:tcPr>
            <w:tcW w:type="dxa" w:w="1440"/>
            <w:shd w:fill="FFDCE0" w:val="clear"/>
          </w:tcPr>
          <w:p>
            <w:r>
              <w:rPr>
                <w:sz w:val="17"/>
              </w:rPr>
              <w:t>26,258</w:t>
            </w:r>
          </w:p>
        </w:tc>
        <w:tc>
          <w:tcPr>
            <w:tcW w:type="dxa" w:w="1440"/>
            <w:shd w:fill="FFDCE0" w:val="clear"/>
          </w:tcPr>
          <w:p>
            <w:r>
              <w:rPr>
                <w:b/>
                <w:sz w:val="17"/>
              </w:rPr>
              <w:t>28,779</w:t>
            </w:r>
          </w:p>
        </w:tc>
        <w:tc>
          <w:tcPr>
            <w:tcW w:type="dxa" w:w="1440"/>
            <w:shd w:fill="FFDCE0" w:val="clear"/>
          </w:tcPr>
          <w:p>
            <w:r>
              <w:rPr>
                <w:sz w:val="17"/>
              </w:rPr>
              <w:t>31,300</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25,983</w:t>
            </w:r>
          </w:p>
        </w:tc>
        <w:tc>
          <w:tcPr>
            <w:tcW w:type="dxa" w:w="1440"/>
            <w:shd w:fill="FFDCE0" w:val="clear"/>
          </w:tcPr>
          <w:p>
            <w:r>
              <w:rPr>
                <w:b/>
                <w:sz w:val="17"/>
              </w:rPr>
              <w:t>28,644</w:t>
            </w:r>
          </w:p>
        </w:tc>
        <w:tc>
          <w:tcPr>
            <w:tcW w:type="dxa" w:w="1440"/>
            <w:shd w:fill="FFDCE0" w:val="clear"/>
          </w:tcPr>
          <w:p>
            <w:r>
              <w:rPr>
                <w:sz w:val="17"/>
              </w:rPr>
              <w:t>31,305</w:t>
            </w:r>
          </w:p>
        </w:tc>
        <w:tc>
          <w:tcPr>
            <w:tcW w:type="dxa" w:w="1440"/>
            <w:shd w:fill="FFDCE0" w:val="clear"/>
          </w:tcPr>
          <w:p>
            <w:r>
              <w:rPr>
                <w:b/>
                <w:color w:val="C00000"/>
                <w:sz w:val="17"/>
              </w:rPr>
              <w:t>-13.2%</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25,732</w:t>
            </w:r>
          </w:p>
        </w:tc>
        <w:tc>
          <w:tcPr>
            <w:tcW w:type="dxa" w:w="1440"/>
            <w:shd w:fill="FFDCE0" w:val="clear"/>
          </w:tcPr>
          <w:p>
            <w:r>
              <w:rPr>
                <w:b/>
                <w:sz w:val="17"/>
              </w:rPr>
              <w:t>28,525</w:t>
            </w:r>
          </w:p>
        </w:tc>
        <w:tc>
          <w:tcPr>
            <w:tcW w:type="dxa" w:w="1440"/>
            <w:shd w:fill="FFDCE0" w:val="clear"/>
          </w:tcPr>
          <w:p>
            <w:r>
              <w:rPr>
                <w:sz w:val="17"/>
              </w:rPr>
              <w:t>31,318</w:t>
            </w:r>
          </w:p>
        </w:tc>
        <w:tc>
          <w:tcPr>
            <w:tcW w:type="dxa" w:w="1440"/>
            <w:shd w:fill="FFDCE0" w:val="clear"/>
          </w:tcPr>
          <w:p>
            <w:r>
              <w:rPr>
                <w:b/>
                <w:color w:val="C00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1 056 milliards FCFA, CBIBF s'impose comme l'une des toutes premières capitalisations de la BRVM, ce qui en fait un titre de premier plan pour les investisseurs institutionnels régionaux. Le BPA de 2 047 FCFA/action signifie que chaque titre génère près de 2 047 FCFA de bénéfice net, un niveau de rentabilité par action particulièrement élevé. Le PER de 16,1x se situe au-dessus de la moyenne du marché BRVM (estimée entre 8 et 12x), ce qui traduit une prime de valorisation que les investisseurs acceptent de payer pour la qualité de la signature Coris Bank, sa croissance et sa solidité. L'EV/EBITDA de 11,9x, dans la fourchette 10-15x, confirme cette valorisation élevée mais non déraisonnable au regard de la capacité opérationnelle de la banque. Le ratio P/B n'étant pas fourni dans les données, il n'est pas commenté ici, mais l'ensemble des ratios disponibles suggère une valorisation plutôt généreuse qu'il convient de mettre en regard de la dynamique bénéficiaire exceptionnelle de l'exercice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+103,70%, passant d'un plus bas de 15 600 FCFA à un plus haut de 34 450 FCFA, pour un cours actuel de 33 000 FCFA, en léger repli de -2,48% sur la dernière séance. Cette tendance nettement haussière traduit un engouement marqué du marché pour le titre, porté par la publication de résultats 2025 exceptionnels (résultat net en hausse de +36,6%). Le range de trading est très large (environ 18 850 FCFA d'amplitude), signe d'une forte dynamique mais aussi d'une nervosité accrue. Les statistiques descriptives révèlent une moyenne de 25 450 FCFA légèrement inférieure à la médiane de 26 450 FCFA, ce qui indique une distribution légèrement tirée vers le bas par les niveaux de cours initiaux plus faibles ; le mode à 22 000 FCFA correspond à une zone de consolidation antérieure. L'écart-type de 5 271 FCFA avec un coefficient de variation de 20,7% traduit une dispersion modérée du cours autour de sa moyenne. Le kurtosis de -0,997 (mésokurtique) et le skewness de -0,091 (distribution quasi symétrique) suggèrent un comportement de cours relativement équilibré, sans pics extrêmes ni asymétrie marquée, ce qui est rassurant pour la gestion du risque. La volatilité annualisée de 40,2% classe le titre dans la catégorie des valeurs à volatilité élevée (&gt;30%), ce qui est cohérent avec la forte appréciation récente et appelle à la prudence sur les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(32 368 FCFA) et la MM50 (29 968 FCFA) sont toutes deux inférieures au cours actuel (33 000 FCFA), et la MM20 se situe au-dessus de la MM50, configuration typique d'une tendance haussière confirmée. Cette disposition justifie la décision technique d'**Achat**, le titre évoluant au-dessus de ses supports mobiles.</w:t>
      </w:r>
    </w:p>
    <w:p>
      <w:pPr>
        <w:spacing w:after="120" w:line="276" w:lineRule="auto"/>
      </w:pPr>
      <w:r>
        <w:t>**Bandes de Bollinger** : Le cours (33 000 FCFA) se situe à l'intérieur des bandes, entre la borne inférieure (28 498 FCFA) et la borne supérieure (36 238 FCFA), plus proche de la borne haute. Cette position médiane-haute, sans franchissement, justifie la décision **Neutre**, le titre n'étant ni en surachat extrême ni en survente, avec une volatilité contenue dans les bandes.</w:t>
      </w:r>
    </w:p>
    <w:p>
      <w:pPr>
        <w:spacing w:after="120" w:line="276" w:lineRule="auto"/>
      </w:pPr>
      <w:r>
        <w:t>**MACD** : La valeur du MACD (1 325,04) est légèrement inférieure à son signal (1 435,47), ce qui génère un croisement baissier et un momentum affaibli. Cette divergence négative justifie la décision de **Vente** à court terme, signalant un essoufflement possible de la dynamique haussière.</w:t>
      </w:r>
    </w:p>
    <w:p>
      <w:pPr>
        <w:spacing w:after="120" w:line="276" w:lineRule="auto"/>
      </w:pPr>
      <w:r>
        <w:t>**RSI** : À 65,62, le RSI se situe dans la zone neutre (30-70) mais proche du seuil de surachat (70), indiquant que le titre conserve de la vigueur sans être encore excessivement acheté. La décision **Neutre** est cohérente, le potentiel de hausse restant limité à court terme.</w:t>
      </w:r>
    </w:p>
    <w:p>
      <w:pPr>
        <w:spacing w:after="120" w:line="276" w:lineRule="auto"/>
      </w:pPr>
      <w:r>
        <w:t>**Stochastique** : Le %K (25,64) est nettement inférieur au %D (63,36), configuration baissière signalant que le %K vient de chuter sous le %D, ce qui traduit un retournement de momentum à court terme. La décision **Neutre** reflète cette incertitude, le croisement n'étant pas encore confirmé par une tendance franche.</w:t>
      </w:r>
    </w:p>
    <w:p>
      <w:pPr>
        <w:spacing w:after="120" w:line="276" w:lineRule="auto"/>
      </w:pPr>
      <w:r>
        <w:t>**Conclusion technique** : Les indicateurs sont globalement mitigés. Les moyennes mobiles confirment la tendance haussière de fond, mais le MACD baissier, le RSI proche du surachat et le stochastique en croisement baissier suggèrent une consolidation ou un repli à court terme. Le titre se trouve dans une phase de respiration après sa forte progression, avec un support technique majeur autour de 28 500 FCFA (borne inférieure de Bollinger) et une résistance vers 36 238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Coris Bank International affiche des performances remarquables : le Produit Net Bancaire (équivalent du chiffre d'affaires pour une banque) s'établit à 138,986 milliards FCFA, en hausse de +6,1% par rapport à 2024, tandis que le résultat net atteint 65,495 milliards FCFA, en progression spectaculaire de +36,6% (source : Rapport annuel 2025). Le coefficient d'exploitation de 36,39% est excellent (largement inférieur au seuil de 60% et même de 50%), témoignant d'une efficacité opérationnelle remarquable. Le ROA de 2,18% et la marge nette de 47,12% confirment la solidité de la rentabilité. Le coût du risque, bien qu'affiché à un niveau élevé dans les données structurées, s'est amélioré de 59,3% en 2025 selon le rapport annuel, traduisant l'assainissement réussi du portefeuille de crédits. La structure bilancielle est saine : 2 015,3 milliards FCFA de dépôts clients (+14,9%) pour 1 326,98 milliards FCFA de créances clientèle, soit un ratio de transformation de 65,8%, indiquant une capacité de crédit encore mobilisable. Le rapport du T1 2026 (publié en 2026) confirme l'accélération : PNB de 36,8 milliards FCFA (+28,5%), résultat net de 21,5 milliards FCFA (+22,2%) et dépôts en forte hausse de +37,9% à 2 365,1 milliards FCFA. Sur la base de ce T1 2026, on peut estimer que l'exercice 2026 devrait enregistrer un PNB supérieur à 150 milliards FCFA et un résultat net approchant 80 milliards FCFA si la dynamique se maintient. L'évolution historique montre une nette amélioration : après une année 2024 difficile (résultat net de 47,9 milliards FCFA, -25,4%), la banque a rebondi en 2025 et confirme son redressement au T1 2026. La notation financière AA/AI avec perspective stable (confirmée par Bloomfield Investment) et le renforcement de la gouvernance (deux administrateurs indépendants) constituent des facteurs de confiance. **Recommandation fondamentale : SOLIDE** — la banque affiche une croissance soutenue, une rentabilité exceptionnelle et une gestion des risques en amélioration, malgré un environnement régional incertain.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généreuse avec un PER de 16,1x supérieur à la moyenne du marché BRVM, mais justifiée par la qualité de la signature et la croissance bénéficiaire exceptionnelle de +36,6% en 2025. Le comportement du cours (Partie 1) est nettement haussier (+103,70% sur 100 jours) avec une volatilité élevée (40,2%) et des statistiques de distribution équilibrées (kurtosis -0,997, skewness -0,091), ce qui est favorable mais appelle à la prudence sur les points d'entrée après une telle appréciation. Les signaux techniques (Partie 2) sont mitigés : les moyennes mobiles confirment la tendance haussière, mais le MACD baissier, le RSI proche du surachat et le stochastique en croisement baissier suggèrent une consolidation à court terme. Les fondamentaux (Partie 3) sont excellents : résultat net 2025 de 65,5 milliards FCFA (+36,6%), coefficient d'exploitation de 36,4%, et T1 2026 confirmant l'accélération (+22,2% de résultat net). Les prédictions IA (J+1 à J+10) anticipent une baisse progressive de 31 080 FCFA à 29 321 FCFA, ce qui contredit la tendance haussière de fond mais confirme les signaux techniques de consolidation à court terme. **Recommandation finale : ACHAT** — la convergence entre fondamentaux solides, valorisation justifiée et tendance de fond haussière l'emporte sur les signaux techniques de court terme et les prédictions baissières, qui suggèrent simplement un point d'entrée plus favorable. Le niveau de confiance est **Moyen** (les signaux contradictoires à court terme incitent à la prudence), et le niveau de risque global est **Moyen** (volatilité élevée mais fondamentaux robustes). L'horizon d'investissement optimal est le **moyen terme (3-12 mois)**, afin de laisser la consolidation se produire et de bénéficier de la poursuite de la croissance bénéficiaire attendue en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290.20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3,710 titres</w:t>
            </w:r>
          </w:p>
        </w:tc>
        <w:tc>
          <w:tcPr>
            <w:tcW w:type="dxa" w:w="2268"/>
            <w:shd w:fill="FFF2CC" w:val="clear"/>
          </w:tcPr>
          <w:p>
            <w:r>
              <w:rPr>
                <w:b/>
                <w:color w:val="503200"/>
                <w:sz w:val="16"/>
              </w:rPr>
              <w:t xml:space="preserve">Cours actuel : </w:t>
            </w:r>
            <w:r>
              <w:rPr>
                <w:color w:val="000000"/>
                <w:sz w:val="17"/>
              </w:rPr>
              <w:t>1,600 FCFA</w:t>
            </w:r>
          </w:p>
          <w:p>
            <w:r>
              <w:rPr>
                <w:b/>
                <w:color w:val="503200"/>
                <w:sz w:val="16"/>
              </w:rPr>
              <w:t xml:space="preserve">Var. 100 jours : </w:t>
            </w:r>
            <w:r>
              <w:rPr>
                <w:b/>
                <w:color w:val="007800"/>
                <w:sz w:val="17"/>
              </w:rPr>
              <w:t>+0.63%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μ=1,625 FCFA, σ=109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β=1.0840 (Neutre (suit le marché)) — Cov=0.000043, Var(idx)=0.000040, ρ=0.229,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1,572</w:t>
            </w:r>
          </w:p>
        </w:tc>
        <w:tc>
          <w:tcPr>
            <w:tcW w:type="dxa" w:w="1440"/>
            <w:shd w:fill="FAFAFA" w:val="clear"/>
          </w:tcPr>
          <w:p>
            <w:r>
              <w:rPr>
                <w:b/>
                <w:sz w:val="17"/>
              </w:rPr>
              <w:t>1,628</w:t>
            </w:r>
          </w:p>
        </w:tc>
        <w:tc>
          <w:tcPr>
            <w:tcW w:type="dxa" w:w="1440"/>
            <w:shd w:fill="FAFAFA" w:val="clear"/>
          </w:tcPr>
          <w:p>
            <w:r>
              <w:rPr>
                <w:sz w:val="17"/>
              </w:rPr>
              <w:t>1,684</w:t>
            </w:r>
          </w:p>
        </w:tc>
        <w:tc>
          <w:tcPr>
            <w:tcW w:type="dxa" w:w="1440"/>
            <w:shd w:fill="FAFAFA" w:val="clear"/>
          </w:tcPr>
          <w:p>
            <w:r>
              <w:rPr>
                <w:b/>
                <w:color w:val="008000"/>
                <w:sz w:val="17"/>
              </w:rPr>
              <w:t>+1.7%</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1,549</w:t>
            </w:r>
          </w:p>
        </w:tc>
        <w:tc>
          <w:tcPr>
            <w:tcW w:type="dxa" w:w="1440"/>
            <w:shd w:fill="FAFAFA" w:val="clear"/>
          </w:tcPr>
          <w:p>
            <w:r>
              <w:rPr>
                <w:b/>
                <w:sz w:val="17"/>
              </w:rPr>
              <w:t>1,629</w:t>
            </w:r>
          </w:p>
        </w:tc>
        <w:tc>
          <w:tcPr>
            <w:tcW w:type="dxa" w:w="1440"/>
            <w:shd w:fill="FAFAFA" w:val="clear"/>
          </w:tcPr>
          <w:p>
            <w:r>
              <w:rPr>
                <w:sz w:val="17"/>
              </w:rPr>
              <w:t>1,708</w:t>
            </w:r>
          </w:p>
        </w:tc>
        <w:tc>
          <w:tcPr>
            <w:tcW w:type="dxa" w:w="1440"/>
            <w:shd w:fill="FAFAFA" w:val="clear"/>
          </w:tcPr>
          <w:p>
            <w:r>
              <w:rPr>
                <w:b/>
                <w:color w:val="008000"/>
                <w:sz w:val="17"/>
              </w:rPr>
              <w:t>+1.8%</w:t>
            </w:r>
          </w:p>
        </w:tc>
      </w:tr>
      <w:tr>
        <w:tc>
          <w:tcPr>
            <w:tcW w:type="dxa" w:w="1440"/>
            <w:shd w:fill="C6EFCE" w:val="clear"/>
          </w:tcPr>
          <w:p>
            <w:r>
              <w:rPr>
                <w:sz w:val="17"/>
              </w:rPr>
              <w:t>J+3  Moyenne</w:t>
            </w:r>
          </w:p>
        </w:tc>
        <w:tc>
          <w:tcPr>
            <w:tcW w:type="dxa" w:w="1440"/>
            <w:shd w:fill="C6EFCE" w:val="clear"/>
          </w:tcPr>
          <w:p>
            <w:r>
              <w:rPr>
                <w:sz w:val="17"/>
              </w:rPr>
              <w:t>2026-09-24</w:t>
            </w:r>
          </w:p>
        </w:tc>
        <w:tc>
          <w:tcPr>
            <w:tcW w:type="dxa" w:w="1440"/>
            <w:shd w:fill="C6EFCE" w:val="clear"/>
          </w:tcPr>
          <w:p>
            <w:r>
              <w:rPr>
                <w:sz w:val="17"/>
              </w:rPr>
              <w:t>1,536</w:t>
            </w:r>
          </w:p>
        </w:tc>
        <w:tc>
          <w:tcPr>
            <w:tcW w:type="dxa" w:w="1440"/>
            <w:shd w:fill="C6EFCE" w:val="clear"/>
          </w:tcPr>
          <w:p>
            <w:r>
              <w:rPr>
                <w:b/>
                <w:sz w:val="17"/>
              </w:rPr>
              <w:t>1,633</w:t>
            </w:r>
          </w:p>
        </w:tc>
        <w:tc>
          <w:tcPr>
            <w:tcW w:type="dxa" w:w="1440"/>
            <w:shd w:fill="C6EFCE" w:val="clear"/>
          </w:tcPr>
          <w:p>
            <w:r>
              <w:rPr>
                <w:sz w:val="17"/>
              </w:rPr>
              <w:t>1,730</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1,525</w:t>
            </w:r>
          </w:p>
        </w:tc>
        <w:tc>
          <w:tcPr>
            <w:tcW w:type="dxa" w:w="1440"/>
            <w:shd w:fill="C6EFCE" w:val="clear"/>
          </w:tcPr>
          <w:p>
            <w:r>
              <w:rPr>
                <w:b/>
                <w:sz w:val="17"/>
              </w:rPr>
              <w:t>1,638</w:t>
            </w:r>
          </w:p>
        </w:tc>
        <w:tc>
          <w:tcPr>
            <w:tcW w:type="dxa" w:w="1440"/>
            <w:shd w:fill="C6EFCE" w:val="clear"/>
          </w:tcPr>
          <w:p>
            <w:r>
              <w:rPr>
                <w:sz w:val="17"/>
              </w:rPr>
              <w:t>1,751</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1,516</w:t>
            </w:r>
          </w:p>
        </w:tc>
        <w:tc>
          <w:tcPr>
            <w:tcW w:type="dxa" w:w="1440"/>
            <w:shd w:fill="C6EFCE" w:val="clear"/>
          </w:tcPr>
          <w:p>
            <w:r>
              <w:rPr>
                <w:b/>
                <w:sz w:val="17"/>
              </w:rPr>
              <w:t>1,643</w:t>
            </w:r>
          </w:p>
        </w:tc>
        <w:tc>
          <w:tcPr>
            <w:tcW w:type="dxa" w:w="1440"/>
            <w:shd w:fill="C6EFCE" w:val="clear"/>
          </w:tcPr>
          <w:p>
            <w:r>
              <w:rPr>
                <w:sz w:val="17"/>
              </w:rPr>
              <w:t>1,769</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1,508</w:t>
            </w:r>
          </w:p>
        </w:tc>
        <w:tc>
          <w:tcPr>
            <w:tcW w:type="dxa" w:w="1440"/>
            <w:shd w:fill="C6EFCE" w:val="clear"/>
          </w:tcPr>
          <w:p>
            <w:r>
              <w:rPr>
                <w:b/>
                <w:sz w:val="17"/>
              </w:rPr>
              <w:t>1,647</w:t>
            </w:r>
          </w:p>
        </w:tc>
        <w:tc>
          <w:tcPr>
            <w:tcW w:type="dxa" w:w="1440"/>
            <w:shd w:fill="C6EFCE" w:val="clear"/>
          </w:tcPr>
          <w:p>
            <w:r>
              <w:rPr>
                <w:sz w:val="17"/>
              </w:rPr>
              <w:t>1,786</w:t>
            </w:r>
          </w:p>
        </w:tc>
        <w:tc>
          <w:tcPr>
            <w:tcW w:type="dxa" w:w="1440"/>
            <w:shd w:fill="C6EFCE" w:val="clear"/>
          </w:tcPr>
          <w:p>
            <w:r>
              <w:rPr>
                <w:b/>
                <w:color w:val="008000"/>
                <w:sz w:val="17"/>
              </w:rPr>
              <w:t>+3.0%</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1,501</w:t>
            </w:r>
          </w:p>
        </w:tc>
        <w:tc>
          <w:tcPr>
            <w:tcW w:type="dxa" w:w="1440"/>
            <w:shd w:fill="C6EFCE" w:val="clear"/>
          </w:tcPr>
          <w:p>
            <w:r>
              <w:rPr>
                <w:b/>
                <w:sz w:val="17"/>
              </w:rPr>
              <w:t>1,652</w:t>
            </w:r>
          </w:p>
        </w:tc>
        <w:tc>
          <w:tcPr>
            <w:tcW w:type="dxa" w:w="1440"/>
            <w:shd w:fill="C6EFCE" w:val="clear"/>
          </w:tcPr>
          <w:p>
            <w:r>
              <w:rPr>
                <w:sz w:val="17"/>
              </w:rPr>
              <w:t>1,802</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1,495</w:t>
            </w:r>
          </w:p>
        </w:tc>
        <w:tc>
          <w:tcPr>
            <w:tcW w:type="dxa" w:w="1440"/>
            <w:shd w:fill="C6EFCE" w:val="clear"/>
          </w:tcPr>
          <w:p>
            <w:r>
              <w:rPr>
                <w:b/>
                <w:sz w:val="17"/>
              </w:rPr>
              <w:t>1,657</w:t>
            </w:r>
          </w:p>
        </w:tc>
        <w:tc>
          <w:tcPr>
            <w:tcW w:type="dxa" w:w="1440"/>
            <w:shd w:fill="C6EFCE" w:val="clear"/>
          </w:tcPr>
          <w:p>
            <w:r>
              <w:rPr>
                <w:sz w:val="17"/>
              </w:rPr>
              <w:t>1,818</w:t>
            </w:r>
          </w:p>
        </w:tc>
        <w:tc>
          <w:tcPr>
            <w:tcW w:type="dxa" w:w="1440"/>
            <w:shd w:fill="C6EFCE" w:val="clear"/>
          </w:tcPr>
          <w:p>
            <w:r>
              <w:rPr>
                <w:b/>
                <w:color w:val="008000"/>
                <w:sz w:val="17"/>
              </w:rPr>
              <w:t>+3.5%</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1,489</w:t>
            </w:r>
          </w:p>
        </w:tc>
        <w:tc>
          <w:tcPr>
            <w:tcW w:type="dxa" w:w="1440"/>
            <w:shd w:fill="C6EFCE" w:val="clear"/>
          </w:tcPr>
          <w:p>
            <w:r>
              <w:rPr>
                <w:b/>
                <w:sz w:val="17"/>
              </w:rPr>
              <w:t>1,661</w:t>
            </w:r>
          </w:p>
        </w:tc>
        <w:tc>
          <w:tcPr>
            <w:tcW w:type="dxa" w:w="1440"/>
            <w:shd w:fill="C6EFCE" w:val="clear"/>
          </w:tcPr>
          <w:p>
            <w:r>
              <w:rPr>
                <w:sz w:val="17"/>
              </w:rPr>
              <w:t>1,833</w:t>
            </w:r>
          </w:p>
        </w:tc>
        <w:tc>
          <w:tcPr>
            <w:tcW w:type="dxa" w:w="1440"/>
            <w:shd w:fill="C6EFCE" w:val="clear"/>
          </w:tcPr>
          <w:p>
            <w:r>
              <w:rPr>
                <w:b/>
                <w:color w:val="008000"/>
                <w:sz w:val="17"/>
              </w:rPr>
              <w:t>+3.8%</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1,484</w:t>
            </w:r>
          </w:p>
        </w:tc>
        <w:tc>
          <w:tcPr>
            <w:tcW w:type="dxa" w:w="1440"/>
            <w:shd w:fill="C6EFCE" w:val="clear"/>
          </w:tcPr>
          <w:p>
            <w:r>
              <w:rPr>
                <w:b/>
                <w:sz w:val="17"/>
              </w:rPr>
              <w:t>1,666</w:t>
            </w:r>
          </w:p>
        </w:tc>
        <w:tc>
          <w:tcPr>
            <w:tcW w:type="dxa" w:w="1440"/>
            <w:shd w:fill="C6EFCE" w:val="clear"/>
          </w:tcPr>
          <w:p>
            <w:r>
              <w:rPr>
                <w:sz w:val="17"/>
              </w:rPr>
              <w:t>1,847</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*BRVM | Secteur : Distribution automobile | Analyse au 22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290,20 milliards FCFA, CFAC figure parmi les valeurs les plus importantes de la cote BRVM, ce qui en fait un titre de référence pour les investisseurs institutionnels régionaux. Le BPA de 26 FCFA/action signifie que chaque titre génère 26 FCFA de bénéfice net, mais le PER de 61,8x traduit une valorisation extrêmement généreuse : les investisseurs paient près de 62 fois les bénéfices, soit environ 5 à 7 fois le PER moyen de la BRVM (8-12x), ce qui intègre déjà une forte anticipation de croissance. Le P/B de 14,92x confirme cette prime spectaculaire — le marché valorise la société à près de 15 fois sa valeur comptable, un niveau qui n'est justifiable que par la qualité exceptionnelle des fonds propres et la position de leader. Enfin, l'EV/EBITDA de 31,5x, très supérieur au seuil de 15x, indique que la valeur d'entreprise (incluant la dette) représente plus de 31 années d'EBITDA, signalant une valorisation exigeante qui laisse peu de marge d'erreur. L'ensemble de ces ratios dessine un titre **surévalué en apparence**, dont la justification repose entièrement sur la trajectoire bénéficiaire future.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CFAC affiche une variation quasi nulle de +0,63%, mais la dernière séance (J-1) a enregistré un repli marqué de -1,84%, ramenant le titre à 1 600 FCFA. Le range de trading est large, avec un plus haut à 1 825 FCFA et un plus bas à 1 325 FCFA, soit une amplitude de 500 FCFA (37,7%) qui témoigne d'une forte agitation des prix malgré la stabilité globale. La tendance générale est donc **stable avec une légère inflexion baissière en fin de période**, le titre revenant sur le bas de son range après avoir testé les sommets. Les statistiques descriptives révèlent une moyenne (1 625 FCFA) légèrement supérieure à la médiane (1 642 FCFA) — écart faible mais cohérent avec un skewness négatif de -0,609, indiquant une asymétrie où les journées de hausse sont moins fréquentes mais plus amples que les journées de baisse. L'écart-type de 109 FCFA (CV=6,7%) traduit une dispersion modérée autour de la moyenne, tandis que le kurtosis de -0,256 (mésokurtique) suggère une distribution proche de la normale, sans risque de pics extrêmes prononcé. La volatilité annualisée de 47,4% classe le titre dans la catégorie **élevée (&gt;30%)**, ce qui est cohérent avec un marché frontière peu liquide (volume moyen de 3 710 titres/jour) et impose une gestion stricte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(1 712,75 FCFA) et la MM50 (1 675,0 FCFA) se situent toutes deux au-dessus du cours actuel (1 600 FCFA), ce qui place le titre en position de faiblesse relative à court et moyen terme. Cependant, la MM20 étant supérieure à la MM50, la configuration reste haussière de fond, et le signal "Achat" fourni suggère que le repli actuel constitue une opportunité de rebond vers ces moyennes.</w:t>
      </w:r>
    </w:p>
    <w:p>
      <w:pPr>
        <w:spacing w:after="120" w:line="276" w:lineRule="auto"/>
      </w:pPr>
      <w:r>
        <w:t>**Bandes de Bollinger** : Le cours (1 600 FCFA) évolue sous la borne inférieure (1 622,635 FCFA), ce qui est techniquement un signal de survente et de potentiel retour à la moyenne. La largeur des bandes (1802,865 - 1622,635 = 180,23 FCFA) indique une volatilité élevée, et la décision "Achat" reflète l'anticipation d'un rebond vers la bande médiane.</w:t>
      </w:r>
    </w:p>
    <w:p>
      <w:pPr>
        <w:spacing w:after="120" w:line="276" w:lineRule="auto"/>
      </w:pPr>
      <w:r>
        <w:t>**MACD** : La valeur du MACD (-10,978) est inférieure à son signal (4,119), générant un croisement baissier et une décision "Vente". Le momentum est clairement négatif à court terme, ce qui contredit les signaux des moyennes mobiles et des Bollinger, créant une divergence technique à surveiller.</w:t>
      </w:r>
    </w:p>
    <w:p>
      <w:pPr>
        <w:spacing w:after="120" w:line="276" w:lineRule="auto"/>
      </w:pPr>
      <w:r>
        <w:t>**RSI** : À 37,097, le RSI se situe dans la zone neutre basse (30-70), sans atteindre la survente (&lt;30). La décision "Neutre" traduit une absence de pression directionnelle forte, le titre n'étant ni survendu ni suracheté, ce qui laisse la porte ouverte à une reprise comme à une poursuite de la baisse.</w:t>
      </w:r>
    </w:p>
    <w:p>
      <w:pPr>
        <w:spacing w:after="120" w:line="276" w:lineRule="auto"/>
      </w:pPr>
      <w:r>
        <w:t>**Stochastique** : Les valeurs %K et %D sont toutes deux à 0,0, ce qui est un signal extrême de survente. La décision "Achat" est justifiée par le fait qu'un tel niveau précède souvent un rebond technique, bien que la fiabilité de ce signal soit limitée en l'absence de croisement confirmé.</w:t>
      </w:r>
    </w:p>
    <w:p>
      <w:pPr>
        <w:spacing w:after="120" w:line="276" w:lineRule="auto"/>
      </w:pPr>
      <w:r>
        <w:t>**Conclusion technique** : Les indicateurs sont **divergents** — les moyennes mobiles, les Bollinger et le stochastique plaident pour un achat sur repli, tandis que le MACD et le RSI recommandent la prudence. Cette configuration suggère un titre en phase de consolidation baissière à court terme, avec un potentiel de rebond technique vers 1 650-1 700 FCFA si le support de 1 600 FCFA tient. La prudence reste de mise tant que le MACD ne s'inverse pas.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 chiffre d'affaires de 158,313 milliards FCFA, en **baisse de -12,13%** par rapport à 2023, et un résultat net de 4,693 milliards FCFA, en recul de -26,7%. Le ROE reste néanmoins excellent à 24,13% (bien supérieur au seuil de 15%), tandis que le ROA s'établit à 5,52%, confirmant la capacité de la société à générer des profits sur ses actifs. La marge nette se contracte à 2,96% (contre 3,6% en 2023), et la marge opérationnelle à 4,96%, sous l'effet d'une hausse des charges (personnel +27,2%, amortissements +27,2%) et d'une pression sur les prix. En tant qu'entreprise de distribution automobile, les délais d'exploitation sont préoccupants : le délai clients de 36,64 jours est modéré, mais la durée de stockage de 88,35 jours immobilise un capital important (stocks de 38,851 milliards FCFA), et le BFR négatif de -3,482 milliards FCFA — bien que favorable — masque une trésorerie nette négative de -624,20 millions FCFA. L'autonomie financière de 22,88% est inférieure au seuil sain de 30%, et la liquidité générale de 93,63% (&lt;1) signale une tension sur le court terme. Les rapports trimestriels 2025 (T1, S1, T3) témoignent cependant d'un **redressement spectaculaire** : au T3 2025 (rapport du 30/09/2025), le CA atteint 43,580 milliards FCFA (+18,3%) et le résultat net 1,489 milliard FCFA (+38,1%), avec une marge nette de 3,42% et une part de marché de 41,7%. Sur la base de ces tendances, on peut estimer que l'exercice 2025 devrait renouer avec la croissance (CA annualisé estimé autour de 170-175 milliards FCFA) et une amélioration de la rentabilité, confirmant la résilience du modèle. La recommandation fondamentale est **CONSERVER avec biais positif** : la solidité du ROE, le leadership maintenu et le rebond des ventes compensent les risques de valorisation et de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manifestement **surévaluée** : PER de 61,8x, P/B de 14,92x et EV/EBITDA de 31,5x intègrent déjà une croissance forte et laissent peu de marge de sécurité. Le comportement du cours (Partie 1) est **stable mais fragile** : variation quasi nulle sur 100 jours, volatilité élevée (47,4%), skewness négatif et kurtosis normal, avec un repli de -1,84% en J-1 qui ramène le titre sous ses moyennes mobiles. Les signaux techniques (Partie 2) sont **divergents** : les indicateurs de retour à la moyenne (Bollinger, stochastique) plaident pour un rebond, mais le MACD baissier et le RSI neutre incitent à la prudence. Les fondamentaux (Partie 3) sont **solides mais perfectibles** : ROE de 24,13% et ROA de 5,52% en 2024, avec un redressement confirmé par les rapports trimestriels 2025 (T3 : CA +18,3%, RN +38,1%). Les prédictions IA (J+1 à J+10) anticipent une **légère hausse** vers 1 628-1 643 FCFA, ce qui confirme le potentiel de rebond technique sans pour autant justifier une revalorisation majeure. Sur cette base, la recommandation finale est **CONSERVER**, avec un niveau de confiance **Moyen** et un risque global **Élevé** (volatilité, valorisation tendue, liquidité du titre). L'horizon optimal est le **moyen terme (3-12 mois)**, le temps que les résultats 2025 confirment la trajectoire de redressement et que la valorisation se normalise. Un passage à l'achat ne serait justifié qu'en cas de repli durable sous 1 500 FCFA ou d'une accélération des bénéfices au-delà des attentes.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376.32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6,959 titres</w:t>
            </w:r>
          </w:p>
        </w:tc>
        <w:tc>
          <w:tcPr>
            <w:tcW w:type="dxa" w:w="2268"/>
            <w:shd w:fill="FFF2CC" w:val="clear"/>
          </w:tcPr>
          <w:p>
            <w:r>
              <w:rPr>
                <w:b/>
                <w:color w:val="503200"/>
                <w:sz w:val="16"/>
              </w:rPr>
              <w:t xml:space="preserve">Cours actuel : </w:t>
            </w:r>
            <w:r>
              <w:rPr>
                <w:color w:val="000000"/>
                <w:sz w:val="17"/>
              </w:rPr>
              <w:t>6,720 FCFA</w:t>
            </w:r>
          </w:p>
          <w:p>
            <w:r>
              <w:rPr>
                <w:b/>
                <w:color w:val="503200"/>
                <w:sz w:val="16"/>
              </w:rPr>
              <w:t xml:space="preserve">Var. 100 jours : </w:t>
            </w:r>
            <w:r>
              <w:rPr>
                <w:b/>
                <w:color w:val="007800"/>
                <w:sz w:val="17"/>
              </w:rPr>
              <w:t>+124.00%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22.58% (Élevée) — μ=5,189 FCFA, σ=1,172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β=0.7252 (Défensif) — Cov=0.000029, Var(idx)=0.000040, ρ=0.143,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6,959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2026-09-22</w:t>
            </w:r>
          </w:p>
        </w:tc>
        <w:tc>
          <w:tcPr>
            <w:tcW w:type="dxa" w:w="1440"/>
            <w:shd w:fill="FFDCE0" w:val="clear"/>
          </w:tcPr>
          <w:p>
            <w:r>
              <w:rPr>
                <w:sz w:val="17"/>
              </w:rPr>
              <w:t>6,112</w:t>
            </w:r>
          </w:p>
        </w:tc>
        <w:tc>
          <w:tcPr>
            <w:tcW w:type="dxa" w:w="1440"/>
            <w:shd w:fill="FFDCE0" w:val="clear"/>
          </w:tcPr>
          <w:p>
            <w:r>
              <w:rPr>
                <w:b/>
                <w:sz w:val="17"/>
              </w:rPr>
              <w:t>6,466</w:t>
            </w:r>
          </w:p>
        </w:tc>
        <w:tc>
          <w:tcPr>
            <w:tcW w:type="dxa" w:w="1440"/>
            <w:shd w:fill="FFDCE0" w:val="clear"/>
          </w:tcPr>
          <w:p>
            <w:r>
              <w:rPr>
                <w:sz w:val="17"/>
              </w:rPr>
              <w:t>6,820</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2026-09-23</w:t>
            </w:r>
          </w:p>
        </w:tc>
        <w:tc>
          <w:tcPr>
            <w:tcW w:type="dxa" w:w="1440"/>
            <w:shd w:fill="FFDCE0" w:val="clear"/>
          </w:tcPr>
          <w:p>
            <w:r>
              <w:rPr>
                <w:sz w:val="17"/>
              </w:rPr>
              <w:t>5,822</w:t>
            </w:r>
          </w:p>
        </w:tc>
        <w:tc>
          <w:tcPr>
            <w:tcW w:type="dxa" w:w="1440"/>
            <w:shd w:fill="FFDCE0" w:val="clear"/>
          </w:tcPr>
          <w:p>
            <w:r>
              <w:rPr>
                <w:b/>
                <w:sz w:val="17"/>
              </w:rPr>
              <w:t>6,311</w:t>
            </w:r>
          </w:p>
        </w:tc>
        <w:tc>
          <w:tcPr>
            <w:tcW w:type="dxa" w:w="1440"/>
            <w:shd w:fill="FFDCE0" w:val="clear"/>
          </w:tcPr>
          <w:p>
            <w:r>
              <w:rPr>
                <w:sz w:val="17"/>
              </w:rPr>
              <w:t>6,800</w:t>
            </w:r>
          </w:p>
        </w:tc>
        <w:tc>
          <w:tcPr>
            <w:tcW w:type="dxa" w:w="1440"/>
            <w:shd w:fill="FFDCE0" w:val="clear"/>
          </w:tcPr>
          <w:p>
            <w:r>
              <w:rPr>
                <w:b/>
                <w:color w:val="C00000"/>
                <w:sz w:val="17"/>
              </w:rPr>
              <w:t>-6.1%</w:t>
            </w:r>
          </w:p>
        </w:tc>
      </w:tr>
      <w:tr>
        <w:tc>
          <w:tcPr>
            <w:tcW w:type="dxa" w:w="1440"/>
            <w:shd w:fill="FFDCE0" w:val="clear"/>
          </w:tcPr>
          <w:p>
            <w:r>
              <w:rPr>
                <w:sz w:val="17"/>
              </w:rPr>
              <w:t>J+3  Moyenne</w:t>
            </w:r>
          </w:p>
        </w:tc>
        <w:tc>
          <w:tcPr>
            <w:tcW w:type="dxa" w:w="1440"/>
            <w:shd w:fill="FFDCE0" w:val="clear"/>
          </w:tcPr>
          <w:p>
            <w:r>
              <w:rPr>
                <w:sz w:val="17"/>
              </w:rPr>
              <w:t>2026-09-24</w:t>
            </w:r>
          </w:p>
        </w:tc>
        <w:tc>
          <w:tcPr>
            <w:tcW w:type="dxa" w:w="1440"/>
            <w:shd w:fill="FFDCE0" w:val="clear"/>
          </w:tcPr>
          <w:p>
            <w:r>
              <w:rPr>
                <w:sz w:val="17"/>
              </w:rPr>
              <w:t>5,600</w:t>
            </w:r>
          </w:p>
        </w:tc>
        <w:tc>
          <w:tcPr>
            <w:tcW w:type="dxa" w:w="1440"/>
            <w:shd w:fill="FFDCE0" w:val="clear"/>
          </w:tcPr>
          <w:p>
            <w:r>
              <w:rPr>
                <w:b/>
                <w:sz w:val="17"/>
              </w:rPr>
              <w:t>6,186</w:t>
            </w:r>
          </w:p>
        </w:tc>
        <w:tc>
          <w:tcPr>
            <w:tcW w:type="dxa" w:w="1440"/>
            <w:shd w:fill="FFDCE0" w:val="clear"/>
          </w:tcPr>
          <w:p>
            <w:r>
              <w:rPr>
                <w:sz w:val="17"/>
              </w:rPr>
              <w:t>6,773</w:t>
            </w:r>
          </w:p>
        </w:tc>
        <w:tc>
          <w:tcPr>
            <w:tcW w:type="dxa" w:w="1440"/>
            <w:shd w:fill="FFDCE0" w:val="clear"/>
          </w:tcPr>
          <w:p>
            <w:r>
              <w:rPr>
                <w:b/>
                <w:color w:val="C00000"/>
                <w:sz w:val="17"/>
              </w:rPr>
              <w:t>-7.9%</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5,452</w:t>
            </w:r>
          </w:p>
        </w:tc>
        <w:tc>
          <w:tcPr>
            <w:tcW w:type="dxa" w:w="1440"/>
            <w:shd w:fill="FFDCE0" w:val="clear"/>
          </w:tcPr>
          <w:p>
            <w:r>
              <w:rPr>
                <w:b/>
                <w:sz w:val="17"/>
              </w:rPr>
              <w:t>6,122</w:t>
            </w:r>
          </w:p>
        </w:tc>
        <w:tc>
          <w:tcPr>
            <w:tcW w:type="dxa" w:w="1440"/>
            <w:shd w:fill="FFDCE0" w:val="clear"/>
          </w:tcPr>
          <w:p>
            <w:r>
              <w:rPr>
                <w:sz w:val="17"/>
              </w:rPr>
              <w:t>6,793</w:t>
            </w:r>
          </w:p>
        </w:tc>
        <w:tc>
          <w:tcPr>
            <w:tcW w:type="dxa" w:w="1440"/>
            <w:shd w:fill="FFDCE0" w:val="clear"/>
          </w:tcPr>
          <w:p>
            <w:r>
              <w:rPr>
                <w:b/>
                <w:color w:val="C00000"/>
                <w:sz w:val="17"/>
              </w:rPr>
              <w:t>-8.9%</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5,336</w:t>
            </w:r>
          </w:p>
        </w:tc>
        <w:tc>
          <w:tcPr>
            <w:tcW w:type="dxa" w:w="1440"/>
            <w:shd w:fill="FFDCE0" w:val="clear"/>
          </w:tcPr>
          <w:p>
            <w:r>
              <w:rPr>
                <w:b/>
                <w:sz w:val="17"/>
              </w:rPr>
              <w:t>6,080</w:t>
            </w:r>
          </w:p>
        </w:tc>
        <w:tc>
          <w:tcPr>
            <w:tcW w:type="dxa" w:w="1440"/>
            <w:shd w:fill="FFDCE0" w:val="clear"/>
          </w:tcPr>
          <w:p>
            <w:r>
              <w:rPr>
                <w:sz w:val="17"/>
              </w:rPr>
              <w:t>6,825</w:t>
            </w:r>
          </w:p>
        </w:tc>
        <w:tc>
          <w:tcPr>
            <w:tcW w:type="dxa" w:w="1440"/>
            <w:shd w:fill="FFDCE0" w:val="clear"/>
          </w:tcPr>
          <w:p>
            <w:r>
              <w:rPr>
                <w:b/>
                <w:color w:val="C00000"/>
                <w:sz w:val="17"/>
              </w:rPr>
              <w:t>-9.5%</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5,235</w:t>
            </w:r>
          </w:p>
        </w:tc>
        <w:tc>
          <w:tcPr>
            <w:tcW w:type="dxa" w:w="1440"/>
            <w:shd w:fill="FFDCE0" w:val="clear"/>
          </w:tcPr>
          <w:p>
            <w:r>
              <w:rPr>
                <w:b/>
                <w:sz w:val="17"/>
              </w:rPr>
              <w:t>6,046</w:t>
            </w:r>
          </w:p>
        </w:tc>
        <w:tc>
          <w:tcPr>
            <w:tcW w:type="dxa" w:w="1440"/>
            <w:shd w:fill="FFDCE0" w:val="clear"/>
          </w:tcPr>
          <w:p>
            <w:r>
              <w:rPr>
                <w:sz w:val="17"/>
              </w:rPr>
              <w:t>6,857</w:t>
            </w:r>
          </w:p>
        </w:tc>
        <w:tc>
          <w:tcPr>
            <w:tcW w:type="dxa" w:w="1440"/>
            <w:shd w:fill="FFDCE0" w:val="clear"/>
          </w:tcPr>
          <w:p>
            <w:r>
              <w:rPr>
                <w:b/>
                <w:color w:val="C00000"/>
                <w:sz w:val="17"/>
              </w:rPr>
              <w:t>-10.0%</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5,145</w:t>
            </w:r>
          </w:p>
        </w:tc>
        <w:tc>
          <w:tcPr>
            <w:tcW w:type="dxa" w:w="1440"/>
            <w:shd w:fill="FFDCE0" w:val="clear"/>
          </w:tcPr>
          <w:p>
            <w:r>
              <w:rPr>
                <w:b/>
                <w:sz w:val="17"/>
              </w:rPr>
              <w:t>6,016</w:t>
            </w:r>
          </w:p>
        </w:tc>
        <w:tc>
          <w:tcPr>
            <w:tcW w:type="dxa" w:w="1440"/>
            <w:shd w:fill="FFDCE0" w:val="clear"/>
          </w:tcPr>
          <w:p>
            <w:r>
              <w:rPr>
                <w:sz w:val="17"/>
              </w:rPr>
              <w:t>6,888</w:t>
            </w:r>
          </w:p>
        </w:tc>
        <w:tc>
          <w:tcPr>
            <w:tcW w:type="dxa" w:w="1440"/>
            <w:shd w:fill="FFDCE0" w:val="clear"/>
          </w:tcPr>
          <w:p>
            <w:r>
              <w:rPr>
                <w:b/>
                <w:color w:val="C00000"/>
                <w:sz w:val="17"/>
              </w:rPr>
              <w:t>-10.5%</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5,063</w:t>
            </w:r>
          </w:p>
        </w:tc>
        <w:tc>
          <w:tcPr>
            <w:tcW w:type="dxa" w:w="1440"/>
            <w:shd w:fill="FFDCE0" w:val="clear"/>
          </w:tcPr>
          <w:p>
            <w:r>
              <w:rPr>
                <w:b/>
                <w:sz w:val="17"/>
              </w:rPr>
              <w:t>5,991</w:t>
            </w:r>
          </w:p>
        </w:tc>
        <w:tc>
          <w:tcPr>
            <w:tcW w:type="dxa" w:w="1440"/>
            <w:shd w:fill="FFDCE0" w:val="clear"/>
          </w:tcPr>
          <w:p>
            <w:r>
              <w:rPr>
                <w:sz w:val="17"/>
              </w:rPr>
              <w:t>6,919</w:t>
            </w:r>
          </w:p>
        </w:tc>
        <w:tc>
          <w:tcPr>
            <w:tcW w:type="dxa" w:w="1440"/>
            <w:shd w:fill="FFDCE0" w:val="clear"/>
          </w:tcPr>
          <w:p>
            <w:r>
              <w:rPr>
                <w:b/>
                <w:color w:val="C00000"/>
                <w:sz w:val="17"/>
              </w:rPr>
              <w:t>-10.8%</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4,989</w:t>
            </w:r>
          </w:p>
        </w:tc>
        <w:tc>
          <w:tcPr>
            <w:tcW w:type="dxa" w:w="1440"/>
            <w:shd w:fill="FFDCE0" w:val="clear"/>
          </w:tcPr>
          <w:p>
            <w:r>
              <w:rPr>
                <w:b/>
                <w:sz w:val="17"/>
              </w:rPr>
              <w:t>5,970</w:t>
            </w:r>
          </w:p>
        </w:tc>
        <w:tc>
          <w:tcPr>
            <w:tcW w:type="dxa" w:w="1440"/>
            <w:shd w:fill="FFDCE0" w:val="clear"/>
          </w:tcPr>
          <w:p>
            <w:r>
              <w:rPr>
                <w:sz w:val="17"/>
              </w:rPr>
              <w:t>6,951</w:t>
            </w:r>
          </w:p>
        </w:tc>
        <w:tc>
          <w:tcPr>
            <w:tcW w:type="dxa" w:w="1440"/>
            <w:shd w:fill="FFDCE0" w:val="clear"/>
          </w:tcPr>
          <w:p>
            <w:r>
              <w:rPr>
                <w:b/>
                <w:color w:val="C00000"/>
                <w:sz w:val="17"/>
              </w:rPr>
              <w:t>-11.2%</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4,921</w:t>
            </w:r>
          </w:p>
        </w:tc>
        <w:tc>
          <w:tcPr>
            <w:tcW w:type="dxa" w:w="1440"/>
            <w:shd w:fill="FFDCE0" w:val="clear"/>
          </w:tcPr>
          <w:p>
            <w:r>
              <w:rPr>
                <w:b/>
                <w:sz w:val="17"/>
              </w:rPr>
              <w:t>5,951</w:t>
            </w:r>
          </w:p>
        </w:tc>
        <w:tc>
          <w:tcPr>
            <w:tcW w:type="dxa" w:w="1440"/>
            <w:shd w:fill="FFDCE0" w:val="clear"/>
          </w:tcPr>
          <w:p>
            <w:r>
              <w:rPr>
                <w:sz w:val="17"/>
              </w:rPr>
              <w:t>6,982</w:t>
            </w:r>
          </w:p>
        </w:tc>
        <w:tc>
          <w:tcPr>
            <w:tcW w:type="dxa" w:w="1440"/>
            <w:shd w:fill="FFDCE0" w:val="clear"/>
          </w:tcPr>
          <w:p>
            <w:r>
              <w:rPr>
                <w:b/>
                <w:color w:val="C00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CIEC s'élève à **376,32 milliards FCFA**, un niveau qui la place parmi les valeurs les plus importantes de la BRVM, reflétant sa position de monopole dans la distribution d'électricité en Côte d'Ivoire. Le BPA de **234 FCFA/action** (dividende proposé équivalent) confère au titre un PER de **28,7x**, soit un niveau très supérieur à la moyenne du marché BRVM (8-12x), ce qui traduit soit une forte anticipation de croissance, soit une surévaluation manifeste. Le ratio P/B de **10,46x** — largement au-dessus du seuil de 4x — indique que le marché valorise l'entreprise à plus de dix fois sa valeur comptable, une prime exigeante qui s'explique par la faiblesse structurelle des capitaux propres (35,96 Mds FCFA) face à un total de bilan de 2 018 Mds FCFA. Enfin, l'EV/EBITDA de **15,2x** confirme cette cherté relative : les investisseurs paient plus de 15 fois la capacité opérationnelle de l'entreprise, un multiple qui n'est justifiable que par une croissance durable des bénéfices et un cadre réglementaire stable.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**+124,00%**, avec une dernière séance en hausse de **+4,19%**, portant le cours actuel à **6 720 FCFA**. Le titre a évolué dans un range très large, entre un plus bas de **3 000 FCFA** et un plus haut de **7 400 FCFA**, témoignant d'une tendance haussière puissante mais aussi d'une forte amplitude de trading. La moyenne (**5 189 FCFA**) et la médiane (**5 190 FCFA**) sont quasi identiques, ce qui indique une distribution symétrique du cours sur la période, confirmée par un skewness de **-0,082** (distribution symétrique). L'écart-type de **1 178 FCFA** avec un coefficient de variation de **22,7%** révèle une dispersion modérée à élevée du cours autour de sa moyenne, tandis que le kurtosis de **-0,639** (mésokurtique) suggère une distribution proche de la normale, sans risque de pics extrêmes marqués. La volatilité annualisée de **51,0%** positionne le titre dans la catégorie des valeurs à volatilité élevée (&gt;30%), ce qui implique un risque de marché significatif pour les investisseurs. Le volume moyen de **6 959 titres/jour** reste modeste, ce qui peut amplifier les mouvements de prix en cas de flux importants.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**6 829,25 FCFA** et la MM50 à **5 993,50 FCFA**, toutes deux inférieures au cours actuel de 6 720 FCFA pour la MM20 (léger écart) mais nettement en dessous pour la MM50. Le croisement haussier (MM20 &gt; MM50) et la position du cours au-dessus de la MM50 confirment une dynamique positive, justifiant la décision **Achat**. Toutefois, le cours étant légèrement sous la MM20, une consolidation à court terme n'est pas exclue.</w:t>
      </w:r>
    </w:p>
    <w:p>
      <w:pPr>
        <w:spacing w:after="120" w:line="276" w:lineRule="auto"/>
      </w:pPr>
      <w:r>
        <w:t>**Bandes de Bollinger :** La borne supérieure se situe à **7 365,20 FCFA** et la borne inférieure à **6 293,30 FCFA**, avec un cours actuel de **6 720 FCFA** positionné dans la partie médiane-haute du canal. Cette position neutre, ni en surachat ni en survente, justifie la décision **Neutre**. L'amplitude des bandes (1 071,90 FCFA) reflète la volatilité élevée du titre, et une cassure de la borne supérieure serait un signal haussier fort.</w:t>
      </w:r>
    </w:p>
    <w:p>
      <w:pPr>
        <w:spacing w:after="120" w:line="276" w:lineRule="auto"/>
      </w:pPr>
      <w:r>
        <w:t>**MACD :** La valeur du MACD (**178,73**) est inférieure à son signal (**284,76**), générant une divergence baissière et un momentum négatif. Cette configuration indique un essoufflement de la tendance haussière à court terme, justifiant la décision **Vente**. Un croisement à la baisse de la ligne MACD sous son signal est un signal de prudence.</w:t>
      </w:r>
    </w:p>
    <w:p>
      <w:pPr>
        <w:spacing w:after="120" w:line="276" w:lineRule="auto"/>
      </w:pPr>
      <w:r>
        <w:t>**RSI :** À **52,70**, le RSI se situe dans la zone neutre (30-70), sans signal de surachat (&gt;70) ni de survente (&lt;30). Cette valeur médiane indique un équilibre entre acheteurs et vendeurs, justifiant la décision **Neutre**. Le RSI ne fournit pas de signal directionnel fort actuellement.</w:t>
      </w:r>
    </w:p>
    <w:p>
      <w:pPr>
        <w:spacing w:after="120" w:line="276" w:lineRule="auto"/>
      </w:pPr>
      <w:r>
        <w:t>**Stochastique :** Le %K (**28,42**) est supérieur au %D (**9,47**), avec un croisement haussier en zone de survente (sous 20). Cette configuration est généralement un signal d'achat à court terme, bien que la décision affichée soit **Neutre**, probablement en raison de la faiblesse du momentum global. Une confirmation par une remontée du %K au-dessus de 20 renforcerait le signal.</w:t>
      </w:r>
    </w:p>
    <w:p>
      <w:pPr>
        <w:spacing w:after="120" w:line="276" w:lineRule="auto"/>
      </w:pPr>
      <w:r>
        <w:t>**Conclusion technique :** Les indicateurs sont mitigés : les moyennes mobiles et le stochastique sont haussiers, tandis que le MACD est baissier et que le RSI et les bandes de Bollinger sont neutres. Cette divergence suggère une phase de consolidation ou d'indécision, avec un avantage modéré aux acheteurs si le cours parvient à se maintenir au-dessus de la MM50 (5 993 FCFA). La prudence est de mise face au signal de vente du MACD.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CIEC a réalisé un chiffre d'affaires de **302,32 Mds FCFA**, en croissance de **+14,82%** par rapport à 2024, portée par une hausse des ventes d'énergie (+8,3% en volume) et une expansion du nombre de clients (+15,1%). Le résultat net s'établit à **13,127 Mds FCFA**, avec une marge nette de **4,34%**, une marge opérationnelle de **7,40%** et un ROE exceptionnel de **36,50%**, bien supérieur au seuil de 15% considéré comme excellent. Le ROA reste faible à **0,65%**, reflétant l'intensité capitalistique du secteur. La structure financière est très déséquilibrée : l'autonomie financière n'est que de **1,78%** (capitaux propres/total bilan), le ratio d'endettement atteint **612,94%** et la dépendance financière **98,22%**, ce qui expose l'entreprise à un risque de solvabilité en cas de choc. Le BFR est négatif à **-90,24 Mds FCFA**, ce qui est favorable (financement par les fournisseurs), mais le délai client de **164 jours** et le délai fournisseur de **970 jours** traduisent une gestion tendue de la trésorerie. La capacité de remboursement est de **7,64 ans**, ce qui reste gérable grâce à une CAF de **28,87 Mds FCFA**.</w:t>
      </w:r>
    </w:p>
    <w:p>
      <w:pPr>
        <w:spacing w:after="120" w:line="276" w:lineRule="auto"/>
      </w:pPr>
      <w:r>
        <w:t>**Estimations basées sur les rapports trimestriels :** Le rapport du **1er semestre 2025** (publié le 30/06/2025) indique un CA de **134,92 Mds FCFA** (+18,85%) et un résultat net de **5,096 Mds FCFA** (+13,37%), avec une marge nette de 3,8%. Sur cette base, on peut estimer que l'exercice 2025 devrait confirmer la tendance annuelle à **302,3 Mds FCFA** de CA et **13,1 Mds FCFA** de résultat net, ce qui est cohérent avec les données structurées. Le rapport annuel 2025 (analysé par DeepSeek le 21/05/2026) confirme une progression du résultat net de **+24,4%** et un dividende de **234 FCFA/action**, soit un taux de distribution de **99,8%** du résultat net social — une politique très généreuse mais qui limite l'autofinancement. Le rapport 2024 (états financiers) montrait déjà un ROE de **26,3%** et une marge nette de **4,0%**, confirmant la solidité de la rentabilité pour les actionnaires.</w:t>
      </w:r>
    </w:p>
    <w:p>
      <w:pPr>
        <w:spacing w:after="120" w:line="276" w:lineRule="auto"/>
      </w:pPr>
      <w:r>
        <w:t>**Recommandation fondamentale :** CIEC présente des fondamentaux solides en termes de croissance, de rentabilité des fonds propres (ROE &gt;36%) et de génération de cash-flow, mais souffre d'une structure financière très fragile (capitaux propres quasi inexistants, endettement massif) et d'une valorisation boursière exigeante (PER 28,7x, P/B 10,46x). Le risque réglementaire et le risque de crédit client (164 jours de délai) sont des préoccupations majeures. La recommandation fondamentale est **CONSERVER**, avec une surveillance accrue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valorisation de CIEC apparaît **surévaluée** au regard de ses ratios : PER de 28,7x (vs 8-12x pour le marché), P/B de 10,46x et EV/EBITDA de 15,2x, ce qui intègre déjà une forte anticipation de croissance. Le comportement du cours sur 100 jours est **haussier** (+124%) mais avec une volatilité élevée (51%) et une distribution symétrique (skewness -0,082, kurtosis -0,639), sans risque de pics extrêmes. Les signaux techniques sont **mitigés** : les moyennes mobiles et le stochastique sont haussiers, mais le MACD est baissier et le RSI neutre, suggérant une consolidation à court terme. Les fondamentaux sont **solides** (CA +14,8%, RN +30%, ROE 36,5%) mais fragilisés par un endettement massif (612,9%) et une autonomie financière quasi nulle (1,78%). Les **prédictions IA** anticipent une baisse du cours sur 10 jours (de 6 466 à 6 080 FCFA, soit -9,5%), ce qui contredit les signaux haussiers des moyennes mobiles et du stochastique, mais confirme le signal de vente du MACD. **Recommandation finale : CONSERVER**, avec un niveau de confiance **Moyen** et un risque global **Élevé**. La convergence entre la valorisation exigeante, le signal baissier du MACD et les prédictions IA négatives incite à la prudence, tandis que les fondamentaux solides et le dividende attractif (234 FCFA/action, soit un rendement de 3,5% au cours actuel) justifient de ne pas vendre. L'horizon d'investissement optimal est le **moyen terme (3-12 mois)**, en surveillant la capacité de l'entreprise à maintenir sa croissance et à gérer son endettement.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935.86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4,109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+6.12%</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2.77% (Faible) — μ=16,513 FCFA, σ=457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β=0.3737 (Défensif) — Cov=0.000015, Var(idx)=0.000040, ρ=0.133,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16,574</w:t>
            </w:r>
          </w:p>
        </w:tc>
        <w:tc>
          <w:tcPr>
            <w:tcW w:type="dxa" w:w="1440"/>
            <w:shd w:fill="FAFAFA" w:val="clear"/>
          </w:tcPr>
          <w:p>
            <w:r>
              <w:rPr>
                <w:b/>
                <w:sz w:val="17"/>
              </w:rPr>
              <w:t>17,090</w:t>
            </w:r>
          </w:p>
        </w:tc>
        <w:tc>
          <w:tcPr>
            <w:tcW w:type="dxa" w:w="1440"/>
            <w:shd w:fill="FAFAFA" w:val="clear"/>
          </w:tcPr>
          <w:p>
            <w:r>
              <w:rPr>
                <w:sz w:val="17"/>
              </w:rPr>
              <w:t>17,606</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16,377</w:t>
            </w:r>
          </w:p>
        </w:tc>
        <w:tc>
          <w:tcPr>
            <w:tcW w:type="dxa" w:w="1440"/>
            <w:shd w:fill="FAFAFA" w:val="clear"/>
          </w:tcPr>
          <w:p>
            <w:r>
              <w:rPr>
                <w:b/>
                <w:sz w:val="17"/>
              </w:rPr>
              <w:t>17,107</w:t>
            </w:r>
          </w:p>
        </w:tc>
        <w:tc>
          <w:tcPr>
            <w:tcW w:type="dxa" w:w="1440"/>
            <w:shd w:fill="FAFAFA" w:val="clear"/>
          </w:tcPr>
          <w:p>
            <w:r>
              <w:rPr>
                <w:sz w:val="17"/>
              </w:rPr>
              <w:t>17,838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16,233</w:t>
            </w:r>
          </w:p>
        </w:tc>
        <w:tc>
          <w:tcPr>
            <w:tcW w:type="dxa" w:w="1440"/>
            <w:shd w:fill="FAFAFA" w:val="clear"/>
          </w:tcPr>
          <w:p>
            <w:r>
              <w:rPr>
                <w:b/>
                <w:sz w:val="17"/>
              </w:rPr>
              <w:t>17,129</w:t>
            </w:r>
          </w:p>
        </w:tc>
        <w:tc>
          <w:tcPr>
            <w:tcW w:type="dxa" w:w="1440"/>
            <w:shd w:fill="FAFAFA" w:val="clear"/>
          </w:tcPr>
          <w:p>
            <w:r>
              <w:rPr>
                <w:sz w:val="17"/>
              </w:rPr>
              <w:t>18,025</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2026-09-25</w:t>
            </w:r>
          </w:p>
        </w:tc>
        <w:tc>
          <w:tcPr>
            <w:tcW w:type="dxa" w:w="1440"/>
            <w:shd w:fill="FAFAFA" w:val="clear"/>
          </w:tcPr>
          <w:p>
            <w:r>
              <w:rPr>
                <w:sz w:val="17"/>
              </w:rPr>
              <w:t>16,113</w:t>
            </w:r>
          </w:p>
        </w:tc>
        <w:tc>
          <w:tcPr>
            <w:tcW w:type="dxa" w:w="1440"/>
            <w:shd w:fill="FAFAFA" w:val="clear"/>
          </w:tcPr>
          <w:p>
            <w:r>
              <w:rPr>
                <w:b/>
                <w:sz w:val="17"/>
              </w:rPr>
              <w:t>17,149</w:t>
            </w:r>
          </w:p>
        </w:tc>
        <w:tc>
          <w:tcPr>
            <w:tcW w:type="dxa" w:w="1440"/>
            <w:shd w:fill="FAFAFA" w:val="clear"/>
          </w:tcPr>
          <w:p>
            <w:r>
              <w:rPr>
                <w:sz w:val="17"/>
              </w:rPr>
              <w:t>18,185</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2026-09-28</w:t>
            </w:r>
          </w:p>
        </w:tc>
        <w:tc>
          <w:tcPr>
            <w:tcW w:type="dxa" w:w="1440"/>
            <w:shd w:fill="FAFAFA" w:val="clear"/>
          </w:tcPr>
          <w:p>
            <w:r>
              <w:rPr>
                <w:sz w:val="17"/>
              </w:rPr>
              <w:t>16,009</w:t>
            </w:r>
          </w:p>
        </w:tc>
        <w:tc>
          <w:tcPr>
            <w:tcW w:type="dxa" w:w="1440"/>
            <w:shd w:fill="FAFAFA" w:val="clear"/>
          </w:tcPr>
          <w:p>
            <w:r>
              <w:rPr>
                <w:b/>
                <w:sz w:val="17"/>
              </w:rPr>
              <w:t>17,168</w:t>
            </w:r>
          </w:p>
        </w:tc>
        <w:tc>
          <w:tcPr>
            <w:tcW w:type="dxa" w:w="1440"/>
            <w:shd w:fill="FAFAFA" w:val="clear"/>
          </w:tcPr>
          <w:p>
            <w:r>
              <w:rPr>
                <w:sz w:val="17"/>
              </w:rPr>
              <w:t>18,327</w:t>
            </w:r>
          </w:p>
        </w:tc>
        <w:tc>
          <w:tcPr>
            <w:tcW w:type="dxa" w:w="1440"/>
            <w:shd w:fill="FAFAFA" w:val="clear"/>
          </w:tcPr>
          <w:p>
            <w:r>
              <w:rPr>
                <w:b/>
                <w:color w:val="008000"/>
                <w:sz w:val="17"/>
              </w:rPr>
              <w:t>+1.0%</w:t>
            </w:r>
          </w:p>
        </w:tc>
      </w:tr>
      <w:tr>
        <w:tc>
          <w:tcPr>
            <w:tcW w:type="dxa" w:w="1440"/>
            <w:shd w:fill="FAFAFA" w:val="clear"/>
          </w:tcPr>
          <w:p>
            <w:r>
              <w:rPr>
                <w:sz w:val="17"/>
              </w:rPr>
              <w:t>J+6  Moyenne</w:t>
            </w:r>
          </w:p>
        </w:tc>
        <w:tc>
          <w:tcPr>
            <w:tcW w:type="dxa" w:w="1440"/>
            <w:shd w:fill="FAFAFA" w:val="clear"/>
          </w:tcPr>
          <w:p>
            <w:r>
              <w:rPr>
                <w:sz w:val="17"/>
              </w:rPr>
              <w:t>2026-09-29</w:t>
            </w:r>
          </w:p>
        </w:tc>
        <w:tc>
          <w:tcPr>
            <w:tcW w:type="dxa" w:w="1440"/>
            <w:shd w:fill="FAFAFA" w:val="clear"/>
          </w:tcPr>
          <w:p>
            <w:r>
              <w:rPr>
                <w:sz w:val="17"/>
              </w:rPr>
              <w:t>15,915</w:t>
            </w:r>
          </w:p>
        </w:tc>
        <w:tc>
          <w:tcPr>
            <w:tcW w:type="dxa" w:w="1440"/>
            <w:shd w:fill="FAFAFA" w:val="clear"/>
          </w:tcPr>
          <w:p>
            <w:r>
              <w:rPr>
                <w:b/>
                <w:sz w:val="17"/>
              </w:rPr>
              <w:t>17,186</w:t>
            </w:r>
          </w:p>
        </w:tc>
        <w:tc>
          <w:tcPr>
            <w:tcW w:type="dxa" w:w="1440"/>
            <w:shd w:fill="FAFAFA" w:val="clear"/>
          </w:tcPr>
          <w:p>
            <w:r>
              <w:rPr>
                <w:sz w:val="17"/>
              </w:rPr>
              <w:t>18,457</w:t>
            </w:r>
          </w:p>
        </w:tc>
        <w:tc>
          <w:tcPr>
            <w:tcW w:type="dxa" w:w="1440"/>
            <w:shd w:fill="FAFAFA" w:val="clear"/>
          </w:tcPr>
          <w:p>
            <w:r>
              <w:rPr>
                <w:b/>
                <w:color w:val="008000"/>
                <w:sz w:val="17"/>
              </w:rPr>
              <w:t>+1.1%</w:t>
            </w:r>
          </w:p>
        </w:tc>
      </w:tr>
      <w:tr>
        <w:tc>
          <w:tcPr>
            <w:tcW w:type="dxa" w:w="1440"/>
            <w:shd w:fill="FAFAFA" w:val="clear"/>
          </w:tcPr>
          <w:p>
            <w:r>
              <w:rPr>
                <w:sz w:val="17"/>
              </w:rPr>
              <w:t>J+7  Moyenne</w:t>
            </w:r>
          </w:p>
        </w:tc>
        <w:tc>
          <w:tcPr>
            <w:tcW w:type="dxa" w:w="1440"/>
            <w:shd w:fill="FAFAFA" w:val="clear"/>
          </w:tcPr>
          <w:p>
            <w:r>
              <w:rPr>
                <w:sz w:val="17"/>
              </w:rPr>
              <w:t>2026-09-30</w:t>
            </w:r>
          </w:p>
        </w:tc>
        <w:tc>
          <w:tcPr>
            <w:tcW w:type="dxa" w:w="1440"/>
            <w:shd w:fill="FAFAFA" w:val="clear"/>
          </w:tcPr>
          <w:p>
            <w:r>
              <w:rPr>
                <w:sz w:val="17"/>
              </w:rPr>
              <w:t>15,829</w:t>
            </w:r>
          </w:p>
        </w:tc>
        <w:tc>
          <w:tcPr>
            <w:tcW w:type="dxa" w:w="1440"/>
            <w:shd w:fill="FAFAFA" w:val="clear"/>
          </w:tcPr>
          <w:p>
            <w:r>
              <w:rPr>
                <w:b/>
                <w:sz w:val="17"/>
              </w:rPr>
              <w:t>17,204</w:t>
            </w:r>
          </w:p>
        </w:tc>
        <w:tc>
          <w:tcPr>
            <w:tcW w:type="dxa" w:w="1440"/>
            <w:shd w:fill="FAFAFA" w:val="clear"/>
          </w:tcPr>
          <w:p>
            <w:r>
              <w:rPr>
                <w:sz w:val="17"/>
              </w:rPr>
              <w:t>18,578</w:t>
            </w:r>
          </w:p>
        </w:tc>
        <w:tc>
          <w:tcPr>
            <w:tcW w:type="dxa" w:w="1440"/>
            <w:shd w:fill="FAFAFA" w:val="clear"/>
          </w:tcPr>
          <w:p>
            <w:r>
              <w:rPr>
                <w:b/>
                <w:color w:val="008000"/>
                <w:sz w:val="17"/>
              </w:rPr>
              <w:t>+1.2%</w:t>
            </w:r>
          </w:p>
        </w:tc>
      </w:tr>
      <w:tr>
        <w:tc>
          <w:tcPr>
            <w:tcW w:type="dxa" w:w="1440"/>
            <w:shd w:fill="FAFAFA" w:val="clear"/>
          </w:tcPr>
          <w:p>
            <w:r>
              <w:rPr>
                <w:sz w:val="17"/>
              </w:rPr>
              <w:t>J+8  Moyenne</w:t>
            </w:r>
          </w:p>
        </w:tc>
        <w:tc>
          <w:tcPr>
            <w:tcW w:type="dxa" w:w="1440"/>
            <w:shd w:fill="FAFAFA" w:val="clear"/>
          </w:tcPr>
          <w:p>
            <w:r>
              <w:rPr>
                <w:sz w:val="17"/>
              </w:rPr>
              <w:t>2026-10-01</w:t>
            </w:r>
          </w:p>
        </w:tc>
        <w:tc>
          <w:tcPr>
            <w:tcW w:type="dxa" w:w="1440"/>
            <w:shd w:fill="FAFAFA" w:val="clear"/>
          </w:tcPr>
          <w:p>
            <w:r>
              <w:rPr>
                <w:sz w:val="17"/>
              </w:rPr>
              <w:t>15,750</w:t>
            </w:r>
          </w:p>
        </w:tc>
        <w:tc>
          <w:tcPr>
            <w:tcW w:type="dxa" w:w="1440"/>
            <w:shd w:fill="FAFAFA" w:val="clear"/>
          </w:tcPr>
          <w:p>
            <w:r>
              <w:rPr>
                <w:b/>
                <w:sz w:val="17"/>
              </w:rPr>
              <w:t>17,221</w:t>
            </w:r>
          </w:p>
        </w:tc>
        <w:tc>
          <w:tcPr>
            <w:tcW w:type="dxa" w:w="1440"/>
            <w:shd w:fill="FAFAFA" w:val="clear"/>
          </w:tcPr>
          <w:p>
            <w:r>
              <w:rPr>
                <w:sz w:val="17"/>
              </w:rPr>
              <w:t>18,692</w:t>
            </w:r>
          </w:p>
        </w:tc>
        <w:tc>
          <w:tcPr>
            <w:tcW w:type="dxa" w:w="1440"/>
            <w:shd w:fill="FAFAFA" w:val="clear"/>
          </w:tcPr>
          <w:p>
            <w:r>
              <w:rPr>
                <w:b/>
                <w:color w:val="008000"/>
                <w:sz w:val="17"/>
              </w:rPr>
              <w:t>+1.3%</w:t>
            </w:r>
          </w:p>
        </w:tc>
      </w:tr>
      <w:tr>
        <w:tc>
          <w:tcPr>
            <w:tcW w:type="dxa" w:w="1440"/>
            <w:shd w:fill="FAFAFA" w:val="clear"/>
          </w:tcPr>
          <w:p>
            <w:r>
              <w:rPr>
                <w:sz w:val="17"/>
              </w:rPr>
              <w:t>J+9  Moyenne</w:t>
            </w:r>
          </w:p>
        </w:tc>
        <w:tc>
          <w:tcPr>
            <w:tcW w:type="dxa" w:w="1440"/>
            <w:shd w:fill="FAFAFA" w:val="clear"/>
          </w:tcPr>
          <w:p>
            <w:r>
              <w:rPr>
                <w:sz w:val="17"/>
              </w:rPr>
              <w:t>2026-10-02</w:t>
            </w:r>
          </w:p>
        </w:tc>
        <w:tc>
          <w:tcPr>
            <w:tcW w:type="dxa" w:w="1440"/>
            <w:shd w:fill="FAFAFA" w:val="clear"/>
          </w:tcPr>
          <w:p>
            <w:r>
              <w:rPr>
                <w:sz w:val="17"/>
              </w:rPr>
              <w:t>15,677</w:t>
            </w:r>
          </w:p>
        </w:tc>
        <w:tc>
          <w:tcPr>
            <w:tcW w:type="dxa" w:w="1440"/>
            <w:shd w:fill="FAFAFA" w:val="clear"/>
          </w:tcPr>
          <w:p>
            <w:r>
              <w:rPr>
                <w:b/>
                <w:sz w:val="17"/>
              </w:rPr>
              <w:t>17,238</w:t>
            </w:r>
          </w:p>
        </w:tc>
        <w:tc>
          <w:tcPr>
            <w:tcW w:type="dxa" w:w="1440"/>
            <w:shd w:fill="FAFAFA" w:val="clear"/>
          </w:tcPr>
          <w:p>
            <w:r>
              <w:rPr>
                <w:sz w:val="17"/>
              </w:rPr>
              <w:t>18,800</w:t>
            </w:r>
          </w:p>
        </w:tc>
        <w:tc>
          <w:tcPr>
            <w:tcW w:type="dxa" w:w="1440"/>
            <w:shd w:fill="FAFAFA" w:val="clear"/>
          </w:tcPr>
          <w:p>
            <w:r>
              <w:rPr>
                <w:b/>
                <w:color w:val="008000"/>
                <w:sz w:val="17"/>
              </w:rPr>
              <w:t>+1.4%</w:t>
            </w:r>
          </w:p>
        </w:tc>
      </w:tr>
      <w:tr>
        <w:tc>
          <w:tcPr>
            <w:tcW w:type="dxa" w:w="1440"/>
            <w:shd w:fill="FAFAFA" w:val="clear"/>
          </w:tcPr>
          <w:p>
            <w:r>
              <w:rPr>
                <w:sz w:val="17"/>
              </w:rPr>
              <w:t>J+10  Moyenne</w:t>
            </w:r>
          </w:p>
        </w:tc>
        <w:tc>
          <w:tcPr>
            <w:tcW w:type="dxa" w:w="1440"/>
            <w:shd w:fill="FAFAFA" w:val="clear"/>
          </w:tcPr>
          <w:p>
            <w:r>
              <w:rPr>
                <w:sz w:val="17"/>
              </w:rPr>
              <w:t>2026-10-05</w:t>
            </w:r>
          </w:p>
        </w:tc>
        <w:tc>
          <w:tcPr>
            <w:tcW w:type="dxa" w:w="1440"/>
            <w:shd w:fill="FAFAFA" w:val="clear"/>
          </w:tcPr>
          <w:p>
            <w:r>
              <w:rPr>
                <w:sz w:val="17"/>
              </w:rPr>
              <w:t>15,608</w:t>
            </w:r>
          </w:p>
        </w:tc>
        <w:tc>
          <w:tcPr>
            <w:tcW w:type="dxa" w:w="1440"/>
            <w:shd w:fill="FAFAFA" w:val="clear"/>
          </w:tcPr>
          <w:p>
            <w:r>
              <w:rPr>
                <w:b/>
                <w:sz w:val="17"/>
              </w:rPr>
              <w:t>17,255</w:t>
            </w:r>
          </w:p>
        </w:tc>
        <w:tc>
          <w:tcPr>
            <w:tcW w:type="dxa" w:w="1440"/>
            <w:shd w:fill="FAFAFA" w:val="clear"/>
          </w:tcPr>
          <w:p>
            <w:r>
              <w:rPr>
                <w:sz w:val="17"/>
              </w:rPr>
              <w:t>18,903</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 RAPPORT D'ANALYSE FINANCIÈRE — ECOBANK CÔTE D'IVOIRE (ECOC)</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**935,86 milliards FCFA**, ECOC s'impose comme l'une des capitalisations les plus importantes de la BRVM, ce qui en fait un pilier de l'indice BRVM Composite et un titre de référence pour les investisseurs institutionnels de la zone UEMOA. Le **BPA de 1 153 FCFA/action** traduit la capacité bénéficiaire unitaire de la banque, et rapporté au cours actuel de 17 000 FCFA, il génère un **PER de 14,7x** — un niveau modéré en absolu, mais qui se situe **au-dessus de la moyenne historique du marché BRVM (8-12x)**, signalant que le marché consent une prime de qualité à cette valeur bancaire. Le **P/B de 4,28x** confirme cette lecture : le marché valorise ECOC à plus de quatre fois sa valeur comptable, une prime exigeante qui reflète la forte rentabilité des fonds propres (ROE ~29%) mais qui laisse peu de marge d'erreur en cas de dégradation. Enfin, l'**EV/EBITDA de 14,4x**, dans la fourchette haute (10-15x), indique que la valeur d'entreprise intègre déjà une bonne partie de la capacité opérationnelle — la valorisation est donc **raisonnable mais non bon marché**, justifiant une approche sélective.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**progression totale de +6,12%**, avec une dernière séance quasi stable (**+0,03%**), traduisant une dynamique haussière maîtrisée et sans emballement spéculatif. Le cours a évolué dans un **range de 2 205 FCFA**, entre un plus bas de **15 520 FCFA** et un plus haut de **17 725 FCFA**, le cours actuel de **17 000 FCFA** se situant dans la partie supérieure de cette fourchette — signe de force relative. La tendance générale est donc **haussière mais modérée**, cohérente avec le profil défensif d'une grande banque. Les statistiques descriptives révèlent une **moyenne de 16 513 FCFA** légèrement supérieure à la **médiane de 16 400 FCFA**, avec un mode à 16 300 FCFA : cet écart modéré indique une distribution légèrement asymétrique à droite, confirmée par un **skewness de 0,487** (interprété comme symétrique mais avec une queue droite). L'**écart-type de 459 FCFA** et surtout le **coefficient de variation de 2,8%** témoignent d'une **très faible dispersion** du cours, gage de stabilité. Le **kurtosis de -0,156** (mésokurtique) indique une distribution proche de la normale, donc **peu de risque de pics extrêmes** — un profil rassurant. Enfin, la **volatilité annualisée de 28,2%** place le titre dans la catégorie **modérée (15-30%)**, ce qui est remarquablement contenu pour une action bancaire de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(17 104,25 FCFA) et la MM50 (16 561,3 FCFA) sont toutes deux **inférieures au cours actuel (17 000 FCFA)**, avec une MM20 au-dessus de la MM50 — configuration haussière classique (golden cross). Le cours évolue toutefois légèrement sous sa MM20, ce qui suggère une consolidation à court terme. La décision fournie est **Achat**, cohérente avec cette structure de tendance positive.</w:t>
      </w:r>
    </w:p>
    <w:p>
      <w:pPr>
        <w:spacing w:after="120" w:line="276" w:lineRule="auto"/>
      </w:pPr>
      <w:r>
        <w:t>**Bandes de Bollinger** : Le cours (17 000 FCFA) se situe **au milieu de la bande**, entre la borne inférieure (16 434,28 FCFA) et la borne supérieure (17 774,23 FCFA), sans contact avec les extrêmes. Cette position centrale, avec des bandes relativement resserrées, indique une **volatilité contenue et un marché en équilibre**. La décision **Neutre** reflète l'absence de signal directionnel fort à court terme.</w:t>
      </w:r>
    </w:p>
    <w:p>
      <w:pPr>
        <w:spacing w:after="120" w:line="276" w:lineRule="auto"/>
      </w:pPr>
      <w:r>
        <w:t>**MACD** : La valeur du MACD (128,156) est **inférieure à son signal (188,51)**, générant une **divergence baissière** malgré un MACD resté en territoire positif. Cela signale un **essoufflement du momentum haussier** — la dynamique positive s'amenuise. La décision **Vente** est un signal de prudence à court terme, à interpréter comme une prise de bénéfices potentielle plutôt qu'un retournement majeur.</w:t>
      </w:r>
    </w:p>
    <w:p>
      <w:pPr>
        <w:spacing w:after="120" w:line="276" w:lineRule="auto"/>
      </w:pPr>
      <w:r>
        <w:t>**RSI** : À **50,0**, le RSI est **parfaitement neutre**, à équidistance des zones de surachat (&gt;70) et de survente (&lt;30). Cela confirme l'absence de pression acheteuse ou vendeuse dominante et valide la décision **Neutre** — le titre n'est ni surétiré ni survendu.</w:t>
      </w:r>
    </w:p>
    <w:p>
      <w:pPr>
        <w:spacing w:after="120" w:line="276" w:lineRule="auto"/>
      </w:pPr>
      <w:r>
        <w:t>**Stochastique** : Le %K (21,62) est **inférieur au %D (30,42)**, et les deux se situent en **zone basse** (proche de la survente à 20). Cette configuration suggère que le titre approche d'une zone de **survente potentielle**, ce qui pourrait précéder un rebond technique. La décision **Neutre** est cohérente, mais le positionnement bas constitue un signal d'opportunité à surveiller.</w:t>
      </w:r>
    </w:p>
    <w:p>
      <w:pPr>
        <w:spacing w:after="120" w:line="276" w:lineRule="auto"/>
      </w:pPr>
      <w:r>
        <w:t>**Conclusion technique** : Les indicateurs sont **partagés** — les moyennes mobiles restent haussières (Achat), tandis que le MACD signale un essoufflement (Vente) et que le RSI, les Bollinger et le Stochastique sont neutres. Le titre est en **phase de consolidation** après sa progression, avec un momentum qui faiblit mais sans signal de retournement baissier franc. La configuration globale plaide pour une **attente/neutralité tactique**, avec un biais haussier tant que le cours se maintient au-dessus de la MM50 (16 561 FCFA).</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(base brvm_donnees_financieres) dressent le portrait d'une banque **solide et très rentable** : le **Produit Net Bancaire (PNB) s'établit à 132,725 milliards FCFA**, en croissance de **+8,51%**, et le **résultat net atteint 63,482 milliards FCFA**, soit une **marge nette exceptionnelle de 47,83%**. La rentabilité des fonds propres (**ROE de 29,04%**) et des actifs (**ROA de 3,09%**) dépasse largement les standards du secteur (&gt;15% pour le ROE), confirmant la qualité du modèle. Le **coefficient d'exploitation de 42,89%** — bien en dessous du seuil de 60% — témoigne d'une **excellente maîtrise des coûts**, tandis que le **coût du risque de 1,36%** reste modéré, signe d'un portefeuille de crédit globalement sain. La structure financière montre une **forte dépendance aux dépôts clientèle (1 626,22 milliards FCFA)** face à des **créances clientèle de 1 050,80 milliards FCFA**, soit un **ratio crédits/dépôts de 64,6%** — un niveau prudent qui traduit une transformation maîtrisée et une liquidité abondante. L'**autonomie financière de 10,64%** paraît faible en apparence, mais elle est **structurellement normale pour une banque**, dont le modèle repose sur le levier des dépôts ; la **solvabilité générale de 111,9%** confirme la couverture des engagements. Les rapports narratifs enrichissent cette lecture : le **rapport annuel 2024 (31/12/2024)** faisait état d'un PNB de 122,3 Mds FCFA (+11%) et d'un résultat net de 57,5 Mds FCFA (+19,6%), avec un **dividende brut de 804 FCFA/action** (payout de 77%). Le **rapport T3 2025 (30/09/2025)** confirme l'accélération avec un PNB de 96,4 Mds FCFA (+11,3%) et un résultat net de 44,4 Mds FCFA (+15,4%), un **ROE de 29,7%** et un **coefficient d'exploitation de 44,7%**. Plus récemment, le **rapport T1 2026 (avril 2026)** montre un **PNB de 30,8 Mds FCFA (+3,7%)** et un **résultat net de 13,0 Mds FCFA (-1,6%)**, avec un ROE de 23,0% et un taux de créances en souffrance de 3,9% — un **ralentissement à surveiller**. Enfin, l'**avis de convocation à l'AGO du 28/04/2026** confirme un **bénéfice net 2025 de 63,482 Mds FCFA** et propose un **dividende de 888 FCFA brut/action** (781 FCFA net), en hausse de 10,4% — un signal fort de confiance. **Conclusion fondamentale** : ECOC est une banque **très solide, rentable et généreuse en dividendes**, mais le ralentissement du T1 2026 invite à la vigilance sur la dynamique de croissance à court terme.</w:t>
      </w:r>
    </w:p>
    <w:p>
      <w:pPr>
        <w:spacing w:after="120" w:line="276" w:lineRule="auto"/>
      </w:pPr>
      <w:r>
        <w:t>---</w:t>
      </w:r>
    </w:p>
    <w:p>
      <w:pPr>
        <w:spacing w:after="120" w:line="276" w:lineRule="auto"/>
      </w:pPr>
      <w:r>
        <w:t>## PARTIE 4 : CONCLUSION D'INVESTISSEMENT</w:t>
      </w:r>
    </w:p>
    <w:p>
      <w:pPr>
        <w:spacing w:after="120" w:line="276" w:lineRule="auto"/>
      </w:pPr>
      <w:r>
        <w:t>La **valorisation (Partie 0)** est **raisonnable mais exigeante** : le PER de 14,7x et le P/B de 4,28x intègrent déjà une prime de qualité, sans offrir de décote évidente, tandis que l'EV/EBITDA de 14,4x confirme une valorisation pleine. Le **comportement du cours (Partie 1)** est **favorable** : tendance haussière (+6,12%), volatilité modérée (28,2%), dispersion très faible (CV 2,8%) et distribution proche de la normale (kurtosis -0,156), sans risque de pics extrêmes. Les **signaux techniques (Partie 2)** sont **mitigés** : les moyennes mobiles restent haussières, mais le MACD vire à la vente et le RSI/Bollinger/Stochastique sont neutres — le titre consolide sans direction claire. Les **fondamentaux (Partie 3)** demeurent **excellents** (ROE 29%, coefficient d'exploitation 42,9%, dividende en hausse à 888 FCFA), malgré un **ralentissement du T1 2026** (résultat net -1,6%) qui tempère l'élan. Les **prédictions IA (J+1 à J+10)** anticipent une **hausse progressive et régulière** de 17 090 à 17 168 FCFA (+1,0% sur 5 séances), ce qui **confirme le biais haussier de fond** sans signaler d'accélération. **Synthèse** : la convergence entre fondamentaux solides, dividende attractif, volatilité contenue et prédictions haussières soutient une recommandation **CONSERVER**, avec un biais positif. Le principal point de vigilance réside dans le ralentissement récent du résultat net et la valorisation déjà généreuse, qui limitent le potentiel de revalorisation à court terme. **Niveau de confiance : Moyen-Élevé** — la solidité fondamentale est incontestable, mais le momentum technique et la valorisation appellent à la patience. **Niveau de risque global : Moyen** (risque de crédit maîtrisé, mais concentration géographique sur la Côte d'Ivoire et sensibilité macroéconomique). **Horizon d'investissement optimal : moyen à long terme (6 mois à 2 ans)**, afin de capitaliser sur la rentabilité durable et le rendement du dividende (~5,2% au cours actuel), tout en laissant le temps à la dynamique de croissance de se confirmer après le creux du T1 2026.</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1,628,287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+141.38%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34.98% (Élevée) — μ=51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β=2.2029 (Très agressif) — Cov=0.000088, Var(idx)=0.000040, ρ=0.367,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1,628,287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65</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2026-09-24</w:t>
            </w:r>
          </w:p>
        </w:tc>
        <w:tc>
          <w:tcPr>
            <w:tcW w:type="dxa" w:w="1440"/>
            <w:shd w:fill="FFDCE0" w:val="clear"/>
          </w:tcPr>
          <w:p>
            <w:r>
              <w:rPr>
                <w:sz w:val="17"/>
              </w:rPr>
              <w:t>64</w:t>
            </w:r>
          </w:p>
        </w:tc>
        <w:tc>
          <w:tcPr>
            <w:tcW w:type="dxa" w:w="1440"/>
            <w:shd w:fill="FFDCE0" w:val="clear"/>
          </w:tcPr>
          <w:p>
            <w:r>
              <w:rPr>
                <w:b/>
                <w:sz w:val="17"/>
              </w:rPr>
              <w:t>69</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63</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1 265,89 Mds FCFA, ETIT figure parmi les poids lourds de la cote BRVM, ce qui en fait un titre de référence pour l'exposition au secteur bancaire panafricain. Le BPA de 19 FCFA/action signifie que chaque titre génère près de 19 FCFA de bénéfice net, ce qui, rapporté au cours actuel de 70 FCFA, donne un PER de seulement 3,7x — très en dessous de la moyenne BRVM (8-12x), signalant une sous-évaluation manifeste ou une forte décote de risque. Le P/B de 0,79x indique que le marché valorise l'action à 21% en dessous de sa valeur comptable, une anomalie potentiellement attractive pour un investisseur value. Enfin, l'EV/EBITDA de 5,1x, situé dans la fourchette raisonnable de 5-10x, confirme que la valeur d'entreprise reste modérée au regard de la capacité opérationnelle,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 enregistré une variation spectaculaire de +141,38%, avec un cours actuel stabilisé à 70 FCFA et une variation J-1 nulle (+0,00%), signe d'une pause dans la dynamique haussière. Le range de trading est très large, entre un plus bas de 29 FCFA et un plus haut de 78 FCFA, soit un écart de 169%, illustrant une tendance nettement haussière mais ponctuée de corrections. Les statistiques descriptives révèlent une moyenne de 51 FCFA contre une médiane de 62 FCFA : cet écart significatif confirme une distribution asymétrique, le cours ayant passé plus de temps dans les niveaux élevés récents que dans les bas niveaux initiaux. L'écart-type de 18 FCFA (CV=35,2%) traduit une dispersion élevée du cours, cohérente avec la volatilité annualisée de 60,3%, classée comme élevée (&gt;30%). Le kurtosis de -1,815 (platykurtique) indique une distribution aplatie avec une faible concentration autour de la moyenne, donc moins de pics extrêmes mais des mouvements amples et étalés. Le skewness de -0,128, proche de zéro, suggère une distribution quasi symétrique, sans biais directionnel marqué malgré la forte hausse. Le volume moyen de 1 628 287 titres/jour témoigne d'une liquidité satisfaisante pour le marché BRVM, ce qui facilite les entrées et sorties de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(68,9 FCFA) et la MM50 (68,42 FCFA) se situent toutes deux sous le cours actuel (70 FCFA), avec la MM20 légèrement au-dessus de la MM50, configurant un croisement haussier classique. Cette configuration confirme la décision d'**Achat**, le titre évoluant au-dessus de ses supports dynamiques.</w:t>
      </w:r>
    </w:p>
    <w:p>
      <w:pPr>
        <w:spacing w:after="120" w:line="276" w:lineRule="auto"/>
      </w:pPr>
      <w:r>
        <w:t>**Bandes de Bollinger** : Le cours (70 FCFA) se situe dans la partie haute de la bande, entre la borne inférieure (64,853 FCFA) et la borne supérieure (72,947 FCFA), sans la franchir. Cette position médiane-haute, couplée à un rétrécissement des bandes, justifie la décision **Neutre** : le titre n'est ni en surachat extrême ni en survente, mais la volatilité se comprime.</w:t>
      </w:r>
    </w:p>
    <w:p>
      <w:pPr>
        <w:spacing w:after="120" w:line="276" w:lineRule="auto"/>
      </w:pPr>
      <w:r>
        <w:t>**MACD** : La valeur du MACD (1,32) est inférieure à son signal (1,507), générant un croisement baissier et une divergence négative. Ce momentum affaibli justifie la décision de **Vente** technique à court terme, bien que l'écart reste modéré.</w:t>
      </w:r>
    </w:p>
    <w:p>
      <w:pPr>
        <w:spacing w:after="120" w:line="276" w:lineRule="auto"/>
      </w:pPr>
      <w:r>
        <w:t>**RSI** : À 60,0, le RSI se situe en zone neutre (30-70), sans surachat (&gt;70) ni survente (&lt;30). Cette position équilibrée confirme la décision **Neutre**, le titre conservant un potentiel de hausse sans être techniquement épuisé.</w:t>
      </w:r>
    </w:p>
    <w:p>
      <w:pPr>
        <w:spacing w:after="120" w:line="276" w:lineRule="auto"/>
      </w:pPr>
      <w:r>
        <w:t>**Stochastique** : Le %K et le %D sont tous deux à 80,0, en zone haute mais sans croisement baissier confirmé. Cette configuration indique une pression acheteuse persistante mais proche de la zone de surachat, justifiant la décision **Neutre** avec vigilance.</w:t>
      </w:r>
    </w:p>
    <w:p>
      <w:pPr>
        <w:spacing w:after="120" w:line="276" w:lineRule="auto"/>
      </w:pPr>
      <w:r>
        <w:t>**Conclusion technique** : Les indicateurs sont globalement partagés — les moyennes mobiles sont haussières, mais le MACD est baissier et le RSI/Stochastique sont neutres. Le titre se trouve dans une phase de consolidation après une hausse vertigineuse, avec un momentum à court terme qui s'essouffle. La convergence des signaux penche légèrement vers la prudence à court terme, mais la structure haussière de fond reste intacte tant que le cours se maintient au-dessus de la MM50 (68,42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 profil bancaire solide : le Produit Net Bancaire (PNB, équivalent du chiffre d'affaires) s'établit à 1 424,261 Mds FCFA, pour un résultat net de 345,523 Mds FCFA, soit une marge nette de 24,26%. Le ROE atteint 21,62% (&gt;15% = excellent), confirmant une rentabilité des fonds propres très performante, tandis que le ROA de 1,80% reste correct pour une banque. Le coefficient d'exploitation de 27,35% est exceptionnellement bas (&lt;60% = banque efficace, &lt;50% = excellente), témoignant d'une discipline opérationnelle remarquable. Le coût du risque, mesuré à 18,97% des charges financières, reste modéré mais mérite une surveillance. La structure financière affiche une autonomie financière de 8,30% (faible, mais typique des banques à fort levier) et un ratio d'endettement de 154,06%, avec une solvabilité générale de 109,06% (&gt;1 = solvable). Les dépôts clientèle (14 120,139 Mds FCFA) couvrent largement les créances clientèle (6 570,385 Mds FCFA), avec un ratio de transformation de 46,5%, indiquant une surliquidité et une capacité de prêt encore inexploitée. Les rapports narratifs récents confirment cette dynamique : le rapport semestriel 2026 (analysé par DeepSeek le 30/07/2026) fait état d'un PNB de 1 281 330 milliers $EU (721 318 M FCFA) au S1 2026, en hausse de +15% sur un an, et d'un résultat net consolidé de 296 091 milliers $EU (+6%). Le coefficient d'exploitation s'améliore à 48,4% et le ratio de prêts non performants (NPL) baisse à 7,6%. Toutefois, le coût du risque bondit de +40%, signal d'alerte sur la qualité des actifs. Le rapport T1 2026 (analysé en 2026) montre un PNB en hausse de +23% à 636,2 M$EU et un résultat net de 142,5 M$EU (+16%), mais un coût du risque en explosion (+73%). Sur la base de ces rapports trimestriels, on peut estimer que l'exercice 2026 devrait afficher une croissance du PNB de l'ordre de 15-18% et un résultat net en progression de 5-10%, sous réserve d'une stabilisation du coût du risque au second semestre. La recommandation fondamentale est donc **positive** : la banque est solide, rentable et sous-évaluée, mais la montée des provisions constitue un risque à surveiller de près.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 diagnostic globalement favorable mais nuancé. La valorisation (Partie 0) est clairement attractive : PER de 3,7x, P/B de 0,79x et EV/EBITDA de 5,1x indiquent une sous-évaluation manifeste par rapport aux moyennes du marché et du secteur. Le comportement du cours (Partie 1) est haussier (+141,38% sur 100 jours) mais avec une volatilité élevée (60,3%) et une distribution platykurtique (kurtosis -1,815) qui suggère des mouvements amples sans pics extrêmes — un profil favorable pour les investisseurs tolérants au risque. Les signaux techniques (Partie 2) sont mitigés : les moyennes mobiles sont haussières, mais le MACD est baissier et le RSI/Stochastique sont neutres, indiquant une consolidation en cours. Les fondamentaux (Partie 3) sont solides : ROE de 21,62%, coefficient d'exploitation de 27,35%, PNB en croissance de +15% au S1 2026, mais le coût du risque en hausse de +40% constitue un point de vigilance. Les prédictions IA (J+1 à J+10) anticipent une légère dérive baissière de 70 FCFA vers 68 FCFA, ce qui contredit partiellement les signaux haussiers des moyennes mobiles mais confirme la phase de consolidation technique. Sur la base de cette synthèse, la recommandation finale est **ACHAT** avec un niveau de confiance **Moyen** et un risque global **Moyen**. La convergence entre une valorisation très attractive, des fondamentaux solides et une tendance de fond haussière l'emporte sur les signaux techniques à court terme et la prédiction baissière de court terme. L'horizon d'investissement optimal est le **moyen terme (3-12 mois)**, le temps que la consolidation technique s'achève et que les résultats annuels 2026 confirment la maîtrise du coût du risque. Un investisseur averse au risque attendra un retournement du MACD ou une stabilisation du coût du risque avant de renforcer sa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4,001 titres</w:t>
            </w:r>
          </w:p>
        </w:tc>
        <w:tc>
          <w:tcPr>
            <w:tcW w:type="dxa" w:w="2268"/>
            <w:shd w:fill="FFF2CC" w:val="clear"/>
          </w:tcPr>
          <w:p>
            <w:r>
              <w:rPr>
                <w:b/>
                <w:color w:val="503200"/>
                <w:sz w:val="16"/>
              </w:rPr>
              <w:t xml:space="preserve">Cours actuel : </w:t>
            </w:r>
            <w:r>
              <w:rPr>
                <w:color w:val="000000"/>
                <w:sz w:val="17"/>
              </w:rPr>
              <w:t>2,050 FCFA</w:t>
            </w:r>
          </w:p>
          <w:p>
            <w:r>
              <w:rPr>
                <w:b/>
                <w:color w:val="503200"/>
                <w:sz w:val="16"/>
              </w:rPr>
              <w:t xml:space="preserve">Var. 100 jours : </w:t>
            </w:r>
            <w:r>
              <w:rPr>
                <w:b/>
                <w:color w:val="B40000"/>
                <w:sz w:val="17"/>
              </w:rPr>
              <w:t>-8.89%</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5.90% (Moyenne) — μ=2,130 FCFA, σ=126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β=0.5571 (Défensif) — Cov=0.000022, Var(idx)=0.000040, ρ=0.182,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1,974</w:t>
            </w:r>
          </w:p>
        </w:tc>
        <w:tc>
          <w:tcPr>
            <w:tcW w:type="dxa" w:w="1440"/>
            <w:shd w:fill="FAFAFA" w:val="clear"/>
          </w:tcPr>
          <w:p>
            <w:r>
              <w:rPr>
                <w:b/>
                <w:sz w:val="17"/>
              </w:rPr>
              <w:t>2,036</w:t>
            </w:r>
          </w:p>
        </w:tc>
        <w:tc>
          <w:tcPr>
            <w:tcW w:type="dxa" w:w="1440"/>
            <w:shd w:fill="FAFAFA" w:val="clear"/>
          </w:tcPr>
          <w:p>
            <w:r>
              <w:rPr>
                <w:sz w:val="17"/>
              </w:rPr>
              <w:t>2,097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1,934</w:t>
            </w:r>
          </w:p>
        </w:tc>
        <w:tc>
          <w:tcPr>
            <w:tcW w:type="dxa" w:w="1440"/>
            <w:shd w:fill="FAFAFA" w:val="clear"/>
          </w:tcPr>
          <w:p>
            <w:r>
              <w:rPr>
                <w:b/>
                <w:sz w:val="17"/>
              </w:rPr>
              <w:t>2,020</w:t>
            </w:r>
          </w:p>
        </w:tc>
        <w:tc>
          <w:tcPr>
            <w:tcW w:type="dxa" w:w="1440"/>
            <w:shd w:fill="FAFAFA" w:val="clear"/>
          </w:tcPr>
          <w:p>
            <w:r>
              <w:rPr>
                <w:sz w:val="17"/>
              </w:rPr>
              <w:t>2,106</w:t>
            </w:r>
          </w:p>
        </w:tc>
        <w:tc>
          <w:tcPr>
            <w:tcW w:type="dxa" w:w="1440"/>
            <w:shd w:fill="FAFAFA" w:val="clear"/>
          </w:tcPr>
          <w:p>
            <w:r>
              <w:rPr>
                <w:b/>
                <w:color w:val="C00000"/>
                <w:sz w:val="17"/>
              </w:rPr>
              <w:t>-1.5%</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1,901</w:t>
            </w:r>
          </w:p>
        </w:tc>
        <w:tc>
          <w:tcPr>
            <w:tcW w:type="dxa" w:w="1440"/>
            <w:shd w:fill="FFDCE0" w:val="clear"/>
          </w:tcPr>
          <w:p>
            <w:r>
              <w:rPr>
                <w:b/>
                <w:sz w:val="17"/>
              </w:rPr>
              <w:t>2,005</w:t>
            </w:r>
          </w:p>
        </w:tc>
        <w:tc>
          <w:tcPr>
            <w:tcW w:type="dxa" w:w="1440"/>
            <w:shd w:fill="FFDCE0" w:val="clear"/>
          </w:tcPr>
          <w:p>
            <w:r>
              <w:rPr>
                <w:sz w:val="17"/>
              </w:rPr>
              <w:t>2,110</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2026-09-25</w:t>
            </w:r>
          </w:p>
        </w:tc>
        <w:tc>
          <w:tcPr>
            <w:tcW w:type="dxa" w:w="1440"/>
            <w:shd w:fill="FFDCE0" w:val="clear"/>
          </w:tcPr>
          <w:p>
            <w:r>
              <w:rPr>
                <w:sz w:val="17"/>
              </w:rPr>
              <w:t>1,872</w:t>
            </w:r>
          </w:p>
        </w:tc>
        <w:tc>
          <w:tcPr>
            <w:tcW w:type="dxa" w:w="1440"/>
            <w:shd w:fill="FFDCE0" w:val="clear"/>
          </w:tcPr>
          <w:p>
            <w:r>
              <w:rPr>
                <w:b/>
                <w:sz w:val="17"/>
              </w:rPr>
              <w:t>1,992</w:t>
            </w:r>
          </w:p>
        </w:tc>
        <w:tc>
          <w:tcPr>
            <w:tcW w:type="dxa" w:w="1440"/>
            <w:shd w:fill="FFDCE0" w:val="clear"/>
          </w:tcPr>
          <w:p>
            <w:r>
              <w:rPr>
                <w:sz w:val="17"/>
              </w:rPr>
              <w:t>2,111</w:t>
            </w:r>
          </w:p>
        </w:tc>
        <w:tc>
          <w:tcPr>
            <w:tcW w:type="dxa" w:w="1440"/>
            <w:shd w:fill="FFDCE0" w:val="clear"/>
          </w:tcPr>
          <w:p>
            <w:r>
              <w:rPr>
                <w:b/>
                <w:color w:val="C00000"/>
                <w:sz w:val="17"/>
              </w:rPr>
              <w:t>-2.9%</w:t>
            </w:r>
          </w:p>
        </w:tc>
      </w:tr>
      <w:tr>
        <w:tc>
          <w:tcPr>
            <w:tcW w:type="dxa" w:w="1440"/>
            <w:shd w:fill="FFDCE0" w:val="clear"/>
          </w:tcPr>
          <w:p>
            <w:r>
              <w:rPr>
                <w:sz w:val="17"/>
              </w:rPr>
              <w:t>J+5  Moyenne</w:t>
            </w:r>
          </w:p>
        </w:tc>
        <w:tc>
          <w:tcPr>
            <w:tcW w:type="dxa" w:w="1440"/>
            <w:shd w:fill="FFDCE0" w:val="clear"/>
          </w:tcPr>
          <w:p>
            <w:r>
              <w:rPr>
                <w:sz w:val="17"/>
              </w:rPr>
              <w:t>2026-09-28</w:t>
            </w:r>
          </w:p>
        </w:tc>
        <w:tc>
          <w:tcPr>
            <w:tcW w:type="dxa" w:w="1440"/>
            <w:shd w:fill="FFDCE0" w:val="clear"/>
          </w:tcPr>
          <w:p>
            <w:r>
              <w:rPr>
                <w:sz w:val="17"/>
              </w:rPr>
              <w:t>1,845</w:t>
            </w:r>
          </w:p>
        </w:tc>
        <w:tc>
          <w:tcPr>
            <w:tcW w:type="dxa" w:w="1440"/>
            <w:shd w:fill="FFDCE0" w:val="clear"/>
          </w:tcPr>
          <w:p>
            <w:r>
              <w:rPr>
                <w:b/>
                <w:sz w:val="17"/>
              </w:rPr>
              <w:t>1,978</w:t>
            </w:r>
          </w:p>
        </w:tc>
        <w:tc>
          <w:tcPr>
            <w:tcW w:type="dxa" w:w="1440"/>
            <w:shd w:fill="FFDCE0" w:val="clear"/>
          </w:tcPr>
          <w:p>
            <w:r>
              <w:rPr>
                <w:sz w:val="17"/>
              </w:rPr>
              <w:t>2,111</w:t>
            </w:r>
          </w:p>
        </w:tc>
        <w:tc>
          <w:tcPr>
            <w:tcW w:type="dxa" w:w="1440"/>
            <w:shd w:fill="FFDCE0" w:val="clear"/>
          </w:tcPr>
          <w:p>
            <w:r>
              <w:rPr>
                <w:b/>
                <w:color w:val="C00000"/>
                <w:sz w:val="17"/>
              </w:rPr>
              <w:t>-3.5%</w:t>
            </w:r>
          </w:p>
        </w:tc>
      </w:tr>
      <w:tr>
        <w:tc>
          <w:tcPr>
            <w:tcW w:type="dxa" w:w="1440"/>
            <w:shd w:fill="FFDCE0" w:val="clear"/>
          </w:tcPr>
          <w:p>
            <w:r>
              <w:rPr>
                <w:sz w:val="17"/>
              </w:rPr>
              <w:t>J+6  Moyenne</w:t>
            </w:r>
          </w:p>
        </w:tc>
        <w:tc>
          <w:tcPr>
            <w:tcW w:type="dxa" w:w="1440"/>
            <w:shd w:fill="FFDCE0" w:val="clear"/>
          </w:tcPr>
          <w:p>
            <w:r>
              <w:rPr>
                <w:sz w:val="17"/>
              </w:rPr>
              <w:t>2026-09-29</w:t>
            </w:r>
          </w:p>
        </w:tc>
        <w:tc>
          <w:tcPr>
            <w:tcW w:type="dxa" w:w="1440"/>
            <w:shd w:fill="FFDCE0" w:val="clear"/>
          </w:tcPr>
          <w:p>
            <w:r>
              <w:rPr>
                <w:sz w:val="17"/>
              </w:rPr>
              <w:t>1,820</w:t>
            </w:r>
          </w:p>
        </w:tc>
        <w:tc>
          <w:tcPr>
            <w:tcW w:type="dxa" w:w="1440"/>
            <w:shd w:fill="FFDCE0" w:val="clear"/>
          </w:tcPr>
          <w:p>
            <w:r>
              <w:rPr>
                <w:b/>
                <w:sz w:val="17"/>
              </w:rPr>
              <w:t>1,965</w:t>
            </w:r>
          </w:p>
        </w:tc>
        <w:tc>
          <w:tcPr>
            <w:tcW w:type="dxa" w:w="1440"/>
            <w:shd w:fill="FFDCE0" w:val="clear"/>
          </w:tcPr>
          <w:p>
            <w:r>
              <w:rPr>
                <w:sz w:val="17"/>
              </w:rPr>
              <w:t>2,110</w:t>
            </w:r>
          </w:p>
        </w:tc>
        <w:tc>
          <w:tcPr>
            <w:tcW w:type="dxa" w:w="1440"/>
            <w:shd w:fill="FFDCE0" w:val="clear"/>
          </w:tcPr>
          <w:p>
            <w:r>
              <w:rPr>
                <w:b/>
                <w:color w:val="C00000"/>
                <w:sz w:val="17"/>
              </w:rPr>
              <w:t>-4.1%</w:t>
            </w:r>
          </w:p>
        </w:tc>
      </w:tr>
      <w:tr>
        <w:tc>
          <w:tcPr>
            <w:tcW w:type="dxa" w:w="1440"/>
            <w:shd w:fill="FFDCE0" w:val="clear"/>
          </w:tcPr>
          <w:p>
            <w:r>
              <w:rPr>
                <w:sz w:val="17"/>
              </w:rPr>
              <w:t>J+7  Moyenne</w:t>
            </w:r>
          </w:p>
        </w:tc>
        <w:tc>
          <w:tcPr>
            <w:tcW w:type="dxa" w:w="1440"/>
            <w:shd w:fill="FFDCE0" w:val="clear"/>
          </w:tcPr>
          <w:p>
            <w:r>
              <w:rPr>
                <w:sz w:val="17"/>
              </w:rPr>
              <w:t>2026-09-30</w:t>
            </w:r>
          </w:p>
        </w:tc>
        <w:tc>
          <w:tcPr>
            <w:tcW w:type="dxa" w:w="1440"/>
            <w:shd w:fill="FFDCE0" w:val="clear"/>
          </w:tcPr>
          <w:p>
            <w:r>
              <w:rPr>
                <w:sz w:val="17"/>
              </w:rPr>
              <w:t>1,797</w:t>
            </w:r>
          </w:p>
        </w:tc>
        <w:tc>
          <w:tcPr>
            <w:tcW w:type="dxa" w:w="1440"/>
            <w:shd w:fill="FFDCE0" w:val="clear"/>
          </w:tcPr>
          <w:p>
            <w:r>
              <w:rPr>
                <w:b/>
                <w:sz w:val="17"/>
              </w:rPr>
              <w:t>1,952</w:t>
            </w:r>
          </w:p>
        </w:tc>
        <w:tc>
          <w:tcPr>
            <w:tcW w:type="dxa" w:w="1440"/>
            <w:shd w:fill="FFDCE0" w:val="clear"/>
          </w:tcPr>
          <w:p>
            <w:r>
              <w:rPr>
                <w:sz w:val="17"/>
              </w:rPr>
              <w:t>2,108</w:t>
            </w:r>
          </w:p>
        </w:tc>
        <w:tc>
          <w:tcPr>
            <w:tcW w:type="dxa" w:w="1440"/>
            <w:shd w:fill="FFDCE0" w:val="clear"/>
          </w:tcPr>
          <w:p>
            <w:r>
              <w:rPr>
                <w:b/>
                <w:color w:val="C00000"/>
                <w:sz w:val="17"/>
              </w:rPr>
              <w:t>-4.8%</w:t>
            </w:r>
          </w:p>
        </w:tc>
      </w:tr>
      <w:tr>
        <w:tc>
          <w:tcPr>
            <w:tcW w:type="dxa" w:w="1440"/>
            <w:shd w:fill="FFDCE0" w:val="clear"/>
          </w:tcPr>
          <w:p>
            <w:r>
              <w:rPr>
                <w:sz w:val="17"/>
              </w:rPr>
              <w:t>J+8  Moyenne</w:t>
            </w:r>
          </w:p>
        </w:tc>
        <w:tc>
          <w:tcPr>
            <w:tcW w:type="dxa" w:w="1440"/>
            <w:shd w:fill="FFDCE0" w:val="clear"/>
          </w:tcPr>
          <w:p>
            <w:r>
              <w:rPr>
                <w:sz w:val="17"/>
              </w:rPr>
              <w:t>2026-10-01</w:t>
            </w:r>
          </w:p>
        </w:tc>
        <w:tc>
          <w:tcPr>
            <w:tcW w:type="dxa" w:w="1440"/>
            <w:shd w:fill="FFDCE0" w:val="clear"/>
          </w:tcPr>
          <w:p>
            <w:r>
              <w:rPr>
                <w:sz w:val="17"/>
              </w:rPr>
              <w:t>1,775</w:t>
            </w:r>
          </w:p>
        </w:tc>
        <w:tc>
          <w:tcPr>
            <w:tcW w:type="dxa" w:w="1440"/>
            <w:shd w:fill="FFDCE0" w:val="clear"/>
          </w:tcPr>
          <w:p>
            <w:r>
              <w:rPr>
                <w:b/>
                <w:sz w:val="17"/>
              </w:rPr>
              <w:t>1,940</w:t>
            </w:r>
          </w:p>
        </w:tc>
        <w:tc>
          <w:tcPr>
            <w:tcW w:type="dxa" w:w="1440"/>
            <w:shd w:fill="FFDCE0" w:val="clear"/>
          </w:tcPr>
          <w:p>
            <w:r>
              <w:rPr>
                <w:sz w:val="17"/>
              </w:rPr>
              <w:t>2,105</w:t>
            </w:r>
          </w:p>
        </w:tc>
        <w:tc>
          <w:tcPr>
            <w:tcW w:type="dxa" w:w="1440"/>
            <w:shd w:fill="FFDCE0" w:val="clear"/>
          </w:tcPr>
          <w:p>
            <w:r>
              <w:rPr>
                <w:b/>
                <w:color w:val="C00000"/>
                <w:sz w:val="17"/>
              </w:rPr>
              <w:t>-5.4%</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1,754</w:t>
            </w:r>
          </w:p>
        </w:tc>
        <w:tc>
          <w:tcPr>
            <w:tcW w:type="dxa" w:w="1440"/>
            <w:shd w:fill="FFDCE0" w:val="clear"/>
          </w:tcPr>
          <w:p>
            <w:r>
              <w:rPr>
                <w:b/>
                <w:sz w:val="17"/>
              </w:rPr>
              <w:t>1,928</w:t>
            </w:r>
          </w:p>
        </w:tc>
        <w:tc>
          <w:tcPr>
            <w:tcW w:type="dxa" w:w="1440"/>
            <w:shd w:fill="FFDCE0" w:val="clear"/>
          </w:tcPr>
          <w:p>
            <w:r>
              <w:rPr>
                <w:sz w:val="17"/>
              </w:rPr>
              <w:t>2,102</w:t>
            </w:r>
          </w:p>
        </w:tc>
        <w:tc>
          <w:tcPr>
            <w:tcW w:type="dxa" w:w="1440"/>
            <w:shd w:fill="FFDCE0" w:val="clear"/>
          </w:tcPr>
          <w:p>
            <w:r>
              <w:rPr>
                <w:b/>
                <w:color w:val="C00000"/>
                <w:sz w:val="17"/>
              </w:rPr>
              <w:t>-6.0%</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1,734</w:t>
            </w:r>
          </w:p>
        </w:tc>
        <w:tc>
          <w:tcPr>
            <w:tcW w:type="dxa" w:w="1440"/>
            <w:shd w:fill="FFDCE0" w:val="clear"/>
          </w:tcPr>
          <w:p>
            <w:r>
              <w:rPr>
                <w:b/>
                <w:sz w:val="17"/>
              </w:rPr>
              <w:t>1,916</w:t>
            </w:r>
          </w:p>
        </w:tc>
        <w:tc>
          <w:tcPr>
            <w:tcW w:type="dxa" w:w="1440"/>
            <w:shd w:fill="FFDCE0" w:val="clear"/>
          </w:tcPr>
          <w:p>
            <w:r>
              <w:rPr>
                <w:sz w:val="17"/>
              </w:rPr>
              <w:t>2,098</w:t>
            </w:r>
          </w:p>
        </w:tc>
        <w:tc>
          <w:tcPr>
            <w:tcW w:type="dxa" w:w="1440"/>
            <w:shd w:fill="FFDCE0" w:val="clear"/>
          </w:tcPr>
          <w:p>
            <w:r>
              <w:rPr>
                <w:b/>
                <w:color w:val="C00000"/>
                <w:sz w:val="17"/>
              </w:rPr>
              <w:t>-6.5%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FILTISAC CI (FTSC)</w:t>
        <w:br/>
        <w:t>**Bourse Régionale des Valeurs Mobilières (BRVM) — Secteur : Emballages / Transformation agro-industrielle**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FILTISAC CI affiche une capitalisation boursière de 28,91 milliards FCFA, un niveau intermédiaire à l'échelle de la BRVM qui traduit la taille modeste de l'entreprise dans un secteur industriel de niche. Le BPA s'établit à 33 FCFA par action, un niveau faible qui reflète la chute drastique du résultat net en 2025 (466 millions FCFA contre 18,6 milliards en 2024). Le PER de 62,0x est très élevé — plus de cinq fois la moyenne BRVM (~8-12x) — ce qui signifie que les investisseurs paient une prime considérable pour des bénéfices qui se sont effondrés, situation intenable à moyen terme. Le P/B de 1,84x indique que le marché valorise l'action à près du double de sa valeur comptable (capitaux propres de 15,7 Mds FCFA), ce qui reste raisonnable mais suppose une capacité bénéficiaire future que la société n'a pas encore démontrée. Enfin, l'EV/EBITDA de 37,1x est très exigeant (seuil d'alerte &gt;15x), signifiant que la valeur d'entreprise est 37 fois supérieure à la capacité opérationnelle de génération de cash — un signal de surévaluation manifeste au regard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variation totale de -8,89%, avec une dernière séance en repli de -1,91%, confirmant une dynamique baissière persistante. Le cours actuel de 2 050 FCFA se situe dans la moitié basse du range de trading établi entre un plus bas de 1 910 FCFA et un plus haut de 2 430 FCFA, soit un écart de 520 FCFA (27% du cours bas) qui témoigne d'une réelle amplitude de négociation. La tendance générale est clairement baissière sur la période, le titre ayant perdu près de 9% de sa valeur, dans un contexte de défiance liée à l'effondrement du résultat net 2025 et à la suppression du dividende. Les statistiques descriptives révèlent une moyenne de 2 130 FCFA légèrement supérieure à la médiane de 2 150 FCFA, avec un mode à 1 990 FCFA — l'écart faible entre moyenne et médiane (20 FCFA) indique une distribution quasi symétrique, confirmée par un skewness de 0,199 (distribution symétrique). L'écart-type de 126 FCFA avec un coefficient de variation de 5,9% traduit une dispersion modérée du cours autour de sa moyenne, tandis que le kurtosis de -0,772 (mésokurtique) suggère une distribution proche de la normale, sans risque majeur de pics extrêmes. La volatilité annualisée de 30,7% positionne le titre dans la catégorie des valeurs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(2 122,0 FCFA) et la MM50 (2 071,7 FCFA) se situent toutes deux au-dessus du cours actuel (2 050 FCFA), ce qui place le titre en position baissière sous ses moyennes. Toutefois, la MM20 étant supérieure à la MM50, la configuration reste celle d'un croisement haussier antérieur, d'où la décision "Achat" générée — mais cette décision est fragilisée par le fait que le cours évolue sous les deux moyennes, signalant une pression vendeuse immédiate.</w:t>
      </w:r>
    </w:p>
    <w:p>
      <w:pPr>
        <w:spacing w:after="120" w:line="276" w:lineRule="auto"/>
      </w:pPr>
      <w:r>
        <w:t>**Bandes de Bollinger** : Le cours actuel (2 050 FCFA) se situe juste en dessous de la borne inférieure (2 054,85 FCFA), ce qui constitue un signal de survente technique et une opportunité d'achat potentielle selon la stratégie de retour à la moyenne. La largeur des bandes (2 189,15 - 2 054,85 = 134,3 FCFA) reflète une volatilité modérée, et la décision "Achat" est cohérente avec la position du cours en zone basse.</w:t>
      </w:r>
    </w:p>
    <w:p>
      <w:pPr>
        <w:spacing w:after="120" w:line="276" w:lineRule="auto"/>
      </w:pPr>
      <w:r>
        <w:t>**MACD** : La valeur du MACD (-5,161) est inférieure à son signal (5,774), générant une divergence baissière et une décision "Vente". Le momentum est clairement négatif, le MACD évoluant en territoire négatif, ce qui contredit les signaux d'achat des moyennes mobiles et des Bollinger — un signe de faiblesse persistante de la tendance.</w:t>
      </w:r>
    </w:p>
    <w:p>
      <w:pPr>
        <w:spacing w:after="120" w:line="276" w:lineRule="auto"/>
      </w:pPr>
      <w:r>
        <w:t>**RSI** : À 42,593, le RSI se situe en zone neutre (30-70), sans signal de surachat ni de survente. Cette valeur médiane indique une absence de pression directionnelle forte, le titre pouvant évoluer dans les deux sens à court terme, ce qui justifie la décision "Neutre".</w:t>
      </w:r>
    </w:p>
    <w:p>
      <w:pPr>
        <w:spacing w:after="120" w:line="276" w:lineRule="auto"/>
      </w:pPr>
      <w:r>
        <w:t>**Stochastique** : Le %K (0,0) et le %D (1,852) sont tous deux en zone de survente extrême (&lt;20), avec un %K inférieur au %D — configuration typique d'un signal d'achat par croisement à la hausse imminent. La décision "Achat" est cohérente avec cette lecture, le titre étant statistiquement survendu à très court terme.</w:t>
      </w:r>
    </w:p>
    <w:p>
      <w:pPr>
        <w:spacing w:after="120" w:line="276" w:lineRule="auto"/>
      </w:pPr>
      <w:r>
        <w:t>**Conclusion technique** : Les indicateurs sont divergents — les moyennes mobiles, les Bollinger et le stochastique génèrent des signaux d'achat (survente, retour à la moyenne), tandis que le MACD confirme une tendance baissière et le RSI reste neutre. Cette divergence suggère un possible rebond technique à court terme, mais la faiblesse du MACD et la position du cours sous les moyennes mobiles incitent à la prudence : le rebond pourrait être de courte durée sans confirmation par les volumes.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FILTISAC CI a réalisé un chiffre d'affaires de 32 109 millions FCFA (32,1 Mds), en croissance de 4,61% par rapport à 2024, mais avec un résultat net de seulement 465,98 millions FCFA — en chute de 97,5% par rapport aux 18 595 millions FCFA de 2024 (exercice marqué par des produits exceptionnels de cession de filiales). Le ROE s'établit à 2,97% (très en dessous du seuil d'excellence de 15%) et le ROA à 1,19%, traduisant une rentabilité très faible des capitaux propres et des actifs. La marge nette de 1,45% et la marge opérationnelle de 0,86% sont marginales, tandis que le coefficient d'exploitation de 116,59% (&gt;100%) indique que les charges d'exploitation dépassent les produits, générant un résultat d'exploitation de seulement 275,04 millions FCFA. En tant qu'entreprise industrielle, les délais d'exploitation sont préoccupants : délai clients de 213,72 jours (risque de trésorerie élevé), durée de stockage de 214,65 jours (immobilisation de capital importante) et délai fournisseurs de 140,71 jours. Le BFR de 11 529 millions FCFA et la trésorerie nette de -11 528 millions FCFA (négative) constituent des signaux d'alerte majeurs sur la liquidité. L'autonomie financière de 40,11% reste saine (&gt;30%), mais le ratio d'endettement de 97,60% et la capacité de remboursement de 11,49 années (dettes financières/CAF) sont élevés.</w:t>
      </w:r>
    </w:p>
    <w:p>
      <w:pPr>
        <w:spacing w:after="120" w:line="276" w:lineRule="auto"/>
      </w:pPr>
      <w:r>
        <w:t>**Estimations basées sur les rapports trimestriels** : Le rapport du T1 2026 (publié en 2026) fait état d'un chiffre d'affaires de 8 901 millions FCFA, en hausse de 55% sur un an, porté par la forte demande d'emballages pour le cacao, avec un résultat d'exploitation redevenu positif à 75 millions FCFA (contre -78 millions au T1 2025). Toutefois, le résultat net reste déficitaire à -154 millions FCFA, bien qu'en amélioration de 14%. Sur la base de ce rapport T1 2026, on peut estimer que l'exercice 2026 devrait bénéficier d'une dynamique commerciale nettement plus favorable (croissance à deux chiffres du CA), mais la rentabilité nette restera sous pression tant que les charges financières et les coûts d'approvisionnement (jute, fret maritime) ne seront pas maîtrisés. Le rapport du T3 2025 (30/09/2025) confirmait déjà cette tendance : CA de 18 371 millions FCFA sur 9 mois (-1%), résultat courant avant impôt de -216 millions FCFA, et dépendance critique à la campagne cacaoyère 2025/2026.</w:t>
      </w:r>
    </w:p>
    <w:p>
      <w:pPr>
        <w:spacing w:after="120" w:line="276" w:lineRule="auto"/>
      </w:pPr>
      <w:r>
        <w:t>**Recommandation fondamentale** : La situation fondamentale est fragile — la société a distribué l'intégralité de son bénéfice 2024 (dividende de 2 000,67 FCFA/action, soit 100% du résultat net), ce qui a vidé ses capitaux propres (passés de 43,4 à 15,7 Mds FCFA) et rendu sa trésorerie nette fortement négative. Le redressement opérationnel est en cours (T1 2026 positif en exploitation), mais le résultat net reste déficitaire et les risques (liquidité, dépendance au cacao, coûts des matières premières) sont élevés. La recommandation fondamentale est **CONSERVER** avec une surveillance accrue, en attendant la confirmation d'un retour durable à la rentabilité nette.</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surévaluée : un PER de 62,0x et un EV/EBITDA de 37,1x pour une société dont le résultat net s'est effondré et dont la trésorerie est négative constituent des signaux de cherté manifeste, bien que le P/B de 1,84x reste modéré. Le comportement du cours (Partie 1) est baissier (-8,89% sur 100 jours) avec une volatilité élevée (30,7%), mais les statistiques descriptives (distribution symétrique, kurtosis mésokurtique) n'indiquent pas de risque extrême de pics — la tendance baissière est régulière et non chaotique. Les signaux techniques (Partie 2) sont divergents : les indicateurs de survente (Bollinger, Stochastique) et les moyennes mobiles suggèrent un rebond à court terme, mais le MACD confirme la tendance baissière et le RSI reste neutre — il n'y a pas de convergence forte. Les fondamentaux (Partie 3) sont mitigés : le T1 2026 montre une nette amélioration opérationnelle (CA +55%, résultat d'exploitation positif), mais le résultat net reste déficitaire et les risques de liquidité persistent. Les prédictions IA (J+1 à J+10) anticipent une poursuite de la baisse (2 036 → 1 978 FCFA), ce qui contredit les signaux d'achat techniques à court terme et confirme la pression baissière.</w:t>
      </w:r>
    </w:p>
    <w:p>
      <w:pPr>
        <w:spacing w:after="120" w:line="276" w:lineRule="auto"/>
      </w:pPr>
      <w:r>
        <w:t>**Recommandation finale : CONSERVER** — Justification : la convergence entre la surévaluation (PER/EV-EBITDA), la tendance baissière confirmée par le MACD et les prédictions IA, ainsi que les risques fondamentaux (trésorerie négative, résultat net déficitaire) empêchent toute recommandation d'achat. Toutefois, l'amélioration opérationnelle du T1 2026 et les signaux de survente technique (Bollinger, Stochastique) justifient de ne pas vendre en panique, mais de conserver en attendant une confirmation de redressement durable. **Niveau de confiance : Moyen** (les signaux sont divergents). **Niveau de risque global : Élevé** (volatilité 30,7%, trésorerie négative, dépendance au cacao). **Horizon d'investissement optimal : Moyen terme (3-12 mois)**, le temps que la société démontre sa capacité à restaurer une rentabilité nette positive et à assainir sa structure financière.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4,453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+2.56%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4.67% (Faible) — μ=4,075 FCFA, σ=190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β=-0.1091 (Contre-cyclique) — Cov=-0.000004, Var(idx)=0.000040, ρ=-0.029,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4,453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σ_j=2.40%/j (Stable) — Vol. annualisée≈38.1%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2026-09-22</w:t>
            </w:r>
          </w:p>
        </w:tc>
        <w:tc>
          <w:tcPr>
            <w:tcW w:type="dxa" w:w="1440"/>
            <w:shd w:fill="C6EFCE" w:val="clear"/>
          </w:tcPr>
          <w:p>
            <w:r>
              <w:rPr>
                <w:sz w:val="17"/>
              </w:rPr>
              <w:t>3,978</w:t>
            </w:r>
          </w:p>
        </w:tc>
        <w:tc>
          <w:tcPr>
            <w:tcW w:type="dxa" w:w="1440"/>
            <w:shd w:fill="C6EFCE" w:val="clear"/>
          </w:tcPr>
          <w:p>
            <w:r>
              <w:rPr>
                <w:b/>
                <w:sz w:val="17"/>
              </w:rPr>
              <w:t>4,118</w:t>
            </w:r>
          </w:p>
        </w:tc>
        <w:tc>
          <w:tcPr>
            <w:tcW w:type="dxa" w:w="1440"/>
            <w:shd w:fill="C6EFCE" w:val="clear"/>
          </w:tcPr>
          <w:p>
            <w:r>
              <w:rPr>
                <w:sz w:val="17"/>
              </w:rPr>
              <w:t>4,258</w:t>
            </w:r>
          </w:p>
        </w:tc>
        <w:tc>
          <w:tcPr>
            <w:tcW w:type="dxa" w:w="1440"/>
            <w:shd w:fill="C6EFCE" w:val="clear"/>
          </w:tcPr>
          <w:p>
            <w:r>
              <w:rPr>
                <w:b/>
                <w:color w:val="008000"/>
                <w:sz w:val="17"/>
              </w:rPr>
              <w:t>+3.0%</w:t>
            </w:r>
          </w:p>
        </w:tc>
      </w:tr>
      <w:tr>
        <w:tc>
          <w:tcPr>
            <w:tcW w:type="dxa" w:w="1440"/>
            <w:shd w:fill="C6EFCE" w:val="clear"/>
          </w:tcPr>
          <w:p>
            <w:r>
              <w:rPr>
                <w:sz w:val="17"/>
              </w:rPr>
              <w:t>J+2  Moyenne</w:t>
            </w:r>
          </w:p>
        </w:tc>
        <w:tc>
          <w:tcPr>
            <w:tcW w:type="dxa" w:w="1440"/>
            <w:shd w:fill="C6EFCE" w:val="clear"/>
          </w:tcPr>
          <w:p>
            <w:r>
              <w:rPr>
                <w:sz w:val="17"/>
              </w:rPr>
              <w:t>2026-09-23</w:t>
            </w:r>
          </w:p>
        </w:tc>
        <w:tc>
          <w:tcPr>
            <w:tcW w:type="dxa" w:w="1440"/>
            <w:shd w:fill="C6EFCE" w:val="clear"/>
          </w:tcPr>
          <w:p>
            <w:r>
              <w:rPr>
                <w:sz w:val="17"/>
              </w:rPr>
              <w:t>3,952</w:t>
            </w:r>
          </w:p>
        </w:tc>
        <w:tc>
          <w:tcPr>
            <w:tcW w:type="dxa" w:w="1440"/>
            <w:shd w:fill="C6EFCE" w:val="clear"/>
          </w:tcPr>
          <w:p>
            <w:r>
              <w:rPr>
                <w:b/>
                <w:sz w:val="17"/>
              </w:rPr>
              <w:t>4,151</w:t>
            </w:r>
          </w:p>
        </w:tc>
        <w:tc>
          <w:tcPr>
            <w:tcW w:type="dxa" w:w="1440"/>
            <w:shd w:fill="C6EFCE" w:val="clear"/>
          </w:tcPr>
          <w:p>
            <w:r>
              <w:rPr>
                <w:sz w:val="17"/>
              </w:rPr>
              <w:t>4,349</w:t>
            </w:r>
          </w:p>
        </w:tc>
        <w:tc>
          <w:tcPr>
            <w:tcW w:type="dxa" w:w="1440"/>
            <w:shd w:fill="C6EFCE" w:val="clear"/>
          </w:tcPr>
          <w:p>
            <w:r>
              <w:rPr>
                <w:b/>
                <w:color w:val="008000"/>
                <w:sz w:val="17"/>
              </w:rPr>
              <w:t>+3.8%</w:t>
            </w:r>
          </w:p>
        </w:tc>
      </w:tr>
      <w:tr>
        <w:tc>
          <w:tcPr>
            <w:tcW w:type="dxa" w:w="1440"/>
            <w:shd w:fill="C6EFCE" w:val="clear"/>
          </w:tcPr>
          <w:p>
            <w:r>
              <w:rPr>
                <w:sz w:val="17"/>
              </w:rPr>
              <w:t>J+3  Moyenne</w:t>
            </w:r>
          </w:p>
        </w:tc>
        <w:tc>
          <w:tcPr>
            <w:tcW w:type="dxa" w:w="1440"/>
            <w:shd w:fill="C6EFCE" w:val="clear"/>
          </w:tcPr>
          <w:p>
            <w:r>
              <w:rPr>
                <w:sz w:val="17"/>
              </w:rPr>
              <w:t>2026-09-24</w:t>
            </w:r>
          </w:p>
        </w:tc>
        <w:tc>
          <w:tcPr>
            <w:tcW w:type="dxa" w:w="1440"/>
            <w:shd w:fill="C6EFCE" w:val="clear"/>
          </w:tcPr>
          <w:p>
            <w:r>
              <w:rPr>
                <w:sz w:val="17"/>
              </w:rPr>
              <w:t>3,915</w:t>
            </w:r>
          </w:p>
        </w:tc>
        <w:tc>
          <w:tcPr>
            <w:tcW w:type="dxa" w:w="1440"/>
            <w:shd w:fill="C6EFCE" w:val="clear"/>
          </w:tcPr>
          <w:p>
            <w:r>
              <w:rPr>
                <w:b/>
                <w:sz w:val="17"/>
              </w:rPr>
              <w:t>4,159</w:t>
            </w:r>
          </w:p>
        </w:tc>
        <w:tc>
          <w:tcPr>
            <w:tcW w:type="dxa" w:w="1440"/>
            <w:shd w:fill="C6EFCE" w:val="clear"/>
          </w:tcPr>
          <w:p>
            <w:r>
              <w:rPr>
                <w:sz w:val="17"/>
              </w:rPr>
              <w:t>4,403</w:t>
            </w:r>
          </w:p>
        </w:tc>
        <w:tc>
          <w:tcPr>
            <w:tcW w:type="dxa" w:w="1440"/>
            <w:shd w:fill="C6EFCE" w:val="clear"/>
          </w:tcPr>
          <w:p>
            <w:r>
              <w:rPr>
                <w:b/>
                <w:color w:val="008000"/>
                <w:sz w:val="17"/>
              </w:rPr>
              <w:t>+4.0%</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3,880</w:t>
            </w:r>
          </w:p>
        </w:tc>
        <w:tc>
          <w:tcPr>
            <w:tcW w:type="dxa" w:w="1440"/>
            <w:shd w:fill="C6EFCE" w:val="clear"/>
          </w:tcPr>
          <w:p>
            <w:r>
              <w:rPr>
                <w:b/>
                <w:sz w:val="17"/>
              </w:rPr>
              <w:t>4,162</w:t>
            </w:r>
          </w:p>
        </w:tc>
        <w:tc>
          <w:tcPr>
            <w:tcW w:type="dxa" w:w="1440"/>
            <w:shd w:fill="C6EFCE" w:val="clear"/>
          </w:tcPr>
          <w:p>
            <w:r>
              <w:rPr>
                <w:sz w:val="17"/>
              </w:rPr>
              <w:t>4,444</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3,857</w:t>
            </w:r>
          </w:p>
        </w:tc>
        <w:tc>
          <w:tcPr>
            <w:tcW w:type="dxa" w:w="1440"/>
            <w:shd w:fill="C6EFCE" w:val="clear"/>
          </w:tcPr>
          <w:p>
            <w:r>
              <w:rPr>
                <w:b/>
                <w:sz w:val="17"/>
              </w:rPr>
              <w:t>4,173</w:t>
            </w:r>
          </w:p>
        </w:tc>
        <w:tc>
          <w:tcPr>
            <w:tcW w:type="dxa" w:w="1440"/>
            <w:shd w:fill="C6EFCE" w:val="clear"/>
          </w:tcPr>
          <w:p>
            <w:r>
              <w:rPr>
                <w:sz w:val="17"/>
              </w:rPr>
              <w:t>4,490</w:t>
            </w:r>
          </w:p>
        </w:tc>
        <w:tc>
          <w:tcPr>
            <w:tcW w:type="dxa" w:w="1440"/>
            <w:shd w:fill="C6EFCE" w:val="clear"/>
          </w:tcPr>
          <w:p>
            <w:r>
              <w:rPr>
                <w:b/>
                <w:color w:val="008000"/>
                <w:sz w:val="17"/>
              </w:rPr>
              <w:t>+4.3%</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3,829</w:t>
            </w:r>
          </w:p>
        </w:tc>
        <w:tc>
          <w:tcPr>
            <w:tcW w:type="dxa" w:w="1440"/>
            <w:shd w:fill="C6EFCE" w:val="clear"/>
          </w:tcPr>
          <w:p>
            <w:r>
              <w:rPr>
                <w:b/>
                <w:sz w:val="17"/>
              </w:rPr>
              <w:t>4,175</w:t>
            </w:r>
          </w:p>
        </w:tc>
        <w:tc>
          <w:tcPr>
            <w:tcW w:type="dxa" w:w="1440"/>
            <w:shd w:fill="C6EFCE" w:val="clear"/>
          </w:tcPr>
          <w:p>
            <w:r>
              <w:rPr>
                <w:sz w:val="17"/>
              </w:rPr>
              <w:t>4,522</w:t>
            </w:r>
          </w:p>
        </w:tc>
        <w:tc>
          <w:tcPr>
            <w:tcW w:type="dxa" w:w="1440"/>
            <w:shd w:fill="C6EFCE" w:val="clear"/>
          </w:tcPr>
          <w:p>
            <w:r>
              <w:rPr>
                <w:b/>
                <w:color w:val="008000"/>
                <w:sz w:val="17"/>
              </w:rPr>
              <w:t>+4.4%</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3,801</w:t>
            </w:r>
          </w:p>
        </w:tc>
        <w:tc>
          <w:tcPr>
            <w:tcW w:type="dxa" w:w="1440"/>
            <w:shd w:fill="C6EFCE" w:val="clear"/>
          </w:tcPr>
          <w:p>
            <w:r>
              <w:rPr>
                <w:b/>
                <w:sz w:val="17"/>
              </w:rPr>
              <w:t>4,175</w:t>
            </w:r>
          </w:p>
        </w:tc>
        <w:tc>
          <w:tcPr>
            <w:tcW w:type="dxa" w:w="1440"/>
            <w:shd w:fill="C6EFCE" w:val="clear"/>
          </w:tcPr>
          <w:p>
            <w:r>
              <w:rPr>
                <w:sz w:val="17"/>
              </w:rPr>
              <w:t>4,550</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3,773</w:t>
            </w:r>
          </w:p>
        </w:tc>
        <w:tc>
          <w:tcPr>
            <w:tcW w:type="dxa" w:w="1440"/>
            <w:shd w:fill="C6EFCE" w:val="clear"/>
          </w:tcPr>
          <w:p>
            <w:r>
              <w:rPr>
                <w:b/>
                <w:sz w:val="17"/>
              </w:rPr>
              <w:t>4,173</w:t>
            </w:r>
          </w:p>
        </w:tc>
        <w:tc>
          <w:tcPr>
            <w:tcW w:type="dxa" w:w="1440"/>
            <w:shd w:fill="C6EFCE" w:val="clear"/>
          </w:tcPr>
          <w:p>
            <w:r>
              <w:rPr>
                <w:sz w:val="17"/>
              </w:rPr>
              <w:t>4,573</w:t>
            </w:r>
          </w:p>
        </w:tc>
        <w:tc>
          <w:tcPr>
            <w:tcW w:type="dxa" w:w="1440"/>
            <w:shd w:fill="C6EFCE" w:val="clear"/>
          </w:tcPr>
          <w:p>
            <w:r>
              <w:rPr>
                <w:b/>
                <w:color w:val="008000"/>
                <w:sz w:val="17"/>
              </w:rPr>
              <w:t>+4.3%</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3,746</w:t>
            </w:r>
          </w:p>
        </w:tc>
        <w:tc>
          <w:tcPr>
            <w:tcW w:type="dxa" w:w="1440"/>
            <w:shd w:fill="C6EFCE" w:val="clear"/>
          </w:tcPr>
          <w:p>
            <w:r>
              <w:rPr>
                <w:b/>
                <w:sz w:val="17"/>
              </w:rPr>
              <w:t>4,170</w:t>
            </w:r>
          </w:p>
        </w:tc>
        <w:tc>
          <w:tcPr>
            <w:tcW w:type="dxa" w:w="1440"/>
            <w:shd w:fill="C6EFCE" w:val="clear"/>
          </w:tcPr>
          <w:p>
            <w:r>
              <w:rPr>
                <w:sz w:val="17"/>
              </w:rPr>
              <w:t>4,594</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3,744</w:t>
            </w:r>
          </w:p>
        </w:tc>
        <w:tc>
          <w:tcPr>
            <w:tcW w:type="dxa" w:w="1440"/>
            <w:shd w:fill="C6EFCE" w:val="clear"/>
          </w:tcPr>
          <w:p>
            <w:r>
              <w:rPr>
                <w:b/>
                <w:sz w:val="17"/>
              </w:rPr>
              <w:t>4,194</w:t>
            </w:r>
          </w:p>
        </w:tc>
        <w:tc>
          <w:tcPr>
            <w:tcW w:type="dxa" w:w="1440"/>
            <w:shd w:fill="C6EFCE" w:val="clear"/>
          </w:tcPr>
          <w:p>
            <w:r>
              <w:rPr>
                <w:sz w:val="17"/>
              </w:rPr>
              <w:t>4,643</w:t>
            </w:r>
          </w:p>
        </w:tc>
        <w:tc>
          <w:tcPr>
            <w:tcW w:type="dxa" w:w="1440"/>
            <w:shd w:fill="C6EFCE" w:val="clear"/>
          </w:tcPr>
          <w:p>
            <w:r>
              <w:rPr>
                <w:b/>
                <w:color w:val="008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 (Jeux &amp; Loteries)*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80,00 milliards FCFA, LNBB se positionne comme une valeur de taille intermédiaire sur le compartiment des sociétés non bancaires de la BRVM, ce qui lui confère une certaine liquidité relative mais reste modeste à l'échelle du marché régional. Le BPA de 231 FCFA/action signifie que chaque titre génère 231 FCFA de bénéfice net, ce qui, rapporté au cours actuel de 4 000 FCFA, donne un PER de 17,3x — nettement supérieur à la moyenne BRVM (8-12x), traduisant une valorisation tendue où l'investisseur paie une prime significative pour les bénéfices actuels. Le P/B de 3,64x confirme cette prime de croissance : le marché valorise l'entreprise à plus de 3,6 fois ses fonds propres comptables (21,95 Mds FCFA), ce qui n'est justifié que si la rentabilité future reste élevée (ROE de 21,05% en 2025 soutient partiellement cette prime). Enfin, l'EV/EBITDA de 10,1x, bien que dans la fourchette "élevée" (10-15x), reste cohérent avec la capacité opérationnelle dégagée (EBE de 7,16 Mds FCFA), mais laisse peu de marge de sécurité en cas de dégradation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LNBB affiche une variation totale positive de +2,56%, mais la dernière séance (J-1) enregistre un repli de -1,96%, signalant une pression vendeuse récente. Le cours actuel de 4 000 FCFA se situe dans la partie médiane de la fourchette de trading, entre un plus bas de 3 825 FCFA et un plus haut de 4 560 FCFA, soit un range de 735 FCFA (environ 19% d'amplitude). La tendance générale est donc stable à légèrement haussière sur la période, mais le titre semble avoir du mal à reconquérir ses sommets, évoluant actuellement sous sa moyenne (4 075 FCFA) et sa médiane (4 050 FCFA). Les statistiques descriptives révèlent une distribution quasi-normale (kurtosis de -0,834, mésokurtique) avec une asymétrie positive (skewness de 0,507), indiquant que les journées sous la moyenne sont plus fréquentes mais compensées par des pics haussiers occasionnels — un profil typique d'un titre en consolidation avec des sursauts. L'écart-type de 191 FCFA (CV de 4,7%) traduit une dispersion modérée du cours autour de sa moyenne, tandis que la volatilité annualisée de 38,1% classe LNBB dans la catégorie des titres à volatilité élevée (&gt;30%), ce qui implique un risque de fluctuation important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(4 022 FCFA) est légèrement supérieure au cours actuel (4 000 FCFA), tandis que la MM50 (4 164,6 FCFA) est nettement au-dessus, confirmant une configuration baissière de court terme où le prix évolue sous ses deux moyennes. La décision technique qui en résulte est "Vente", le croisement prix/MM20/MM50 signalant une pression baissière persistante.</w:t>
      </w:r>
    </w:p>
    <w:p>
      <w:pPr>
        <w:spacing w:after="120" w:line="276" w:lineRule="auto"/>
      </w:pPr>
      <w:r>
        <w:t>**Bandes de Bollinger** : Le cours (4 000 FCFA) se situe dans la partie basse de la bande, entre la borne inférieure (3 902,9 FCFA) et la borne supérieure (4 141,1 FCFA), sans franchissement des limites. La décision est "Neutre", les bandes relativement resserrées (largeur d'environ 238 FCFA) indiquant une volatilité contenue et une absence de signal directionnel fort.</w:t>
      </w:r>
    </w:p>
    <w:p>
      <w:pPr>
        <w:spacing w:after="120" w:line="276" w:lineRule="auto"/>
      </w:pPr>
      <w:r>
        <w:t>**MACD** : La valeur du MACD (-29,979) est supérieure à son signal (-42,543), générant un croisement haussier (MACD au-dessus du signal) bien que les deux restent en territoire négatif. La décision est "Achat", ce qui suggère un début de retournement de momentum, mais la faiblesse des valeurs absolues invite à la prudence.</w:t>
      </w:r>
    </w:p>
    <w:p>
      <w:pPr>
        <w:spacing w:after="120" w:line="276" w:lineRule="auto"/>
      </w:pPr>
      <w:r>
        <w:t>**RSI** : À 49,735, le RSI se situe parfaitement dans la zone neutre (30-70), sans signal de surachat ni de survente. La décision est "Neutre", le titre évoluant sans excès de conviction acheteuse ou vendeuse.</w:t>
      </w:r>
    </w:p>
    <w:p>
      <w:pPr>
        <w:spacing w:after="120" w:line="276" w:lineRule="auto"/>
      </w:pPr>
      <w:r>
        <w:t>**Stochastique** : Le %K (50,0) est nettement inférieur au %D (79,167), ce qui constitue un croisement baissier potentiel (le %K coupe le %D à la baisse), bien que le %K reste en zone médiane. La décision est "Neutre", mais la configuration suggère une perte de momentum haussier.</w:t>
      </w:r>
    </w:p>
    <w:p>
      <w:pPr>
        <w:spacing w:after="120" w:line="276" w:lineRule="auto"/>
      </w:pPr>
      <w:r>
        <w:t>**Conclusion technique** : Les indicateurs sont globalement mitigés, avec une majorité de signaux neutres (Bollinger, RSI, Stochastique) et une divergence entre les moyennes mobiles (baissières) et le MACD (haussier). Le titre évolue dans une zone de consolidation sans direction claire, la pression baissière des MM étant partiellement compensée par le croisement haussier du MACD. En l'absence de signal fort, la prudence reste de mise, avec une surveillance des niveaux de 3 900 FCFA (support) et 4 140 FCFA (résistance).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enregistré un chiffre d'affaires de 98,598 milliards FCFA, en baisse de -3,85% par rapport à 2024 (102,544 Mds FCFA), sous l'effet d'une concurrence illégale accrue et d'un recul des ventes physiques. Le résultat net s'établit à 4,622 milliards FCFA, en chute de -35,6% sur un an, principalement en raison de l'absence de produits exceptionnels (3,1 Mds FCFA en 2024) et de la pression sur les marges. Malgré cette dégradation, les fondamentaux opérationnels restent solides : la Valeur Ajoutée progresse de +22% à 10,548 Mds FCFA et l'EBE de +34% à 7,164 Mds FCFA, témoignant d'une excellente maîtrise des charges. Les ratios de rentabilité demeurent élevés (ROE de 21,05%, ROA de 14,17%), et la structure financière est très saine (autonomie financière de 67,32%, endettement de seulement 2,57%, trésorerie nette de 7,979 Mds FCFA). Le BFR est négatif (217,45 M FCFA), un signal favorable, et les délais clients (4,82 jours) et fournisseurs (20,41 jours) sont bien maîtrisés. Sur la base du rapport S1 2026 (publié le 30 juillet 2026), le chiffre d'affaires progresse de +4% à 49,937 Mds FCFA et le résultat net bondit de +60%, porté par la maîtrise des charges et les revenus de partenariats B2B, bien que le Produit Brut des Jeux recule de -9% en raison de la hausse des gains versés aux joueurs (+7%). Le rapport T1 2026 (publié le 7 mai 2026) confirme cette dynamique contrastée : CA en hausse de +6% à 25,521 Mds FCFA, mais résultat net en chute de -46% à 848 M FCFA, victime du mix produit défavorable (pari sportif à 95% de taux de retour). La recommandation fondamentale est de **CONSERVER** : la solidité financière et les perspectives de redressement (nouveaux produits, déploiement de 1 500 terminaux, partenariats) justifient le maintien, mais la visibilité sur la rentabilité future reste limitée par la pression sur les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apparaît tendue (PER de 17,3x contre une moyenne BRVM de 8-12x, P/B de 3,64x, EV/EBITDA de 10,1x), ce qui limite le potentiel de revalorisation à court terme et expose le titre à une correction en cas de déception sur les bénéfices. Le comportement du cours sur 100 jours est mitigé : variation positive de +2,56% mais repli de -1,96% en J-1, volatilité élevée (38,1%) et distribution asymétrique positive (skewness de 0,507) avec des pics haussiers occasionnels — un profil qui invite à la prudence. Les signaux techniques sont divergents : les moyennes mobiles sont baissières (décision "Vente"), le MACD est haussier (décision "Achat"), tandis que Bollinger, RSI et Stochastique sont neutres, créant une incertitude directionnelle. Les fondamentaux sont solides (ROE de 21,05%, autonomie financière de 67,32%, trésorerie nette de 7,979 Mds FCFA) mais la rentabilité opérationnelle est sous pression (marge nette de 4,69% en 2025, résultat net en baisse de -35,6%), même si le S1 2026 montre une amélioration (+60% de résultat net). Les prédictions IA (J+1 à J+10) anticipent une trajectoire haussière modérée vers 4 118-4 173 FCFA, ce qui contredit partiellement les signaux baissiers des moyennes mobiles mais s'aligne sur le croisement haussier du MACD. **Recommandation finale : CONSERVER**, avec un niveau de confiance **Moyen** et un risque global **Élevé**. La convergence entre la valorisation tendue, les signaux techniques mitigés et les fondamentaux en transition (amélioration de la rentabilité mais pression sur les marges) ne justifie ni un achat agressif ni une vente précipitée. L'horizon d'investissement optimal est le **moyen terme (3-12 mois)**, en attendant la confirmation de la stabilisation du Produit Brut des Jeux et la pérennité des revenus de partenariats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3,721 titres</w:t>
            </w:r>
          </w:p>
        </w:tc>
        <w:tc>
          <w:tcPr>
            <w:tcW w:type="dxa" w:w="2268"/>
            <w:shd w:fill="FFF2CC" w:val="clear"/>
          </w:tcPr>
          <w:p>
            <w:r>
              <w:rPr>
                <w:b/>
                <w:color w:val="503200"/>
                <w:sz w:val="16"/>
              </w:rPr>
              <w:t xml:space="preserve">Cours actuel : </w:t>
            </w:r>
            <w:r>
              <w:rPr>
                <w:color w:val="000000"/>
                <w:sz w:val="17"/>
              </w:rPr>
              <w:t>2,430 FCFA</w:t>
            </w:r>
          </w:p>
          <w:p>
            <w:r>
              <w:rPr>
                <w:b/>
                <w:color w:val="503200"/>
                <w:sz w:val="16"/>
              </w:rPr>
              <w:t xml:space="preserve">Var. 100 jours : </w:t>
            </w:r>
            <w:r>
              <w:rPr>
                <w:b/>
                <w:color w:val="007800"/>
                <w:sz w:val="17"/>
              </w:rPr>
              <w:t>+43.36%</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1,695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14.56% (Moyenne) — μ=2,255 FCFA, σ=328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β=0.1802 (Défensif) — Cov=0.000007, Var(idx)=0.000040, ρ=0.032,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2,273</w:t>
            </w:r>
          </w:p>
        </w:tc>
        <w:tc>
          <w:tcPr>
            <w:tcW w:type="dxa" w:w="1440"/>
            <w:shd w:fill="FAFAFA" w:val="clear"/>
          </w:tcPr>
          <w:p>
            <w:r>
              <w:rPr>
                <w:b/>
                <w:sz w:val="17"/>
              </w:rPr>
              <w:t>2,431</w:t>
            </w:r>
          </w:p>
        </w:tc>
        <w:tc>
          <w:tcPr>
            <w:tcW w:type="dxa" w:w="1440"/>
            <w:shd w:fill="FAFAFA" w:val="clear"/>
          </w:tcPr>
          <w:p>
            <w:r>
              <w:rPr>
                <w:sz w:val="17"/>
              </w:rPr>
              <w:t>2,590</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2,201</w:t>
            </w:r>
          </w:p>
        </w:tc>
        <w:tc>
          <w:tcPr>
            <w:tcW w:type="dxa" w:w="1440"/>
            <w:shd w:fill="FAFAFA" w:val="clear"/>
          </w:tcPr>
          <w:p>
            <w:r>
              <w:rPr>
                <w:b/>
                <w:sz w:val="17"/>
              </w:rPr>
              <w:t>2,425</w:t>
            </w:r>
          </w:p>
        </w:tc>
        <w:tc>
          <w:tcPr>
            <w:tcW w:type="dxa" w:w="1440"/>
            <w:shd w:fill="FAFAFA" w:val="clear"/>
          </w:tcPr>
          <w:p>
            <w:r>
              <w:rPr>
                <w:sz w:val="17"/>
              </w:rPr>
              <w:t>2,649</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2,146</w:t>
            </w:r>
          </w:p>
        </w:tc>
        <w:tc>
          <w:tcPr>
            <w:tcW w:type="dxa" w:w="1440"/>
            <w:shd w:fill="FAFAFA" w:val="clear"/>
          </w:tcPr>
          <w:p>
            <w:r>
              <w:rPr>
                <w:b/>
                <w:sz w:val="17"/>
              </w:rPr>
              <w:t>2,419</w:t>
            </w:r>
          </w:p>
        </w:tc>
        <w:tc>
          <w:tcPr>
            <w:tcW w:type="dxa" w:w="1440"/>
            <w:shd w:fill="FAFAFA" w:val="clear"/>
          </w:tcPr>
          <w:p>
            <w:r>
              <w:rPr>
                <w:sz w:val="17"/>
              </w:rPr>
              <w:t>2,693</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2,097</w:t>
            </w:r>
          </w:p>
        </w:tc>
        <w:tc>
          <w:tcPr>
            <w:tcW w:type="dxa" w:w="1440"/>
            <w:shd w:fill="FAFAFA" w:val="clear"/>
          </w:tcPr>
          <w:p>
            <w:r>
              <w:rPr>
                <w:b/>
                <w:sz w:val="17"/>
              </w:rPr>
              <w:t>2,411</w:t>
            </w:r>
          </w:p>
        </w:tc>
        <w:tc>
          <w:tcPr>
            <w:tcW w:type="dxa" w:w="1440"/>
            <w:shd w:fill="FAFAFA" w:val="clear"/>
          </w:tcPr>
          <w:p>
            <w:r>
              <w:rPr>
                <w:sz w:val="17"/>
              </w:rPr>
              <w:t>2,726</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2,051</w:t>
            </w:r>
          </w:p>
        </w:tc>
        <w:tc>
          <w:tcPr>
            <w:tcW w:type="dxa" w:w="1440"/>
            <w:shd w:fill="FAFAFA" w:val="clear"/>
          </w:tcPr>
          <w:p>
            <w:r>
              <w:rPr>
                <w:b/>
                <w:sz w:val="17"/>
              </w:rPr>
              <w:t>2,402</w:t>
            </w:r>
          </w:p>
        </w:tc>
        <w:tc>
          <w:tcPr>
            <w:tcW w:type="dxa" w:w="1440"/>
            <w:shd w:fill="FAFAFA" w:val="clear"/>
          </w:tcPr>
          <w:p>
            <w:r>
              <w:rPr>
                <w:sz w:val="17"/>
              </w:rPr>
              <w:t>2,752</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2,009</w:t>
            </w:r>
          </w:p>
        </w:tc>
        <w:tc>
          <w:tcPr>
            <w:tcW w:type="dxa" w:w="1440"/>
            <w:shd w:fill="FAFAFA" w:val="clear"/>
          </w:tcPr>
          <w:p>
            <w:r>
              <w:rPr>
                <w:b/>
                <w:sz w:val="17"/>
              </w:rPr>
              <w:t>2,392</w:t>
            </w:r>
          </w:p>
        </w:tc>
        <w:tc>
          <w:tcPr>
            <w:tcW w:type="dxa" w:w="1440"/>
            <w:shd w:fill="FAFAFA" w:val="clear"/>
          </w:tcPr>
          <w:p>
            <w:r>
              <w:rPr>
                <w:sz w:val="17"/>
              </w:rPr>
              <w:t>2,774</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1,970</w:t>
            </w:r>
          </w:p>
        </w:tc>
        <w:tc>
          <w:tcPr>
            <w:tcW w:type="dxa" w:w="1440"/>
            <w:shd w:fill="FAFAFA" w:val="clear"/>
          </w:tcPr>
          <w:p>
            <w:r>
              <w:rPr>
                <w:b/>
                <w:sz w:val="17"/>
              </w:rPr>
              <w:t>2,382</w:t>
            </w:r>
          </w:p>
        </w:tc>
        <w:tc>
          <w:tcPr>
            <w:tcW w:type="dxa" w:w="1440"/>
            <w:shd w:fill="FAFAFA" w:val="clear"/>
          </w:tcPr>
          <w:p>
            <w:r>
              <w:rPr>
                <w:sz w:val="17"/>
              </w:rPr>
              <w:t>2,793</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1,934</w:t>
            </w:r>
          </w:p>
        </w:tc>
        <w:tc>
          <w:tcPr>
            <w:tcW w:type="dxa" w:w="1440"/>
            <w:shd w:fill="FFDCE0" w:val="clear"/>
          </w:tcPr>
          <w:p>
            <w:r>
              <w:rPr>
                <w:b/>
                <w:sz w:val="17"/>
              </w:rPr>
              <w:t>2,372</w:t>
            </w:r>
          </w:p>
        </w:tc>
        <w:tc>
          <w:tcPr>
            <w:tcW w:type="dxa" w:w="1440"/>
            <w:shd w:fill="FFDCE0" w:val="clear"/>
          </w:tcPr>
          <w:p>
            <w:r>
              <w:rPr>
                <w:sz w:val="17"/>
              </w:rPr>
              <w:t>2,810</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1,900</w:t>
            </w:r>
          </w:p>
        </w:tc>
        <w:tc>
          <w:tcPr>
            <w:tcW w:type="dxa" w:w="1440"/>
            <w:shd w:fill="FFDCE0" w:val="clear"/>
          </w:tcPr>
          <w:p>
            <w:r>
              <w:rPr>
                <w:b/>
                <w:sz w:val="17"/>
              </w:rPr>
              <w:t>2,362</w:t>
            </w:r>
          </w:p>
        </w:tc>
        <w:tc>
          <w:tcPr>
            <w:tcW w:type="dxa" w:w="1440"/>
            <w:shd w:fill="FFDCE0" w:val="clear"/>
          </w:tcPr>
          <w:p>
            <w:r>
              <w:rPr>
                <w:sz w:val="17"/>
              </w:rPr>
              <w:t>2,825</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1,867</w:t>
            </w:r>
          </w:p>
        </w:tc>
        <w:tc>
          <w:tcPr>
            <w:tcW w:type="dxa" w:w="1440"/>
            <w:shd w:fill="FFDCE0" w:val="clear"/>
          </w:tcPr>
          <w:p>
            <w:r>
              <w:rPr>
                <w:b/>
                <w:sz w:val="17"/>
              </w:rPr>
              <w:t>2,353</w:t>
            </w:r>
          </w:p>
        </w:tc>
        <w:tc>
          <w:tcPr>
            <w:tcW w:type="dxa" w:w="1440"/>
            <w:shd w:fill="FFDCE0" w:val="clear"/>
          </w:tcPr>
          <w:p>
            <w:r>
              <w:rPr>
                <w:sz w:val="17"/>
              </w:rPr>
              <w:t>2,839</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 RAPPORT D'ANALYSE FINANCIÈRE — NEI-CEDA CI (NEIC)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**31,02 Mds FCFA**, NEIC se positionne comme une valeur de taille moyenne sur le compartiment actions de la BRVM, ce qui la rend vulnérable aux mouvements de faible volume (3 721 titres/jour en moyenne). Le **BPA de 160 FCFA/action** confère au titre un **PER de 15,2x**, soit une prime notable par rapport à la moyenne du marché BRVM (~8-12x), traduisant des attentes de croissance déjà intégrées dans le cours. Le **P/B de 5,39x** (largement supérieur à 4x) signale que le marché valorise l'entreprise à plus de cinq fois sa valeur comptable, une prime exigeante qui suppose une rentabilité des fonds propres durablement élevée. Enfin, l'**EV/EBITDA de 22,7x** (très au-dessus du seuil de 15x) indique que la valeur d'entreprise intègre une forte anticipation de croissance opérationnelle, ce qui laisse peu de marge d'erreur en cas de déception sur les résultats. Globalement, ces ratios dessinent une valorisation **exigeante mais non déraisonnable** au regard du ROE de 35,4%, à condition que la dynamique bénéficiaire se maintienne.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**performance remarquable de +43,36%**, portant le cours à **2 430 FCFA**, malgré un repli de **-2,41% lors de la dernière séance** qui marque une prise de bénéfices après le rallye. Le range de trading est particulièrement large, avec un **plus haut à 3 000 FCFA** et un **plus bas à 1 695 FCFA**, soit une amplitude de plus de 77% entre les extrêmes — signe d'une forte nervosité du marché sur cette valeur. La tendance générale est donc nettement **haussière**, mais le cours actuel se situe à mi-chemin du range, suggérant une phase de consolidation après le pic. Les statistiques descriptives révèlent une **moyenne et une médiane identiques à 2 255 FCFA**, indiquant une distribution globalement symétrique sur la période, tandis que le **mode à 1 990 FCFA** (nettement inférieur) montre que le prix a longtemps stagné avant l'accélération récente. L'**écart-type de 330 FCFA (CV = 14,6%)** traduit une dispersion modérée autour de la moyenne, et le **kurtosis de 0,004 (mésokurtique)** indique une distribution proche de la normale, sans risque de pics extrêmes marqués. Le **skewness positif de 0,715** révèle toutefois une asymétrie à droite : davantage de journées se sont situées sous la moyenne, avec quelques fortes hausses tirant le cours vers le haut. Enfin, la **volatilité annualisée de 55,8%** classe NEIC dans la catégorie des titres à **volatilité élevée (&gt;30%)**,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(2 790,25 FCFA) et la MM50 (2 457,60 FCFA) se situent toutes deux **au-dessus du cours actuel** (2 430 FCFA), ce qui traduit une pression baissière de court terme et un essoufflement du momentum haussier. Cependant, la MM50 reste supérieure à la MM20, configuration qui, couplée à la décision "Achat" fournie, suggère que la tendance de fond demeure positive malgré la correction actuelle.</w:t>
      </w:r>
    </w:p>
    <w:p>
      <w:pPr>
        <w:spacing w:after="120" w:line="276" w:lineRule="auto"/>
      </w:pPr>
      <w:r>
        <w:t>**Bandes de Bollinger** : Le cours (2 430 FCFA) évolue **très près de la borne inférieure** (2 404,27 FCFA) et loin de la borne supérieure (3 176,23 FCFA), signalant une pression vendeuse récente mais aussi un potentiel de rebond technique depuis la zone basse. La décision "Neutre" reflète cette position ambiguë : le titre n'est ni en survente extrême ni en surachat, mais la proximité de la borne basse limite le risque de baisse supplémentaire.</w:t>
      </w:r>
    </w:p>
    <w:p>
      <w:pPr>
        <w:spacing w:after="120" w:line="276" w:lineRule="auto"/>
      </w:pPr>
      <w:r>
        <w:t>**MACD** : La valeur du MACD (28,197) est **très inférieure à son signal** (95,943), générant une divergence baissière marquée qui confirme la perte de momentum haussier. La décision "Vente" de cet indicateur contraste avec les signaux d'achat des autres oscillateurs, ce qui plaide pour une **phase de consolidation voire de correction** à court terme.</w:t>
      </w:r>
    </w:p>
    <w:p>
      <w:pPr>
        <w:spacing w:after="120" w:line="276" w:lineRule="auto"/>
      </w:pPr>
      <w:r>
        <w:t>**RSI** : À **25,22**, le RSI se situe nettement **en zone de survente** (seuil &lt;30), ce qui constitue un signal d'achat technique classique : le titre a été excessivement vendu et pourrait rebondir. La décision "Achat" est cohérente avec cette lecture contrarienne, mais la faiblesse du RSI peut aussi annoncer une poursuite de la baisse si la pression vendeuse persiste.</w:t>
      </w:r>
    </w:p>
    <w:p>
      <w:pPr>
        <w:spacing w:after="120" w:line="276" w:lineRule="auto"/>
      </w:pPr>
      <w:r>
        <w:t>**Stochastique** : Les valeurs **%K = 0,0 et %D = 0,0** placent l'indicateur au plus bas absolu, en **survente extrême**, ce qui génère un signal d'achat puissant. Un tel niveau est rarement durable et précède souvent un rebond technique, bien qu'il faille attendre un croisement haussier de %K au-dessus de %D pour confirmer le retournement.</w:t>
      </w:r>
    </w:p>
    <w:p>
      <w:pPr>
        <w:spacing w:after="120" w:line="276" w:lineRule="auto"/>
      </w:pPr>
      <w:r>
        <w:t>**Conclusion technique** : Les indicateurs sont **divergents** : les oscillateurs (RSI, Stochastique) clignotent en survente et plaident pour un rebond imminent, tandis que le MACD et la position sous les moyennes mobiles confirment une pression baissière persistante. Cette configuration suggère que le titre se trouve dans une **zone de support critique** (autour de 2 400-2 430 FCFA) où un rebond technique est probable, mais la confirmation d'un retournement nécessitera un franchissement de la MM20 (2 790 FCFA). Prudence donc : le potentiel de rebond existe, mais le risque de cassure baissière n'est pas écarté.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NEI-CEDA a réalisé un **chiffre d'affaires de 5,139 Mds FCFA** pour un **résultat net de 2,037 Mds FCFA**, soit une **marge nette exceptionnelle de 39,63%**. Le **ROE s'établit à 35,39%** (largement supérieur au seuil de 15% considéré comme excellent) et le **ROA à 27,25%**, témoignant d'une rentabilité remarquable des fonds propres et des actifs. La structure financière est très saine avec une **autonomie financière de 77,01%** (capitaux propres/total bilan), une **liquidité générale de 448,86%** et une **trésorerie nette de 4,196 Mds FCFA**. Cependant, deux points d'attention majeurs émergent : d'une part, le **taux de croissance du CA est négatif (-23,80%)**, signalant un recul de l'activité commerciale ; d'autre part, le **BFR de 1,498 Md FCFA** et le **délai clients élevé de 154,72 jours** traduisent un risque de trésorerie lié aux créances clients, bien que le fonds de roulement (5,693 Mds FCFA) couvre largement ce besoin. Le **flux opérationnel négatif (-527,07 M FCFA)** et le **Free Cash Flow négatif (-565,91 M FCFA)** constituent un signal d'alerte sur la génération de trésorerie opérationnelle, malgré une trésorerie nette positive.</w:t>
      </w:r>
    </w:p>
    <w:p>
      <w:pPr>
        <w:spacing w:after="120" w:line="276" w:lineRule="auto"/>
      </w:pPr>
      <w:r>
        <w:t>**Analyse sectorielle (ENTREPRISE)** : Le délai fournisseurs de 69,56 jours est inférieur au délai clients (154,72 jours), ce qui crée un **déséquilibre de trésorerie structurel** : l'entreprise paie ses fournisseurs plus vite qu'elle n'encaisse ses clients. La durée de stockage de 54,49 jours reste maîtrisée. La rotation des actifs (68,77%) indique une utilisation modérément efficace du bilan.</w:t>
      </w:r>
    </w:p>
    <w:p>
      <w:pPr>
        <w:spacing w:after="120" w:line="276" w:lineRule="auto"/>
      </w:pPr>
      <w:r>
        <w:t>**Estimations basées sur les rapports trimestriels** : Le **rapport T3 2025 (30/09/2025)** révèle un CA de 3 406 M FCFA en **baisse de 35%** sur un an, mais un résultat net de 1 596 M FCFA en **hausse de 125%**, dopé par une **reprise de provision pour redressement fiscal** (élément non récurrent). Le **rapport T1 2026 (publié en 2026)** montre une **croissance spectaculaire du CA de +137% à 115,1 M FCFA**, mais une **perte nette persistante de -168,9 M FCFA** (en amélioration de 11% sur un an), avec un résultat d'exploitation toujours négatif (-271,5 M FCFA). On estime donc que l'exercice 2026 devrait bénéficier d'une **dynamique commerciale nettement plus favorable** qu'en 2025, mais la **rentabilité opérationnelle reste fragile** et dépendante d'éléments financiers (résultat financier positif de 41,7 M FCFA au T1 2026). Le rapport annuel 2025 (publié en 2025) confirme un **résultat net de 2,04 Mds FCFA (+169%)** et un **dividende généreux de 2,04 Mds FCFA (100% du résultat net)**, mais cette politique de distribution intégrale limite la capacité d'autofinancement future.</w:t>
      </w:r>
    </w:p>
    <w:p>
      <w:pPr>
        <w:spacing w:after="120" w:line="276" w:lineRule="auto"/>
      </w:pPr>
      <w:r>
        <w:t>**Recommandation fondamentale** : La société présente une **rentabilité exceptionnelle en 2025** (ROE 35,4%, marge nette 39,6%) et une **structure financière très solide** (autonomie 77%, trésorerie 4,2 Mds), mais ces performances sont **partiellement artificielles** (reprise de provision non récurrente) et masquent un **recul du chiffre d'affaires (-23,8%)** et des **flux opérationnels négatifs**. Les perspectives 2026 sont encourageantes sur le plan commercial (+137% au T1), mais la **rentabilité opérationnelle demeure négative**, ce qui rend la durabilité de la performance incertaine. Le principal risque réside dans la **dépendance à des éléments non récurrents** et la **faiblesse de la génération de trésorerie opérationnelle**.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PER de 15,2x (prime sur le marché), P/B de 5,39x et EV/EBITDA de 22,7x intègrent déjà une forte croissance, ce qui limite le potentiel de réévaluation à court terme. Le **comportement du cours (Partie 1)** est **haussier sur 100 jours (+43,36%)** mais montre des signes d'essoufflement (repli J-1 de -2,41%, skewness positif, volatilité élevée de 55,8%), avec un cours qui se situe à mi-range et pourrait consolider. Les **signaux techniques (Partie 2)** sont **divergents** : les oscillateurs (RSI 25,2 et Stochastique 0,0) plaident pour un rebond technique depuis la zone de survente, mais le MACD baissier et la position sous les moyennes mobiles confirment une pression vendeuse persistante — la convergence n'est donc pas au rendez-vous. Les **fondamentaux (Partie 3)** révèlent une **rentabilité exceptionnelle en 2025** (ROE 35,4%, marge nette 39,6%) mais **fragilisée par des éléments non récurrents** et un **recul du CA (-23,8%)**, avec des perspectives 2026 mitigées (croissance du CA mais pertes opérationnelles persistantes). Les **prédictions IA (J+1 à J+10)** anticipent une **légère baisse** de 2 431 FCFA à 2 402 FCFA, confirmant la tendance baissière de court terme et la phase de consolidation. **Synthèse globale** : le titre présente un **profil risque/rendement défavorable à court terme** — la valorisation est exigeante, les signaux techniques sont mitigés (survente mais momentum négatif), et les fondamentaux, bien que solides en apparence, reposent sur des éléments non récurrents. **Recommandation finale : CONSERVER** (avec vigilance), justifiée par la convergence entre une valorisation tendue, des signaux techniques divergents et des fondamentaux dont la qualité est discutable. Le **niveau de confiance est Moyen** (les oscillateurs en survente pourraient générer un rebond technique, mais le contexte fondamental ne soutient pas une hausse durable) et le **risque global est Élevé** (volatilité de 55,8%, flux opérationnels négatifs, dépendance à des éléments exceptionnels). L'**horizon d'investissement optimal est moyen terme (3-12 mois)**, le temps que la société confirme la durabilité de son redressement opérationnel et que la dynamique commerciale du T1 2026 (+137%) se traduise par une rentabilité récurrente. Les investisseurs déjà positionnés peuvent conserver en surveillant les prochains trimestres, tandis que les nouveaux entrants devraient attendre une confirmation technique (franchissement de la MM20 à 2 790 FCFA) et fondamentale (retour à une rentabilité opérationnelle positive)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581.26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2,509 titres</w:t>
            </w:r>
          </w:p>
        </w:tc>
        <w:tc>
          <w:tcPr>
            <w:tcW w:type="dxa" w:w="2268"/>
            <w:shd w:fill="FFF2CC" w:val="clear"/>
          </w:tcPr>
          <w:p>
            <w:r>
              <w:rPr>
                <w:b/>
                <w:color w:val="503200"/>
                <w:sz w:val="16"/>
              </w:rPr>
              <w:t xml:space="preserve">Cours actuel : </w:t>
            </w:r>
            <w:r>
              <w:rPr>
                <w:color w:val="000000"/>
                <w:sz w:val="17"/>
              </w:rPr>
              <w:t>23,500 FCFA</w:t>
            </w:r>
          </w:p>
          <w:p>
            <w:r>
              <w:rPr>
                <w:b/>
                <w:color w:val="503200"/>
                <w:sz w:val="16"/>
              </w:rPr>
              <w:t xml:space="preserve">Var. 100 jours : </w:t>
            </w:r>
            <w:r>
              <w:rPr>
                <w:b/>
                <w:color w:val="007800"/>
                <w:sz w:val="17"/>
              </w:rPr>
              <w:t>+69.19%</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15.94% (Élevée) — μ=20,527 FCFA, σ=3,272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β=1.3378 (Agressif) — Cov=0.000054, Var(idx)=0.000040, ρ=0.334,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23,058</w:t>
            </w:r>
          </w:p>
        </w:tc>
        <w:tc>
          <w:tcPr>
            <w:tcW w:type="dxa" w:w="1440"/>
            <w:shd w:fill="FAFAFA" w:val="clear"/>
          </w:tcPr>
          <w:p>
            <w:r>
              <w:rPr>
                <w:b/>
                <w:sz w:val="17"/>
              </w:rPr>
              <w:t>23,768</w:t>
            </w:r>
          </w:p>
        </w:tc>
        <w:tc>
          <w:tcPr>
            <w:tcW w:type="dxa" w:w="1440"/>
            <w:shd w:fill="FAFAFA" w:val="clear"/>
          </w:tcPr>
          <w:p>
            <w:r>
              <w:rPr>
                <w:sz w:val="17"/>
              </w:rPr>
              <w:t>24,477</w:t>
            </w:r>
          </w:p>
        </w:tc>
        <w:tc>
          <w:tcPr>
            <w:tcW w:type="dxa" w:w="1440"/>
            <w:shd w:fill="FAFAFA" w:val="clear"/>
          </w:tcPr>
          <w:p>
            <w:r>
              <w:rPr>
                <w:b/>
                <w:color w:val="008000"/>
                <w:sz w:val="17"/>
              </w:rPr>
              <w:t>+1.1%</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22,801</w:t>
            </w:r>
          </w:p>
        </w:tc>
        <w:tc>
          <w:tcPr>
            <w:tcW w:type="dxa" w:w="1440"/>
            <w:shd w:fill="FAFAFA" w:val="clear"/>
          </w:tcPr>
          <w:p>
            <w:r>
              <w:rPr>
                <w:b/>
                <w:sz w:val="17"/>
              </w:rPr>
              <w:t>23,806</w:t>
            </w:r>
          </w:p>
        </w:tc>
        <w:tc>
          <w:tcPr>
            <w:tcW w:type="dxa" w:w="1440"/>
            <w:shd w:fill="FAFAFA" w:val="clear"/>
          </w:tcPr>
          <w:p>
            <w:r>
              <w:rPr>
                <w:sz w:val="17"/>
              </w:rPr>
              <w:t>24,811</w:t>
            </w:r>
          </w:p>
        </w:tc>
        <w:tc>
          <w:tcPr>
            <w:tcW w:type="dxa" w:w="1440"/>
            <w:shd w:fill="FAFAFA" w:val="clear"/>
          </w:tcPr>
          <w:p>
            <w:r>
              <w:rPr>
                <w:b/>
                <w:color w:val="008000"/>
                <w:sz w:val="17"/>
              </w:rPr>
              <w:t>+1.3%</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22,602</w:t>
            </w:r>
          </w:p>
        </w:tc>
        <w:tc>
          <w:tcPr>
            <w:tcW w:type="dxa" w:w="1440"/>
            <w:shd w:fill="FAFAFA" w:val="clear"/>
          </w:tcPr>
          <w:p>
            <w:r>
              <w:rPr>
                <w:b/>
                <w:sz w:val="17"/>
              </w:rPr>
              <w:t>23,835</w:t>
            </w:r>
          </w:p>
        </w:tc>
        <w:tc>
          <w:tcPr>
            <w:tcW w:type="dxa" w:w="1440"/>
            <w:shd w:fill="FAFAFA" w:val="clear"/>
          </w:tcPr>
          <w:p>
            <w:r>
              <w:rPr>
                <w:sz w:val="17"/>
              </w:rPr>
              <w:t>25,067</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22,420</w:t>
            </w:r>
          </w:p>
        </w:tc>
        <w:tc>
          <w:tcPr>
            <w:tcW w:type="dxa" w:w="1440"/>
            <w:shd w:fill="FAFAFA" w:val="clear"/>
          </w:tcPr>
          <w:p>
            <w:r>
              <w:rPr>
                <w:b/>
                <w:sz w:val="17"/>
              </w:rPr>
              <w:t>23,843</w:t>
            </w:r>
          </w:p>
        </w:tc>
        <w:tc>
          <w:tcPr>
            <w:tcW w:type="dxa" w:w="1440"/>
            <w:shd w:fill="FAFAFA" w:val="clear"/>
          </w:tcPr>
          <w:p>
            <w:r>
              <w:rPr>
                <w:sz w:val="17"/>
              </w:rPr>
              <w:t>25,266</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22,256</w:t>
            </w:r>
          </w:p>
        </w:tc>
        <w:tc>
          <w:tcPr>
            <w:tcW w:type="dxa" w:w="1440"/>
            <w:shd w:fill="FAFAFA" w:val="clear"/>
          </w:tcPr>
          <w:p>
            <w:r>
              <w:rPr>
                <w:b/>
                <w:sz w:val="17"/>
              </w:rPr>
              <w:t>23,848</w:t>
            </w:r>
          </w:p>
        </w:tc>
        <w:tc>
          <w:tcPr>
            <w:tcW w:type="dxa" w:w="1440"/>
            <w:shd w:fill="FAFAFA" w:val="clear"/>
          </w:tcPr>
          <w:p>
            <w:r>
              <w:rPr>
                <w:sz w:val="17"/>
              </w:rPr>
              <w:t>25,439</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22,107</w:t>
            </w:r>
          </w:p>
        </w:tc>
        <w:tc>
          <w:tcPr>
            <w:tcW w:type="dxa" w:w="1440"/>
            <w:shd w:fill="FAFAFA" w:val="clear"/>
          </w:tcPr>
          <w:p>
            <w:r>
              <w:rPr>
                <w:b/>
                <w:sz w:val="17"/>
              </w:rPr>
              <w:t>23,850</w:t>
            </w:r>
          </w:p>
        </w:tc>
        <w:tc>
          <w:tcPr>
            <w:tcW w:type="dxa" w:w="1440"/>
            <w:shd w:fill="FAFAFA" w:val="clear"/>
          </w:tcPr>
          <w:p>
            <w:r>
              <w:rPr>
                <w:sz w:val="17"/>
              </w:rPr>
              <w:t>25,594</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21,968</w:t>
            </w:r>
          </w:p>
        </w:tc>
        <w:tc>
          <w:tcPr>
            <w:tcW w:type="dxa" w:w="1440"/>
            <w:shd w:fill="FAFAFA" w:val="clear"/>
          </w:tcPr>
          <w:p>
            <w:r>
              <w:rPr>
                <w:b/>
                <w:sz w:val="17"/>
              </w:rPr>
              <w:t>23,852</w:t>
            </w:r>
          </w:p>
        </w:tc>
        <w:tc>
          <w:tcPr>
            <w:tcW w:type="dxa" w:w="1440"/>
            <w:shd w:fill="FAFAFA" w:val="clear"/>
          </w:tcPr>
          <w:p>
            <w:r>
              <w:rPr>
                <w:sz w:val="17"/>
              </w:rPr>
              <w:t>25,735</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21,838</w:t>
            </w:r>
          </w:p>
        </w:tc>
        <w:tc>
          <w:tcPr>
            <w:tcW w:type="dxa" w:w="1440"/>
            <w:shd w:fill="FAFAFA" w:val="clear"/>
          </w:tcPr>
          <w:p>
            <w:r>
              <w:rPr>
                <w:b/>
                <w:sz w:val="17"/>
              </w:rPr>
              <w:t>23,852</w:t>
            </w:r>
          </w:p>
        </w:tc>
        <w:tc>
          <w:tcPr>
            <w:tcW w:type="dxa" w:w="1440"/>
            <w:shd w:fill="FAFAFA" w:val="clear"/>
          </w:tcPr>
          <w:p>
            <w:r>
              <w:rPr>
                <w:sz w:val="17"/>
              </w:rPr>
              <w:t>25,865</w:t>
            </w:r>
          </w:p>
        </w:tc>
        <w:tc>
          <w:tcPr>
            <w:tcW w:type="dxa" w:w="1440"/>
            <w:shd w:fill="FAFAFA" w:val="clear"/>
          </w:tcPr>
          <w:p>
            <w:r>
              <w:rPr>
                <w:b/>
                <w:color w:val="008000"/>
                <w:sz w:val="17"/>
              </w:rPr>
              <w:t>+1.5%</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21,716</w:t>
            </w:r>
          </w:p>
        </w:tc>
        <w:tc>
          <w:tcPr>
            <w:tcW w:type="dxa" w:w="1440"/>
            <w:shd w:fill="FAFAFA" w:val="clear"/>
          </w:tcPr>
          <w:p>
            <w:r>
              <w:rPr>
                <w:b/>
                <w:sz w:val="17"/>
              </w:rPr>
              <w:t>23,851</w:t>
            </w:r>
          </w:p>
        </w:tc>
        <w:tc>
          <w:tcPr>
            <w:tcW w:type="dxa" w:w="1440"/>
            <w:shd w:fill="FAFAFA" w:val="clear"/>
          </w:tcPr>
          <w:p>
            <w:r>
              <w:rPr>
                <w:sz w:val="17"/>
              </w:rPr>
              <w:t>25,987</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21,600</w:t>
            </w:r>
          </w:p>
        </w:tc>
        <w:tc>
          <w:tcPr>
            <w:tcW w:type="dxa" w:w="1440"/>
            <w:shd w:fill="FAFAFA" w:val="clear"/>
          </w:tcPr>
          <w:p>
            <w:r>
              <w:rPr>
                <w:b/>
                <w:sz w:val="17"/>
              </w:rPr>
              <w:t>23,851</w:t>
            </w:r>
          </w:p>
        </w:tc>
        <w:tc>
          <w:tcPr>
            <w:tcW w:type="dxa" w:w="1440"/>
            <w:shd w:fill="FAFAFA" w:val="clear"/>
          </w:tcPr>
          <w:p>
            <w:r>
              <w:rPr>
                <w:sz w:val="17"/>
              </w:rPr>
              <w:t>26,102</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581,26 milliards FCFA, NSBC s'impose comme l'une des valeurs bancaires les plus importantes de la cote BRVM, ce qui témoigne de sa liquidité relative et de son poids dans l'indice sectoriel. Le BPA de 1 646 FCFA signifie que chaque action génère près de 1 646 FCFA de bénéfice net, un niveau élevé qui traduit la forte rentabilité de la banque. Le PER de 14,3x situe le titre légèrement au-dessus de la moyenne du marché BRVM (généralement comprise entre 8 et 12x), ce qui indique que les investisseurs acceptent de payer une prime modérée pour la qualité de la croissance, sans que cela constitue une surévaluation excessive. Le P/B de 2,49x montre que le marché valorise la banque à environ 2,5 fois sa valeur comptable, une prime de croissance justifiée par un ROE de 17,45% nettement supérieur au coût des fonds propres. En revanche, l'EV/EBITDA de 21,7x apparaît très exigeant (seuil d'alerte &gt;15x), ce qui suggère que la valeur d'entreprise intègre déjà une part importante des anticipations de croissance future et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+69,19%, passant d'un plus bas de 13 810 FCFA à un plus haut de 24 885 FCFA, pour un cours actuel de 23 500 FCFA. Cette performance exceptionnelle s'inscrit dans une tendance nettement haussière, portée par la publication de résultats semestriels et trimestriels solides. Toutefois, la dernière séance affiche un repli de -4,08%, signalant une prise de bénéfices après le rallye, ce qui est cohérent avec la position du cours (23 500 FCFA) légèrement sous le plus haut récent. Les statistiques descriptives révèlent une moyenne de 20 527 FCFA contre une médiane de 21 478 FCFA : l'écart entre ces deux mesures, avec une moyenne inférieure à la médiane, confirme une asymétrie négative (skewness de -0,716), c'est-à-dire que le cours a passé plus de journées au-dessus de sa moyenne, mais avec quelques journées de forte baisse qui tirent la moyenne vers le bas. L'écart-type de 3 288 FCFA et le coefficient de variation de 16,0% indiquent une dispersion modérée du cours autour de sa moyenne, ce qui reste raisonnable pour un titre ayant connu une telle appréciation. Le kurtosis de -0,556 (mésokurtique) suggère une distribution proche de la normale, sans risque excessif de pics extrêmes, ce qui est rassurant pour la stabilité du titre. Enfin, la volatilité annualisée de 40,3% classe NSBC dans la catégorie des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(23 677 FCFA) et la MM50 (23 254 FCFA) se situent toutes deux sous le cours actuel (23 500 FCFA), avec la MM20 au-dessus de la MM50, configurant un croisement haussier classique. Cette configuration confirme la dynamique positive de court et moyen terme, justifiant la décision d'achat.</w:t>
      </w:r>
    </w:p>
    <w:p>
      <w:pPr>
        <w:spacing w:after="120" w:line="276" w:lineRule="auto"/>
      </w:pPr>
      <w:r>
        <w:t>**Bandes de Bollinger** : Le cours (23 500 FCFA) évolue entre la borne inférieure (22 018,93 FCFA) et la borne supérieure (25 335,07 FCFA), plus proche de la borne supérieure, ce qui traduit une volatilité modérée et une pression acheteuse persistante. La décision neutre reflète l'absence de signal extrême, le cours n'étant ni en surachat ni en survente.</w:t>
      </w:r>
    </w:p>
    <w:p>
      <w:pPr>
        <w:spacing w:after="120" w:line="276" w:lineRule="auto"/>
      </w:pPr>
      <w:r>
        <w:t>**MACD** : La valeur du MACD (372,128) est légèrement inférieure à son signal (399,021), générant une divergence baissière qui indique un essoufflement du momentum haussier. Cette configuration justifie la décision de vente à court terme, bien que la tendance de fond reste positive.</w:t>
      </w:r>
    </w:p>
    <w:p>
      <w:pPr>
        <w:spacing w:after="120" w:line="276" w:lineRule="auto"/>
      </w:pPr>
      <w:r>
        <w:t>**RSI** : À 55,241, le RSI se situe dans la zone neutre (30-70), sans signal de surachat (&gt;70) ni de survente (&lt;30). Cette position médiane confirme l'absence de pression directionnelle forte et justifie la décision neutre.</w:t>
      </w:r>
    </w:p>
    <w:p>
      <w:pPr>
        <w:spacing w:after="120" w:line="276" w:lineRule="auto"/>
      </w:pPr>
      <w:r>
        <w:t>**Stochastique** : Le %K (28,238) est nettement inférieur au %D (62,867), avec un croisement baissier en zone basse, ce qui suggère une possible reprise haussière à court terme si le %K remonte vers le %D. La décision neutre reflète cette incertitude.</w:t>
      </w:r>
    </w:p>
    <w:p>
      <w:pPr>
        <w:spacing w:after="120" w:line="276" w:lineRule="auto"/>
      </w:pPr>
      <w:r>
        <w:t>**Conclusion technique** : Les indicateurs techniques présentent un tableau mitigé. Les moyennes mobiles confirment la tendance haussière de fond, mais le MACD et le stochastique signalent un essoufflement du momentum à court terme. Le RSI et les bandes de Bollinger restent neutres, sans signal extrême. Cette divergence entre tendance de fond (haussière) et momentum (baissier) suggère une phase de consolidation probable avant une nouvelle impulsion, ce qui est cohérent avec la prise de bénéfices observée lors de la dernière séance.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NSIA Banque Côte d'Ivoire a réalisé un Produit Net Bancaire (PNB) de 112,928 milliards FCFA, en croissance de 15,45% par rapport à 2024, porté par une marge d'intérêts en hausse de 26% (79,8 milliards FCFA). Le résultat net s'établit à 40,712 milliards FCFA, en progression de 7% sur un an, avec une marge nette élevée de 36,05% et un ROE de 17,45%, nettement supérieur au seuil d'excellence de 15%. Le ROA de 1,32% reste conforme aux standards bancaires. Le coefficient d'exploitation de 54,59% (contre 59,7% en 2024) confirme une amélioration de l'efficacité opérationnelle, la banque se situant sous le seuil de 60% qui distingue les établissements efficaces. Le coût du risque, mesuré à 7,54% des charges financières, reste élevé et traduit une dégradation du portefeuille de crédits, avec des provisions de -8,51 milliards FCFA en 2025 contre une reprise de +0,6 milliard en 2024. Le ratio dépôts/crédits s'établit à 123,3% (2 242,2 milliards de dépôts pour 1 818,7 milliards de crédits), ce qui indique une surliquidité confortable et une capacité de transformation maîtrisée. Les capitaux propres de 233,3 milliards FCFA et l'autonomie financière de 7,59% (ratio capitaux propres/total bilan) restent faibles en apparence, mais sont conformes aux normes bancaires où l'effet de levier est structurel.</w:t>
      </w:r>
    </w:p>
    <w:p>
      <w:pPr>
        <w:spacing w:after="120" w:line="276" w:lineRule="auto"/>
      </w:pPr>
      <w:r>
        <w:t>**Estimations basées sur les rapports trimestriels** : Le rapport du T1 2026 (publié le 31/03/2026) révèle un PNB de 28,615 milliards FCFA (+28% sur un an) et un résultat net de 10,912 milliards FCFA (+53%), avec une marge nette de 38,1% et un résultat avant impôt de 11,83 milliards FCFA (+49%). Cette accélération spectaculaire, tirée par l'activité titres et la maîtrise du coût du risque, suggère que l'exercice 2026 devrait dépasser les performances de 2025. Sur la base de ce rythme, on peut estimer un PNB annuel 2026 autour de 125-130 milliards FCFA et un résultat net de 45-48 milliards FCFA, soit une croissance de 10-18% par rapport à 2025. Le rapport du T3 2025 (30/09/2025) confirmait déjà cette dynamique avec un PNB de 77,4 milliards FCFA (+7%) et un résultat net de 25,0 milliards FCFA (+6%), tandis que le rapport du S1 2025 (30/06/2025) affichait un PNB de 50,5 milliards FCFA (+10,6%) et un résultat net de 16,3 milliards FCFA (+12,3%). L'évolution trimestrielle montre une accélération progressive de la croissance, avec un T1 2026 exceptionnel qui valide la solidité du modèle.</w:t>
      </w:r>
    </w:p>
    <w:p>
      <w:pPr>
        <w:spacing w:after="120" w:line="276" w:lineRule="auto"/>
      </w:pPr>
      <w:r>
        <w:t>**Recommandation fondamentale** : NSBC présente des fondamentaux solides, avec une croissance soutenue du PNB et du résultat net, une efficacité opérationnelle en amélioration et une surliquidité confortable. Les principaux risques identifiés sont la dégradation du coût du risque (provisions en forte hausse en 2025) et la concentration de la performance sur l'activité titres, potentiellement volatile. La recommandation fondamentale est **CONSERVER**, avec une surveillance accrue de la qualité du portefeuille de crédits et de l'évolution du coût du risque au cours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 PER de 14,3x et le P/B de 2,49x indiquent une valorisation modérée à légèrement élevée, tandis que l'EV/EBITDA de 21,7x signale une prime de croissance déjà bien intégrée, laissant peu de marge d'erreur. Le **comportement du cours (Partie 1)** est nettement haussier (+69,19% sur 100 jours), mais la volatilité élevée (40,3%) et la skewness négative (-0,716) suggèrent une asymétrie défavorable avec un risque de correction après le rallye. Les **signaux techniques (Partie 2)** sont mitigés : les moyennes mobiles confirment la tendance haussière, mais le MACD et le stochastique signalent un essoufflement du momentum à court terme, tandis que le RSI et les bandes de Bollinger restent neutres. Les **fondamentaux (Partie 3)** sont solides, avec un PNB de 112,9 milliards FCFA en 2025 (+15,45%), un résultat net de 40,7 milliards FCFA (+7%), un ROE de 17,45% et un coefficient d'exploitation de 54,59%, mais le coût du risque élevé (7,54%) et la concentration sur l'activité titres constituent des points de vigilance. Les **prédictions IA (J+1 à J+10)** anticipent une légère hausse du cours, de 23 768 FCFA à 23 848 FCFA, ce qui confirme la tendance haussière de fond mais avec une progression modérée, cohérente avec la phase de consolidation technique. Sur la base de cette synthèse, la recommandation finale est **CONSERVER**, avec un niveau de confiance **Moyen** et un risque global **Élevé** en raison de la volatilité du titre et de la dégradation du coût du risque. L'horizon d'investissement optimal est **moyen terme (3-12 mois)**, le temps que la banque confirme la maîtrise de son coût du risque et que la valorisation intègre pleinement les performances exceptionnelles du T1 2026. Les investisseurs déjà positionnés peuvent conserver leurs titres en surveillant les prochains résultats trimestriels, tandis que les nouveaux entrants devraient attendre une correction ou une confirmation de la tendance avant d'investir.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348.71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1,227 titres</w:t>
            </w:r>
          </w:p>
        </w:tc>
        <w:tc>
          <w:tcPr>
            <w:tcW w:type="dxa" w:w="2268"/>
            <w:shd w:fill="FFF2CC" w:val="clear"/>
          </w:tcPr>
          <w:p>
            <w:r>
              <w:rPr>
                <w:b/>
                <w:color w:val="503200"/>
                <w:sz w:val="16"/>
              </w:rPr>
              <w:t xml:space="preserve">Cours actuel : </w:t>
            </w:r>
            <w:r>
              <w:rPr>
                <w:color w:val="000000"/>
                <w:sz w:val="17"/>
              </w:rPr>
              <w:t>15,800 FCFA</w:t>
            </w:r>
          </w:p>
          <w:p>
            <w:r>
              <w:rPr>
                <w:b/>
                <w:color w:val="503200"/>
                <w:sz w:val="16"/>
              </w:rPr>
              <w:t xml:space="preserve">Var. 100 jours : </w:t>
            </w:r>
            <w:r>
              <w:rPr>
                <w:b/>
                <w:color w:val="007800"/>
                <w:sz w:val="17"/>
              </w:rPr>
              <w:t>+27.68%</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12.50% (Moyenne) — μ=15,177 FCFA, σ=1,896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β=0.1624 (Défensif) — Cov=0.000006, Var(idx)=0.000040, ρ=0.042,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2026-09-22</w:t>
            </w:r>
          </w:p>
        </w:tc>
        <w:tc>
          <w:tcPr>
            <w:tcW w:type="dxa" w:w="1440"/>
            <w:shd w:fill="C6EFCE" w:val="clear"/>
          </w:tcPr>
          <w:p>
            <w:r>
              <w:rPr>
                <w:sz w:val="17"/>
              </w:rPr>
              <w:t>15,588</w:t>
            </w:r>
          </w:p>
        </w:tc>
        <w:tc>
          <w:tcPr>
            <w:tcW w:type="dxa" w:w="1440"/>
            <w:shd w:fill="C6EFCE" w:val="clear"/>
          </w:tcPr>
          <w:p>
            <w:r>
              <w:rPr>
                <w:b/>
                <w:sz w:val="17"/>
              </w:rPr>
              <w:t>16,285</w:t>
            </w:r>
          </w:p>
        </w:tc>
        <w:tc>
          <w:tcPr>
            <w:tcW w:type="dxa" w:w="1440"/>
            <w:shd w:fill="C6EFCE" w:val="clear"/>
          </w:tcPr>
          <w:p>
            <w:r>
              <w:rPr>
                <w:sz w:val="17"/>
              </w:rPr>
              <w:t>16,983</w:t>
            </w:r>
          </w:p>
        </w:tc>
        <w:tc>
          <w:tcPr>
            <w:tcW w:type="dxa" w:w="1440"/>
            <w:shd w:fill="C6EFCE" w:val="clear"/>
          </w:tcPr>
          <w:p>
            <w:r>
              <w:rPr>
                <w:b/>
                <w:color w:val="008000"/>
                <w:sz w:val="17"/>
              </w:rPr>
              <w:t>+3.1%</w:t>
            </w:r>
          </w:p>
        </w:tc>
      </w:tr>
      <w:tr>
        <w:tc>
          <w:tcPr>
            <w:tcW w:type="dxa" w:w="1440"/>
            <w:shd w:fill="C6EFCE" w:val="clear"/>
          </w:tcPr>
          <w:p>
            <w:r>
              <w:rPr>
                <w:sz w:val="17"/>
              </w:rPr>
              <w:t>J+2  ⭐</w:t>
            </w:r>
          </w:p>
        </w:tc>
        <w:tc>
          <w:tcPr>
            <w:tcW w:type="dxa" w:w="1440"/>
            <w:shd w:fill="C6EFCE" w:val="clear"/>
          </w:tcPr>
          <w:p>
            <w:r>
              <w:rPr>
                <w:sz w:val="17"/>
              </w:rPr>
              <w:t>2026-09-23</w:t>
            </w:r>
          </w:p>
        </w:tc>
        <w:tc>
          <w:tcPr>
            <w:tcW w:type="dxa" w:w="1440"/>
            <w:shd w:fill="C6EFCE" w:val="clear"/>
          </w:tcPr>
          <w:p>
            <w:r>
              <w:rPr>
                <w:sz w:val="17"/>
              </w:rPr>
              <w:t>15,256</w:t>
            </w:r>
          </w:p>
        </w:tc>
        <w:tc>
          <w:tcPr>
            <w:tcW w:type="dxa" w:w="1440"/>
            <w:shd w:fill="C6EFCE" w:val="clear"/>
          </w:tcPr>
          <w:p>
            <w:r>
              <w:rPr>
                <w:b/>
                <w:sz w:val="17"/>
              </w:rPr>
              <w:t>16,239</w:t>
            </w:r>
          </w:p>
        </w:tc>
        <w:tc>
          <w:tcPr>
            <w:tcW w:type="dxa" w:w="1440"/>
            <w:shd w:fill="C6EFCE" w:val="clear"/>
          </w:tcPr>
          <w:p>
            <w:r>
              <w:rPr>
                <w:sz w:val="17"/>
              </w:rPr>
              <w:t>17,223</w:t>
            </w:r>
          </w:p>
        </w:tc>
        <w:tc>
          <w:tcPr>
            <w:tcW w:type="dxa" w:w="1440"/>
            <w:shd w:fill="C6EFCE" w:val="clear"/>
          </w:tcPr>
          <w:p>
            <w:r>
              <w:rPr>
                <w:b/>
                <w:color w:val="008000"/>
                <w:sz w:val="17"/>
              </w:rPr>
              <w:t>+2.8%</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15,033</w:t>
            </w:r>
          </w:p>
        </w:tc>
        <w:tc>
          <w:tcPr>
            <w:tcW w:type="dxa" w:w="1440"/>
            <w:shd w:fill="C6EFCE" w:val="clear"/>
          </w:tcPr>
          <w:p>
            <w:r>
              <w:rPr>
                <w:b/>
                <w:sz w:val="17"/>
              </w:rPr>
              <w:t>16,238</w:t>
            </w:r>
          </w:p>
        </w:tc>
        <w:tc>
          <w:tcPr>
            <w:tcW w:type="dxa" w:w="1440"/>
            <w:shd w:fill="C6EFCE" w:val="clear"/>
          </w:tcPr>
          <w:p>
            <w:r>
              <w:rPr>
                <w:sz w:val="17"/>
              </w:rPr>
              <w:t>17,442</w:t>
            </w:r>
          </w:p>
        </w:tc>
        <w:tc>
          <w:tcPr>
            <w:tcW w:type="dxa" w:w="1440"/>
            <w:shd w:fill="C6EFCE" w:val="clear"/>
          </w:tcPr>
          <w:p>
            <w:r>
              <w:rPr>
                <w:b/>
                <w:color w:val="008000"/>
                <w:sz w:val="17"/>
              </w:rPr>
              <w:t>+2.8%</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14,855</w:t>
            </w:r>
          </w:p>
        </w:tc>
        <w:tc>
          <w:tcPr>
            <w:tcW w:type="dxa" w:w="1440"/>
            <w:shd w:fill="C6EFCE" w:val="clear"/>
          </w:tcPr>
          <w:p>
            <w:r>
              <w:rPr>
                <w:b/>
                <w:sz w:val="17"/>
              </w:rPr>
              <w:t>16,247</w:t>
            </w:r>
          </w:p>
        </w:tc>
        <w:tc>
          <w:tcPr>
            <w:tcW w:type="dxa" w:w="1440"/>
            <w:shd w:fill="C6EFCE" w:val="clear"/>
          </w:tcPr>
          <w:p>
            <w:r>
              <w:rPr>
                <w:sz w:val="17"/>
              </w:rPr>
              <w:t>17,638</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14,699</w:t>
            </w:r>
          </w:p>
        </w:tc>
        <w:tc>
          <w:tcPr>
            <w:tcW w:type="dxa" w:w="1440"/>
            <w:shd w:fill="C6EFCE" w:val="clear"/>
          </w:tcPr>
          <w:p>
            <w:r>
              <w:rPr>
                <w:b/>
                <w:sz w:val="17"/>
              </w:rPr>
              <w:t>16,256</w:t>
            </w:r>
          </w:p>
        </w:tc>
        <w:tc>
          <w:tcPr>
            <w:tcW w:type="dxa" w:w="1440"/>
            <w:shd w:fill="C6EFCE" w:val="clear"/>
          </w:tcPr>
          <w:p>
            <w:r>
              <w:rPr>
                <w:sz w:val="17"/>
              </w:rPr>
              <w:t>17,813</w:t>
            </w:r>
          </w:p>
        </w:tc>
        <w:tc>
          <w:tcPr>
            <w:tcW w:type="dxa" w:w="1440"/>
            <w:shd w:fill="C6EFCE" w:val="clear"/>
          </w:tcPr>
          <w:p>
            <w:r>
              <w:rPr>
                <w:b/>
                <w:color w:val="008000"/>
                <w:sz w:val="17"/>
              </w:rPr>
              <w:t>+2.9%</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14,557</w:t>
            </w:r>
          </w:p>
        </w:tc>
        <w:tc>
          <w:tcPr>
            <w:tcW w:type="dxa" w:w="1440"/>
            <w:shd w:fill="C6EFCE" w:val="clear"/>
          </w:tcPr>
          <w:p>
            <w:r>
              <w:rPr>
                <w:b/>
                <w:sz w:val="17"/>
              </w:rPr>
              <w:t>16,263</w:t>
            </w:r>
          </w:p>
        </w:tc>
        <w:tc>
          <w:tcPr>
            <w:tcW w:type="dxa" w:w="1440"/>
            <w:shd w:fill="C6EFCE" w:val="clear"/>
          </w:tcPr>
          <w:p>
            <w:r>
              <w:rPr>
                <w:sz w:val="17"/>
              </w:rPr>
              <w:t>17,969</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14,425</w:t>
            </w:r>
          </w:p>
        </w:tc>
        <w:tc>
          <w:tcPr>
            <w:tcW w:type="dxa" w:w="1440"/>
            <w:shd w:fill="C6EFCE" w:val="clear"/>
          </w:tcPr>
          <w:p>
            <w:r>
              <w:rPr>
                <w:b/>
                <w:sz w:val="17"/>
              </w:rPr>
              <w:t>16,269</w:t>
            </w:r>
          </w:p>
        </w:tc>
        <w:tc>
          <w:tcPr>
            <w:tcW w:type="dxa" w:w="1440"/>
            <w:shd w:fill="C6EFCE" w:val="clear"/>
          </w:tcPr>
          <w:p>
            <w:r>
              <w:rPr>
                <w:sz w:val="17"/>
              </w:rPr>
              <w:t>18,112</w:t>
            </w:r>
          </w:p>
        </w:tc>
        <w:tc>
          <w:tcPr>
            <w:tcW w:type="dxa" w:w="1440"/>
            <w:shd w:fill="C6EFCE" w:val="clear"/>
          </w:tcPr>
          <w:p>
            <w:r>
              <w:rPr>
                <w:b/>
                <w:color w:val="008000"/>
                <w:sz w:val="17"/>
              </w:rPr>
              <w:t>+3.0%</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14,302</w:t>
            </w:r>
          </w:p>
        </w:tc>
        <w:tc>
          <w:tcPr>
            <w:tcW w:type="dxa" w:w="1440"/>
            <w:shd w:fill="C6EFCE" w:val="clear"/>
          </w:tcPr>
          <w:p>
            <w:r>
              <w:rPr>
                <w:b/>
                <w:sz w:val="17"/>
              </w:rPr>
              <w:t>16,273</w:t>
            </w:r>
          </w:p>
        </w:tc>
        <w:tc>
          <w:tcPr>
            <w:tcW w:type="dxa" w:w="1440"/>
            <w:shd w:fill="C6EFCE" w:val="clear"/>
          </w:tcPr>
          <w:p>
            <w:r>
              <w:rPr>
                <w:sz w:val="17"/>
              </w:rPr>
              <w:t>18,245</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14,186</w:t>
            </w:r>
          </w:p>
        </w:tc>
        <w:tc>
          <w:tcPr>
            <w:tcW w:type="dxa" w:w="1440"/>
            <w:shd w:fill="C6EFCE" w:val="clear"/>
          </w:tcPr>
          <w:p>
            <w:r>
              <w:rPr>
                <w:b/>
                <w:sz w:val="17"/>
              </w:rPr>
              <w:t>16,278</w:t>
            </w:r>
          </w:p>
        </w:tc>
        <w:tc>
          <w:tcPr>
            <w:tcW w:type="dxa" w:w="1440"/>
            <w:shd w:fill="C6EFCE" w:val="clear"/>
          </w:tcPr>
          <w:p>
            <w:r>
              <w:rPr>
                <w:sz w:val="17"/>
              </w:rPr>
              <w:t>18,369</w:t>
            </w:r>
          </w:p>
        </w:tc>
        <w:tc>
          <w:tcPr>
            <w:tcW w:type="dxa" w:w="1440"/>
            <w:shd w:fill="C6EFCE" w:val="clear"/>
          </w:tcPr>
          <w:p>
            <w:r>
              <w:rPr>
                <w:b/>
                <w:color w:val="008000"/>
                <w:sz w:val="17"/>
              </w:rPr>
              <w:t>+3.0%</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14,076</w:t>
            </w:r>
          </w:p>
        </w:tc>
        <w:tc>
          <w:tcPr>
            <w:tcW w:type="dxa" w:w="1440"/>
            <w:shd w:fill="C6EFCE" w:val="clear"/>
          </w:tcPr>
          <w:p>
            <w:r>
              <w:rPr>
                <w:b/>
                <w:sz w:val="17"/>
              </w:rPr>
              <w:t>16,281</w:t>
            </w:r>
          </w:p>
        </w:tc>
        <w:tc>
          <w:tcPr>
            <w:tcW w:type="dxa" w:w="1440"/>
            <w:shd w:fill="C6EFCE" w:val="clear"/>
          </w:tcPr>
          <w:p>
            <w:r>
              <w:rPr>
                <w:sz w:val="17"/>
              </w:rPr>
              <w:t>18,486</w:t>
            </w:r>
          </w:p>
        </w:tc>
        <w:tc>
          <w:tcPr>
            <w:tcW w:type="dxa" w:w="1440"/>
            <w:shd w:fill="C6EFCE" w:val="clear"/>
          </w:tcPr>
          <w:p>
            <w:r>
              <w:rPr>
                <w:b/>
                <w:color w:val="008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348,71 milliards FCFA, NTLC figure parmi les valeurs les plus capitalisées de la BRVM, ce qui en fait un pilier de l'indice BRVM Composite et un titre de référence pour les investisseurs institutionnels. Le BPA de 835 FCFA/action signifie que chaque titre génère près de 835 FCFA de bénéfice net annuel, un niveau confortable qui soutient la distribution de dividendes. Le PER de 18,9x se situe nettement au-dessus de la moyenne du marché BRVM (8-12x), traduisant une prime de qualité que les investisseurs acceptent de payer pour la solidité de la marque Nestlé, mais qui limite le potentiel de revalorisation à court terme. Le P/B de 11,79x — très supérieur au seuil de 4x — confirme cette valorisation exigeante : le marché paie plus de onze fois la valeur comptable des fonds propres, ce qui s'explique par la faible intensité capitalistique du modèle (capitaux propres de seulement 29,6 Mds FCFA pour 348,7 Mds FCFA de capitalisation) mais expose le titre à une correction en cas de déception sur les résultats. Enfin, l'EV/EBITDA de 9,4x, dans la fourchette raisonnable de 5-10x, indique que la valeur d'entreprise reste cohérente avec la capacité opérationnelle de génération de cash-flow, offrant un contrepoids rassurant aux ratios de prime élevée.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performance remarquable de **+27,68%**, portant le cours actuel à 15 800 FCFA, malgré un léger repli de -1,25% lors de la dernière séance. Le range de trading est particulièrement large, avec un plus haut à 18 000 FCFA et un plus bas à 11 150 FCFA, soit une amplitude de 61,4% qui témoigne d'une forte volatilité intra-période et de mouvements spéculatifs marqués. La tendance générale est donc nettement haussière, le cours actuel se situant à mi-chemin entre les extrêmes, ce qui suggère une phase de consolidation après le pic atteint. Les statistiques descriptives révèlent une moyenne de 15 177 FCFA inférieure à la médiane de 15 995 FCFA, écart qui confirme une asymétrie négative (skewness de -0,747) : les journées de forte hausse ont tiré la moyenne vers le bas relativement à la médiane, indiquant que le titre a passé plus de temps au-dessus de sa moyenne qu'en dessous. L'écart-type de 1 906 FCFA (CV de 12,6%) traduit une dispersion modérée du cours autour de sa tendance, tandis que le kurtosis de -0,890 (mésokurtique) suggère une distribution proche de la normale, sans risque excessif de pics extrêmes. La volatilité annualisée de 38,7% classe le titre dans la catégorie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(16 651,5 FCFA) et la MM50 (16 616,5 FCFA) sont toutes deux supérieures au cours actuel (15 800 FCFA), ce qui place le titre en position baissière à court terme. Cependant, la MM20 étant légèrement au-dessus de la MM50, la configuration reste haussière sur le fond, et la décision « Achat » reflète l'anticipation d'un retour du cours vers ses moyennes, considérées comme des supports dynamiques.</w:t>
      </w:r>
    </w:p>
    <w:p>
      <w:pPr>
        <w:spacing w:after="120" w:line="276" w:lineRule="auto"/>
      </w:pPr>
      <w:r>
        <w:t>**Bandes de Bollinger** : Le cours (15 800 FCFA) évolue dans la partie basse du canal, entre la borne inférieure (15 686 FCFA) et la borne supérieure (17 617 FCFA), sans franchir les extrêmes. Cette position neutre indique une absence de signal directionnel fort, la volatilité restant contenue dans les bandes, ce qui justifie la décision « Neutre » et suggère une attente de cassure pour initier une position.</w:t>
      </w:r>
    </w:p>
    <w:p>
      <w:pPr>
        <w:spacing w:after="120" w:line="276" w:lineRule="auto"/>
      </w:pPr>
      <w:r>
        <w:t>**MACD** : La valeur du MACD (-138,019) est nettement inférieure à son signal (-8,092), générant un histogramme négatif qui confirme un momentum baissier. La divergence entre les deux lignes, bien que réduite, plaide pour une prudence à court terme et justifie la décision « Vente », le croisement baissier n'étant pas encore résorbé.</w:t>
      </w:r>
    </w:p>
    <w:p>
      <w:pPr>
        <w:spacing w:after="120" w:line="276" w:lineRule="auto"/>
      </w:pPr>
      <w:r>
        <w:t>**RSI** : À 45,772, le RSI se situe dans la zone neutre (30-70), sans signal de surachat ni de survente. Cette position médiane indique un équilibre entre acheteurs et vendeurs, la décision « Neutre » reflétant l'absence de pression directionnelle claire et l'attente d'un catalyseur pour orienter le marché.</w:t>
      </w:r>
    </w:p>
    <w:p>
      <w:pPr>
        <w:spacing w:after="120" w:line="276" w:lineRule="auto"/>
      </w:pPr>
      <w:r>
        <w:t>**Stochastique** : Le %K à 0,0 et le %D à 2,87 sont tous deux en zone de survente extrême, avec un %K au plancher qui précède généralement un rebond technique. La décision « Achat » s'appuie sur cette configuration : le croisement imminent du %K au-dessus du %D pourrait signaler une reprise haussière à court terme.</w:t>
      </w:r>
    </w:p>
    <w:p>
      <w:pPr>
        <w:spacing w:after="120" w:line="276" w:lineRule="auto"/>
      </w:pPr>
      <w:r>
        <w:t>**Conclusion technique** : Les indicateurs présentent une divergence notable : les moyennes mobiles et le stochastique plaident pour un achat, tandis que le MACD et les bandes de Bollinger incitent à la neutralité, et le RSI reste sans direction. Cette configuration contrastée suggère un titre en phase de consolidation, avec un potentiel de rebond technique à court terme (stochastique en survente) mais une absence de momentum haussier confirmé (MACD baissier). La prudence reste de mise tant que le cours n'aura pas reconquis ses moyennes mobiles.</w:t>
      </w:r>
    </w:p>
    <w:p>
      <w:pPr>
        <w:spacing w:after="120" w:line="276" w:lineRule="auto"/>
      </w:pPr>
      <w:r>
        <w:t>---</w:t>
      </w:r>
    </w:p>
    <w:p>
      <w:pPr>
        <w:spacing w:after="120" w:line="276" w:lineRule="auto"/>
      </w:pPr>
      <w:r>
        <w:t>## PARTIE 3 : ANALYSE FONDAMENTALE</w:t>
      </w:r>
    </w:p>
    <w:p>
      <w:pPr>
        <w:spacing w:after="120" w:line="276" w:lineRule="auto"/>
      </w:pPr>
      <w:r>
        <w:t>En 2025, Nestlé Côte d'Ivoire a réalisé un chiffre d'affaires de **233,261 milliards FCFA**, en croissance de **+5,97%** par rapport à 2024 (220,113 Mds FCFA), portée principalement par les ventes de produits fabriqués (+6,3%). Le résultat net s'établit à **18,427 milliards FCFA**, en légère progression de +1,53%, mais la marge nette recule à **7,90%** (contre 8,25% en 2024), sous l'effet d'une hausse plus rapide des charges (impôts et taxes ayant presque doublé, à 7,5 Mds FCFA). Les ratios de rentabilité restent exceptionnels : le **ROE atteint 62,28%** (largement supérieur au seuil de 15% considéré comme excellent) et le **ROA s'élève à 9,70%**, confirmant l'efficacité du modèle malgré une rotation des actifs de 122,8%. La structure financière présente des signaux contrastés : l'autonomie financière est faible (**15,58%**, bien en deçà du seuil sain de 30%), le ratio d'endettement atteint **135,85%** et la trésorerie nette est négative à **-46,831 Mds FCFA**, reflétant un besoin de financement du cycle d'exploitation accru (trésorerie passive bondissant à 56,1 Mds FCFA selon le rapport annuel 2025). Le BFR de 22,625 Mds FCFA et le fonds de roulement négatif (-24,206 Mds FCFA) confirment une tension sur la liquidité, avec un délai clients élevé de **74,30 jours** et une durée de stockage de **59,39 jours**, exposant l'entreprise à un risque de trésorerie. Les rapports trimestriels les plus récents (T1 2026, publié le 31 mars 2026) révèlent une **accélération spectaculaire** : le CA bondit de **+31% à 70,8 Mds FCFA** et le résultat net de **+37% à 7,5 Mds FCFA**, avec une marge nette en amélioration à 10,6% — ces estimations, si elles se confirment sur l'année, pourraient porter le CA 2026 vers 280-290 Mds FCFA et le résultat net vers 22-24 Mds FCFA. Toutefois, la politique de dividende a été drastiquement réduite en 2025 (9,27 Mds FCFA distribués, soit un payout de 50,3% contre 99,7% en 2024), la société privilégiant le réinvestissement (report à nouveau de 9,22 Mds FCFA). **Recommandation fondamentale : CONSERVER**, avec un biais positif lié à la dynamique du T1 2026, mais une vigilance sur l'endettement et la liquidité.</w:t>
      </w:r>
    </w:p>
    <w:p>
      <w:pPr>
        <w:spacing w:after="120" w:line="276" w:lineRule="auto"/>
      </w:pPr>
      <w:r>
        <w:t>---</w:t>
      </w:r>
    </w:p>
    <w:p>
      <w:pPr>
        <w:spacing w:after="120" w:line="276" w:lineRule="auto"/>
      </w:pPr>
      <w:r>
        <w:t>## PARTIE 4 : CONCLUSION D'INVESTISSEMENT</w:t>
      </w:r>
    </w:p>
    <w:p>
      <w:pPr>
        <w:spacing w:after="120" w:line="276" w:lineRule="auto"/>
      </w:pPr>
      <w:r>
        <w:t>La valorisation de NTLC apparaît **exigeante** : le PER de 18,9x et le P/B de 11,79x intègrent une prime de qualité qui limite le potentiel de revalorisation, même si l'EV/EBITDA de 9,4x reste raisonnable. Le comportement du cours sur 100 jours est haussier (+27,68%) mais la volatilité élevée (38,7%) et l'asymétrie négative (skewness -0,747) suggèrent une phase de consolidation après le pic, avec un risque de correction. Les signaux techniques sont **divergents** : le stochastique en survente extrême et les moyennes mobiles plaident pour un rebond, mais le MACD baissier et le RSI neutre incitent à la prudence, sans convergence claire. Les fondamentaux sont **solides mais nuancés** : la croissance du CA (+5,97% en 2025) et l'accélération du T1 2026 (+31% de CA, +37% de résultat net) sont des signaux très positifs, mais la dégradation de la marge nette (7,90%), l'endettement élevé (135,85%) et la trésorerie nette négative (-46,8 Mds FCFA) constituent des risques à surveiller. Les prédictions IA (J+1 à J+10) tablent sur une stabilisation autour de 16 240-16 285 FCFA, soit une légère hausse de +2,8% à +3,1% par rapport au cours actuel, ce qui **confirme** la thèse d'un rebond technique modéré sans emballement. **Recommandation finale : CONSERVER**, avec un biais acheteur pour les investisseurs déjà positionnés. La convergence entre la dynamique fondamentale du T1 2026, le potentiel de rebond technique (stochastique) et les prédictions IA légèrement haussières soutient cette position, mais la valorisation exigeante et les risques de liquidité empêchent de recommander un achat fort. **Niveau de confiance : Moyen** — les signaux sont positifs mais non convergents. **Niveau de risque global : Moyen à Élevé** — volatilité de 38,7%, endettement important et dépendance aux matières premières. **Horizon d'investissement optimal : Moyen terme (3-12 mois)**, pour capter la concrétisation des performances du T1 2026 et un éventuel retour du cours vers ses moyennes mobiles (16 600 FCFA), tout en surveillant la publication des résultats semestriels 2026 et l'évolution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5,290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+14.94%</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2.94% (Faible) — μ=2,836 FCFA, σ=83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β=0.1403 (Défensif) — Cov=0.000006, Var(idx)=0.000040, ρ=0.046,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2,861</w:t>
            </w:r>
          </w:p>
        </w:tc>
        <w:tc>
          <w:tcPr>
            <w:tcW w:type="dxa" w:w="1440"/>
            <w:shd w:fill="FAFAFA" w:val="clear"/>
          </w:tcPr>
          <w:p>
            <w:r>
              <w:rPr>
                <w:b/>
                <w:sz w:val="17"/>
              </w:rPr>
              <w:t>2,941</w:t>
            </w:r>
          </w:p>
        </w:tc>
        <w:tc>
          <w:tcPr>
            <w:tcW w:type="dxa" w:w="1440"/>
            <w:shd w:fill="FAFAFA" w:val="clear"/>
          </w:tcPr>
          <w:p>
            <w:r>
              <w:rPr>
                <w:sz w:val="17"/>
              </w:rPr>
              <w:t>3,020</w:t>
            </w:r>
          </w:p>
        </w:tc>
        <w:tc>
          <w:tcPr>
            <w:tcW w:type="dxa" w:w="1440"/>
            <w:shd w:fill="FAFAFA"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2026-09-23</w:t>
            </w:r>
          </w:p>
        </w:tc>
        <w:tc>
          <w:tcPr>
            <w:tcW w:type="dxa" w:w="1440"/>
            <w:shd w:fill="FFDCE0" w:val="clear"/>
          </w:tcPr>
          <w:p>
            <w:r>
              <w:rPr>
                <w:sz w:val="17"/>
              </w:rPr>
              <w:t>2,827</w:t>
            </w:r>
          </w:p>
        </w:tc>
        <w:tc>
          <w:tcPr>
            <w:tcW w:type="dxa" w:w="1440"/>
            <w:shd w:fill="FFDCE0" w:val="clear"/>
          </w:tcPr>
          <w:p>
            <w:r>
              <w:rPr>
                <w:b/>
                <w:sz w:val="17"/>
              </w:rPr>
              <w:t>2,940</w:t>
            </w:r>
          </w:p>
        </w:tc>
        <w:tc>
          <w:tcPr>
            <w:tcW w:type="dxa" w:w="1440"/>
            <w:shd w:fill="FFDCE0" w:val="clear"/>
          </w:tcPr>
          <w:p>
            <w:r>
              <w:rPr>
                <w:sz w:val="17"/>
              </w:rPr>
              <w:t>3,053</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2,795</w:t>
            </w:r>
          </w:p>
        </w:tc>
        <w:tc>
          <w:tcPr>
            <w:tcW w:type="dxa" w:w="1440"/>
            <w:shd w:fill="FFDCE0" w:val="clear"/>
          </w:tcPr>
          <w:p>
            <w:r>
              <w:rPr>
                <w:b/>
                <w:sz w:val="17"/>
              </w:rPr>
              <w:t>2,933</w:t>
            </w:r>
          </w:p>
        </w:tc>
        <w:tc>
          <w:tcPr>
            <w:tcW w:type="dxa" w:w="1440"/>
            <w:shd w:fill="FFDCE0" w:val="clear"/>
          </w:tcPr>
          <w:p>
            <w:r>
              <w:rPr>
                <w:sz w:val="17"/>
              </w:rPr>
              <w:t>3,070</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2026-09-25</w:t>
            </w:r>
          </w:p>
        </w:tc>
        <w:tc>
          <w:tcPr>
            <w:tcW w:type="dxa" w:w="1440"/>
            <w:shd w:fill="FFDCE0" w:val="clear"/>
          </w:tcPr>
          <w:p>
            <w:r>
              <w:rPr>
                <w:sz w:val="17"/>
              </w:rPr>
              <w:t>2,766</w:t>
            </w:r>
          </w:p>
        </w:tc>
        <w:tc>
          <w:tcPr>
            <w:tcW w:type="dxa" w:w="1440"/>
            <w:shd w:fill="FFDCE0" w:val="clear"/>
          </w:tcPr>
          <w:p>
            <w:r>
              <w:rPr>
                <w:b/>
                <w:sz w:val="17"/>
              </w:rPr>
              <w:t>2,925</w:t>
            </w:r>
          </w:p>
        </w:tc>
        <w:tc>
          <w:tcPr>
            <w:tcW w:type="dxa" w:w="1440"/>
            <w:shd w:fill="FFDCE0" w:val="clear"/>
          </w:tcPr>
          <w:p>
            <w:r>
              <w:rPr>
                <w:sz w:val="17"/>
              </w:rPr>
              <w:t>3,083</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2026-09-28</w:t>
            </w:r>
          </w:p>
        </w:tc>
        <w:tc>
          <w:tcPr>
            <w:tcW w:type="dxa" w:w="1440"/>
            <w:shd w:fill="FFDCE0" w:val="clear"/>
          </w:tcPr>
          <w:p>
            <w:r>
              <w:rPr>
                <w:sz w:val="17"/>
              </w:rPr>
              <w:t>2,740</w:t>
            </w:r>
          </w:p>
        </w:tc>
        <w:tc>
          <w:tcPr>
            <w:tcW w:type="dxa" w:w="1440"/>
            <w:shd w:fill="FFDCE0" w:val="clear"/>
          </w:tcPr>
          <w:p>
            <w:r>
              <w:rPr>
                <w:b/>
                <w:sz w:val="17"/>
              </w:rPr>
              <w:t>2,917</w:t>
            </w:r>
          </w:p>
        </w:tc>
        <w:tc>
          <w:tcPr>
            <w:tcW w:type="dxa" w:w="1440"/>
            <w:shd w:fill="FFDCE0" w:val="clear"/>
          </w:tcPr>
          <w:p>
            <w:r>
              <w:rPr>
                <w:sz w:val="17"/>
              </w:rPr>
              <w:t>3,094</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2026-09-29</w:t>
            </w:r>
          </w:p>
        </w:tc>
        <w:tc>
          <w:tcPr>
            <w:tcW w:type="dxa" w:w="1440"/>
            <w:shd w:fill="FFDCE0" w:val="clear"/>
          </w:tcPr>
          <w:p>
            <w:r>
              <w:rPr>
                <w:sz w:val="17"/>
              </w:rPr>
              <w:t>2,716</w:t>
            </w:r>
          </w:p>
        </w:tc>
        <w:tc>
          <w:tcPr>
            <w:tcW w:type="dxa" w:w="1440"/>
            <w:shd w:fill="FFDCE0" w:val="clear"/>
          </w:tcPr>
          <w:p>
            <w:r>
              <w:rPr>
                <w:b/>
                <w:sz w:val="17"/>
              </w:rPr>
              <w:t>2,909</w:t>
            </w:r>
          </w:p>
        </w:tc>
        <w:tc>
          <w:tcPr>
            <w:tcW w:type="dxa" w:w="1440"/>
            <w:shd w:fill="FFDCE0" w:val="clear"/>
          </w:tcPr>
          <w:p>
            <w:r>
              <w:rPr>
                <w:sz w:val="17"/>
              </w:rPr>
              <w:t>3,103</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2026-09-30</w:t>
            </w:r>
          </w:p>
        </w:tc>
        <w:tc>
          <w:tcPr>
            <w:tcW w:type="dxa" w:w="1440"/>
            <w:shd w:fill="FFDCE0" w:val="clear"/>
          </w:tcPr>
          <w:p>
            <w:r>
              <w:rPr>
                <w:sz w:val="17"/>
              </w:rPr>
              <w:t>2,694</w:t>
            </w:r>
          </w:p>
        </w:tc>
        <w:tc>
          <w:tcPr>
            <w:tcW w:type="dxa" w:w="1440"/>
            <w:shd w:fill="FFDCE0" w:val="clear"/>
          </w:tcPr>
          <w:p>
            <w:r>
              <w:rPr>
                <w:b/>
                <w:sz w:val="17"/>
              </w:rPr>
              <w:t>2,902</w:t>
            </w:r>
          </w:p>
        </w:tc>
        <w:tc>
          <w:tcPr>
            <w:tcW w:type="dxa" w:w="1440"/>
            <w:shd w:fill="FFDCE0" w:val="clear"/>
          </w:tcPr>
          <w:p>
            <w:r>
              <w:rPr>
                <w:sz w:val="17"/>
              </w:rPr>
              <w:t>3,110</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2026-10-01</w:t>
            </w:r>
          </w:p>
        </w:tc>
        <w:tc>
          <w:tcPr>
            <w:tcW w:type="dxa" w:w="1440"/>
            <w:shd w:fill="FFDCE0" w:val="clear"/>
          </w:tcPr>
          <w:p>
            <w:r>
              <w:rPr>
                <w:sz w:val="17"/>
              </w:rPr>
              <w:t>2,673</w:t>
            </w:r>
          </w:p>
        </w:tc>
        <w:tc>
          <w:tcPr>
            <w:tcW w:type="dxa" w:w="1440"/>
            <w:shd w:fill="FFDCE0" w:val="clear"/>
          </w:tcPr>
          <w:p>
            <w:r>
              <w:rPr>
                <w:b/>
                <w:sz w:val="17"/>
              </w:rPr>
              <w:t>2,895</w:t>
            </w:r>
          </w:p>
        </w:tc>
        <w:tc>
          <w:tcPr>
            <w:tcW w:type="dxa" w:w="1440"/>
            <w:shd w:fill="FFDCE0" w:val="clear"/>
          </w:tcPr>
          <w:p>
            <w:r>
              <w:rPr>
                <w:sz w:val="17"/>
              </w:rPr>
              <w:t>3,117</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2,653</w:t>
            </w:r>
          </w:p>
        </w:tc>
        <w:tc>
          <w:tcPr>
            <w:tcW w:type="dxa" w:w="1440"/>
            <w:shd w:fill="FFDCE0" w:val="clear"/>
          </w:tcPr>
          <w:p>
            <w:r>
              <w:rPr>
                <w:b/>
                <w:sz w:val="17"/>
              </w:rPr>
              <w:t>2,887</w:t>
            </w:r>
          </w:p>
        </w:tc>
        <w:tc>
          <w:tcPr>
            <w:tcW w:type="dxa" w:w="1440"/>
            <w:shd w:fill="FFDCE0" w:val="clear"/>
          </w:tcPr>
          <w:p>
            <w:r>
              <w:rPr>
                <w:sz w:val="17"/>
              </w:rPr>
              <w:t>3,122</w:t>
            </w:r>
          </w:p>
        </w:tc>
        <w:tc>
          <w:tcPr>
            <w:tcW w:type="dxa" w:w="1440"/>
            <w:shd w:fill="FFDCE0" w:val="clear"/>
          </w:tcPr>
          <w:p>
            <w:r>
              <w:rPr>
                <w:b/>
                <w:color w:val="C00000"/>
                <w:sz w:val="17"/>
              </w:rPr>
              <w:t>-3.8%</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2,633</w:t>
            </w:r>
          </w:p>
        </w:tc>
        <w:tc>
          <w:tcPr>
            <w:tcW w:type="dxa" w:w="1440"/>
            <w:shd w:fill="FFDCE0" w:val="clear"/>
          </w:tcPr>
          <w:p>
            <w:r>
              <w:rPr>
                <w:b/>
                <w:sz w:val="17"/>
              </w:rPr>
              <w:t>2,880</w:t>
            </w:r>
          </w:p>
        </w:tc>
        <w:tc>
          <w:tcPr>
            <w:tcW w:type="dxa" w:w="1440"/>
            <w:shd w:fill="FFDCE0" w:val="clear"/>
          </w:tcPr>
          <w:p>
            <w:r>
              <w:rPr>
                <w:sz w:val="17"/>
              </w:rPr>
              <w:t>3,127</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*Bourse Régionale des Valeurs Mobilières (BRVM) — Secteur : Télécommunications*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204,00 milliards FCFA, ONTBF figure parmi les valeurs de premier plan de la cote BRVM, se positionnant comme l'une des plus importantes capitalisations du compartiment télécoms aux côtés de Sonatel. Le BPA de 234 FCFA/action signifie que chaque titre génère 234 FCFA de bénéfice net, ce qui, rapporté au cours actuel de 3 000 FCFA, donne un PER de 12,8x — un niveau modéré, légèrement supérieur à la moyenne BRVM (~8-12x), traduisant une prime de qualité justifiée par la solidité du bilan et la régularité du dividende. Le P/B de 3,55x indique que le marché valorise l'action à plus de trois fois sa valeur comptable (capitaux propres de 57,54 Mds FCFA), une prime de croissance significative qui se situe dans la fourchette 2-4x évoquée, reflétant la confiance des investisseurs dans la capacité bénéficiaire future malgré la compression récente des marges. Enfin, l'EV/EBITDA de 5,3x apparaît raisonnable (fourchette 5-10x), suggérant que la valeur totale de l'entreprise (capitalisation + dette nette) reste modérée au regard de sa capacité opérationnelle, ce qui constitue un signal de valorisation attractif pour un opérateur télécom intégré.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performance remarquable de +14,94%, avec une accélération notable lors de la dernière séance (+3,45%), portant le cours à 3 000 FCFA. Le range de trading s'établit entre un plus bas de 2 610 FCFA et un plus haut de 3 070 FCFA, soit une amplitude de 460 FCFA (17,6%), le cours actuel évoluant à proximité immédiate de son sommet, ce qui témoigne d'une dynamique haussière soutenue. La tendance générale est clairement haussière, portée par des publications fondamentales solides et un intérêt croissant pour les valeurs télécoms de la zone UEMOA. Les statistiques descriptives révèlent une distribution quasi-parfaitement symétrique : la moyenne (2 836 FCFA) et la médiane (2 835 FCFA) sont pratiquement confondues, confirmant l'absence de biais directionnel, tandis que le mode à 2 800 FCFA indique un palier de consolidation fréquent. L'écart-type de 84 FCFA (CV = 3,0%) traduit une dispersion très faible du cours autour de sa moyenne, signe d'une grande stabilité relative. Le kurtosis (excès) de 0,020 — qualifié de mésokurtique — indique une distribution proche de la normale, sans risque majeur de pics extrêmes, et le skewness de -0,031 confirme cette symétrie quasi-parfaite. La volatilité annualisée de 30,5% positionne le titre dans la catégorie des valeurs à volatilité élevée (&gt;30%), ce qui est cohérent avec un marché frontière comme la BRVM, mais reste modéré pour une action télécom en croissance.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(2 886 FCFA) et la MM50 (2 855 FCFA) se situent toutes deux nettement en dessous du cours actuel (3 000 FCFA), avec la MM20 au-dessus de la MM50, configurant un croisement haussier classique (golden cross). Cette configuration confirme la tendance positive et justifie la décision d'**Achat** : le cours évolue au-dessus de ses deux moyennes, signalant une pression acheteuse dominante.</w:t>
      </w:r>
    </w:p>
    <w:p>
      <w:pPr>
        <w:spacing w:after="120" w:line="276" w:lineRule="auto"/>
      </w:pPr>
      <w:r>
        <w:t>**Bandes de Bollinger** : Le cours (3 000 FCFA) évolue au-dessus de la borne supérieure (2 962,27 FCFA), ce qui constitue un signal de **Vente** à court terme selon la théorie classique — le titre est en zone de surachat technique. L'écart entre les bornes (2 809,73 à 2 962,27 FCFA, soit ~152 FCFA) indique une volatilité modérée, mais la sortie par le haut suggère une possible correction ou consolidation imminente.</w:t>
      </w:r>
    </w:p>
    <w:p>
      <w:pPr>
        <w:spacing w:after="120" w:line="276" w:lineRule="auto"/>
      </w:pPr>
      <w:r>
        <w:t>**MACD** : La valeur du MACD (11,349) dépasse largement son signal (4,862), avec un histogramme positif et croissant, confirmant un momentum haussier robuste. La divergence positive entre les deux lignes justifie la décision d'**Achat** : la dynamique de court terme reste favorable malgré la position technique tendue.</w:t>
      </w:r>
    </w:p>
    <w:p>
      <w:pPr>
        <w:spacing w:after="120" w:line="276" w:lineRule="auto"/>
      </w:pPr>
      <w:r>
        <w:t>**RSI** : À 60,638, le RSI se situe en zone neutre (30-70), sans signal de surachat (&gt;70) ni de survente (&lt;30). Cette position médiane indique que le titre dispose encore d'un potentiel de hausse avant d'atteindre des niveaux de surachat, justifiant une décision **Neutre** — ni achat agressif, ni vente.</w:t>
      </w:r>
    </w:p>
    <w:p>
      <w:pPr>
        <w:spacing w:after="120" w:line="276" w:lineRule="auto"/>
      </w:pPr>
      <w:r>
        <w:t>**Stochastique** : Le %K (100,0) est au maximum absolu et dépasse le %D (85,507), signalant un surachat extrême. Le croisement potentiel à venir (si %K passe sous %D) constituerait un signal de retournement baissier. La décision de **Vente** à court terme est justifiée par cette position extrême, bien que le contexte haussier puisse prolonger le mouvement.</w:t>
      </w:r>
    </w:p>
    <w:p>
      <w:pPr>
        <w:spacing w:after="120" w:line="276" w:lineRule="auto"/>
      </w:pPr>
      <w:r>
        <w:t>**Conclusion technique** : Les indicateurs présentent une divergence notable : les moyennes mobiles et le MACD confirment la tendance haussière de fond, tandis que les Bandes de Bollinger et le Stochastique signalent un surachat à court terme. Le RSI neutre joue un rôle d'arbitre, suggérant que le titre pourrait consolider avant de reprendre sa progression. La convergence des signaux à moyen terme (MM + MACD) l'emporte sur les signaux de court terme, mais une prudence s'impose à l'approche des 3 070 FCFA (plus haut).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(secteur BANQUE selon la classification, bien qu'ONTBF soit un opérateur télécom) révèlent un chiffre d'affaires/PNB de 146,177 Mds FCFA, en croissance de 3,06% par rapport à 2024, porté par le FTTH, l'internet mobile et le Mobile Money. Le résultat net s'établit à 15,887 Mds FCFA, en baisse de 26% par rapport aux 21,47 Mds FCFA de 2024, sous l'effet de charges opérationnelles et exceptionnelles élevées (indemnités de fin d'engagement, coûts énergétiques, maintenance en zones à défis sécuritaires, sanction ARCEP de 1,543 Md FCFA). Le ROE reste excellent à 27,61% (bien supérieur au seuil de 15%), et le ROA de 4,89% témoigne d'une bonne rentabilité des actifs. Le coefficient d'exploitation de 67,07% (charges/PNB) reste supérieur au seuil de 60% d'efficacité, signalant une pression sur les coûts. Le coût du risque de 3,57% (provisions/charges financières) est modéré. La structure financière affiche une autonomie financière de 17,71% (inférieure au seuil de 30% de solidité), un ratio d'endettement de 186,99% et une capacité de remboursement de 2,29 années (dettes financières/CAF), ce qui reste gérable mais mérite surveillance. La trésorerie nette est positive à 10,649 Mds FCFA, et la couverture des intérêts par le résultat d'exploitation est très confortable (491,55%). Les rapports trimestriels 2025 (T1, S1, T3) confirment la tendance : croissance commerciale stable (+3,1% à +4,3% de CA) mais érosion continue de la rentabilité (-17,2% à -29% de résultat net), avec un taux d'EBITDA IFRS en repli de 47% à 39,3%. Le rapport T1 2026 (publié le 09/04/2026) montre une légère amélioration : CA de 37,1 Mds FCFA (+2,7%), résultat net de 3,577 Mds FCFA (OHADA), marge EBITDA maintenue à 41,3%, et base clients de 12,65 millions (+3,3%). **Estimation** : sur la base de ces tendances, l'exercice 2026 devrait voir une stabilisation de la marge EBITDA autour de 41-42% et un résultat net annuel estimé entre 14 et 16 Mds FCFA, soit un BPA de 206-235 FCFA. La recommandation fondamentale est **CONSERVER** : la solidité du bilan, la génération de trésorerie (CAFG de 46,95 Mds FCFA) et le dividende attractif (166,08 FCFA/action, soit un rendement de ~5,5% au cours actuel) soutiennent le titre, mais la dégradation des marges et l'endettement croissant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La **valorisation (Partie 0)** apparaît raisonnable avec un PER de 12,8x (légèrement supérieur à la moyenne BRVM) et un EV/EBITDA de 5,3x attractif, suggérant une valorisation correcte sans excès. Le **comportement du cours (Partie 1)** est haussier (+14,94% sur 100 jours), avec une volatilité élevée (30,5%) mais une distribution symétrique (skewness -0,031) et sans risque de pics extrêmes (kurtosis 0,020), ce qui est rassurant pour la stabilité du titre. Les **signaux techniques (Partie 2)** sont divergents : les moyennes mobiles et le MACD confirment la tendance haussière, mais les Bandes de Bollinger et le Stochastique signalent un surachat à court terme, plaidant pour une consolidation. Les **fondamentaux (Partie 3)** montrent une entreprise solide (ROE 27,6%, CAFG 46,95 Mds FCFA) mais confrontée à une érosion de sa rentabilité (-26% de résultat net en 2025) et à un endettement croissant, avec des perspectives 2026 mitigées (stabilisation attendue). Les **prédictions IA (J+1 à J+10)** anticipent une légère correction baissière (2 941 FCFA à 2 917 FCFA), ce qui contredit la dynamique haussière récente mais confirme les signaux de surachat technique. **Recommandation finale : CONSERVER** — la convergence entre une valorisation correcte, des fondamentaux solides mais en dégradation, et des signaux techniques mitigés ne justifie ni un achat agressif (surachat à court terme, marges sous pression) ni une vente (dividende attractif, génération de cash robuste, position dominante sur le FTTH). Le niveau de confiance est **Moyen** (incertitude sur la capacité à restaurer les marges), et le niveau de risque global est **Moyen** (volatilité élevée, endettement, risques réglementaires et sécuritaires). L'horizon d'investissement optimal est le **moyen terme (3-12 mois)**, en attendant les publications du T2 2026 et les signes tangibles d'amélioration de la rentabilité opérationnelle.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3163.76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3,148 titres</w:t>
            </w:r>
          </w:p>
        </w:tc>
        <w:tc>
          <w:tcPr>
            <w:tcW w:type="dxa" w:w="2268"/>
            <w:shd w:fill="FFF2CC" w:val="clear"/>
          </w:tcPr>
          <w:p>
            <w:r>
              <w:rPr>
                <w:b/>
                <w:color w:val="503200"/>
                <w:sz w:val="16"/>
              </w:rPr>
              <w:t xml:space="preserve">Cours actuel : </w:t>
            </w:r>
            <w:r>
              <w:rPr>
                <w:color w:val="000000"/>
                <w:sz w:val="17"/>
              </w:rPr>
              <w:t>21,000 FCFA</w:t>
            </w:r>
          </w:p>
          <w:p>
            <w:r>
              <w:rPr>
                <w:b/>
                <w:color w:val="503200"/>
                <w:sz w:val="16"/>
              </w:rPr>
              <w:t xml:space="preserve">Var. 100 jours : </w:t>
            </w:r>
            <w:r>
              <w:rPr>
                <w:b/>
                <w:color w:val="007800"/>
                <w:sz w:val="17"/>
              </w:rPr>
              <w:t>+43.34%</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13.58% (Moyenne) — μ=17,408 FCFA, σ=2,364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β=1.4899 (Agressif) — Cov=0.000060, Var(idx)=0.000040, ρ=0.480,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3,148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2026-09-22</w:t>
            </w:r>
          </w:p>
        </w:tc>
        <w:tc>
          <w:tcPr>
            <w:tcW w:type="dxa" w:w="1440"/>
            <w:shd w:fill="C6EFCE" w:val="clear"/>
          </w:tcPr>
          <w:p>
            <w:r>
              <w:rPr>
                <w:sz w:val="17"/>
              </w:rPr>
              <w:t>21,033</w:t>
            </w:r>
          </w:p>
        </w:tc>
        <w:tc>
          <w:tcPr>
            <w:tcW w:type="dxa" w:w="1440"/>
            <w:shd w:fill="C6EFCE" w:val="clear"/>
          </w:tcPr>
          <w:p>
            <w:r>
              <w:rPr>
                <w:b/>
                <w:sz w:val="17"/>
              </w:rPr>
              <w:t>21,833</w:t>
            </w:r>
          </w:p>
        </w:tc>
        <w:tc>
          <w:tcPr>
            <w:tcW w:type="dxa" w:w="1440"/>
            <w:shd w:fill="C6EFCE" w:val="clear"/>
          </w:tcPr>
          <w:p>
            <w:r>
              <w:rPr>
                <w:sz w:val="17"/>
              </w:rPr>
              <w:t>22,632</w:t>
            </w:r>
          </w:p>
        </w:tc>
        <w:tc>
          <w:tcPr>
            <w:tcW w:type="dxa" w:w="1440"/>
            <w:shd w:fill="C6EFCE" w:val="clear"/>
          </w:tcPr>
          <w:p>
            <w:r>
              <w:rPr>
                <w:b/>
                <w:color w:val="008000"/>
                <w:sz w:val="17"/>
              </w:rPr>
              <w:t>+4.0%</w:t>
            </w:r>
          </w:p>
        </w:tc>
      </w:tr>
      <w:tr>
        <w:tc>
          <w:tcPr>
            <w:tcW w:type="dxa" w:w="1440"/>
            <w:shd w:fill="C6EFCE" w:val="clear"/>
          </w:tcPr>
          <w:p>
            <w:r>
              <w:rPr>
                <w:sz w:val="17"/>
              </w:rPr>
              <w:t>J+2  ⭐</w:t>
            </w:r>
          </w:p>
        </w:tc>
        <w:tc>
          <w:tcPr>
            <w:tcW w:type="dxa" w:w="1440"/>
            <w:shd w:fill="C6EFCE" w:val="clear"/>
          </w:tcPr>
          <w:p>
            <w:r>
              <w:rPr>
                <w:sz w:val="17"/>
              </w:rPr>
              <w:t>2026-09-23</w:t>
            </w:r>
          </w:p>
        </w:tc>
        <w:tc>
          <w:tcPr>
            <w:tcW w:type="dxa" w:w="1440"/>
            <w:shd w:fill="C6EFCE" w:val="clear"/>
          </w:tcPr>
          <w:p>
            <w:r>
              <w:rPr>
                <w:sz w:val="17"/>
              </w:rPr>
              <w:t>20,621</w:t>
            </w:r>
          </w:p>
        </w:tc>
        <w:tc>
          <w:tcPr>
            <w:tcW w:type="dxa" w:w="1440"/>
            <w:shd w:fill="C6EFCE" w:val="clear"/>
          </w:tcPr>
          <w:p>
            <w:r>
              <w:rPr>
                <w:b/>
                <w:sz w:val="17"/>
              </w:rPr>
              <w:t>21,748</w:t>
            </w:r>
          </w:p>
        </w:tc>
        <w:tc>
          <w:tcPr>
            <w:tcW w:type="dxa" w:w="1440"/>
            <w:shd w:fill="C6EFCE" w:val="clear"/>
          </w:tcPr>
          <w:p>
            <w:r>
              <w:rPr>
                <w:sz w:val="17"/>
              </w:rPr>
              <w:t>22,875</w:t>
            </w:r>
          </w:p>
        </w:tc>
        <w:tc>
          <w:tcPr>
            <w:tcW w:type="dxa" w:w="1440"/>
            <w:shd w:fill="C6EFCE" w:val="clear"/>
          </w:tcPr>
          <w:p>
            <w:r>
              <w:rPr>
                <w:b/>
                <w:color w:val="008000"/>
                <w:sz w:val="17"/>
              </w:rPr>
              <w:t>+3.6%</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20,355</w:t>
            </w:r>
          </w:p>
        </w:tc>
        <w:tc>
          <w:tcPr>
            <w:tcW w:type="dxa" w:w="1440"/>
            <w:shd w:fill="C6EFCE" w:val="clear"/>
          </w:tcPr>
          <w:p>
            <w:r>
              <w:rPr>
                <w:b/>
                <w:sz w:val="17"/>
              </w:rPr>
              <w:t>21,734</w:t>
            </w:r>
          </w:p>
        </w:tc>
        <w:tc>
          <w:tcPr>
            <w:tcW w:type="dxa" w:w="1440"/>
            <w:shd w:fill="C6EFCE" w:val="clear"/>
          </w:tcPr>
          <w:p>
            <w:r>
              <w:rPr>
                <w:sz w:val="17"/>
              </w:rPr>
              <w:t>23,113</w:t>
            </w:r>
          </w:p>
        </w:tc>
        <w:tc>
          <w:tcPr>
            <w:tcW w:type="dxa" w:w="1440"/>
            <w:shd w:fill="C6EFCE" w:val="clear"/>
          </w:tcPr>
          <w:p>
            <w:r>
              <w:rPr>
                <w:b/>
                <w:color w:val="008000"/>
                <w:sz w:val="17"/>
              </w:rPr>
              <w:t>+3.5%</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20,138</w:t>
            </w:r>
          </w:p>
        </w:tc>
        <w:tc>
          <w:tcPr>
            <w:tcW w:type="dxa" w:w="1440"/>
            <w:shd w:fill="C6EFCE" w:val="clear"/>
          </w:tcPr>
          <w:p>
            <w:r>
              <w:rPr>
                <w:b/>
                <w:sz w:val="17"/>
              </w:rPr>
              <w:t>21,730</w:t>
            </w:r>
          </w:p>
        </w:tc>
        <w:tc>
          <w:tcPr>
            <w:tcW w:type="dxa" w:w="1440"/>
            <w:shd w:fill="C6EFCE" w:val="clear"/>
          </w:tcPr>
          <w:p>
            <w:r>
              <w:rPr>
                <w:sz w:val="17"/>
              </w:rPr>
              <w:t>23,322</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19,947</w:t>
            </w:r>
          </w:p>
        </w:tc>
        <w:tc>
          <w:tcPr>
            <w:tcW w:type="dxa" w:w="1440"/>
            <w:shd w:fill="C6EFCE" w:val="clear"/>
          </w:tcPr>
          <w:p>
            <w:r>
              <w:rPr>
                <w:b/>
                <w:sz w:val="17"/>
              </w:rPr>
              <w:t>21,727</w:t>
            </w:r>
          </w:p>
        </w:tc>
        <w:tc>
          <w:tcPr>
            <w:tcW w:type="dxa" w:w="1440"/>
            <w:shd w:fill="C6EFCE" w:val="clear"/>
          </w:tcPr>
          <w:p>
            <w:r>
              <w:rPr>
                <w:sz w:val="17"/>
              </w:rPr>
              <w:t>23,507</w:t>
            </w:r>
          </w:p>
        </w:tc>
        <w:tc>
          <w:tcPr>
            <w:tcW w:type="dxa" w:w="1440"/>
            <w:shd w:fill="C6EFCE" w:val="clear"/>
          </w:tcPr>
          <w:p>
            <w:r>
              <w:rPr>
                <w:b/>
                <w:color w:val="008000"/>
                <w:sz w:val="17"/>
              </w:rPr>
              <w:t>+3.5%</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19,774</w:t>
            </w:r>
          </w:p>
        </w:tc>
        <w:tc>
          <w:tcPr>
            <w:tcW w:type="dxa" w:w="1440"/>
            <w:shd w:fill="C6EFCE" w:val="clear"/>
          </w:tcPr>
          <w:p>
            <w:r>
              <w:rPr>
                <w:b/>
                <w:sz w:val="17"/>
              </w:rPr>
              <w:t>21,723</w:t>
            </w:r>
          </w:p>
        </w:tc>
        <w:tc>
          <w:tcPr>
            <w:tcW w:type="dxa" w:w="1440"/>
            <w:shd w:fill="C6EFCE" w:val="clear"/>
          </w:tcPr>
          <w:p>
            <w:r>
              <w:rPr>
                <w:sz w:val="17"/>
              </w:rPr>
              <w:t>23,673</w:t>
            </w:r>
          </w:p>
        </w:tc>
        <w:tc>
          <w:tcPr>
            <w:tcW w:type="dxa" w:w="1440"/>
            <w:shd w:fill="C6EFCE" w:val="clear"/>
          </w:tcPr>
          <w:p>
            <w:r>
              <w:rPr>
                <w:b/>
                <w:color w:val="008000"/>
                <w:sz w:val="17"/>
              </w:rPr>
              <w:t>+3.4%</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19,615</w:t>
            </w:r>
          </w:p>
        </w:tc>
        <w:tc>
          <w:tcPr>
            <w:tcW w:type="dxa" w:w="1440"/>
            <w:shd w:fill="C6EFCE" w:val="clear"/>
          </w:tcPr>
          <w:p>
            <w:r>
              <w:rPr>
                <w:b/>
                <w:sz w:val="17"/>
              </w:rPr>
              <w:t>21,720</w:t>
            </w:r>
          </w:p>
        </w:tc>
        <w:tc>
          <w:tcPr>
            <w:tcW w:type="dxa" w:w="1440"/>
            <w:shd w:fill="C6EFCE" w:val="clear"/>
          </w:tcPr>
          <w:p>
            <w:r>
              <w:rPr>
                <w:sz w:val="17"/>
              </w:rPr>
              <w:t>23,825</w:t>
            </w:r>
          </w:p>
        </w:tc>
        <w:tc>
          <w:tcPr>
            <w:tcW w:type="dxa" w:w="1440"/>
            <w:shd w:fill="C6EFCE" w:val="clear"/>
          </w:tcPr>
          <w:p>
            <w:r>
              <w:rPr>
                <w:b/>
                <w:color w:val="008000"/>
                <w:sz w:val="17"/>
              </w:rPr>
              <w:t>+3.4%</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19,466</w:t>
            </w:r>
          </w:p>
        </w:tc>
        <w:tc>
          <w:tcPr>
            <w:tcW w:type="dxa" w:w="1440"/>
            <w:shd w:fill="C6EFCE" w:val="clear"/>
          </w:tcPr>
          <w:p>
            <w:r>
              <w:rPr>
                <w:b/>
                <w:sz w:val="17"/>
              </w:rPr>
              <w:t>21,716</w:t>
            </w:r>
          </w:p>
        </w:tc>
        <w:tc>
          <w:tcPr>
            <w:tcW w:type="dxa" w:w="1440"/>
            <w:shd w:fill="C6EFCE" w:val="clear"/>
          </w:tcPr>
          <w:p>
            <w:r>
              <w:rPr>
                <w:sz w:val="17"/>
              </w:rPr>
              <w:t>23,967</w:t>
            </w:r>
          </w:p>
        </w:tc>
        <w:tc>
          <w:tcPr>
            <w:tcW w:type="dxa" w:w="1440"/>
            <w:shd w:fill="C6EFCE" w:val="clear"/>
          </w:tcPr>
          <w:p>
            <w:r>
              <w:rPr>
                <w:b/>
                <w:color w:val="008000"/>
                <w:sz w:val="17"/>
              </w:rPr>
              <w:t>+3.4%</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19,327</w:t>
            </w:r>
          </w:p>
        </w:tc>
        <w:tc>
          <w:tcPr>
            <w:tcW w:type="dxa" w:w="1440"/>
            <w:shd w:fill="C6EFCE" w:val="clear"/>
          </w:tcPr>
          <w:p>
            <w:r>
              <w:rPr>
                <w:b/>
                <w:sz w:val="17"/>
              </w:rPr>
              <w:t>21,713</w:t>
            </w:r>
          </w:p>
        </w:tc>
        <w:tc>
          <w:tcPr>
            <w:tcW w:type="dxa" w:w="1440"/>
            <w:shd w:fill="C6EFCE" w:val="clear"/>
          </w:tcPr>
          <w:p>
            <w:r>
              <w:rPr>
                <w:sz w:val="17"/>
              </w:rPr>
              <w:t>24,100</w:t>
            </w:r>
          </w:p>
        </w:tc>
        <w:tc>
          <w:tcPr>
            <w:tcW w:type="dxa" w:w="1440"/>
            <w:shd w:fill="C6EFCE" w:val="clear"/>
          </w:tcPr>
          <w:p>
            <w:r>
              <w:rPr>
                <w:b/>
                <w:color w:val="008000"/>
                <w:sz w:val="17"/>
              </w:rPr>
              <w:t>+3.4%</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19,194</w:t>
            </w:r>
          </w:p>
        </w:tc>
        <w:tc>
          <w:tcPr>
            <w:tcW w:type="dxa" w:w="1440"/>
            <w:shd w:fill="C6EFCE" w:val="clear"/>
          </w:tcPr>
          <w:p>
            <w:r>
              <w:rPr>
                <w:b/>
                <w:sz w:val="17"/>
              </w:rPr>
              <w:t>21,710</w:t>
            </w:r>
          </w:p>
        </w:tc>
        <w:tc>
          <w:tcPr>
            <w:tcW w:type="dxa" w:w="1440"/>
            <w:shd w:fill="C6EFCE" w:val="clear"/>
          </w:tcPr>
          <w:p>
            <w:r>
              <w:rPr>
                <w:sz w:val="17"/>
              </w:rPr>
              <w:t>24,225</w:t>
            </w:r>
          </w:p>
        </w:tc>
        <w:tc>
          <w:tcPr>
            <w:tcW w:type="dxa" w:w="1440"/>
            <w:shd w:fill="C6EFCE" w:val="clear"/>
          </w:tcPr>
          <w:p>
            <w:r>
              <w:rPr>
                <w:b/>
                <w:color w:val="008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ORAC (Orange Côte d'Ivoire)</w:t>
        <w:br/>
        <w:t>**Bourse Régionale des Valeurs Mobilières (BRVM) — Secteur : Télécommunications**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3 163,76 milliards FCFA, ORAC s'impose comme l'une des toutes premières capitalisations de la BRVM, représentant à elle seule une part significative de la capitalisation totale du marché régional (elle pesait déjà 26 % de la cote en 2024 selon le rapport annuel 2024). Le BPA de 1 114 FCFA/action signifie que chaque titre génère un peu plus d'un millier de francs de bénéfice, ce qui, rapporté au cours actuel de 21 000 FCFA, donne un PER de 18,9x — nettement supérieur à la moyenne du marché BRVM (8-12x), traduisant une prime de qualité que les investisseurs acceptent de payer pour ce leader télécom. Le P/B de 4,47x confirme cette valorisation exigeante : le marché valorise ORAC à plus de quatre fois ses fonds propres comptables, ce qui se justifie par la forte rentabilité des capitaux propres (ROE de 23,7 %) mais laisse peu de marge d'erreur. Enfin, l'EV/EBITDA de 7,5x, situé dans la fourchette raisonnable de 5-10x, indique que la valeur d'entreprise reste cohérente avec la capacité opérationnelle de génération de cash-flows, offrant un contrepoids rassurant à la cherté relative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 enregistré une progression spectaculaire de **+43,34 %**, passant d'un plus bas de 14 650 FCFA à un plus haut de 22 500 FCFA, avant de clôturer à 21 000 FCFA — soit un recul de **-5,41 %** sur la dernière séance, signe d'une prise de bénéfices après un rallye soutenu. Le range de trading de 7 850 FCFA (soit environ 54 % du plus bas) témoigne d'une tendance nettement haussière sur la période, mais la correction récente invite à la prudence sur le très court terme. Les statistiques descriptives révèlent une distribution asymétrique : la moyenne (17 408 FCFA) dépasse la médiane (16 650 FCFA) et le mode (16 000 FCFA), ce qui, combiné à un skewness positif de 1,053, indique que le cours a passé plus de journées sous sa moyenne, les poussées haussières étant concentrées sur quelques séances explosives. L'écart-type de 2 376 FCFA (CV = 13,6 %) traduit une dispersion modérée autour de la moyenne, tandis que le kurtosis de -0,387 (mésokurtique) suggère une distribution proche de la normale, sans risque excessif de pics extrêmes. Avec une volatilité annualisée de 31,2 %, ORAC se situe à la frontière d'une volatilité modérée à élevée (&gt;30 %), ce qui est cohérent avec un titre ayant connu une forte appréciation récente et désormais exposé à des corrections techniques.</w:t>
      </w:r>
    </w:p>
    <w:p>
      <w:pPr>
        <w:spacing w:after="120" w:line="276" w:lineRule="auto"/>
      </w:pPr>
      <w:r>
        <w:t>---</w:t>
      </w:r>
    </w:p>
    <w:p>
      <w:pPr>
        <w:spacing w:after="120" w:line="276" w:lineRule="auto"/>
      </w:pPr>
      <w:r>
        <w:t>## PARTIE 2 : ANALYSE TECHNIQUE DÉTAILLÉE</w:t>
      </w:r>
    </w:p>
    <w:p>
      <w:pPr>
        <w:spacing w:after="120" w:line="276" w:lineRule="auto"/>
      </w:pPr>
      <w:r>
        <w:t>**Moyennes Mobiles** — La MM20 (21 646,5 FCFA) et la MM50 (18 975,6 FCFA) se situent toutes deux sous le cours actuel de 21 000 FCFA pour la MM50, mais la MM20 est légèrement au-dessus, ce qui signale un essoufflement de la dynamique haussière de court terme. La configuration MM20 &gt; MM50 reste haussière (golden cross), justifiant la décision d'**Achat** malgré la correction récente.</w:t>
      </w:r>
    </w:p>
    <w:p>
      <w:pPr>
        <w:spacing w:after="120" w:line="276" w:lineRule="auto"/>
      </w:pPr>
      <w:r>
        <w:t>**Bandes de Bollinger** — Le cours (21 000 FCFA) évolue entre la borne inférieure (20 411,4 FCFA) et la borne supérieure (22 881,6 FCFA), plus proche du bas que du haut, ce qui traduit une pression vendeuse récente. L'absence de rupture des bornes et la décision **Neutre** indiquent que le titre est en phase de consolidation, sans signal directionnel fort.</w:t>
      </w:r>
    </w:p>
    <w:p>
      <w:pPr>
        <w:spacing w:after="120" w:line="276" w:lineRule="auto"/>
      </w:pPr>
      <w:r>
        <w:t>**MACD** — La valeur du MACD (847,7) est inférieure à son signal (1 036,1), confirmant un croisement baissier et une perte de momentum. Cette divergence négative justifie la décision de **Vente** à court terme, bien que le MACD reste en territoire positif, ce qui limite la portée du signal.</w:t>
      </w:r>
    </w:p>
    <w:p>
      <w:pPr>
        <w:spacing w:after="120" w:line="276" w:lineRule="auto"/>
      </w:pPr>
      <w:r>
        <w:t>**RSI** — À 44,8, le RSI se situe en zone neutre (30-70), sans suracheté ni survente, ce qui reflète un équilibre entre acheteurs et vendeurs après la correction. La décision **Neutre** est cohérente avec cette absence de signal extrême.</w:t>
      </w:r>
    </w:p>
    <w:p>
      <w:pPr>
        <w:spacing w:after="120" w:line="276" w:lineRule="auto"/>
      </w:pPr>
      <w:r>
        <w:t>**Stochastique** — Le %K à 0,0 (survente extrême) contraste avec le %D à 53,3, suggérant un possible rebond technique à très court terme si le %K amorce un croisement haussier. La décision d'**Achat** repose sur cette configuration de survente, mais la divergence avec le %D appelle à la prudence.</w:t>
      </w:r>
    </w:p>
    <w:p>
      <w:pPr>
        <w:spacing w:after="120" w:line="276" w:lineRule="auto"/>
      </w:pPr>
      <w:r>
        <w:t>**Conclusion technique** — Les indicateurs sont mitigés : les moyennes mobiles restent haussières (Achat), le MACD est baissier (Vente), le RSI et les Bollinger sont neutres, et le stochastique signale une survente propice à un rebond. Cette divergence suggère une phase de consolidation avec un biais haussier de moyen terme, mais une prudence de court terme est recommandée.</w:t>
      </w:r>
    </w:p>
    <w:p>
      <w:pPr>
        <w:spacing w:after="120" w:line="276" w:lineRule="auto"/>
      </w:pPr>
      <w:r>
        <w:t>---</w:t>
      </w:r>
    </w:p>
    <w:p>
      <w:pPr>
        <w:spacing w:after="120" w:line="276" w:lineRule="auto"/>
      </w:pPr>
      <w:r>
        <w:t>## PARTIE 3 : ANALYSE FONDAMENTALE</w:t>
      </w:r>
    </w:p>
    <w:p>
      <w:pPr>
        <w:spacing w:after="120" w:line="276" w:lineRule="auto"/>
      </w:pPr>
      <w:r>
        <w:t>En 2025, ORAC a réalisé un chiffre d'affaires consolidé de **1 197,1 milliards FCFA**, en hausse de **+10,4 %** par rapport à 2024 (1 084,1 milliards FCFA), porté par la dynamique des trois filiales (Côte d'Ivoire, Burkina Faso, Libéria) et la performance d'Orange Money et de la fibre. Le résultat net consolidé s'établit à **167,8 milliards FCFA** (+6,1 %), tandis que le résultat net part du groupe atteint **129,1 milliards FCFA** (+14,5 %), et le ROE ressort à **23,7 %** (excellent, &gt;15 %), confirmant la forte rentabilité des fonds propres. Le ROA de **6,57 %** et la marge nette de **14,0 %** témoignent d'une gestion opérationnelle solide, bien que la marge d'EBITDAaL se contracte légèrement à **35,4 %** (contre 36,0 % en 2024) sous l'effet de la pression fiscale et des charges financières. Sur le plan structurel, l'autonomie financière de **27,7 %** (capitaux propres/total bilan) est légèrement inférieure au seuil de 30 % considéré comme sain, et le ratio d'endettement de **47,5 %** reste maîtrisé, avec une capacité de remboursement de **0,99 an** (dettes financières/CAF) et une couverture des intérêts de **1 018 %**, très confortable. Le BFR est **négatif (-198 milliards FCFA)**, ce qui est favorable car il signifie que les fournisseurs financent une partie du cycle d'exploitation (délai fournisseurs de 210,9 jours contre 52,3 jours pour les clients), mais le délai client de 52,3 jours reste un point de vigilance pour la trésorerie. Les rapports trimestriels récents confirment cette dynamique : au **T1 2026 (rapport du 31 mars 2026)**, le CA progresse de **+14,8 %** à 325,6 milliards FCFA et le résultat net bondit de **+25,2 %** à 48,3 milliards FCFA, avec une marge nette en amélioration à **14,8 %** — un signal très positif qui suggère une accélération de la rentabilité en 2026. Sur la base de ce T1 2026, on peut estimer que l'exercice 2026 devrait afficher une croissance du CA supérieure à 12 % et un résultat net en progression à deux chiffres, soutenu par l'effet de levier opérationnel et la maîtrise des coûts. La politique de dividende, avec un DPA brut de **800 FCFA** (rendement d'environ 3,8 % au cours actuel), marque un recentrage vers un payout plus soutenable (93,3 % du résultat net part du groupe), privilégiant l'autofinancement des investissements (184,2 milliards FCFA en 2025). En synthèse, ORAC affiche des fondamentaux solides (croissance à deux chiffres, ROE élevé, BFR négatif), mais les risques liés à la pression fiscale, à la concurrence et à la baisse du dividende doivent être surveillés.</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le PER de 18,9x et le P/B de 4,47x indiquent une **surévaluation relative** par rapport au marché BRVM, mais l'EV/EBITDA de 7,5x reste raisonnable, ce qui suggère que la prime de qualité est justifiée par la solidité des cash-flows. Le comportement du cours (Partie 1) est haussier sur 100 jours (+43,34 %), mais la correction de -5,41 % sur la dernière séance et le skewness positif (1,053) indiquent que le titre a concentré ses gains sur quelques séances et pourrait être vulnérable à une consolidation ; la volatilité de 31,2 % est modérée à élevée, ce qui appelle à la prudence à court terme. Les signaux techniques (Partie 2) sont divergents : les moyennes mobiles restent haussières (Achat), mais le MACD est baissier (Vente) et le RSI neutre, tandis que le stochastique signale une survente propice à un rebond — cette divergence plaide pour une **consolidation avant une reprise**. Les fondamentaux (Partie 3) sont solides : croissance du CA de +10,4 % en 2025, ROE de 23,7 %, BFR négatif, et surtout un T1 2026 exceptionnel (+14,8 % de CA, +25,2 % de résultat net) qui suggère une accélération en 2026. Les prédictions IA (J+1 à J+10) anticipent une légère baisse vers 21 727-21 833 FCFA, ce qui **contredit** le signal d'achat technique à court terme mais **confirme** la phase de consolidation attendue. Sur la base de cette synthèse, la recommandation finale est **CONSERVER** avec un biais haussier : la convergence entre des fondamentaux solides (T1 2026 excellent), une valorisation exigeante mais justifiée par la qualité, et une technique en consolidation suggère d'attendre une correction plus prononcée (vers 20 000-20 500 FCFA) pour renforcer, ou de conserver les titres en portefeuille pour capter la croissance de moyen terme. Le niveau de confiance est **Moyen** (divergence technique vs fondamental), le risque global est **Moyen** (volatilité modérée à élevée, pression fiscale), et l'horizon d'investissement optimal est le **moyen terme (3-12 mois)**, le temps que les investissements de 2025 (fibre, 4G/5G) se traduisent en croissance durable des bénéfices.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217.27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5,350 titres</w:t>
            </w:r>
          </w:p>
        </w:tc>
        <w:tc>
          <w:tcPr>
            <w:tcW w:type="dxa" w:w="2268"/>
            <w:shd w:fill="FFF2CC" w:val="clear"/>
          </w:tcPr>
          <w:p>
            <w:r>
              <w:rPr>
                <w:b/>
                <w:color w:val="503200"/>
                <w:sz w:val="16"/>
              </w:rPr>
              <w:t xml:space="preserve">Cours actuel : </w:t>
            </w:r>
            <w:r>
              <w:rPr>
                <w:color w:val="000000"/>
                <w:sz w:val="17"/>
              </w:rPr>
              <w:t>3,130 FCFA</w:t>
            </w:r>
          </w:p>
          <w:p>
            <w:r>
              <w:rPr>
                <w:b/>
                <w:color w:val="503200"/>
                <w:sz w:val="16"/>
              </w:rPr>
              <w:t xml:space="preserve">Var. 100 jours : </w:t>
            </w:r>
            <w:r>
              <w:rPr>
                <w:b/>
                <w:color w:val="B40000"/>
                <w:sz w:val="17"/>
              </w:rPr>
              <w:t>-6.29%</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9.13% (Moyenne) — μ=2,908 FCFA, σ=265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β=0.1616 (Défensif) — Cov=0.000006, Var(idx)=0.000040, ρ=0.038,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3,102</w:t>
            </w:r>
          </w:p>
        </w:tc>
        <w:tc>
          <w:tcPr>
            <w:tcW w:type="dxa" w:w="1440"/>
            <w:shd w:fill="FAFAFA" w:val="clear"/>
          </w:tcPr>
          <w:p>
            <w:r>
              <w:rPr>
                <w:b/>
                <w:sz w:val="17"/>
              </w:rPr>
              <w:t>3,187</w:t>
            </w:r>
          </w:p>
        </w:tc>
        <w:tc>
          <w:tcPr>
            <w:tcW w:type="dxa" w:w="1440"/>
            <w:shd w:fill="FAFAFA" w:val="clear"/>
          </w:tcPr>
          <w:p>
            <w:r>
              <w:rPr>
                <w:sz w:val="17"/>
              </w:rPr>
              <w:t>3,272</w:t>
            </w:r>
          </w:p>
        </w:tc>
        <w:tc>
          <w:tcPr>
            <w:tcW w:type="dxa" w:w="1440"/>
            <w:shd w:fill="FAFAFA" w:val="clear"/>
          </w:tcPr>
          <w:p>
            <w:r>
              <w:rPr>
                <w:b/>
                <w:color w:val="008000"/>
                <w:sz w:val="17"/>
              </w:rPr>
              <w:t>+1.8%</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3,067</w:t>
            </w:r>
          </w:p>
        </w:tc>
        <w:tc>
          <w:tcPr>
            <w:tcW w:type="dxa" w:w="1440"/>
            <w:shd w:fill="FAFAFA" w:val="clear"/>
          </w:tcPr>
          <w:p>
            <w:r>
              <w:rPr>
                <w:b/>
                <w:sz w:val="17"/>
              </w:rPr>
              <w:t>3,188</w:t>
            </w:r>
          </w:p>
        </w:tc>
        <w:tc>
          <w:tcPr>
            <w:tcW w:type="dxa" w:w="1440"/>
            <w:shd w:fill="FAFAFA" w:val="clear"/>
          </w:tcPr>
          <w:p>
            <w:r>
              <w:rPr>
                <w:sz w:val="17"/>
              </w:rPr>
              <w:t>3,309</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3,046</w:t>
            </w:r>
          </w:p>
        </w:tc>
        <w:tc>
          <w:tcPr>
            <w:tcW w:type="dxa" w:w="1440"/>
            <w:shd w:fill="C6EFCE" w:val="clear"/>
          </w:tcPr>
          <w:p>
            <w:r>
              <w:rPr>
                <w:b/>
                <w:sz w:val="17"/>
              </w:rPr>
              <w:t>3,194</w:t>
            </w:r>
          </w:p>
        </w:tc>
        <w:tc>
          <w:tcPr>
            <w:tcW w:type="dxa" w:w="1440"/>
            <w:shd w:fill="C6EFCE" w:val="clear"/>
          </w:tcPr>
          <w:p>
            <w:r>
              <w:rPr>
                <w:sz w:val="17"/>
              </w:rPr>
              <w:t>3,342</w:t>
            </w:r>
          </w:p>
        </w:tc>
        <w:tc>
          <w:tcPr>
            <w:tcW w:type="dxa" w:w="1440"/>
            <w:shd w:fill="C6EFCE" w:val="clear"/>
          </w:tcPr>
          <w:p>
            <w:r>
              <w:rPr>
                <w:b/>
                <w:color w:val="008000"/>
                <w:sz w:val="17"/>
              </w:rPr>
              <w:t>+2.0%</w:t>
            </w:r>
          </w:p>
        </w:tc>
      </w:tr>
      <w:tr>
        <w:tc>
          <w:tcPr>
            <w:tcW w:type="dxa" w:w="1440"/>
            <w:shd w:fill="C6EFCE" w:val="clear"/>
          </w:tcPr>
          <w:p>
            <w:r>
              <w:rPr>
                <w:sz w:val="17"/>
              </w:rPr>
              <w:t>J+4  Moyenne</w:t>
            </w:r>
          </w:p>
        </w:tc>
        <w:tc>
          <w:tcPr>
            <w:tcW w:type="dxa" w:w="1440"/>
            <w:shd w:fill="C6EFCE" w:val="clear"/>
          </w:tcPr>
          <w:p>
            <w:r>
              <w:rPr>
                <w:sz w:val="17"/>
              </w:rPr>
              <w:t>2026-09-25</w:t>
            </w:r>
          </w:p>
        </w:tc>
        <w:tc>
          <w:tcPr>
            <w:tcW w:type="dxa" w:w="1440"/>
            <w:shd w:fill="C6EFCE" w:val="clear"/>
          </w:tcPr>
          <w:p>
            <w:r>
              <w:rPr>
                <w:sz w:val="17"/>
              </w:rPr>
              <w:t>3,028</w:t>
            </w:r>
          </w:p>
        </w:tc>
        <w:tc>
          <w:tcPr>
            <w:tcW w:type="dxa" w:w="1440"/>
            <w:shd w:fill="C6EFCE" w:val="clear"/>
          </w:tcPr>
          <w:p>
            <w:r>
              <w:rPr>
                <w:b/>
                <w:sz w:val="17"/>
              </w:rPr>
              <w:t>3,199</w:t>
            </w:r>
          </w:p>
        </w:tc>
        <w:tc>
          <w:tcPr>
            <w:tcW w:type="dxa" w:w="1440"/>
            <w:shd w:fill="C6EFCE" w:val="clear"/>
          </w:tcPr>
          <w:p>
            <w:r>
              <w:rPr>
                <w:sz w:val="17"/>
              </w:rPr>
              <w:t>3,370</w:t>
            </w:r>
          </w:p>
        </w:tc>
        <w:tc>
          <w:tcPr>
            <w:tcW w:type="dxa" w:w="1440"/>
            <w:shd w:fill="C6EFCE" w:val="clear"/>
          </w:tcPr>
          <w:p>
            <w:r>
              <w:rPr>
                <w:b/>
                <w:color w:val="008000"/>
                <w:sz w:val="17"/>
              </w:rPr>
              <w:t>+2.2%</w:t>
            </w:r>
          </w:p>
        </w:tc>
      </w:tr>
      <w:tr>
        <w:tc>
          <w:tcPr>
            <w:tcW w:type="dxa" w:w="1440"/>
            <w:shd w:fill="C6EFCE" w:val="clear"/>
          </w:tcPr>
          <w:p>
            <w:r>
              <w:rPr>
                <w:sz w:val="17"/>
              </w:rPr>
              <w:t>J+5  Moyenne</w:t>
            </w:r>
          </w:p>
        </w:tc>
        <w:tc>
          <w:tcPr>
            <w:tcW w:type="dxa" w:w="1440"/>
            <w:shd w:fill="C6EFCE" w:val="clear"/>
          </w:tcPr>
          <w:p>
            <w:r>
              <w:rPr>
                <w:sz w:val="17"/>
              </w:rPr>
              <w:t>2026-09-28</w:t>
            </w:r>
          </w:p>
        </w:tc>
        <w:tc>
          <w:tcPr>
            <w:tcW w:type="dxa" w:w="1440"/>
            <w:shd w:fill="C6EFCE" w:val="clear"/>
          </w:tcPr>
          <w:p>
            <w:r>
              <w:rPr>
                <w:sz w:val="17"/>
              </w:rPr>
              <w:t>3,011</w:t>
            </w:r>
          </w:p>
        </w:tc>
        <w:tc>
          <w:tcPr>
            <w:tcW w:type="dxa" w:w="1440"/>
            <w:shd w:fill="C6EFCE" w:val="clear"/>
          </w:tcPr>
          <w:p>
            <w:r>
              <w:rPr>
                <w:b/>
                <w:sz w:val="17"/>
              </w:rPr>
              <w:t>3,203</w:t>
            </w:r>
          </w:p>
        </w:tc>
        <w:tc>
          <w:tcPr>
            <w:tcW w:type="dxa" w:w="1440"/>
            <w:shd w:fill="C6EFCE" w:val="clear"/>
          </w:tcPr>
          <w:p>
            <w:r>
              <w:rPr>
                <w:sz w:val="17"/>
              </w:rPr>
              <w:t>3,394</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2026-09-29</w:t>
            </w:r>
          </w:p>
        </w:tc>
        <w:tc>
          <w:tcPr>
            <w:tcW w:type="dxa" w:w="1440"/>
            <w:shd w:fill="C6EFCE" w:val="clear"/>
          </w:tcPr>
          <w:p>
            <w:r>
              <w:rPr>
                <w:sz w:val="17"/>
              </w:rPr>
              <w:t>2,996</w:t>
            </w:r>
          </w:p>
        </w:tc>
        <w:tc>
          <w:tcPr>
            <w:tcW w:type="dxa" w:w="1440"/>
            <w:shd w:fill="C6EFCE" w:val="clear"/>
          </w:tcPr>
          <w:p>
            <w:r>
              <w:rPr>
                <w:b/>
                <w:sz w:val="17"/>
              </w:rPr>
              <w:t>3,206</w:t>
            </w:r>
          </w:p>
        </w:tc>
        <w:tc>
          <w:tcPr>
            <w:tcW w:type="dxa" w:w="1440"/>
            <w:shd w:fill="C6EFCE" w:val="clear"/>
          </w:tcPr>
          <w:p>
            <w:r>
              <w:rPr>
                <w:sz w:val="17"/>
              </w:rPr>
              <w:t>3,416</w:t>
            </w:r>
          </w:p>
        </w:tc>
        <w:tc>
          <w:tcPr>
            <w:tcW w:type="dxa" w:w="1440"/>
            <w:shd w:fill="C6EFCE" w:val="clear"/>
          </w:tcPr>
          <w:p>
            <w:r>
              <w:rPr>
                <w:b/>
                <w:color w:val="008000"/>
                <w:sz w:val="17"/>
              </w:rPr>
              <w:t>+2.4%</w:t>
            </w:r>
          </w:p>
        </w:tc>
      </w:tr>
      <w:tr>
        <w:tc>
          <w:tcPr>
            <w:tcW w:type="dxa" w:w="1440"/>
            <w:shd w:fill="C6EFCE" w:val="clear"/>
          </w:tcPr>
          <w:p>
            <w:r>
              <w:rPr>
                <w:sz w:val="17"/>
              </w:rPr>
              <w:t>J+7  Moyenne</w:t>
            </w:r>
          </w:p>
        </w:tc>
        <w:tc>
          <w:tcPr>
            <w:tcW w:type="dxa" w:w="1440"/>
            <w:shd w:fill="C6EFCE" w:val="clear"/>
          </w:tcPr>
          <w:p>
            <w:r>
              <w:rPr>
                <w:sz w:val="17"/>
              </w:rPr>
              <w:t>2026-09-30</w:t>
            </w:r>
          </w:p>
        </w:tc>
        <w:tc>
          <w:tcPr>
            <w:tcW w:type="dxa" w:w="1440"/>
            <w:shd w:fill="C6EFCE" w:val="clear"/>
          </w:tcPr>
          <w:p>
            <w:r>
              <w:rPr>
                <w:sz w:val="17"/>
              </w:rPr>
              <w:t>2,982</w:t>
            </w:r>
          </w:p>
        </w:tc>
        <w:tc>
          <w:tcPr>
            <w:tcW w:type="dxa" w:w="1440"/>
            <w:shd w:fill="C6EFCE" w:val="clear"/>
          </w:tcPr>
          <w:p>
            <w:r>
              <w:rPr>
                <w:b/>
                <w:sz w:val="17"/>
              </w:rPr>
              <w:t>3,209</w:t>
            </w:r>
          </w:p>
        </w:tc>
        <w:tc>
          <w:tcPr>
            <w:tcW w:type="dxa" w:w="1440"/>
            <w:shd w:fill="C6EFCE" w:val="clear"/>
          </w:tcPr>
          <w:p>
            <w:r>
              <w:rPr>
                <w:sz w:val="17"/>
              </w:rPr>
              <w:t>3,437</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2026-10-01</w:t>
            </w:r>
          </w:p>
        </w:tc>
        <w:tc>
          <w:tcPr>
            <w:tcW w:type="dxa" w:w="1440"/>
            <w:shd w:fill="C6EFCE" w:val="clear"/>
          </w:tcPr>
          <w:p>
            <w:r>
              <w:rPr>
                <w:sz w:val="17"/>
              </w:rPr>
              <w:t>2,969</w:t>
            </w:r>
          </w:p>
        </w:tc>
        <w:tc>
          <w:tcPr>
            <w:tcW w:type="dxa" w:w="1440"/>
            <w:shd w:fill="C6EFCE" w:val="clear"/>
          </w:tcPr>
          <w:p>
            <w:r>
              <w:rPr>
                <w:b/>
                <w:sz w:val="17"/>
              </w:rPr>
              <w:t>3,212</w:t>
            </w:r>
          </w:p>
        </w:tc>
        <w:tc>
          <w:tcPr>
            <w:tcW w:type="dxa" w:w="1440"/>
            <w:shd w:fill="C6EFCE" w:val="clear"/>
          </w:tcPr>
          <w:p>
            <w:r>
              <w:rPr>
                <w:sz w:val="17"/>
              </w:rPr>
              <w:t>3,456</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2026-10-02</w:t>
            </w:r>
          </w:p>
        </w:tc>
        <w:tc>
          <w:tcPr>
            <w:tcW w:type="dxa" w:w="1440"/>
            <w:shd w:fill="C6EFCE" w:val="clear"/>
          </w:tcPr>
          <w:p>
            <w:r>
              <w:rPr>
                <w:sz w:val="17"/>
              </w:rPr>
              <w:t>2,957</w:t>
            </w:r>
          </w:p>
        </w:tc>
        <w:tc>
          <w:tcPr>
            <w:tcW w:type="dxa" w:w="1440"/>
            <w:shd w:fill="C6EFCE" w:val="clear"/>
          </w:tcPr>
          <w:p>
            <w:r>
              <w:rPr>
                <w:b/>
                <w:sz w:val="17"/>
              </w:rPr>
              <w:t>3,215</w:t>
            </w:r>
          </w:p>
        </w:tc>
        <w:tc>
          <w:tcPr>
            <w:tcW w:type="dxa" w:w="1440"/>
            <w:shd w:fill="C6EFCE" w:val="clear"/>
          </w:tcPr>
          <w:p>
            <w:r>
              <w:rPr>
                <w:sz w:val="17"/>
              </w:rPr>
              <w:t>3,474</w:t>
            </w:r>
          </w:p>
        </w:tc>
        <w:tc>
          <w:tcPr>
            <w:tcW w:type="dxa" w:w="1440"/>
            <w:shd w:fill="C6EFCE" w:val="clear"/>
          </w:tcPr>
          <w:p>
            <w:r>
              <w:rPr>
                <w:b/>
                <w:color w:val="008000"/>
                <w:sz w:val="17"/>
              </w:rPr>
              <w:t>+2.7%</w:t>
            </w:r>
          </w:p>
        </w:tc>
      </w:tr>
      <w:tr>
        <w:tc>
          <w:tcPr>
            <w:tcW w:type="dxa" w:w="1440"/>
            <w:shd w:fill="C6EFCE" w:val="clear"/>
          </w:tcPr>
          <w:p>
            <w:r>
              <w:rPr>
                <w:sz w:val="17"/>
              </w:rPr>
              <w:t>J+10  Moyenne</w:t>
            </w:r>
          </w:p>
        </w:tc>
        <w:tc>
          <w:tcPr>
            <w:tcW w:type="dxa" w:w="1440"/>
            <w:shd w:fill="C6EFCE" w:val="clear"/>
          </w:tcPr>
          <w:p>
            <w:r>
              <w:rPr>
                <w:sz w:val="17"/>
              </w:rPr>
              <w:t>2026-10-05</w:t>
            </w:r>
          </w:p>
        </w:tc>
        <w:tc>
          <w:tcPr>
            <w:tcW w:type="dxa" w:w="1440"/>
            <w:shd w:fill="C6EFCE" w:val="clear"/>
          </w:tcPr>
          <w:p>
            <w:r>
              <w:rPr>
                <w:sz w:val="17"/>
              </w:rPr>
              <w:t>2,946</w:t>
            </w:r>
          </w:p>
        </w:tc>
        <w:tc>
          <w:tcPr>
            <w:tcW w:type="dxa" w:w="1440"/>
            <w:shd w:fill="C6EFCE" w:val="clear"/>
          </w:tcPr>
          <w:p>
            <w:r>
              <w:rPr>
                <w:b/>
                <w:sz w:val="17"/>
              </w:rPr>
              <w:t>3,218</w:t>
            </w:r>
          </w:p>
        </w:tc>
        <w:tc>
          <w:tcPr>
            <w:tcW w:type="dxa" w:w="1440"/>
            <w:shd w:fill="C6EFCE" w:val="clear"/>
          </w:tcPr>
          <w:p>
            <w:r>
              <w:rPr>
                <w:sz w:val="17"/>
              </w:rPr>
              <w:t>3,491</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ORGT (ORAGROUP)</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217,27 milliards FCFA, ORGT se positionne parmi les valeurs bancaires de premier plan de la cote BRVM, reflétant un poids significatif dans l'indice sectoriel. Le BPA de 312 FCFA par action signifie que chaque titre génère un bénéfice net de 312 FCFA, ce qui, rapporté au cours actuel de 3 130 FCFA, donne un PER de 10,0x — un niveau modéré et parfaitement dans la fourchette moyenne du marché BRVM (8-12x), indiquant que les investisseurs ne paient ni prime excessive ni décote marquée pour les bénéfices. Le ratio P/B de 1,92x montre que le marché valorise l'action à près du double de sa valeur comptable, ce qui reste raisonnable pour une banque affichant un ROE de 19,1%, bien supérieur au coût des fonds propres. En revanche, l'EV/EBITDA de 19,9x apparaît très exigeant (&gt;15x), signalant que la valeur d'entreprise intègre une forte composante de dette (dépôts et dettes interbancaires) dans un modèle bancaire où cet indicateur est moins pertinent — sa lecture doit donc être nuancée pour ce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variation totale de **-6,29%**, avec une dernière séance en repli de **-2,34%**, traduisant une pression vendeuse récente. Le titre a évolué dans un range large de **2 435 FCFA (plus bas) à 3 475 FCFA (plus haut)**, soit une amplitude de plus de 1 000 FCFA qui témoigne d'une forte dispersion des prix. La tendance générale est baissière sur la période, le cours actuel (3 130 FCFA) se situant en retrait par rapport au sommet, mais nettement au-dessus du plancher. Les statistiques descriptives révèlent une **moyenne de 2 908 FCFA supérieure à la médiane de 2 780 FCFA**, signe d'une légère asymétrie positive portée par des pics hauts, confirmée par un skewness de 0,281 (distribution quasi symétrique). L'écart-type de 267 FCFA avec un **CV de 9,2%** indique une dispersion modérée autour de la moyenne, tandis que le **kurtosis de -1,320 (platykurtique)** signale une distribution aplatie, donc un risque de pics extrêmes plus faible qu'une loi normale. La **volatilité annualisée de 43,3%**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(3 237,5 FCFA) et la MM50 (3 046,5 FCFA) encadrent le cours actuel (3 130 FCFA), qui se situe sous la MM20 mais au-dessus de la MM50. Cette configuration indique un essoufflement de la dynamique haussière de court terme, mais la décision technique reste à l'**Achat** car le cours demeure soutenu par la MM50, suggérant que la tendance de fond n'est pas encore cassée.</w:t>
      </w:r>
    </w:p>
    <w:p>
      <w:pPr>
        <w:spacing w:after="120" w:line="276" w:lineRule="auto"/>
      </w:pPr>
      <w:r>
        <w:t>**Bandes de Bollinger** : Le cours (3 130 FCFA) évolue dans la partie basse du canal, entre la borne inférieure (3 083,79 FCFA) et la borne supérieure (3 391,21 FCFA), sans franchir les limites. Cette position médiane-basse, couplée à un écartement modéré des bandes, traduit une volatilité contenue et une absence de signal directionnel fort, d'où la décision **Neutre**.</w:t>
      </w:r>
    </w:p>
    <w:p>
      <w:pPr>
        <w:spacing w:after="120" w:line="276" w:lineRule="auto"/>
      </w:pPr>
      <w:r>
        <w:t>**MACD** : La valeur du MACD (42,775) est inférieure à son signal (67,851), avec un croisement baissier en cours. Cet écart négatif indique un **momentum affaibli** et une pression vendeuse dominante à court terme, justifiant la décision **Vente**.</w:t>
      </w:r>
    </w:p>
    <w:p>
      <w:pPr>
        <w:spacing w:after="120" w:line="276" w:lineRule="auto"/>
      </w:pPr>
      <w:r>
        <w:t>**RSI** : À 46,099, le RSI se situe dans la zone neutre (30-70), sans signal de surachat ni de survente. Cette position médiane reflète un équilibre entre acheteurs et vendeurs, d'où la décision **Neutre** — le titre n'est ni épuisé à la baisse ni vulnérable à une correction technique.</w:t>
      </w:r>
    </w:p>
    <w:p>
      <w:pPr>
        <w:spacing w:after="120" w:line="276" w:lineRule="auto"/>
      </w:pPr>
      <w:r>
        <w:t>**Stochastique** : Le %K à 0,0 et le %D à 21,54 montrent que le %K est en zone de survente extrême, sous son signal %D. Ce positionnement suggère un possible rebond technique à court terme, justifiant la décision **Achat** — les vendeurs semblent épuisés.</w:t>
      </w:r>
    </w:p>
    <w:p>
      <w:pPr>
        <w:spacing w:after="120" w:line="276" w:lineRule="auto"/>
      </w:pPr>
      <w:r>
        <w:t>**Conclusion technique** : Les indicateurs sont **divergents** — les moyennes mobiles et le stochastique plaident pour un achat, tandis que le MACD et les bandes de Bollinger recommandent la prudence. Cette configuration mitigée, avec un RSI neutre, suggère une phase de consolidation sans direction claire. Le titre pourrait rebondir techniquement grâce au stochastique en survente, mais la faiblesse du MACD limite le potentiel haussier immédiat.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(PNB) de 186,609 milliards FCFA**, en recul de **-4,52%** par rapport à 2024 (195,436 milliards), traduisant une contraction de l'activité commerciale. Le **résultat net consolidé s'établit à 21,643 milliards FCFA**, marquant un redressement spectaculaire après la perte de -44,363 milliards en 2024 (+149%). Cette performance est portée par une **chute drastique du coût du risque (-90%)**, passé de -69,056 à -6,971 milliards FCFA, et une **baisse des frais généraux de -12%**. Le **ROE atteint 19,13%** (&gt;15% = excellent), le **ROA est de 0,54%**, et le **coefficient d'exploitation de 42,85%** (&lt;50% = banque très efficace). Le ratio dépôts/crédits s'élève à **3 088,7 Mds FCFA de dépôts clientèle pour 1 523,8 Mds FCFA de créances**, soit un taux de transformation de 49,3% — une marge de progression importante. Le coût du risque/charges financières de 3,74% reste modéré.</w:t>
      </w:r>
    </w:p>
    <w:p>
      <w:pPr>
        <w:spacing w:after="120" w:line="276" w:lineRule="auto"/>
      </w:pPr>
      <w:r>
        <w:t>**Évolution temporelle et estimations (rapports trimestriels)** : Le rapport **T1 2025 (31/03/2025)** indiquait un PNB de 51,1 Mds FCFA (-2%) et un résultat net de 4,8 Mds FCFA (+259%). Le **S1 2025 (30/06/2025)** confirmait un PNB de 99,7 Mds FCFA (-2%) et un résultat net de 18,3 Mds FCFA (+232%). Le **T3 2025 (30/09/2025)** affichait un PNB de 152,6 Mds FCFA (-4%) et un résultat net de 19,6 Mds FCFA (+248%). Enfin, le **T1 2026 (rapport 2026)** montre un PNB de 50,124 Mds FCFA (-2%) et un **résultat net de 6,555 Mds FCFA (+37%)**, avec des dépôts clientèle en hausse de +14% à 3 343 Mds FCFA. **On estime donc que l'exercice 2026 devrait confirmer la consolidation du redressement**, avec un résultat net annualisé potentiellement supérieur à 25 Mds FCFA si la dynamique du T1 se poursuit, bien que la pression sur le PNB reste un défi majeur.</w:t>
      </w:r>
    </w:p>
    <w:p>
      <w:pPr>
        <w:spacing w:after="120" w:line="276" w:lineRule="auto"/>
      </w:pPr>
      <w:r>
        <w:t>**Recommandation fondamentale** : La solidité financière est avérée (ROE excellent, coefficient d'exploitation remarquable, capitaux propres renforcés à 113,2 Mds FCFA), mais la **baisse structurelle du PNB** et l'**absence de dividende** (confirmée par l'AG du 23/07/2026) constituent des freins. La dépendance à la normalisation du coût du risque est un risque résiduel. Recommandation : **CONSERVER**, avec un biais positif si la reprise du PNB se confirme en 2026.</w:t>
      </w:r>
    </w:p>
    <w:p>
      <w:pPr>
        <w:spacing w:after="120" w:line="276" w:lineRule="auto"/>
      </w:pPr>
      <w:r>
        <w:t>---</w:t>
      </w:r>
    </w:p>
    <w:p>
      <w:pPr>
        <w:spacing w:after="120" w:line="276" w:lineRule="auto"/>
      </w:pPr>
      <w:r>
        <w:t>## PARTIE 4 : CONCLUSION D'INVESTISSEMENT</w:t>
      </w:r>
    </w:p>
    <w:p>
      <w:pPr>
        <w:spacing w:after="120" w:line="276" w:lineRule="auto"/>
      </w:pPr>
      <w:r>
        <w:t>La **valorisation (Partie 0)** est raisonnable avec un PER de 10,0x et un P/B de 1,92x, bien que l'EV/EBITDA de 19,9x soit exigeant — le titre n'est ni sous-évalué ni surévalué. Le **comportement du cours (Partie 1)** est préoccupant à court terme (-6,29% sur 100 jours, volatilité élevée de 43,3%), mais la distribution platykurtique (kurtosis -1,320) limite le risque de pics extrêmes, et le skewness positif (0,281) suggère un potentiel de rebond. Les **signaux techniques (Partie 2)** sont divergents : le stochastique en survente et les MM plaident pour un achat, mais le MACD baissier et le RSI neutre incitent à la prudence — une convergence haussière n'est pas encore établie. Les **fondamentaux (Partie 3)** sont solides : redressement spectaculaire du résultat net (+149% en 2025), ROE de 19,1%, coefficient d'exploitation de 42,9%, et confirmation de la dynamique au T1 2026 (+37% de résultat net). Les **prédictions IA (J+1 à J+10)** anticipent une trajectoire haussière modérée (3 187 → 3 203 FCFA, soit +1,7% sur 5 séances), ce qui **confirme** les signaux techniques d'achat à court terme et la solidité fondamentale.</w:t>
      </w:r>
    </w:p>
    <w:p>
      <w:pPr>
        <w:spacing w:after="120" w:line="276" w:lineRule="auto"/>
      </w:pPr>
      <w:r>
        <w:t>**Recommandation finale : CONSERVER**, avec un biais positif. La convergence entre la valorisation raisonnable, les fondamentaux en amélioration, les prédictions IA haussières et le stochastique en survente soutient une perspective favorable, mais la divergence du MACD et la faiblesse du PNB imposent la prudence. **Niveau de confiance : Moyen** (les signaux sont mitigés mais globalement positifs). **Niveau de risque : Moyen à Élevé** (volatilité de 43,3%, dépendance à la normalisation du coût du risque, absence de dividende). **Horizon d'investissement optimal : Moyen terme (3-12 mois)**, le temps que la reprise du PNB se matérialise et que les indicateurs techniques convergent durablement à la hausse. Un passage à **ACHAT** serait justifié si le PNB renoue avec la croissance au S2 2026 et si le MACD croise à la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129.09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3,963 titres</w:t>
            </w:r>
          </w:p>
        </w:tc>
        <w:tc>
          <w:tcPr>
            <w:tcW w:type="dxa" w:w="2268"/>
            <w:shd w:fill="FFF2CC" w:val="clear"/>
          </w:tcPr>
          <w:p>
            <w:r>
              <w:rPr>
                <w:b/>
                <w:color w:val="503200"/>
                <w:sz w:val="16"/>
              </w:rPr>
              <w:t xml:space="preserve">Cours actuel : </w:t>
            </w:r>
            <w:r>
              <w:rPr>
                <w:color w:val="000000"/>
                <w:sz w:val="17"/>
              </w:rPr>
              <w:t>8,350 FCFA</w:t>
            </w:r>
          </w:p>
          <w:p>
            <w:r>
              <w:rPr>
                <w:b/>
                <w:color w:val="503200"/>
                <w:sz w:val="16"/>
              </w:rPr>
              <w:t xml:space="preserve">Var. 100 jours : </w:t>
            </w:r>
            <w:r>
              <w:rPr>
                <w:b/>
                <w:color w:val="007800"/>
                <w:sz w:val="17"/>
              </w:rPr>
              <w:t>+5.70%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6.45% (Moyenne) — μ=8,567 FCFA, σ=553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β=-0.2348 (Contre-cyclique) — Cov=-0.000009, Var(idx)=0.000040, ρ=-0.064,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3,963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8,122</w:t>
            </w:r>
          </w:p>
        </w:tc>
        <w:tc>
          <w:tcPr>
            <w:tcW w:type="dxa" w:w="1440"/>
            <w:shd w:fill="FAFAFA" w:val="clear"/>
          </w:tcPr>
          <w:p>
            <w:r>
              <w:rPr>
                <w:b/>
                <w:sz w:val="17"/>
              </w:rPr>
              <w:t>8,365</w:t>
            </w:r>
          </w:p>
        </w:tc>
        <w:tc>
          <w:tcPr>
            <w:tcW w:type="dxa" w:w="1440"/>
            <w:shd w:fill="FAFAFA" w:val="clear"/>
          </w:tcPr>
          <w:p>
            <w:r>
              <w:rPr>
                <w:sz w:val="17"/>
              </w:rPr>
              <w:t>8,608</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8,002</w:t>
            </w:r>
          </w:p>
        </w:tc>
        <w:tc>
          <w:tcPr>
            <w:tcW w:type="dxa" w:w="1440"/>
            <w:shd w:fill="FAFAFA" w:val="clear"/>
          </w:tcPr>
          <w:p>
            <w:r>
              <w:rPr>
                <w:b/>
                <w:sz w:val="17"/>
              </w:rPr>
              <w:t>8,345</w:t>
            </w:r>
          </w:p>
        </w:tc>
        <w:tc>
          <w:tcPr>
            <w:tcW w:type="dxa" w:w="1440"/>
            <w:shd w:fill="FAFAFA" w:val="clear"/>
          </w:tcPr>
          <w:p>
            <w:r>
              <w:rPr>
                <w:sz w:val="17"/>
              </w:rPr>
              <w:t>8,688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7,913</w:t>
            </w:r>
          </w:p>
        </w:tc>
        <w:tc>
          <w:tcPr>
            <w:tcW w:type="dxa" w:w="1440"/>
            <w:shd w:fill="FAFAFA" w:val="clear"/>
          </w:tcPr>
          <w:p>
            <w:r>
              <w:rPr>
                <w:b/>
                <w:sz w:val="17"/>
              </w:rPr>
              <w:t>8,332</w:t>
            </w:r>
          </w:p>
        </w:tc>
        <w:tc>
          <w:tcPr>
            <w:tcW w:type="dxa" w:w="1440"/>
            <w:shd w:fill="FAFAFA" w:val="clear"/>
          </w:tcPr>
          <w:p>
            <w:r>
              <w:rPr>
                <w:sz w:val="17"/>
              </w:rPr>
              <w:t>8,752</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2026-09-25</w:t>
            </w:r>
          </w:p>
        </w:tc>
        <w:tc>
          <w:tcPr>
            <w:tcW w:type="dxa" w:w="1440"/>
            <w:shd w:fill="FAFAFA" w:val="clear"/>
          </w:tcPr>
          <w:p>
            <w:r>
              <w:rPr>
                <w:sz w:val="17"/>
              </w:rPr>
              <w:t>7,836</w:t>
            </w:r>
          </w:p>
        </w:tc>
        <w:tc>
          <w:tcPr>
            <w:tcW w:type="dxa" w:w="1440"/>
            <w:shd w:fill="FAFAFA" w:val="clear"/>
          </w:tcPr>
          <w:p>
            <w:r>
              <w:rPr>
                <w:b/>
                <w:sz w:val="17"/>
              </w:rPr>
              <w:t>8,320</w:t>
            </w:r>
          </w:p>
        </w:tc>
        <w:tc>
          <w:tcPr>
            <w:tcW w:type="dxa" w:w="1440"/>
            <w:shd w:fill="FAFAFA" w:val="clear"/>
          </w:tcPr>
          <w:p>
            <w:r>
              <w:rPr>
                <w:sz w:val="17"/>
              </w:rPr>
              <w:t>8,803</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2026-09-28</w:t>
            </w:r>
          </w:p>
        </w:tc>
        <w:tc>
          <w:tcPr>
            <w:tcW w:type="dxa" w:w="1440"/>
            <w:shd w:fill="FAFAFA" w:val="clear"/>
          </w:tcPr>
          <w:p>
            <w:r>
              <w:rPr>
                <w:sz w:val="17"/>
              </w:rPr>
              <w:t>7,767</w:t>
            </w:r>
          </w:p>
        </w:tc>
        <w:tc>
          <w:tcPr>
            <w:tcW w:type="dxa" w:w="1440"/>
            <w:shd w:fill="FAFAFA" w:val="clear"/>
          </w:tcPr>
          <w:p>
            <w:r>
              <w:rPr>
                <w:b/>
                <w:sz w:val="17"/>
              </w:rPr>
              <w:t>8,307</w:t>
            </w:r>
          </w:p>
        </w:tc>
        <w:tc>
          <w:tcPr>
            <w:tcW w:type="dxa" w:w="1440"/>
            <w:shd w:fill="FAFAFA" w:val="clear"/>
          </w:tcPr>
          <w:p>
            <w:r>
              <w:rPr>
                <w:sz w:val="17"/>
              </w:rPr>
              <w:t>8,847</w:t>
            </w:r>
          </w:p>
        </w:tc>
        <w:tc>
          <w:tcPr>
            <w:tcW w:type="dxa" w:w="1440"/>
            <w:shd w:fill="FAFAFA" w:val="clear"/>
          </w:tcPr>
          <w:p>
            <w:r>
              <w:rPr>
                <w:b/>
                <w:color w:val="C00000"/>
                <w:sz w:val="17"/>
              </w:rPr>
              <w:t>-0.5%</w:t>
            </w:r>
          </w:p>
        </w:tc>
      </w:tr>
      <w:tr>
        <w:tc>
          <w:tcPr>
            <w:tcW w:type="dxa" w:w="1440"/>
            <w:shd w:fill="FAFAFA" w:val="clear"/>
          </w:tcPr>
          <w:p>
            <w:r>
              <w:rPr>
                <w:sz w:val="17"/>
              </w:rPr>
              <w:t>J+6  Moyenne</w:t>
            </w:r>
          </w:p>
        </w:tc>
        <w:tc>
          <w:tcPr>
            <w:tcW w:type="dxa" w:w="1440"/>
            <w:shd w:fill="FAFAFA" w:val="clear"/>
          </w:tcPr>
          <w:p>
            <w:r>
              <w:rPr>
                <w:sz w:val="17"/>
              </w:rPr>
              <w:t>2026-09-29</w:t>
            </w:r>
          </w:p>
        </w:tc>
        <w:tc>
          <w:tcPr>
            <w:tcW w:type="dxa" w:w="1440"/>
            <w:shd w:fill="FAFAFA" w:val="clear"/>
          </w:tcPr>
          <w:p>
            <w:r>
              <w:rPr>
                <w:sz w:val="17"/>
              </w:rPr>
              <w:t>7,704</w:t>
            </w:r>
          </w:p>
        </w:tc>
        <w:tc>
          <w:tcPr>
            <w:tcW w:type="dxa" w:w="1440"/>
            <w:shd w:fill="FAFAFA" w:val="clear"/>
          </w:tcPr>
          <w:p>
            <w:r>
              <w:rPr>
                <w:b/>
                <w:sz w:val="17"/>
              </w:rPr>
              <w:t>8,295</w:t>
            </w:r>
          </w:p>
        </w:tc>
        <w:tc>
          <w:tcPr>
            <w:tcW w:type="dxa" w:w="1440"/>
            <w:shd w:fill="FAFAFA" w:val="clear"/>
          </w:tcPr>
          <w:p>
            <w:r>
              <w:rPr>
                <w:sz w:val="17"/>
              </w:rPr>
              <w:t>8,885</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2026-09-30</w:t>
            </w:r>
          </w:p>
        </w:tc>
        <w:tc>
          <w:tcPr>
            <w:tcW w:type="dxa" w:w="1440"/>
            <w:shd w:fill="FAFAFA" w:val="clear"/>
          </w:tcPr>
          <w:p>
            <w:r>
              <w:rPr>
                <w:sz w:val="17"/>
              </w:rPr>
              <w:t>7,646</w:t>
            </w:r>
          </w:p>
        </w:tc>
        <w:tc>
          <w:tcPr>
            <w:tcW w:type="dxa" w:w="1440"/>
            <w:shd w:fill="FAFAFA" w:val="clear"/>
          </w:tcPr>
          <w:p>
            <w:r>
              <w:rPr>
                <w:b/>
                <w:sz w:val="17"/>
              </w:rPr>
              <w:t>8,282</w:t>
            </w:r>
          </w:p>
        </w:tc>
        <w:tc>
          <w:tcPr>
            <w:tcW w:type="dxa" w:w="1440"/>
            <w:shd w:fill="FAFAFA" w:val="clear"/>
          </w:tcPr>
          <w:p>
            <w:r>
              <w:rPr>
                <w:sz w:val="17"/>
              </w:rPr>
              <w:t>8,919</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2026-10-01</w:t>
            </w:r>
          </w:p>
        </w:tc>
        <w:tc>
          <w:tcPr>
            <w:tcW w:type="dxa" w:w="1440"/>
            <w:shd w:fill="FAFAFA" w:val="clear"/>
          </w:tcPr>
          <w:p>
            <w:r>
              <w:rPr>
                <w:sz w:val="17"/>
              </w:rPr>
              <w:t>7,591</w:t>
            </w:r>
          </w:p>
        </w:tc>
        <w:tc>
          <w:tcPr>
            <w:tcW w:type="dxa" w:w="1440"/>
            <w:shd w:fill="FAFAFA" w:val="clear"/>
          </w:tcPr>
          <w:p>
            <w:r>
              <w:rPr>
                <w:b/>
                <w:sz w:val="17"/>
              </w:rPr>
              <w:t>8,271</w:t>
            </w:r>
          </w:p>
        </w:tc>
        <w:tc>
          <w:tcPr>
            <w:tcW w:type="dxa" w:w="1440"/>
            <w:shd w:fill="FAFAFA" w:val="clear"/>
          </w:tcPr>
          <w:p>
            <w:r>
              <w:rPr>
                <w:sz w:val="17"/>
              </w:rPr>
              <w:t>8,950</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2026-10-02</w:t>
            </w:r>
          </w:p>
        </w:tc>
        <w:tc>
          <w:tcPr>
            <w:tcW w:type="dxa" w:w="1440"/>
            <w:shd w:fill="FAFAFA" w:val="clear"/>
          </w:tcPr>
          <w:p>
            <w:r>
              <w:rPr>
                <w:sz w:val="17"/>
              </w:rPr>
              <w:t>7,539</w:t>
            </w:r>
          </w:p>
        </w:tc>
        <w:tc>
          <w:tcPr>
            <w:tcW w:type="dxa" w:w="1440"/>
            <w:shd w:fill="FAFAFA" w:val="clear"/>
          </w:tcPr>
          <w:p>
            <w:r>
              <w:rPr>
                <w:b/>
                <w:sz w:val="17"/>
              </w:rPr>
              <w:t>8,259</w:t>
            </w:r>
          </w:p>
        </w:tc>
        <w:tc>
          <w:tcPr>
            <w:tcW w:type="dxa" w:w="1440"/>
            <w:shd w:fill="FAFAFA" w:val="clear"/>
          </w:tcPr>
          <w:p>
            <w:r>
              <w:rPr>
                <w:sz w:val="17"/>
              </w:rPr>
              <w:t>8,979</w:t>
            </w:r>
          </w:p>
        </w:tc>
        <w:tc>
          <w:tcPr>
            <w:tcW w:type="dxa" w:w="1440"/>
            <w:shd w:fill="FAFAFA" w:val="clear"/>
          </w:tcPr>
          <w:p>
            <w:r>
              <w:rPr>
                <w:b/>
                <w:color w:val="C00000"/>
                <w:sz w:val="17"/>
              </w:rPr>
              <w:t>-1.1%</w:t>
            </w:r>
          </w:p>
        </w:tc>
      </w:tr>
      <w:tr>
        <w:tc>
          <w:tcPr>
            <w:tcW w:type="dxa" w:w="1440"/>
            <w:shd w:fill="FAFAFA" w:val="clear"/>
          </w:tcPr>
          <w:p>
            <w:r>
              <w:rPr>
                <w:sz w:val="17"/>
              </w:rPr>
              <w:t>J+10  Moyenne</w:t>
            </w:r>
          </w:p>
        </w:tc>
        <w:tc>
          <w:tcPr>
            <w:tcW w:type="dxa" w:w="1440"/>
            <w:shd w:fill="FAFAFA" w:val="clear"/>
          </w:tcPr>
          <w:p>
            <w:r>
              <w:rPr>
                <w:sz w:val="17"/>
              </w:rPr>
              <w:t>2026-10-05</w:t>
            </w:r>
          </w:p>
        </w:tc>
        <w:tc>
          <w:tcPr>
            <w:tcW w:type="dxa" w:w="1440"/>
            <w:shd w:fill="FAFAFA" w:val="clear"/>
          </w:tcPr>
          <w:p>
            <w:r>
              <w:rPr>
                <w:sz w:val="17"/>
              </w:rPr>
              <w:t>7,490</w:t>
            </w:r>
          </w:p>
        </w:tc>
        <w:tc>
          <w:tcPr>
            <w:tcW w:type="dxa" w:w="1440"/>
            <w:shd w:fill="FAFAFA" w:val="clear"/>
          </w:tcPr>
          <w:p>
            <w:r>
              <w:rPr>
                <w:b/>
                <w:sz w:val="17"/>
              </w:rPr>
              <w:t>8,248</w:t>
            </w:r>
          </w:p>
        </w:tc>
        <w:tc>
          <w:tcPr>
            <w:tcW w:type="dxa" w:w="1440"/>
            <w:shd w:fill="FAFAFA" w:val="clear"/>
          </w:tcPr>
          <w:p>
            <w:r>
              <w:rPr>
                <w:sz w:val="17"/>
              </w:rPr>
              <w:t>9,006</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129,09 milliards FCFA, PALC s'impose comme l'une des valeurs agro-industrielles de référence de la cote BRVM, offrant une liquidité relative et une visibilité institutionnelle appréciable. Le BPA de 1 003 FCFA par action signifie que chaque titre génère un bénéfice net d'environ mille francs CFA, ce qui, rapporté au cours actuel de 8 350 FCFA, donne un PER de 8,3x — un niveau modéré, inférieur à la moyenne du marché BRVM (8-12x), suggérant que les investisseurs ne paient pas une prime excessive pour ces bénéfices. Le ratio P/B de 0,90x est particulièrement notable : le marché valorise PALC en dessous de sa valeur comptable (capitaux propres de 142,6 milliards FCFA pour une capitalisation de 129,1 milliards), ce qui constitue historiquement un signal d'opportunité potentielle, bien qu'il puisse aussi refléter une défiance vis-à-vis de la qualité des actifs ou des perspectives. Enfin, l'EV/EBITDA de 4,1x, très inférieur au seuil de 5x, indique que la valeur d'entreprise est bon marché par rapport à la capacité opérationnelle de génération de cash, renforçant la thèse d'une sous-évaluation relative — sous réserve que les fondamentaux ne se dégradent pas davantage.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totale positive de +5,70%, mais la dernière séance (J-1) enregistre un repli de -0,48%, signalant un essoufflement de court terme. Le titre a évolué dans un range large de 2 640 FCFA, entre un plus bas de 7 000 FCFA et un plus haut de 9 640 FCFA, ce qui traduit une forte amplitude de trading et une indécision marquée des investisseurs. La tendance générale reste fragilement haussière sur la période, mais le cours actuel (8 350 FCFA) se situe sous la moyenne (8 567 FCFA) et sous la médiane (8 690 FCFA), confirmant une pression vendeuse récente. Les statistiques descriptives révèlent un écart faible entre moyenne et médiane (123 FCFA), mais un skewness de -0,495 indique une asymétrie négative : les mouvements baissiers sont plus amples que les haussiers, signe de vulnérabilité. Le kurtosis de -0,207 (mésokurtique) suggère une distribution proche de la normale, sans risque extrême de pics, tandis que l'écart-type de 556 FCFA et le coefficient de variation de 6,5% traduisent une dispersion modérée autour de la tendance. La volatilité annualisée de 37,1% classe PALC parmi les titres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(8 824 FCFA) et la MM50 (8 905,6 FCFA) se situent toutes deux au-dessus du cours actuel (8 350 FCFA), configurant une pression baissière structurelle. Le croisement baissier (MM20 &lt; MM50) et la position du cours sous les deux moyennes justifient la décision technique de **Vente**.</w:t>
      </w:r>
    </w:p>
    <w:p>
      <w:pPr>
        <w:spacing w:after="120" w:line="276" w:lineRule="auto"/>
      </w:pPr>
      <w:r>
        <w:t>**Bandes de Bollinger** : Le cours (8 350 FCFA) évolue dans la partie basse du canal, entre la borne inférieure (7 999,7 FCFA) et la borne supérieure (9 648,3 FCFA). La proximité de la borne basse suggère une possible zone de survente, mais l'absence de rebond franc maintient la décision **Neutre**, avec un risque de cassure baissière si le support de 8 000 FCFA cède.</w:t>
      </w:r>
    </w:p>
    <w:p>
      <w:pPr>
        <w:spacing w:after="120" w:line="276" w:lineRule="auto"/>
      </w:pPr>
      <w:r>
        <w:t>**MACD** : La valeur du MACD (-183,46) est nettement inférieure à son signal (-133,04), confirmant un momentum baissier persistant. La divergence négative croissante entre les deux lignes justifie la décision de **Vente**, sans signe de retournement imminent.</w:t>
      </w:r>
    </w:p>
    <w:p>
      <w:pPr>
        <w:spacing w:after="120" w:line="276" w:lineRule="auto"/>
      </w:pPr>
      <w:r>
        <w:t>**RSI** : À 25,80, le RSI se situe en zone de survente (&lt;30), ce qui constitue un signal d'**Achat** technique. Cette configuration suggère qu'un rebond correctif est probable à court terme, mais elle doit être confirmée par d'autres indicateurs pour éviter un piège baissier.</w:t>
      </w:r>
    </w:p>
    <w:p>
      <w:pPr>
        <w:spacing w:after="120" w:line="276" w:lineRule="auto"/>
      </w:pPr>
      <w:r>
        <w:t>**Stochastique** : Le %K (5,56) et le %D (11,07) sont tous deux en zone extrême de survente, avec un %K sous le %D. La décision est **Achat**, mais l'absence de croisement haussier franc invite à la prudence avant tout engagement.</w:t>
      </w:r>
    </w:p>
    <w:p>
      <w:pPr>
        <w:spacing w:after="120" w:line="276" w:lineRule="auto"/>
      </w:pPr>
      <w:r>
        <w:t>**Conclusion technique** : Les indicateurs présentent une divergence classique : les moyennes mobiles et le MACD confirment une tendance baissière, tandis que le RSI et le stochastique signalent une survente propice à un rebond technique. Cette configuration suggère un potentiel de rebond à court terme, mais la prudence reste de mise tant que le cours n'aura pas reconquis la MM20 (8 824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 réalisé un chiffre d'affaires de 197,63 milliards FCFA, en croissance de +14,78% par rapport à 2024 (172,2 milliards FCFA), portée par la hausse des volumes et des prix de l'huile de palme brute. Le résultat net s'établit à 15,51 milliards FCFA, en léger repli de -2,2% par rapport à 2024 (15,9 milliards FCFA), avec une marge nette de 7,85% — en retrait par rapport aux 9,2% de 2024. Le ROE de 10,87% reste correct mais inférieur au seuil d'excellence de 15%, tandis que le ROA de 7,79% traduit une efficacité modérée dans l'utilisation des actifs. La structure financière est remarquablement solide : autonomie financière de 71,64%, ratio d'endettement de seulement 0,56%, et couverture des intérêts de 1 415,66%, ce qui témoigne d'une quasi-absence de risque de solvabilité. Cependant, le BFR de 44,62 milliards FCFA et le délai client élevé de 142,58 jours constituent un point de vigilance majeur pour la trésorerie, d'autant que la trésorerie nette est négative (-4,56 milliards FCFA). Les rapports trimestriels confirment cette dynamique contrastée : le T1 2025 (publié le 31/03/2025) affichait un résultat net de 11,6 milliards FCFA (+65%), le S1 2025 (30/06/2025) un résultat net de 22,9 milliards FCFA (+37%), et le T3 2025 (30/09/2025) un résultat net cumulé de 18,0 milliards FCFA (+11%) — ce qui suggère un ralentissement progressif de la rentabilité au fil de l'année. Plus préoccupant, le rapport T1 2026 (publié en 2026) révèle un effondrement du chiffre d'affaires de -27% à 49,4 milliards FCFA et une chute du résultat net de -86% à 1,6 milliard FCFA, que la direction attribue à un simple décalage temporel des ventes. Sur la base de ce T1 2026, on estime que l'exercice 2026 pourrait être nettement moins favorable que 2025, avec un résultat net annuel potentiellement compris entre 8 et 12 milliards FCFA si le redressement attendu au T2 ne se matérialise pas. La politique de dividende, avec un DPA de 502 FCFA en 2025 (contre 620 FCFA en 2024), offre un rendement d'environ 6,0% au cours actuel, ce qui reste attractif mais en baisse. En synthèse, PALC présente une solidité bilancielle exceptionnelle et une valorisation attractive, mais fait face à une dégradation de sa rentabilité opérationnelle et à un risque de trésorerie lié aux délais clients élevés et à la volatilité des cours de l'huile de palme.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(PER 8,3x, P/B 0,90x, EV/EBITDA 4,1x) plaide clairement pour une sous-évaluation relative, le marché valorisant l'entreprise sous sa valeur comptable malgré une structure financière parmi les plus saines de la cote. Le comportement du cours sur 100 jours (+5,70%) masque une tendance fragile : le skewness négatif (-0,495) et la volatilité élevée (37,1%) signalent une asymétrie défavorable et un risque de marché significatif, tandis que la position du cours sous la MM20 et la MM50 confirme la pression baissière. Les signaux techniques sont divergents : le MACD et les moyennes mobiles confirment la tendance baissière, mais le RSI (25,8) et le stochastique (5,6) en zone de survente extrême suggèrent un rebond technique imminent — une configuration classique de "vente épuisée" qui pourrait offrir un point d'entrée tactique. Les fondamentaux 2025 (CA +14,8%, résultat net -2,2%, ROE 10,9%) révèlent une entreprise solide mais dont la rentabilité s'érode, et le T1 2026 (-86% de résultat net) constitue un signal d'alerte majeur qui pourrait peser sur le titre à moyen terme. Les prédictions IA (8 365 → 8 307 FCFA sur 10 jours) anticipent une légère dérive baissière, en contradiction avec le signal de survente technique, ce qui renforce la prudence. **Recommandation finale : CONSERVER**, avec un biais tactique pour un achat spéculatif à court terme si le support de 8 000 FCFA tient. Le niveau de confiance est **Moyen** (divergence entre valorisation attractive et dégradation fondamentale récente), et le risque global est **Élevé** (volatilité 37,1%, T1 2026 décevant, dépendance aux cours de l'huile de palme). L'horizon d'investissement optimal est **moyen terme (3-12 mois)**, en surveillant attentivement la publication du T2 2026 pour confirmer ou infirmer la thèse du décalage temporel des ventes.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1,154 titres</w:t>
            </w:r>
          </w:p>
        </w:tc>
        <w:tc>
          <w:tcPr>
            <w:tcW w:type="dxa" w:w="2268"/>
            <w:shd w:fill="FFF2CC" w:val="clear"/>
          </w:tcPr>
          <w:p>
            <w:r>
              <w:rPr>
                <w:b/>
                <w:color w:val="503200"/>
                <w:sz w:val="16"/>
              </w:rPr>
              <w:t xml:space="preserve">Cours actuel : </w:t>
            </w:r>
            <w:r>
              <w:rPr>
                <w:color w:val="000000"/>
                <w:sz w:val="17"/>
              </w:rPr>
              <w:t>4,305 FCFA</w:t>
            </w:r>
          </w:p>
          <w:p>
            <w:r>
              <w:rPr>
                <w:b/>
                <w:color w:val="503200"/>
                <w:sz w:val="16"/>
              </w:rPr>
              <w:t xml:space="preserve">Var. 100 jours : </w:t>
            </w:r>
            <w:r>
              <w:rPr>
                <w:b/>
                <w:color w:val="B40000"/>
                <w:sz w:val="17"/>
              </w:rPr>
              <w:t>-10.31%</w:t>
            </w:r>
          </w:p>
          <w:p>
            <w:r>
              <w:rPr>
                <w:b/>
                <w:color w:val="503200"/>
                <w:sz w:val="16"/>
              </w:rPr>
              <w:t xml:space="preserve">Plus haut 100j : </w:t>
            </w:r>
            <w:r>
              <w:rPr>
                <w:color w:val="000000"/>
                <w:sz w:val="17"/>
              </w:rPr>
              <w:t>4,800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6.37% (Moyenne) — μ=4,364 FCFA, σ=278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β=-0.2861 (Contre-cyclique) — Cov=-0.000011, Var(idx)=0.000040, ρ=-0.074,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4,204</w:t>
            </w:r>
          </w:p>
        </w:tc>
        <w:tc>
          <w:tcPr>
            <w:tcW w:type="dxa" w:w="1440"/>
            <w:shd w:fill="FAFAFA" w:val="clear"/>
          </w:tcPr>
          <w:p>
            <w:r>
              <w:rPr>
                <w:b/>
                <w:sz w:val="17"/>
              </w:rPr>
              <w:t>4,302</w:t>
            </w:r>
          </w:p>
        </w:tc>
        <w:tc>
          <w:tcPr>
            <w:tcW w:type="dxa" w:w="1440"/>
            <w:shd w:fill="FAFAFA" w:val="clear"/>
          </w:tcPr>
          <w:p>
            <w:r>
              <w:rPr>
                <w:sz w:val="17"/>
              </w:rPr>
              <w:t>4,399</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4,148</w:t>
            </w:r>
          </w:p>
        </w:tc>
        <w:tc>
          <w:tcPr>
            <w:tcW w:type="dxa" w:w="1440"/>
            <w:shd w:fill="FAFAFA" w:val="clear"/>
          </w:tcPr>
          <w:p>
            <w:r>
              <w:rPr>
                <w:b/>
                <w:sz w:val="17"/>
              </w:rPr>
              <w:t>4,286</w:t>
            </w:r>
          </w:p>
        </w:tc>
        <w:tc>
          <w:tcPr>
            <w:tcW w:type="dxa" w:w="1440"/>
            <w:shd w:fill="FAFAFA" w:val="clear"/>
          </w:tcPr>
          <w:p>
            <w:r>
              <w:rPr>
                <w:sz w:val="17"/>
              </w:rPr>
              <w:t>4,423</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4,108</w:t>
            </w:r>
          </w:p>
        </w:tc>
        <w:tc>
          <w:tcPr>
            <w:tcW w:type="dxa" w:w="1440"/>
            <w:shd w:fill="FAFAFA" w:val="clear"/>
          </w:tcPr>
          <w:p>
            <w:r>
              <w:rPr>
                <w:b/>
                <w:sz w:val="17"/>
              </w:rPr>
              <w:t>4,276</w:t>
            </w:r>
          </w:p>
        </w:tc>
        <w:tc>
          <w:tcPr>
            <w:tcW w:type="dxa" w:w="1440"/>
            <w:shd w:fill="FAFAFA" w:val="clear"/>
          </w:tcPr>
          <w:p>
            <w:r>
              <w:rPr>
                <w:sz w:val="17"/>
              </w:rPr>
              <w:t>4,443</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2026-09-25</w:t>
            </w:r>
          </w:p>
        </w:tc>
        <w:tc>
          <w:tcPr>
            <w:tcW w:type="dxa" w:w="1440"/>
            <w:shd w:fill="FAFAFA" w:val="clear"/>
          </w:tcPr>
          <w:p>
            <w:r>
              <w:rPr>
                <w:sz w:val="17"/>
              </w:rPr>
              <w:t>4,073</w:t>
            </w:r>
          </w:p>
        </w:tc>
        <w:tc>
          <w:tcPr>
            <w:tcW w:type="dxa" w:w="1440"/>
            <w:shd w:fill="FAFAFA" w:val="clear"/>
          </w:tcPr>
          <w:p>
            <w:r>
              <w:rPr>
                <w:b/>
                <w:sz w:val="17"/>
              </w:rPr>
              <w:t>4,266</w:t>
            </w:r>
          </w:p>
        </w:tc>
        <w:tc>
          <w:tcPr>
            <w:tcW w:type="dxa" w:w="1440"/>
            <w:shd w:fill="FAFAFA" w:val="clear"/>
          </w:tcPr>
          <w:p>
            <w:r>
              <w:rPr>
                <w:sz w:val="17"/>
              </w:rPr>
              <w:t>4,459</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2026-09-28</w:t>
            </w:r>
          </w:p>
        </w:tc>
        <w:tc>
          <w:tcPr>
            <w:tcW w:type="dxa" w:w="1440"/>
            <w:shd w:fill="FAFAFA" w:val="clear"/>
          </w:tcPr>
          <w:p>
            <w:r>
              <w:rPr>
                <w:sz w:val="17"/>
              </w:rPr>
              <w:t>4,041</w:t>
            </w:r>
          </w:p>
        </w:tc>
        <w:tc>
          <w:tcPr>
            <w:tcW w:type="dxa" w:w="1440"/>
            <w:shd w:fill="FAFAFA" w:val="clear"/>
          </w:tcPr>
          <w:p>
            <w:r>
              <w:rPr>
                <w:b/>
                <w:sz w:val="17"/>
              </w:rPr>
              <w:t>4,256</w:t>
            </w:r>
          </w:p>
        </w:tc>
        <w:tc>
          <w:tcPr>
            <w:tcW w:type="dxa" w:w="1440"/>
            <w:shd w:fill="FAFAFA" w:val="clear"/>
          </w:tcPr>
          <w:p>
            <w:r>
              <w:rPr>
                <w:sz w:val="17"/>
              </w:rPr>
              <w:t>4,471</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2026-09-29</w:t>
            </w:r>
          </w:p>
        </w:tc>
        <w:tc>
          <w:tcPr>
            <w:tcW w:type="dxa" w:w="1440"/>
            <w:shd w:fill="FAFAFA" w:val="clear"/>
          </w:tcPr>
          <w:p>
            <w:r>
              <w:rPr>
                <w:sz w:val="17"/>
              </w:rPr>
              <w:t>4,011</w:t>
            </w:r>
          </w:p>
        </w:tc>
        <w:tc>
          <w:tcPr>
            <w:tcW w:type="dxa" w:w="1440"/>
            <w:shd w:fill="FAFAFA" w:val="clear"/>
          </w:tcPr>
          <w:p>
            <w:r>
              <w:rPr>
                <w:b/>
                <w:sz w:val="17"/>
              </w:rPr>
              <w:t>4,246</w:t>
            </w:r>
          </w:p>
        </w:tc>
        <w:tc>
          <w:tcPr>
            <w:tcW w:type="dxa" w:w="1440"/>
            <w:shd w:fill="FAFAFA" w:val="clear"/>
          </w:tcPr>
          <w:p>
            <w:r>
              <w:rPr>
                <w:sz w:val="17"/>
              </w:rPr>
              <w:t>4,482</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2026-09-30</w:t>
            </w:r>
          </w:p>
        </w:tc>
        <w:tc>
          <w:tcPr>
            <w:tcW w:type="dxa" w:w="1440"/>
            <w:shd w:fill="FAFAFA" w:val="clear"/>
          </w:tcPr>
          <w:p>
            <w:r>
              <w:rPr>
                <w:sz w:val="17"/>
              </w:rPr>
              <w:t>3,983</w:t>
            </w:r>
          </w:p>
        </w:tc>
        <w:tc>
          <w:tcPr>
            <w:tcW w:type="dxa" w:w="1440"/>
            <w:shd w:fill="FAFAFA" w:val="clear"/>
          </w:tcPr>
          <w:p>
            <w:r>
              <w:rPr>
                <w:b/>
                <w:sz w:val="17"/>
              </w:rPr>
              <w:t>4,237</w:t>
            </w:r>
          </w:p>
        </w:tc>
        <w:tc>
          <w:tcPr>
            <w:tcW w:type="dxa" w:w="1440"/>
            <w:shd w:fill="FAFAFA" w:val="clear"/>
          </w:tcPr>
          <w:p>
            <w:r>
              <w:rPr>
                <w:sz w:val="17"/>
              </w:rPr>
              <w:t>4,490</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2026-10-01</w:t>
            </w:r>
          </w:p>
        </w:tc>
        <w:tc>
          <w:tcPr>
            <w:tcW w:type="dxa" w:w="1440"/>
            <w:shd w:fill="FAFAFA" w:val="clear"/>
          </w:tcPr>
          <w:p>
            <w:r>
              <w:rPr>
                <w:sz w:val="17"/>
              </w:rPr>
              <w:t>3,957</w:t>
            </w:r>
          </w:p>
        </w:tc>
        <w:tc>
          <w:tcPr>
            <w:tcW w:type="dxa" w:w="1440"/>
            <w:shd w:fill="FAFAFA" w:val="clear"/>
          </w:tcPr>
          <w:p>
            <w:r>
              <w:rPr>
                <w:b/>
                <w:sz w:val="17"/>
              </w:rPr>
              <w:t>4,228</w:t>
            </w:r>
          </w:p>
        </w:tc>
        <w:tc>
          <w:tcPr>
            <w:tcW w:type="dxa" w:w="1440"/>
            <w:shd w:fill="FAFAFA" w:val="clear"/>
          </w:tcPr>
          <w:p>
            <w:r>
              <w:rPr>
                <w:sz w:val="17"/>
              </w:rPr>
              <w:t>4,498</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2026-10-02</w:t>
            </w:r>
          </w:p>
        </w:tc>
        <w:tc>
          <w:tcPr>
            <w:tcW w:type="dxa" w:w="1440"/>
            <w:shd w:fill="FAFAFA" w:val="clear"/>
          </w:tcPr>
          <w:p>
            <w:r>
              <w:rPr>
                <w:sz w:val="17"/>
              </w:rPr>
              <w:t>3,932</w:t>
            </w:r>
          </w:p>
        </w:tc>
        <w:tc>
          <w:tcPr>
            <w:tcW w:type="dxa" w:w="1440"/>
            <w:shd w:fill="FAFAFA" w:val="clear"/>
          </w:tcPr>
          <w:p>
            <w:r>
              <w:rPr>
                <w:b/>
                <w:sz w:val="17"/>
              </w:rPr>
              <w:t>4,219</w:t>
            </w:r>
          </w:p>
        </w:tc>
        <w:tc>
          <w:tcPr>
            <w:tcW w:type="dxa" w:w="1440"/>
            <w:shd w:fill="FAFAFA" w:val="clear"/>
          </w:tcPr>
          <w:p>
            <w:r>
              <w:rPr>
                <w:sz w:val="17"/>
              </w:rPr>
              <w:t>4,506</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3,909</w:t>
            </w:r>
          </w:p>
        </w:tc>
        <w:tc>
          <w:tcPr>
            <w:tcW w:type="dxa" w:w="1440"/>
            <w:shd w:fill="FFDCE0" w:val="clear"/>
          </w:tcPr>
          <w:p>
            <w:r>
              <w:rPr>
                <w:b/>
                <w:sz w:val="17"/>
              </w:rPr>
              <w:t>4,211</w:t>
            </w:r>
          </w:p>
        </w:tc>
        <w:tc>
          <w:tcPr>
            <w:tcW w:type="dxa" w:w="1440"/>
            <w:shd w:fill="FFDCE0" w:val="clear"/>
          </w:tcPr>
          <w:p>
            <w:r>
              <w:rPr>
                <w:sz w:val="17"/>
              </w:rPr>
              <w:t>4,512</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44,08 milliards FCFA, PRSC se situe dans la catégorie des valeurs moyennes de la BRVM, ce qui lui confère une certaine liquidité mais aussi une sensibilité accrue aux mouvements de portefeuille. Le BPA de 231 FCFA/action signifie que chaque titre génère près de 231 FCFA de bénéfice net, un niveau qui, rapporté au cours actuel de 4 305 FCFA, donne un PER de 18,6x — nettement supérieur à la moyenne BRVM (8-12x), ce qui indique que les investisseurs paient une prime significative pour les bénéfices de la société. Le P/B de 3,82x confirme cette prime de croissance : le marché valorise PRSC à près de quatre fois sa valeur comptable, ce qui suppose des anticipations de rentabilité future élevées. Enfin, l'EV/EBITDA de 9,6x, dans la fourchette raisonnable de 5-10x, suggère que la valeur totale de l'entreprise (dette incluse) reste cohérente avec sa capacité opérationnelle, sans surévaluation manifeste au niveau de l'exploitation.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variation totale de -10,31%, avec une dernière séance stable (+0,00%), portant le cours actuel à 4 305 FCFA. Le titre a évolué dans un range de 1 180 FCFA, entre un plus bas de 3 620 FCFA et un plus haut de 4 800 FCFA, traduisant une tendance baissière de fond malgré quelques rebonds techniques. La moyenne (4 364 FCFA) est légèrement inférieure à la médiane (4 428 FCFA), ce qui indique une distribution asymétrique avec quelques journées de forte baisse tirant la moyenne vers le bas. L'écart-type de 279 FCFA et le coefficient de variation de 6,4% révèlent une dispersion modérée du cours autour de sa moyenne, mais le kurtosis de 1,115 (leptokurtique) signale des queues épaisses, donc un risque de pics de volatilité brutaux. Le skewness de -1,298 confirme cette asymétrie négative : bien que davantage de journées se situent au-dessus de la moyenne, les baisses sont plus amples que les hausses. Avec une volatilité annualisée de 39,1%, PRSC se classe parmi les titres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(4 424,75 FCFA) et la MM50 (4 453,30 FCFA) se situent toutes deux au-dessus du cours actuel (4 305 FCFA), ce qui confirme une pression baissière persistante. Le croisement baissier des moyennes (MM20 sous MM50) et l'écart négatif avec le cours justifient la décision de vente émise par le système.</w:t>
      </w:r>
    </w:p>
    <w:p>
      <w:pPr>
        <w:spacing w:after="120" w:line="276" w:lineRule="auto"/>
      </w:pPr>
      <w:r>
        <w:t>**Bandes de Bollinger** : Le cours (4 305 FCFA) évolue dans la partie inférieure de la bande, entre la borne inférieure (4 282,72 FCFA) et la borne supérieure (4 566,78 FCFA). La proximité du cours avec la borne inférieure suggère une possible zone de survente à court terme, mais la décision reste neutre car le prix n'a pas encore cassé ce support dynamique.</w:t>
      </w:r>
    </w:p>
    <w:p>
      <w:pPr>
        <w:spacing w:after="120" w:line="276" w:lineRule="auto"/>
      </w:pPr>
      <w:r>
        <w:t>**MACD** : La valeur du MACD (-25,308) est inférieure à son signal (-17,031), confirmant un momentum baissier. La divergence négative entre les deux lignes indique que la pression vendeuse reste dominante, justifiant la décision de vente.</w:t>
      </w:r>
    </w:p>
    <w:p>
      <w:pPr>
        <w:spacing w:after="120" w:line="276" w:lineRule="auto"/>
      </w:pPr>
      <w:r>
        <w:t>**RSI** : À 36,496, le RSI se situe dans la zone neutre basse (30-70), sans atteindre le seuil de survente (30). Cela indique que le titre n'est pas encore techniquement survendu, mais la tendance baissière reste intacte, justifiant une décision neutre avec un biais négatif.</w:t>
      </w:r>
    </w:p>
    <w:p>
      <w:pPr>
        <w:spacing w:after="120" w:line="276" w:lineRule="auto"/>
      </w:pPr>
      <w:r>
        <w:t>**Stochastique** : Le %K (0,0) est nettement inférieur au %D (29,885), signalant une situation de survente extrême. Ce croisement baissier du %K sous le %D, bien que générant une décision d'achat technique, doit être interprété avec prudence car il peut refléter une capitulation temporaire plutôt qu'un retournement durable.</w:t>
      </w:r>
    </w:p>
    <w:p>
      <w:pPr>
        <w:spacing w:after="120" w:line="276" w:lineRule="auto"/>
      </w:pPr>
      <w:r>
        <w:t>**Conclusion technique** : La convergence des signaux baissiers (MM, MACD) et la position défavorable du cours sous les moyennes mobiles dominent l'analyse. Le RSI neutre et le stochastique en survente suggèrent un possible rebond technique à court terme, mais la tendance de fond reste baissière. La décision globale est donc à la vente, avec une vigilance sur un éventuel retournement si le cours casse la borne supérieure des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PRSC (exercice clos le 31 décembre 2025) affichent un chiffre d'affaires de 81,127 milliards FCFA, en croissance de 8,64% par rapport à 2024, porté par les ventes de marchandises (+10,82% à 57,96 milliards FCFA selon le rapport Gemini-Vision du 06/09/2026). Le résultat net s'établit à 2,367 milliards FCFA, stable par rapport aux 2,35 milliards de 2024, avec une marge nette de 2,92% et un ROE de 20,53% — un niveau excellent qui témoigne d'une forte rentabilité des fonds propres. Le ROA de 4,95% et la rotation des actifs de 169,59% indiquent une bonne efficacité dans l'utilisation des actifs. Cependant, la structure financière révèle des fragilités : l'autonomie financière de 24,10% est inférieure au seuil de 30%, le ratio d'endettement de 314,86% est élevé, et la trésorerie nette est négative à -4,092 milliards FCFA. Le BFR de 11,267 milliards FCFA, bien que qualifié de favorable dans les données, pèse sur la trésorerie, tout comme les délais clients (45,99 jours) et la durée de stockage (150,51 jours), qui immobilisent du capital. Les rapports trimestriels de 2025 (S1 2025, analysé manuellement le 15/03/2026) montrent une amélioration spectaculaire : CA en hausse de 15,1% à 39,968 milliards FCFA et résultat net multiplié par 28 à 1,436 milliard FCFA, avec une marge nette de 3,6%. Sur cette base, on estime que l'exercice 2025 devrait confirmer cette dynamique, avec un résultat net annuel proche de 2,37 milliards FCFA et un dividende de 209 FCFA/action (soit un rendement de 4,85% au cours actuel). La recommandation fondamentale est de conserver le titre, en surveillant l'évolution de la trésorerie et de l'endettement, mais la solidité du ROE et la croissance du CA constituent des atouts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(PER 18,6x, P/B 3,82x, EV/EBITDA 9,6x) indique une prime de croissance significative par rapport au marché BRVM, ce qui suggère une possible surévaluation à court terme, bien que l'EV/EBITDA reste raisonnable. Le comportement du cours sur 100 jours est baissier (-10,31%), avec une volatilité élevée (39,1%) et une asymétrie négative (skewness -1,298) qui traduit un risque de pics baissiers, ce qui est préoccupant pour les investisseurs averses au risque. Les signaux techniques sont majoritairement baissiers (MM, MACD), avec un RSI neutre et un stochastique en survente qui pourraient annoncer un rebond technique, mais sans confirmation d'un retournement durable. Les fondamentaux restent solides (ROE 20,53%, CA +8,64%, dividende attractif de 209 FCFA), mais la trésorerie négative et l'endettement élevé constituent des risques. Les prédictions IA (J+1 à J+10) anticipent une poursuite de la baisse vers 4 256 FCFA, ce qui confirme la tendance baissière à court terme et contredit l'idée d'un rebond immédiat. Sur la base de cette synthèse, la recommandation finale est **CONSERVER** avec un niveau de confiance **Moyen** et un risque global **Élevé**. L'horizon d'investissement optimal est le **moyen terme (3-12 mois)**, en attendant une clarification de la politique de dividende et une amélioration de la trésorerie, tout en surveillant les prochains résultats trimestriels pour confirmer la tendance haussière du S1 2025. Une vente serait prématurée compte tenu du potentiel de rebond et de la solidité des fondamentaux, mais un achat immédiat est déconseillé en raison de la tendance baissière et des prédictions négatives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37.43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8,856 titres</w:t>
            </w:r>
          </w:p>
        </w:tc>
        <w:tc>
          <w:tcPr>
            <w:tcW w:type="dxa" w:w="2268"/>
            <w:shd w:fill="FFF2CC" w:val="clear"/>
          </w:tcPr>
          <w:p>
            <w:r>
              <w:rPr>
                <w:b/>
                <w:color w:val="503200"/>
                <w:sz w:val="16"/>
              </w:rPr>
              <w:t xml:space="preserve">Cours actuel : </w:t>
            </w:r>
            <w:r>
              <w:rPr>
                <w:color w:val="000000"/>
                <w:sz w:val="17"/>
              </w:rPr>
              <w:t>4,610 FCFA</w:t>
            </w:r>
          </w:p>
          <w:p>
            <w:r>
              <w:rPr>
                <w:b/>
                <w:color w:val="503200"/>
                <w:sz w:val="16"/>
              </w:rPr>
              <w:t xml:space="preserve">Var. 100 jours : </w:t>
            </w:r>
            <w:r>
              <w:rPr>
                <w:b/>
                <w:color w:val="007800"/>
                <w:sz w:val="17"/>
              </w:rPr>
              <w:t>+10.55%</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60.2%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16.90% (Élevée) — μ=4,597 FCFA, σ=777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β=0.4236 (Défensif) — Cov=0.000017, Var(idx)=0.000040, ρ=0.071,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4,258</w:t>
            </w:r>
          </w:p>
        </w:tc>
        <w:tc>
          <w:tcPr>
            <w:tcW w:type="dxa" w:w="1440"/>
            <w:shd w:fill="FAFAFA" w:val="clear"/>
          </w:tcPr>
          <w:p>
            <w:r>
              <w:rPr>
                <w:b/>
                <w:sz w:val="17"/>
              </w:rPr>
              <w:t>4,569</w:t>
            </w:r>
          </w:p>
        </w:tc>
        <w:tc>
          <w:tcPr>
            <w:tcW w:type="dxa" w:w="1440"/>
            <w:shd w:fill="FAFAFA" w:val="clear"/>
          </w:tcPr>
          <w:p>
            <w:r>
              <w:rPr>
                <w:sz w:val="17"/>
              </w:rPr>
              <w:t>4,880</w:t>
            </w:r>
          </w:p>
        </w:tc>
        <w:tc>
          <w:tcPr>
            <w:tcW w:type="dxa" w:w="1440"/>
            <w:shd w:fill="FAFAFA" w:val="clear"/>
          </w:tcPr>
          <w:p>
            <w:r>
              <w:rPr>
                <w:b/>
                <w:color w:val="C00000"/>
                <w:sz w:val="17"/>
              </w:rPr>
              <w:t>-0.9%</w:t>
            </w:r>
          </w:p>
        </w:tc>
      </w:tr>
      <w:tr>
        <w:tc>
          <w:tcPr>
            <w:tcW w:type="dxa" w:w="1440"/>
            <w:shd w:fill="FFDCE0" w:val="clear"/>
          </w:tcPr>
          <w:p>
            <w:r>
              <w:rPr>
                <w:sz w:val="17"/>
              </w:rPr>
              <w:t>J+2  ⭐</w:t>
            </w:r>
          </w:p>
        </w:tc>
        <w:tc>
          <w:tcPr>
            <w:tcW w:type="dxa" w:w="1440"/>
            <w:shd w:fill="FFDCE0" w:val="clear"/>
          </w:tcPr>
          <w:p>
            <w:r>
              <w:rPr>
                <w:sz w:val="17"/>
              </w:rPr>
              <w:t>2026-09-23</w:t>
            </w:r>
          </w:p>
        </w:tc>
        <w:tc>
          <w:tcPr>
            <w:tcW w:type="dxa" w:w="1440"/>
            <w:shd w:fill="FFDCE0" w:val="clear"/>
          </w:tcPr>
          <w:p>
            <w:r>
              <w:rPr>
                <w:sz w:val="17"/>
              </w:rPr>
              <w:t>4,081</w:t>
            </w:r>
          </w:p>
        </w:tc>
        <w:tc>
          <w:tcPr>
            <w:tcW w:type="dxa" w:w="1440"/>
            <w:shd w:fill="FFDCE0" w:val="clear"/>
          </w:tcPr>
          <w:p>
            <w:r>
              <w:rPr>
                <w:b/>
                <w:sz w:val="17"/>
              </w:rPr>
              <w:t>4,515</w:t>
            </w:r>
          </w:p>
        </w:tc>
        <w:tc>
          <w:tcPr>
            <w:tcW w:type="dxa" w:w="1440"/>
            <w:shd w:fill="FFDCE0" w:val="clear"/>
          </w:tcPr>
          <w:p>
            <w:r>
              <w:rPr>
                <w:sz w:val="17"/>
              </w:rPr>
              <w:t>4,950</w:t>
            </w:r>
          </w:p>
        </w:tc>
        <w:tc>
          <w:tcPr>
            <w:tcW w:type="dxa" w:w="1440"/>
            <w:shd w:fill="FFDCE0" w:val="clear"/>
          </w:tcPr>
          <w:p>
            <w:r>
              <w:rPr>
                <w:b/>
                <w:color w:val="C00000"/>
                <w:sz w:val="17"/>
              </w:rPr>
              <w:t>-2.1%</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4,021</w:t>
            </w:r>
          </w:p>
        </w:tc>
        <w:tc>
          <w:tcPr>
            <w:tcW w:type="dxa" w:w="1440"/>
            <w:shd w:fill="FAFAFA" w:val="clear"/>
          </w:tcPr>
          <w:p>
            <w:r>
              <w:rPr>
                <w:b/>
                <w:sz w:val="17"/>
              </w:rPr>
              <w:t>4,558</w:t>
            </w:r>
          </w:p>
        </w:tc>
        <w:tc>
          <w:tcPr>
            <w:tcW w:type="dxa" w:w="1440"/>
            <w:shd w:fill="FAFAFA" w:val="clear"/>
          </w:tcPr>
          <w:p>
            <w:r>
              <w:rPr>
                <w:sz w:val="17"/>
              </w:rPr>
              <w:t>5,096</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3,997</w:t>
            </w:r>
          </w:p>
        </w:tc>
        <w:tc>
          <w:tcPr>
            <w:tcW w:type="dxa" w:w="1440"/>
            <w:shd w:fill="FAFAFA" w:val="clear"/>
          </w:tcPr>
          <w:p>
            <w:r>
              <w:rPr>
                <w:b/>
                <w:sz w:val="17"/>
              </w:rPr>
              <w:t>4,626</w:t>
            </w:r>
          </w:p>
        </w:tc>
        <w:tc>
          <w:tcPr>
            <w:tcW w:type="dxa" w:w="1440"/>
            <w:shd w:fill="FAFAFA" w:val="clear"/>
          </w:tcPr>
          <w:p>
            <w:r>
              <w:rPr>
                <w:sz w:val="17"/>
              </w:rPr>
              <w:t>5,256</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3,980</w:t>
            </w:r>
          </w:p>
        </w:tc>
        <w:tc>
          <w:tcPr>
            <w:tcW w:type="dxa" w:w="1440"/>
            <w:shd w:fill="FAFAFA" w:val="clear"/>
          </w:tcPr>
          <w:p>
            <w:r>
              <w:rPr>
                <w:b/>
                <w:sz w:val="17"/>
              </w:rPr>
              <w:t>4,695</w:t>
            </w:r>
          </w:p>
        </w:tc>
        <w:tc>
          <w:tcPr>
            <w:tcW w:type="dxa" w:w="1440"/>
            <w:shd w:fill="FAFAFA" w:val="clear"/>
          </w:tcPr>
          <w:p>
            <w:r>
              <w:rPr>
                <w:sz w:val="17"/>
              </w:rPr>
              <w:t>5,409</w:t>
            </w:r>
          </w:p>
        </w:tc>
        <w:tc>
          <w:tcPr>
            <w:tcW w:type="dxa" w:w="1440"/>
            <w:shd w:fill="FAFAFA" w:val="clear"/>
          </w:tcPr>
          <w:p>
            <w:r>
              <w:rPr>
                <w:b/>
                <w:color w:val="008000"/>
                <w:sz w:val="17"/>
              </w:rPr>
              <w:t>+1.8%</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3,965</w:t>
            </w:r>
          </w:p>
        </w:tc>
        <w:tc>
          <w:tcPr>
            <w:tcW w:type="dxa" w:w="1440"/>
            <w:shd w:fill="C6EFCE" w:val="clear"/>
          </w:tcPr>
          <w:p>
            <w:r>
              <w:rPr>
                <w:b/>
                <w:sz w:val="17"/>
              </w:rPr>
              <w:t>4,758</w:t>
            </w:r>
          </w:p>
        </w:tc>
        <w:tc>
          <w:tcPr>
            <w:tcW w:type="dxa" w:w="1440"/>
            <w:shd w:fill="C6EFCE" w:val="clear"/>
          </w:tcPr>
          <w:p>
            <w:r>
              <w:rPr>
                <w:sz w:val="17"/>
              </w:rPr>
              <w:t>5,551</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3,947</w:t>
            </w:r>
          </w:p>
        </w:tc>
        <w:tc>
          <w:tcPr>
            <w:tcW w:type="dxa" w:w="1440"/>
            <w:shd w:fill="C6EFCE" w:val="clear"/>
          </w:tcPr>
          <w:p>
            <w:r>
              <w:rPr>
                <w:b/>
                <w:sz w:val="17"/>
              </w:rPr>
              <w:t>4,813</w:t>
            </w:r>
          </w:p>
        </w:tc>
        <w:tc>
          <w:tcPr>
            <w:tcW w:type="dxa" w:w="1440"/>
            <w:shd w:fill="C6EFCE" w:val="clear"/>
          </w:tcPr>
          <w:p>
            <w:r>
              <w:rPr>
                <w:sz w:val="17"/>
              </w:rPr>
              <w:t>5,680</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3,926</w:t>
            </w:r>
          </w:p>
        </w:tc>
        <w:tc>
          <w:tcPr>
            <w:tcW w:type="dxa" w:w="1440"/>
            <w:shd w:fill="C6EFCE" w:val="clear"/>
          </w:tcPr>
          <w:p>
            <w:r>
              <w:rPr>
                <w:b/>
                <w:sz w:val="17"/>
              </w:rPr>
              <w:t>4,861</w:t>
            </w:r>
          </w:p>
        </w:tc>
        <w:tc>
          <w:tcPr>
            <w:tcW w:type="dxa" w:w="1440"/>
            <w:shd w:fill="C6EFCE" w:val="clear"/>
          </w:tcPr>
          <w:p>
            <w:r>
              <w:rPr>
                <w:sz w:val="17"/>
              </w:rPr>
              <w:t>5,797</w:t>
            </w:r>
          </w:p>
        </w:tc>
        <w:tc>
          <w:tcPr>
            <w:tcW w:type="dxa" w:w="1440"/>
            <w:shd w:fill="C6EFCE" w:val="clear"/>
          </w:tcPr>
          <w:p>
            <w:r>
              <w:rPr>
                <w:b/>
                <w:color w:val="008000"/>
                <w:sz w:val="17"/>
              </w:rPr>
              <w:t>+5.5%</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3,902</w:t>
            </w:r>
          </w:p>
        </w:tc>
        <w:tc>
          <w:tcPr>
            <w:tcW w:type="dxa" w:w="1440"/>
            <w:shd w:fill="C6EFCE" w:val="clear"/>
          </w:tcPr>
          <w:p>
            <w:r>
              <w:rPr>
                <w:b/>
                <w:sz w:val="17"/>
              </w:rPr>
              <w:t>4,903</w:t>
            </w:r>
          </w:p>
        </w:tc>
        <w:tc>
          <w:tcPr>
            <w:tcW w:type="dxa" w:w="1440"/>
            <w:shd w:fill="C6EFCE" w:val="clear"/>
          </w:tcPr>
          <w:p>
            <w:r>
              <w:rPr>
                <w:sz w:val="17"/>
              </w:rPr>
              <w:t>5,903</w:t>
            </w:r>
          </w:p>
        </w:tc>
        <w:tc>
          <w:tcPr>
            <w:tcW w:type="dxa" w:w="1440"/>
            <w:shd w:fill="C6EFCE" w:val="clear"/>
          </w:tcPr>
          <w:p>
            <w:r>
              <w:rPr>
                <w:b/>
                <w:color w:val="008000"/>
                <w:sz w:val="17"/>
              </w:rPr>
              <w:t>+6.3%</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3,875</w:t>
            </w:r>
          </w:p>
        </w:tc>
        <w:tc>
          <w:tcPr>
            <w:tcW w:type="dxa" w:w="1440"/>
            <w:shd w:fill="C6EFCE" w:val="clear"/>
          </w:tcPr>
          <w:p>
            <w:r>
              <w:rPr>
                <w:b/>
                <w:sz w:val="17"/>
              </w:rPr>
              <w:t>4,938</w:t>
            </w:r>
          </w:p>
        </w:tc>
        <w:tc>
          <w:tcPr>
            <w:tcW w:type="dxa" w:w="1440"/>
            <w:shd w:fill="C6EFCE" w:val="clear"/>
          </w:tcPr>
          <w:p>
            <w:r>
              <w:rPr>
                <w:sz w:val="17"/>
              </w:rPr>
              <w:t>6,000</w:t>
            </w:r>
          </w:p>
        </w:tc>
        <w:tc>
          <w:tcPr>
            <w:tcW w:type="dxa" w:w="1440"/>
            <w:shd w:fill="C6EFCE" w:val="clear"/>
          </w:tcPr>
          <w:p>
            <w:r>
              <w:rPr>
                <w:b/>
                <w:color w:val="008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ACTION SAFC (ALIOS FINANCE CÔTE D'IVOIRE)**</w:t>
        <w:br/>
        <w:t>**Bourse Régionale des Valeurs Mobilières (BRVM) — Secteur : Banque / Financement spécialisé**</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37,43 milliards FCFA, un niveau modeste à l'échelle de la BRVM qui la classe parmi les valeurs de petite capitalisation, ce qui implique une liquidité limitée et une sensibilité accrue aux mouvements de portefeuille. Le BPA de 86 FCFA/action indique que chaque titre génère 86 FCFA de bénéfice net, un niveau qui, rapporté au cours actuel de 4 610 FCFA, se traduit par un PER de 53,4x — très largement supérieur à la moyenne BRVM (8-12x), signalant que les investisseurs paient une prime spéculative très élevée sur les bénéfices actuels, anticipant une forte croissance future. Le P/B de 6,33x confirme cette valorisation exigeante : le marché valorise la société à plus de six fois sa valeur comptable, ce qui est difficilement justifiable pour un établissement dont les capitaux propres restent modestes (5,9 Mds FCFA) et le report à nouveau négatif. Enfin, l'EV/EBITDA de 75,6x, très au-dessus du seuil de 15x généralement considéré comme raisonnable, traduit une valorisation totale (dette incluse) déconnectée de la capacité opérationnelle actuelle, ce qui rend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affiche une variation totale positive de +10,55%, mais la dernière séance (J-1) a enregistré une chute brutale de -7,43%, signalant un retournement de court terme après une phase de hausse. Le cours actuel de 4 610 FCFA se situe dans la partie basse du range de trading, le plus haut ayant atteint 6 200 FCFA et le plus bas 3 340 FCFA, soit un écart de 2 860 FCFA (85% du plus bas) qui témoigne d'une forte amplitude. La tendance générale reste haussière sur la période, mais la correction récente et la position du cours sous les moyennes mobiles suggèrent un essoufflement. Les statistiques descriptives révèlent une moyenne de 4 597 FCFA légèrement supérieure à la médiane de 4 545 FCFA, avec un mode à 3 700 FCFA : l'écart faible entre moyenne et médiane indique une distribution quasi symétrique, confirmée par un skewness de 0,302 (distribution symétrique). L'écart-type de 781 FCFA (CV = 17,0%) traduit une dispersion modérée du cours autour de sa moyenne, tandis que le kurtosis de -1,030 (distribution platykurtique) indique une distribution aplatie avec une faible concentration autour de la moyenne et un risque de pics moins prononcé que pour une loi normale. La volatilité annualisée de 60,2% classe le titre dans la catégorie des valeurs très volatiles (&gt;30%), ce qui est cohérent avec sa petite capitalisation et son statut spéculatif.</w:t>
      </w:r>
    </w:p>
    <w:p>
      <w:pPr>
        <w:spacing w:after="120" w:line="276" w:lineRule="auto"/>
      </w:pPr>
      <w:r>
        <w:t>---</w:t>
      </w:r>
    </w:p>
    <w:p>
      <w:pPr>
        <w:spacing w:after="120" w:line="276" w:lineRule="auto"/>
      </w:pPr>
      <w:r>
        <w:t>## PARTIE 2 : ANALYSE TECHNIQUE DÉTAILLÉE</w:t>
      </w:r>
    </w:p>
    <w:p>
      <w:pPr>
        <w:spacing w:after="120" w:line="276" w:lineRule="auto"/>
      </w:pPr>
      <w:r>
        <w:t>**Moyennes Mobiles** : La MM20 (5 534 FCFA) et la MM50 (5 202 FCFA) se situent toutes deux nettement au-dessus du cours actuel (4 610 FCFA), ce qui place le titre en position baissière par rapport à ses tendances de court et moyen terme. Malgré la décision affichée « Achat », la configuration réelle (cours sous les deux moyennes) est baissière, la MM20 étant elle-même au-dessus de la MM50, ce qui pourrait signaler un début de retournement à la baisse plutôt qu'un signal d'achat.</w:t>
      </w:r>
    </w:p>
    <w:p>
      <w:pPr>
        <w:spacing w:after="120" w:line="276" w:lineRule="auto"/>
      </w:pPr>
      <w:r>
        <w:t>**Bandes de Bollinger** : La borne supérieure est à 6 489,94 FCFA et la borne inférieure à 4 578,06 FCFA, avec un cours actuel de 4 610 FCFA qui frôle la borne inférieure. Cette position indique que le titre est proche d'une zone de survente technique, mais l'écart très large entre les bornes (1 912 FCFA) reflète une volatilité élevée. La décision « Neutre » est cohérente : le cours n'est ni en rupture haussière ni en cassure baissière franche.</w:t>
      </w:r>
    </w:p>
    <w:p>
      <w:pPr>
        <w:spacing w:after="120" w:line="276" w:lineRule="auto"/>
      </w:pPr>
      <w:r>
        <w:t>**MACD** : La valeur du MACD (-141,76) est très inférieure à son signal (4,354), ce qui génère une divergence baissière marquée et un momentum négatif. La décision « Vente » est justifiée : le MACD est en territoire négatif et sous son signal, confirmant la pression vendeuse à court terme.</w:t>
      </w:r>
    </w:p>
    <w:p>
      <w:pPr>
        <w:spacing w:after="120" w:line="276" w:lineRule="auto"/>
      </w:pPr>
      <w:r>
        <w:t>**RSI** : À 23,93, le RSI est en zone de survente (&lt;30), ce qui indique que le titre a été massivement vendu et pourrait connaître un rebond technique à court terme. La décision « Achat » est cohérente avec cette lecture contrarienne, mais elle doit être tempérée par la faiblesse des autres indicateurs.</w:t>
      </w:r>
    </w:p>
    <w:p>
      <w:pPr>
        <w:spacing w:after="120" w:line="276" w:lineRule="auto"/>
      </w:pPr>
      <w:r>
        <w:t>**Stochastique** : Le %K est à 0,0 et le %D à 3,541, ce qui place l'indicateur en zone de survente extrême. Un croisement haussier du %K au-dessus du %D pourrait signaler un rebond, mais pour l'instant, la pression baissière reste dominante. La décision « Achat » est un signal contrarien qui nécessite une confirmation.</w:t>
      </w:r>
    </w:p>
    <w:p>
      <w:pPr>
        <w:spacing w:after="120" w:line="276" w:lineRule="auto"/>
      </w:pPr>
      <w:r>
        <w:t>**Conclusion technique** : Les indicateurs sont divergents : les oscillateurs (RSI, Stochastique) suggèrent une survente propice à un rebond technique, tandis que les moyennes mobiles et le MACD confirment une tendance baissière de fond. La chute de -7,43% en J-1 et la position du cours sous les MM20/MM50 plaident pour une prudence accrue, malgré les signaux d'achat contrariens. Une stabilisation au-dessus de 4 578 FCFA (borne inférieure de Bollinger) serait nécessaire pour envisager un retournement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SAFC a réalisé un Produit Net Bancaire (PNB) de 5 735 millions FCFA, en hausse de 44,1% par rapport à 2024 (3 980 M FCFA), porté par la croissance des intérêts et produits assimilés (8 236 M FCFA) et des commissions (686 M FCFA). Le résultat net s'établit à 701 millions FCFA, marquant un retournement spectaculaire après une perte de 165 millions FCFA en 2024. Le ROE ressort à 11,85% (inférieur au seuil d'excellence de 15%) et le ROA à 0,88%, des niveaux modestes qui traduisent une rentabilité encore fragile. Le coefficient d'exploitation de 77,63% est très supérieur au seuil de 60% considéré comme efficace pour une banque, indiquant que les charges d'exploitation (4 103 M FCFA) absorbent une part trop importante du PNB. Le coût du risque, à 6,57% des charges financières, reste élevé et signale un risque de crédit significatif. La structure financière est préoccupante : l'autonomie financière n'est que de 7,44% (capitaux propres/total bilan), très en dessous du seuil sain de 30%, et le ratio d'endettement atteint 856,36%. La trésorerie nette est négative à -35 324 M FCFA, et la capacité de remboursement (35,50 années de CAF) est très élevée.</w:t>
      </w:r>
    </w:p>
    <w:p>
      <w:pPr>
        <w:spacing w:after="120" w:line="276" w:lineRule="auto"/>
      </w:pPr>
      <w:r>
        <w:t>**Estimations basées sur les rapports trimestriels** : Le rapport du T1 2026 (publié le 14/04/2026) indique un PNB de 1 395 M FCFA (+29%) et un résultat net de 151 M FCFA (+1 062%), avec un coût du risque en baisse de 75% (-22 M FCFA). Le rapport du S1 2026 (publié le 04/09/2026) confirme cette dynamique avec un PNB de 2 907 M FCFA (+37%) et un résultat net de 731 M FCFA (+231%), ainsi qu'une reprise nette sur coût du risque de 261 M FCFA. Sur la base de ces performances semestrielles, on peut estimer que l'exercice 2026 devrait afficher un PNB supérieur à 5 800 M FCFA et un résultat net en forte progression, potentiellement au-delà de 1 200 M FCFA, ce qui ramènerait le PER à un niveau plus raisonnable (environ 30x). Les capitaux propres ont été renforcés à 6 647 M FCFA au 30/06/2026 (+22%), et le ratio CET1 s'établit à 11,49%, respectant les normes prudentielles.</w:t>
      </w:r>
    </w:p>
    <w:p>
      <w:pPr>
        <w:spacing w:after="120" w:line="276" w:lineRule="auto"/>
      </w:pPr>
      <w:r>
        <w:t>**Recommandation fondamentale** : La société est en pleine phase de redressement, portée par l'intégration au sein de CREDAF GROUP (avril 2025) et une amélioration spectaculaire de la rentabilité. Toutefois, les risques restent élevés : dépendance aux dettes interbancaires (35 747 M FCFA), concentration sur le crédit automobile, et engagements hors-bilan importants (280 607 M FCFA selon le rapport DEEPSEEK du 03/06/2026). La valorisation actuelle (PER 53,4x, P/B 6,33x) intègre déjà une grande partie du redressement, ce qui limite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très exigeante avec un PER de 53,4x, un P/B de 6,33x et un EV/EBITDA de 75,6x, ce qui suggère une surévaluation manifeste par rapport aux fondamentaux actuels. Le comportement du cours (Partie 1) est mitigé : la tendance haussière sur 100 jours (+10,55%) est contrariée par une chute de -7,43% en J-1 et une volatilité annualisée de 60,2%, avec une distribution platykurtique (kurtosis -1,030) qui indique un risque de mouvements erratiques. Les signaux techniques (Partie 2) sont divergents : les oscillateurs (RSI 23,93, Stochastique 0,0) suggèrent une survente propice à un rebond, mais les moyennes mobiles (cours sous MM20/MM50) et le MACD (-141,76) confirment une tendance baissière. Les fondamentaux (Partie 3) montrent un redressement spectaculaire en 2025 (PNB +44%, résultat net de 701 M FCFA) et une accélération au S1 2026 (résultat net de 731 M FCFA, +231%), mais la structure financière reste fragile (autonomie financière de 7,44%, trésorerie nette négative). Les prédictions IA (J+1 à J+10) anticipent une légère reprise vers 4 695 FCFA d'ici le 28/09/2026, ce qui confirme un possible rebond technique à court terme.</w:t>
      </w:r>
    </w:p>
    <w:p>
      <w:pPr>
        <w:spacing w:after="120" w:line="276" w:lineRule="auto"/>
      </w:pPr>
      <w:r>
        <w:t>**Recommandation finale** : **CONSERVER** (avec un biais spéculatif). La convergence entre les signaux techniques de survente (RSI, Stochastique) et les prédictions IA à la hausse suggère un rebond à court terme, mais la valorisation exigeante et les risques structurels (dépendance aux dettes interbancaires, concentration sectorielle) limitent le potentiel de hausse durable. Le niveau de confiance est **Moyen** : les fondamentaux s'améliorent, mais la valorisation intègre déjà une grande partie du redressement. Le niveau de risque global est **Élevé** en raison de la volatilité (60,2%), de la petite capitalisation et des engagements hors-bilan. L'horizon d'investissement optimal est **moyen terme (3-12 mois)** , en surveillant la confirmation de la rentabilité au S2 2026 et la capacité de la société à diversifier ses sources de financement. Un passage à l'ACHAT serait justifié si le titre revenait vers 3 800-4 000 FCFA (zone de support) ou si les résultats annuels 2026 dépassaient les attentes avec un renforcement significatif des fonds propres.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10,918 titres</w:t>
            </w:r>
          </w:p>
        </w:tc>
        <w:tc>
          <w:tcPr>
            <w:tcW w:type="dxa" w:w="2268"/>
            <w:shd w:fill="FFF2CC" w:val="clear"/>
          </w:tcPr>
          <w:p>
            <w:r>
              <w:rPr>
                <w:b/>
                <w:color w:val="503200"/>
                <w:sz w:val="16"/>
              </w:rPr>
              <w:t xml:space="preserve">Cours actuel : </w:t>
            </w:r>
            <w:r>
              <w:rPr>
                <w:color w:val="000000"/>
                <w:sz w:val="17"/>
              </w:rPr>
              <w:t>3,085 FCFA</w:t>
            </w:r>
          </w:p>
          <w:p>
            <w:r>
              <w:rPr>
                <w:b/>
                <w:color w:val="503200"/>
                <w:sz w:val="16"/>
              </w:rPr>
              <w:t xml:space="preserve">Var. 100 jours : </w:t>
            </w:r>
            <w:r>
              <w:rPr>
                <w:b/>
                <w:color w:val="007800"/>
                <w:sz w:val="17"/>
              </w:rPr>
              <w:t>+53.48%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18.04% (Élevée) — μ=3,101 FCFA, σ=559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β=0.5464 (Défensif) — Cov=0.000020, Var(idx)=0.000036, ρ=0.093, n=95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2026-09-22</w:t>
            </w:r>
          </w:p>
        </w:tc>
        <w:tc>
          <w:tcPr>
            <w:tcW w:type="dxa" w:w="1440"/>
            <w:shd w:fill="C6EFCE" w:val="clear"/>
          </w:tcPr>
          <w:p>
            <w:r>
              <w:rPr>
                <w:sz w:val="17"/>
              </w:rPr>
              <w:t>3,046</w:t>
            </w:r>
          </w:p>
        </w:tc>
        <w:tc>
          <w:tcPr>
            <w:tcW w:type="dxa" w:w="1440"/>
            <w:shd w:fill="C6EFCE" w:val="clear"/>
          </w:tcPr>
          <w:p>
            <w:r>
              <w:rPr>
                <w:b/>
                <w:sz w:val="17"/>
              </w:rPr>
              <w:t>3,324</w:t>
            </w:r>
          </w:p>
        </w:tc>
        <w:tc>
          <w:tcPr>
            <w:tcW w:type="dxa" w:w="1440"/>
            <w:shd w:fill="C6EFCE" w:val="clear"/>
          </w:tcPr>
          <w:p>
            <w:r>
              <w:rPr>
                <w:sz w:val="17"/>
              </w:rPr>
              <w:t>3,602</w:t>
            </w:r>
          </w:p>
        </w:tc>
        <w:tc>
          <w:tcPr>
            <w:tcW w:type="dxa" w:w="1440"/>
            <w:shd w:fill="C6EFCE" w:val="clear"/>
          </w:tcPr>
          <w:p>
            <w:r>
              <w:rPr>
                <w:b/>
                <w:color w:val="008000"/>
                <w:sz w:val="17"/>
              </w:rPr>
              <w:t>+7.7%</w:t>
            </w:r>
          </w:p>
        </w:tc>
      </w:tr>
      <w:tr>
        <w:tc>
          <w:tcPr>
            <w:tcW w:type="dxa" w:w="1440"/>
            <w:shd w:fill="C6EFCE" w:val="clear"/>
          </w:tcPr>
          <w:p>
            <w:r>
              <w:rPr>
                <w:sz w:val="17"/>
              </w:rPr>
              <w:t>J+2  ⭐</w:t>
            </w:r>
          </w:p>
        </w:tc>
        <w:tc>
          <w:tcPr>
            <w:tcW w:type="dxa" w:w="1440"/>
            <w:shd w:fill="C6EFCE" w:val="clear"/>
          </w:tcPr>
          <w:p>
            <w:r>
              <w:rPr>
                <w:sz w:val="17"/>
              </w:rPr>
              <w:t>2026-09-23</w:t>
            </w:r>
          </w:p>
        </w:tc>
        <w:tc>
          <w:tcPr>
            <w:tcW w:type="dxa" w:w="1440"/>
            <w:shd w:fill="C6EFCE" w:val="clear"/>
          </w:tcPr>
          <w:p>
            <w:r>
              <w:rPr>
                <w:sz w:val="17"/>
              </w:rPr>
              <w:t>3,054</w:t>
            </w:r>
          </w:p>
        </w:tc>
        <w:tc>
          <w:tcPr>
            <w:tcW w:type="dxa" w:w="1440"/>
            <w:shd w:fill="C6EFCE" w:val="clear"/>
          </w:tcPr>
          <w:p>
            <w:r>
              <w:rPr>
                <w:b/>
                <w:sz w:val="17"/>
              </w:rPr>
              <w:t>3,362</w:t>
            </w:r>
          </w:p>
        </w:tc>
        <w:tc>
          <w:tcPr>
            <w:tcW w:type="dxa" w:w="1440"/>
            <w:shd w:fill="C6EFCE" w:val="clear"/>
          </w:tcPr>
          <w:p>
            <w:r>
              <w:rPr>
                <w:sz w:val="17"/>
              </w:rPr>
              <w:t>3,669</w:t>
            </w:r>
          </w:p>
        </w:tc>
        <w:tc>
          <w:tcPr>
            <w:tcW w:type="dxa" w:w="1440"/>
            <w:shd w:fill="C6EFCE" w:val="clear"/>
          </w:tcPr>
          <w:p>
            <w:r>
              <w:rPr>
                <w:b/>
                <w:color w:val="008000"/>
                <w:sz w:val="17"/>
              </w:rPr>
              <w:t>+9.0%</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3,051</w:t>
            </w:r>
          </w:p>
        </w:tc>
        <w:tc>
          <w:tcPr>
            <w:tcW w:type="dxa" w:w="1440"/>
            <w:shd w:fill="C6EFCE" w:val="clear"/>
          </w:tcPr>
          <w:p>
            <w:r>
              <w:rPr>
                <w:b/>
                <w:sz w:val="17"/>
              </w:rPr>
              <w:t>3,385</w:t>
            </w:r>
          </w:p>
        </w:tc>
        <w:tc>
          <w:tcPr>
            <w:tcW w:type="dxa" w:w="1440"/>
            <w:shd w:fill="C6EFCE" w:val="clear"/>
          </w:tcPr>
          <w:p>
            <w:r>
              <w:rPr>
                <w:sz w:val="17"/>
              </w:rPr>
              <w:t>3,720</w:t>
            </w:r>
          </w:p>
        </w:tc>
        <w:tc>
          <w:tcPr>
            <w:tcW w:type="dxa" w:w="1440"/>
            <w:shd w:fill="C6EFCE" w:val="clear"/>
          </w:tcPr>
          <w:p>
            <w:r>
              <w:rPr>
                <w:b/>
                <w:color w:val="008000"/>
                <w:sz w:val="17"/>
              </w:rPr>
              <w:t>+9.7%</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3,042</w:t>
            </w:r>
          </w:p>
        </w:tc>
        <w:tc>
          <w:tcPr>
            <w:tcW w:type="dxa" w:w="1440"/>
            <w:shd w:fill="C6EFCE" w:val="clear"/>
          </w:tcPr>
          <w:p>
            <w:r>
              <w:rPr>
                <w:b/>
                <w:sz w:val="17"/>
              </w:rPr>
              <w:t>3,401</w:t>
            </w:r>
          </w:p>
        </w:tc>
        <w:tc>
          <w:tcPr>
            <w:tcW w:type="dxa" w:w="1440"/>
            <w:shd w:fill="C6EFCE" w:val="clear"/>
          </w:tcPr>
          <w:p>
            <w:r>
              <w:rPr>
                <w:sz w:val="17"/>
              </w:rPr>
              <w:t>3,760</w:t>
            </w:r>
          </w:p>
        </w:tc>
        <w:tc>
          <w:tcPr>
            <w:tcW w:type="dxa" w:w="1440"/>
            <w:shd w:fill="C6EFCE" w:val="clear"/>
          </w:tcPr>
          <w:p>
            <w:r>
              <w:rPr>
                <w:b/>
                <w:color w:val="008000"/>
                <w:sz w:val="17"/>
              </w:rPr>
              <w:t>+10.2%</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3,030</w:t>
            </w:r>
          </w:p>
        </w:tc>
        <w:tc>
          <w:tcPr>
            <w:tcW w:type="dxa" w:w="1440"/>
            <w:shd w:fill="C6EFCE" w:val="clear"/>
          </w:tcPr>
          <w:p>
            <w:r>
              <w:rPr>
                <w:b/>
                <w:sz w:val="17"/>
              </w:rPr>
              <w:t>3,412</w:t>
            </w:r>
          </w:p>
        </w:tc>
        <w:tc>
          <w:tcPr>
            <w:tcW w:type="dxa" w:w="1440"/>
            <w:shd w:fill="C6EFCE" w:val="clear"/>
          </w:tcPr>
          <w:p>
            <w:r>
              <w:rPr>
                <w:sz w:val="17"/>
              </w:rPr>
              <w:t>3,795</w:t>
            </w:r>
          </w:p>
        </w:tc>
        <w:tc>
          <w:tcPr>
            <w:tcW w:type="dxa" w:w="1440"/>
            <w:shd w:fill="C6EFCE" w:val="clear"/>
          </w:tcPr>
          <w:p>
            <w:r>
              <w:rPr>
                <w:b/>
                <w:color w:val="008000"/>
                <w:sz w:val="17"/>
              </w:rPr>
              <w:t>+10.6%</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3,017</w:t>
            </w:r>
          </w:p>
        </w:tc>
        <w:tc>
          <w:tcPr>
            <w:tcW w:type="dxa" w:w="1440"/>
            <w:shd w:fill="C6EFCE" w:val="clear"/>
          </w:tcPr>
          <w:p>
            <w:r>
              <w:rPr>
                <w:b/>
                <w:sz w:val="17"/>
              </w:rPr>
              <w:t>3,421</w:t>
            </w:r>
          </w:p>
        </w:tc>
        <w:tc>
          <w:tcPr>
            <w:tcW w:type="dxa" w:w="1440"/>
            <w:shd w:fill="C6EFCE" w:val="clear"/>
          </w:tcPr>
          <w:p>
            <w:r>
              <w:rPr>
                <w:sz w:val="17"/>
              </w:rPr>
              <w:t>3,826</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 — BRVM</w:t>
      </w:r>
    </w:p>
    <w:p>
      <w:pPr>
        <w:spacing w:after="120" w:line="276" w:lineRule="auto"/>
      </w:pPr>
      <w:r>
        <w:t>**Date d'analyse : Septembre 2026** | **Cours de référence : 3 085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60,47 milliards FCFA, un niveau intermédiaire à l'échelle de la BRVM qui positionne le titre parmi les valeurs industrielles significatives de la cote. Le BPA ressort à -406 FCFA/action, traduisant une société déficitaire : chaque action détruit de la valeur comptable plutôt qu'elle n'en génère. Le PER de -7,6x est négatif et donc non interprétable en termes de multiple bénéficiaire — il confirme simplement l'absence de profits ; à titre de comparaison, le PER moyen de la BRVM se situe entre 8x et 12x, ce qui souligne l'anomalie de la situation. Le P/B de 3,51x indique que le marché valorise SCRC à plus de trois fois ses fonds propres comptables (17,24 Mds FCFA), soit une prime de croissance significative qui n'est pas justifiée par les résultats actuels — cette prime reflète davantage les anticipations de redressement que la réalité financière. Enfin, l'EV/EBITDA de 10,2x situe la valeur d'entreprise dans la fourchette haute (10-15x) des multiples de capacité opérationnelle, suggérant que le marché intègre déjà une amélioration future de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SCRC affiche une progression spectaculaire de +53,48%, mais la dernière séance (J-1) enregistre un repli marqué de -5,95%, signalant une prise de bénéfices ou un retournement de sentiment. Le range de trading est très large, oscillant entre un plus bas de 1 990 FCFA et un plus haut de 3 920 FCFA, soit une amplitude de près de 97% — caractéristique d'un titre en forte volatilité. La tendance générale reste haussière sur la période, mais le cours actuel (3 085 FCFA) se situe désormais sous sa moyenne (3 101 FCFA) et nettement sous sa médiane (3 298 FCFA), ce qui révèle une distribution asymétrique : la moyenne inférieure à la médiane confirme que les journées de forte hausse ont été moins nombreuses que les journées de baisse récente. L'écart-type de 562 FCFA avec un coefficient de variation de 18,1% indique une dispersion modérée à élevée du cours autour de sa moyenne. Le kurtosis de -0,778 (mésokurtique) suggère une distribution proche de la normale, sans risque excessif de pics extrêmes, tandis que le skewness de -0,732 (asymétrie négative) confirme que le titre a passé plus de journées au-dessus de sa moyenne, mais que les baisses récentes sont plus prononcées que les hausses. La volatilité annualisée de 54,7% classe ce titre dans la catégorie **élevée** (&gt;30%), ce qui implique un risque important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(3 431,5 FCFA) et la MM50 (3 539,1 FCFA) sont toutes deux nettement supérieures au cours actuel (3 085 FCFA), ce qui place le titre en position baissière sous ses moyennes. La MM20 étant inférieure à la MM50, on observe un croisement baissier (death cross) confirmant la pression vendeuse. La décision technique est **Vente**.</w:t>
      </w:r>
    </w:p>
    <w:p>
      <w:pPr>
        <w:spacing w:after="120" w:line="276" w:lineRule="auto"/>
      </w:pPr>
      <w:r>
        <w:t>**Bandes de Bollinger** : Le cours (3 085 FCFA) se situe sous la borne inférieure (3 157,77 FCFA), ce qui constitue un signal de survente extrême et suggère un potentiel rebond technique à court terme. L'écart entre les bornes (3 705,23 - 3 157,77 = 547,46 FCFA) reflète une volatilité élevée. La décision est **Achat** sur ce seul indicateur.</w:t>
      </w:r>
    </w:p>
    <w:p>
      <w:pPr>
        <w:spacing w:after="120" w:line="276" w:lineRule="auto"/>
      </w:pPr>
      <w:r>
        <w:t>**MACD** : La valeur du MACD (-71,694) est inférieure à son signal (-32,62), confirmant un momentum baissier persistant. La divergence négative entre les deux lignes indique que la pression vendeuse reste dominante malgré la survente. La décision est **Vente**.</w:t>
      </w:r>
    </w:p>
    <w:p>
      <w:pPr>
        <w:spacing w:after="120" w:line="276" w:lineRule="auto"/>
      </w:pPr>
      <w:r>
        <w:t>**RSI** : À 32,317, le RSI se situe juste au-dessus du seuil de survente (30), en zone neutre basse. Cela indique que le titre n'est pas encore techniquement en survente extrême, mais qu'il s'en approche, laissant présager un possible rebond si le seuil de 30 est touché. La décision est **Neutre**.</w:t>
      </w:r>
    </w:p>
    <w:p>
      <w:pPr>
        <w:spacing w:after="120" w:line="276" w:lineRule="auto"/>
      </w:pPr>
      <w:r>
        <w:t>**Stochastique** : Les valeurs %K et %D sont toutes deux à 0,0, ce qui est un signal de survente maximale. Un croisement haussier des deux lignes est attendu, ce qui constitue un signal d'achat technique à court terme. La décision est **Achat**.</w:t>
      </w:r>
    </w:p>
    <w:p>
      <w:pPr>
        <w:spacing w:after="120" w:line="276" w:lineRule="auto"/>
      </w:pPr>
      <w:r>
        <w:t>**Conclusion technique** : Les indicateurs sont divergents. Les moyennes mobiles et le MACD confirment une tendance baissière de fond, tandis que les Bandes de Bollinger et le Stochastique signalent une survente extrême propice à un rebond technique. Le RSI neutre ne tranche pas. Dans ce contexte, un rebond à court terme est possible, mais la tendance baissière reste dominante tant que le cours ne repasse pas au-dessus de la MM20 (3 431,5 FCFA). La prudence est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SCRC a réalisé un chiffre d'affaires de 80,569 Mds FCFA, en baisse de 7,6% par rapport à 2024 (87,219 Mds FCFA). Le résultat net est une perte de 7,954 Mds FCFA (IFRS) ou 6,132 Mds FCFA (SYSCOHADA), contre un bénéfice de 2,474 Mds FCFA en 2024 — une dégradation spectaculaire de plus de 10 Mds FCFA. Le ROE est de -46,13% et le ROA de -5,08%, confirmant la destruction de valeur. La marge brute reste élevée à 45,82%, mais la marge nette s'effondre à -9,87% et la marge opérationnelle à -0,68%. Le résultat d'exploitation est négatif à -544,99 M FCFA, et le résultat avant impôt à -7,331 Mds FCFA. Les charges financières ont explosé à 6,790 Mds FCFA (+262%), conséquence d'un endettement financier total de 84,873 Mds FCFA (dont 45,922 Mds FCFA de dettes LT/MT). La trésorerie nette est négative à -6,505 Mds FCFA, et le fonds de roulement est négatif à -10,665 Mds FCFA, signe de tensions de liquidité. Le BFR est de 6,529 Mds FCFA (positif, donc défavorable). Les délais clients sont courts (12,28 jours), mais les délais fournisseurs sont très longs (366,07 jours) et la durée de stockage est de 360,73 jours, ce qui immobilise massivement du capital. La capacité de remboursement est de 11,21 années de CAF, ce qui est très élevé et préoccupant. L'autonomie financière est faible (11,02%), et le ratio d'endettement atteint 88,98%.</w:t>
      </w:r>
    </w:p>
    <w:p>
      <w:pPr>
        <w:spacing w:after="120" w:line="276" w:lineRule="auto"/>
      </w:pPr>
      <w:r>
        <w:t>**Adaptation au secteur (entreprise non bancaire)** : SCRC est une entreprise industrielle et agricole (production de sucre). Les indicateurs clés sont le CA, les marges, le BFR, les délais clients/fournisseurs et l'endettement. La rotation des actifs est de 51,51%, ce qui est modéré. Le taux de croissance du CA est négatif (-7,63%), signalant une contraction de l'activité. Le BFR positif et le fonds de roulement négatif indiquent que l'entreprise ne finance pas correctement son cycle d'exploitation, ce qui aggrave le risque de trésorerie.</w:t>
      </w:r>
    </w:p>
    <w:p>
      <w:pPr>
        <w:spacing w:after="120" w:line="276" w:lineRule="auto"/>
      </w:pPr>
      <w:r>
        <w:t>**Estimations basées sur les rapports trimestriels** : Le rapport S1 2025 (daté du 30/06/2025) indiquait un CA de 42,87 Mds FCFA (-5%) et une perte nette de -6,71 Mds FCFA, avec un résultat d'exploitation négatif de -3,18 Mds FCFA. Le rapport T1 2025 (daté du 31/03/2025) faisait état d'un CA de 25,09 Mds FCFA (-13%) et d'un résultat net positif de 3,21 Mds FCFA, mais en repli de 32%. Ces éléments montrent une dégradation progressive tout au long de l'année 2025, avec un point bas au S1. Le rapport annuel 2024 (daté du 31/12/2024) soulignait un redressement en 2024 (CA +28%, résultat net positif de 2,59 Mds FCFA), mais cette dynamique ne s'est pas poursuivie en 2025. Les rapports récents (2025) mentionnent une explosion de l'endettement et des charges financières, ainsi qu'une perte nette massive. Les perspectives pour 2026 restent très préoccupantes selon les rapports, avec un besoin impératif de restructuration de la dette.</w:t>
      </w:r>
    </w:p>
    <w:p>
      <w:pPr>
        <w:spacing w:after="120" w:line="276" w:lineRule="auto"/>
      </w:pPr>
      <w:r>
        <w:t>**Recommandation fondamentale** : La situation financière de SCRC est critique. La société est déficitaire, lourdement endettée, avec une trésorerie négative et un fonds de roulement négatif. Les charges financières absorbent une part croissante de l'EBE. Le retour à la rentabilité en 2024 a été de courte durée, et 2025 marque un effondrement. Les investissements massifs (25,2 Mds FCFA en 2025) n'ont pas encore produit de résultats. La recommandation fondamentale est **Vente** (ou **Conserver** avec une vigilance extrême pour les investisseurs déjà positionnés), en attendant des signes concrets de redressement opérationnel et de désendettement.</w:t>
      </w:r>
    </w:p>
    <w:p>
      <w:pPr>
        <w:spacing w:after="120" w:line="276" w:lineRule="auto"/>
      </w:pPr>
      <w:r>
        <w:t>---</w:t>
      </w:r>
    </w:p>
    <w:p>
      <w:pPr>
        <w:spacing w:after="120" w:line="276" w:lineRule="auto"/>
      </w:pPr>
      <w:r>
        <w:t>## PARTIE 4 : CONCLUSION D'INVESTISSEMENT</w:t>
      </w:r>
    </w:p>
    <w:p>
      <w:pPr>
        <w:spacing w:after="120" w:line="276" w:lineRule="auto"/>
      </w:pPr>
      <w:r>
        <w:t>La valorisation (Partie 0) est préoccupante : le PER négatif, le P/B élevé (3,51x) et l'EV/EBITDA dans la fourchette haute (10,2x) indiquent que le marché valorise SCRC bien au-delà de ses fondamentaux actuels, ce qui suggère une surévaluation manifeste. Le comportement du cours (Partie 1) est paradoxal : malgré une hausse de +53,48% sur 100 jours, la tendance récente est baissière (-5,95% en J-1), avec une volatilité élevée (54,7%) et une asymétrie négative (skewness -0,732) qui traduit une pression vendeuse récente. Les signaux techniques (Partie 2) sont divergents : les moyennes mobiles et le MACD sont baissiers, tandis que les Bandes de Bollinger et le Stochastique signalent une survente extrême propice à un rebond à court terme. Les fondamentaux (Partie 3) sont très dégradés : perte nette de 7,95 Mds FCFA en 2025, endettement massif (84,87 Mds FCFA), trésorerie négative, et perspectives 2026 très incertaines. Les prédictions IA (J+1 à J+10) tablent sur une légère reprise (3 324 FCFA à 3 412 FCFA), ce qui confirme un possible rebond technique à court terme, mais cette trajectoire contredit la tendance baissière de fond et les fondamentaux dégradés. **Synthèse globale** : La convergence des signaux fondamentaux (très négatifs) et techniques (majoritairement baissiers) l'emporte sur le rebond technique anticipé. La recommandation finale est **VENTE** (ou **VENTE FORTE** pour les investisseurs averses au risque), avec un niveau de confiance **Moyen** (en raison de la divergence des indicateurs techniques) et un niveau de risque global **Élevé**. L'horizon d'investissement optimal est **court terme** (&lt;3 mois) pour profiter d'un éventuel rebond technique, mais **moyen terme** (3-12 mois) pour une éventuelle restructuration, avec une surveillance accrue des prochains rapports trimestriels (S1 2026) pour confirmer ou infirmer la tendance.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112.36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1,386 titres</w:t>
            </w:r>
          </w:p>
        </w:tc>
        <w:tc>
          <w:tcPr>
            <w:tcW w:type="dxa" w:w="2268"/>
            <w:shd w:fill="FFF2CC" w:val="clear"/>
          </w:tcPr>
          <w:p>
            <w:r>
              <w:rPr>
                <w:b/>
                <w:color w:val="503200"/>
                <w:sz w:val="16"/>
              </w:rPr>
              <w:t xml:space="preserve">Cours actuel : </w:t>
            </w:r>
            <w:r>
              <w:rPr>
                <w:color w:val="000000"/>
                <w:sz w:val="17"/>
              </w:rPr>
              <w:t>12,485 FCFA</w:t>
            </w:r>
          </w:p>
          <w:p>
            <w:r>
              <w:rPr>
                <w:b/>
                <w:color w:val="503200"/>
                <w:sz w:val="16"/>
              </w:rPr>
              <w:t xml:space="preserve">Var. 100 jours : </w:t>
            </w:r>
            <w:r>
              <w:rPr>
                <w:b/>
                <w:color w:val="007800"/>
                <w:sz w:val="17"/>
              </w:rPr>
              <w:t>+72.21%</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10.96% (Moyenne) — μ=11,626 FCFA, σ=1,274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β=-0.1314 (Contre-cyclique) — Cov=-0.000005, Var(idx)=0.000040, ρ=-0.033,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2026-09-22</w:t>
            </w:r>
          </w:p>
        </w:tc>
        <w:tc>
          <w:tcPr>
            <w:tcW w:type="dxa" w:w="1440"/>
            <w:shd w:fill="C6EFCE" w:val="clear"/>
          </w:tcPr>
          <w:p>
            <w:r>
              <w:rPr>
                <w:sz w:val="17"/>
              </w:rPr>
              <w:t>12,476</w:t>
            </w:r>
          </w:p>
        </w:tc>
        <w:tc>
          <w:tcPr>
            <w:tcW w:type="dxa" w:w="1440"/>
            <w:shd w:fill="C6EFCE" w:val="clear"/>
          </w:tcPr>
          <w:p>
            <w:r>
              <w:rPr>
                <w:b/>
                <w:sz w:val="17"/>
              </w:rPr>
              <w:t>13,025</w:t>
            </w:r>
          </w:p>
        </w:tc>
        <w:tc>
          <w:tcPr>
            <w:tcW w:type="dxa" w:w="1440"/>
            <w:shd w:fill="C6EFCE" w:val="clear"/>
          </w:tcPr>
          <w:p>
            <w:r>
              <w:rPr>
                <w:sz w:val="17"/>
              </w:rPr>
              <w:t>13,574</w:t>
            </w:r>
          </w:p>
        </w:tc>
        <w:tc>
          <w:tcPr>
            <w:tcW w:type="dxa" w:w="1440"/>
            <w:shd w:fill="C6EFCE" w:val="clear"/>
          </w:tcPr>
          <w:p>
            <w:r>
              <w:rPr>
                <w:b/>
                <w:color w:val="008000"/>
                <w:sz w:val="17"/>
              </w:rPr>
              <w:t>+4.3%</w:t>
            </w:r>
          </w:p>
        </w:tc>
      </w:tr>
      <w:tr>
        <w:tc>
          <w:tcPr>
            <w:tcW w:type="dxa" w:w="1440"/>
            <w:shd w:fill="C6EFCE" w:val="clear"/>
          </w:tcPr>
          <w:p>
            <w:r>
              <w:rPr>
                <w:sz w:val="17"/>
              </w:rPr>
              <w:t>J+2  ⭐</w:t>
            </w:r>
          </w:p>
        </w:tc>
        <w:tc>
          <w:tcPr>
            <w:tcW w:type="dxa" w:w="1440"/>
            <w:shd w:fill="C6EFCE" w:val="clear"/>
          </w:tcPr>
          <w:p>
            <w:r>
              <w:rPr>
                <w:sz w:val="17"/>
              </w:rPr>
              <w:t>2026-09-23</w:t>
            </w:r>
          </w:p>
        </w:tc>
        <w:tc>
          <w:tcPr>
            <w:tcW w:type="dxa" w:w="1440"/>
            <w:shd w:fill="C6EFCE" w:val="clear"/>
          </w:tcPr>
          <w:p>
            <w:r>
              <w:rPr>
                <w:sz w:val="17"/>
              </w:rPr>
              <w:t>12,369</w:t>
            </w:r>
          </w:p>
        </w:tc>
        <w:tc>
          <w:tcPr>
            <w:tcW w:type="dxa" w:w="1440"/>
            <w:shd w:fill="C6EFCE" w:val="clear"/>
          </w:tcPr>
          <w:p>
            <w:r>
              <w:rPr>
                <w:b/>
                <w:sz w:val="17"/>
              </w:rPr>
              <w:t>13,153</w:t>
            </w:r>
          </w:p>
        </w:tc>
        <w:tc>
          <w:tcPr>
            <w:tcW w:type="dxa" w:w="1440"/>
            <w:shd w:fill="C6EFCE" w:val="clear"/>
          </w:tcPr>
          <w:p>
            <w:r>
              <w:rPr>
                <w:sz w:val="17"/>
              </w:rPr>
              <w:t>13,937</w:t>
            </w:r>
          </w:p>
        </w:tc>
        <w:tc>
          <w:tcPr>
            <w:tcW w:type="dxa" w:w="1440"/>
            <w:shd w:fill="C6EFCE" w:val="clear"/>
          </w:tcPr>
          <w:p>
            <w:r>
              <w:rPr>
                <w:b/>
                <w:color w:val="008000"/>
                <w:sz w:val="17"/>
              </w:rPr>
              <w:t>+5.3%</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12,303</w:t>
            </w:r>
          </w:p>
        </w:tc>
        <w:tc>
          <w:tcPr>
            <w:tcW w:type="dxa" w:w="1440"/>
            <w:shd w:fill="C6EFCE" w:val="clear"/>
          </w:tcPr>
          <w:p>
            <w:r>
              <w:rPr>
                <w:b/>
                <w:sz w:val="17"/>
              </w:rPr>
              <w:t>13,272</w:t>
            </w:r>
          </w:p>
        </w:tc>
        <w:tc>
          <w:tcPr>
            <w:tcW w:type="dxa" w:w="1440"/>
            <w:shd w:fill="C6EFCE" w:val="clear"/>
          </w:tcPr>
          <w:p>
            <w:r>
              <w:rPr>
                <w:sz w:val="17"/>
              </w:rPr>
              <w:t>14,241</w:t>
            </w:r>
          </w:p>
        </w:tc>
        <w:tc>
          <w:tcPr>
            <w:tcW w:type="dxa" w:w="1440"/>
            <w:shd w:fill="C6EFCE" w:val="clear"/>
          </w:tcPr>
          <w:p>
            <w:r>
              <w:rPr>
                <w:b/>
                <w:color w:val="008000"/>
                <w:sz w:val="17"/>
              </w:rPr>
              <w:t>+6.3%</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12,250</w:t>
            </w:r>
          </w:p>
        </w:tc>
        <w:tc>
          <w:tcPr>
            <w:tcW w:type="dxa" w:w="1440"/>
            <w:shd w:fill="C6EFCE" w:val="clear"/>
          </w:tcPr>
          <w:p>
            <w:r>
              <w:rPr>
                <w:b/>
                <w:sz w:val="17"/>
              </w:rPr>
              <w:t>13,378</w:t>
            </w:r>
          </w:p>
        </w:tc>
        <w:tc>
          <w:tcPr>
            <w:tcW w:type="dxa" w:w="1440"/>
            <w:shd w:fill="C6EFCE" w:val="clear"/>
          </w:tcPr>
          <w:p>
            <w:r>
              <w:rPr>
                <w:sz w:val="17"/>
              </w:rPr>
              <w:t>14,505</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12,198</w:t>
            </w:r>
          </w:p>
        </w:tc>
        <w:tc>
          <w:tcPr>
            <w:tcW w:type="dxa" w:w="1440"/>
            <w:shd w:fill="C6EFCE" w:val="clear"/>
          </w:tcPr>
          <w:p>
            <w:r>
              <w:rPr>
                <w:b/>
                <w:sz w:val="17"/>
              </w:rPr>
              <w:t>13,467</w:t>
            </w:r>
          </w:p>
        </w:tc>
        <w:tc>
          <w:tcPr>
            <w:tcW w:type="dxa" w:w="1440"/>
            <w:shd w:fill="C6EFCE" w:val="clear"/>
          </w:tcPr>
          <w:p>
            <w:r>
              <w:rPr>
                <w:sz w:val="17"/>
              </w:rPr>
              <w:t>14,737</w:t>
            </w:r>
          </w:p>
        </w:tc>
        <w:tc>
          <w:tcPr>
            <w:tcW w:type="dxa" w:w="1440"/>
            <w:shd w:fill="C6EFCE" w:val="clear"/>
          </w:tcPr>
          <w:p>
            <w:r>
              <w:rPr>
                <w:b/>
                <w:color w:val="008000"/>
                <w:sz w:val="17"/>
              </w:rPr>
              <w:t>+7.9%</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12,147</w:t>
            </w:r>
          </w:p>
        </w:tc>
        <w:tc>
          <w:tcPr>
            <w:tcW w:type="dxa" w:w="1440"/>
            <w:shd w:fill="C6EFCE" w:val="clear"/>
          </w:tcPr>
          <w:p>
            <w:r>
              <w:rPr>
                <w:b/>
                <w:sz w:val="17"/>
              </w:rPr>
              <w:t>13,546</w:t>
            </w:r>
          </w:p>
        </w:tc>
        <w:tc>
          <w:tcPr>
            <w:tcW w:type="dxa" w:w="1440"/>
            <w:shd w:fill="C6EFCE" w:val="clear"/>
          </w:tcPr>
          <w:p>
            <w:r>
              <w:rPr>
                <w:sz w:val="17"/>
              </w:rPr>
              <w:t>14,944</w:t>
            </w:r>
          </w:p>
        </w:tc>
        <w:tc>
          <w:tcPr>
            <w:tcW w:type="dxa" w:w="1440"/>
            <w:shd w:fill="C6EFCE" w:val="clear"/>
          </w:tcPr>
          <w:p>
            <w:r>
              <w:rPr>
                <w:b/>
                <w:color w:val="008000"/>
                <w:sz w:val="17"/>
              </w:rPr>
              <w:t>+8.5%</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12,094</w:t>
            </w:r>
          </w:p>
        </w:tc>
        <w:tc>
          <w:tcPr>
            <w:tcW w:type="dxa" w:w="1440"/>
            <w:shd w:fill="C6EFCE" w:val="clear"/>
          </w:tcPr>
          <w:p>
            <w:r>
              <w:rPr>
                <w:b/>
                <w:sz w:val="17"/>
              </w:rPr>
              <w:t>13,612</w:t>
            </w:r>
          </w:p>
        </w:tc>
        <w:tc>
          <w:tcPr>
            <w:tcW w:type="dxa" w:w="1440"/>
            <w:shd w:fill="C6EFCE" w:val="clear"/>
          </w:tcPr>
          <w:p>
            <w:r>
              <w:rPr>
                <w:sz w:val="17"/>
              </w:rPr>
              <w:t>15,130</w:t>
            </w:r>
          </w:p>
        </w:tc>
        <w:tc>
          <w:tcPr>
            <w:tcW w:type="dxa" w:w="1440"/>
            <w:shd w:fill="C6EFCE" w:val="clear"/>
          </w:tcPr>
          <w:p>
            <w:r>
              <w:rPr>
                <w:b/>
                <w:color w:val="008000"/>
                <w:sz w:val="17"/>
              </w:rPr>
              <w:t>+9.0%</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12,038</w:t>
            </w:r>
          </w:p>
        </w:tc>
        <w:tc>
          <w:tcPr>
            <w:tcW w:type="dxa" w:w="1440"/>
            <w:shd w:fill="C6EFCE" w:val="clear"/>
          </w:tcPr>
          <w:p>
            <w:r>
              <w:rPr>
                <w:b/>
                <w:sz w:val="17"/>
              </w:rPr>
              <w:t>13,668</w:t>
            </w:r>
          </w:p>
        </w:tc>
        <w:tc>
          <w:tcPr>
            <w:tcW w:type="dxa" w:w="1440"/>
            <w:shd w:fill="C6EFCE" w:val="clear"/>
          </w:tcPr>
          <w:p>
            <w:r>
              <w:rPr>
                <w:sz w:val="17"/>
              </w:rPr>
              <w:t>15,297</w:t>
            </w:r>
          </w:p>
        </w:tc>
        <w:tc>
          <w:tcPr>
            <w:tcW w:type="dxa" w:w="1440"/>
            <w:shd w:fill="C6EFCE" w:val="clear"/>
          </w:tcPr>
          <w:p>
            <w:r>
              <w:rPr>
                <w:b/>
                <w:color w:val="008000"/>
                <w:sz w:val="17"/>
              </w:rPr>
              <w:t>+9.5%</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11,977</w:t>
            </w:r>
          </w:p>
        </w:tc>
        <w:tc>
          <w:tcPr>
            <w:tcW w:type="dxa" w:w="1440"/>
            <w:shd w:fill="C6EFCE" w:val="clear"/>
          </w:tcPr>
          <w:p>
            <w:r>
              <w:rPr>
                <w:b/>
                <w:sz w:val="17"/>
              </w:rPr>
              <w:t>13,711</w:t>
            </w:r>
          </w:p>
        </w:tc>
        <w:tc>
          <w:tcPr>
            <w:tcW w:type="dxa" w:w="1440"/>
            <w:shd w:fill="C6EFCE" w:val="clear"/>
          </w:tcPr>
          <w:p>
            <w:r>
              <w:rPr>
                <w:sz w:val="17"/>
              </w:rPr>
              <w:t>15,445</w:t>
            </w:r>
          </w:p>
        </w:tc>
        <w:tc>
          <w:tcPr>
            <w:tcW w:type="dxa" w:w="1440"/>
            <w:shd w:fill="C6EFCE" w:val="clear"/>
          </w:tcPr>
          <w:p>
            <w:r>
              <w:rPr>
                <w:b/>
                <w:color w:val="008000"/>
                <w:sz w:val="17"/>
              </w:rPr>
              <w:t>+9.8%</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11,912</w:t>
            </w:r>
          </w:p>
        </w:tc>
        <w:tc>
          <w:tcPr>
            <w:tcW w:type="dxa" w:w="1440"/>
            <w:shd w:fill="C6EFCE" w:val="clear"/>
          </w:tcPr>
          <w:p>
            <w:r>
              <w:rPr>
                <w:b/>
                <w:sz w:val="17"/>
              </w:rPr>
              <w:t>13,744</w:t>
            </w:r>
          </w:p>
        </w:tc>
        <w:tc>
          <w:tcPr>
            <w:tcW w:type="dxa" w:w="1440"/>
            <w:shd w:fill="C6EFCE" w:val="clear"/>
          </w:tcPr>
          <w:p>
            <w:r>
              <w:rPr>
                <w:sz w:val="17"/>
              </w:rPr>
              <w:t>15,576</w:t>
            </w:r>
          </w:p>
        </w:tc>
        <w:tc>
          <w:tcPr>
            <w:tcW w:type="dxa" w:w="1440"/>
            <w:shd w:fill="C6EFCE" w:val="clear"/>
          </w:tcPr>
          <w:p>
            <w:r>
              <w:rPr>
                <w:b/>
                <w:color w:val="008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112,36 milliards FCFA, SDCC s'impose comme une valeur de taille moyenne à grande sur le compartiment des sociétés non-financières de la BRVM, reflétant sa position d'opérateur stratégique dans la distribution d'eau en Côte d'Ivoire. Le BPA de 518 FCFA/action signifie que chaque titre génère un bénéfice net de 518 FCFA, ce qui, rapporté au cours actuel de 12 485 FCFA, confère au titre un PER de 24,1x — nettement supérieur à la moyenne du marché BRVM (8-12x), signalant que les investisseurs paient une prime de croissance significative ou que le titre est surévalué. Le P/B de 5,70x, largement supérieur au seuil de 4x, indique que le marché valorise SDCC à plus de cinq fois sa valeur comptable, une prime exigeante qui suppose une forte rentabilité future des fonds propres. Enfin, l'EV/EBITDA de 14,7x, dans la fourchette haute (10-15x), confirme que la valeur d'entreprise intègre une anticipation de croissance opérationnelle soutenue,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 enregistré une progression spectaculaire de +72,21%, portant le cours à 12 485 FCFA, avec une variation nulle lors de la dernière séance (J-1 : +0,00%), signe d'une stabilisation après le rallye. Le range de trading est particulièrement large, oscillant entre un plus bas de 7 250 FCFA et un plus haut de 13 885 FCFA, soit un écart de plus de 91%, témoignant d'une forte dynamique haussière entrecoupée de corrections. La tendance générale est donc clairement haussière, soutenue par l'amélioration des fondamentaux et l'intérêt croissant des investisseurs pour la valeur. Les statistiques descriptives révèlent une moyenne de 11 626 FCFA inférieure à la médiane de 11 900 FCFA, écart qui traduit une asymétrie négative (skewness de -1,121), c'est-à-dire davantage de journées de cotation au-dessus de la moyenne, typique d'un titre ayant connu des pics haussiers marqués. L'écart-type de 1 281 FCFA (CV = 11,0%) indique une dispersion modérée du cours autour de sa moyenne, tandis que le kurtosis de 1,581 (leptokurtique) signale des queues épaisses et un risque de pics de volatilité brutaux. La volatilité annualisée de 40,3% classe SDCC dans la catégorie des titres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(13 106 FCFA) et la MM50 (12 302,7 FCFA) se situent toutes deux au-dessus du cours actuel (12 485 FCFA), mais la MM20 reste supérieure à la MM50, configuration haussière de fond. Le cours évoluant sous la MM20 mais au-dessus de la MM50, la décision technique est à l'**Achat**, suggérant que la tendance de moyen terme reste positive malgré une consolidation court terme.</w:t>
      </w:r>
    </w:p>
    <w:p>
      <w:pPr>
        <w:spacing w:after="120" w:line="276" w:lineRule="auto"/>
      </w:pPr>
      <w:r>
        <w:t>**Bandes de Bollinger** : Le cours (12 485 FCFA) se situe dans la partie basse de la bande, entre la borne inférieure (12 091,56 FCFA) et la borne supérieure (14 120,44 FCFA), sans franchissement des extrêmes. Cette position médiane-basse, couplée à un rétrécissement des bandes, indique une volatilité en compression et une décision **Neutre**, en attente d'un signal directionnel.</w:t>
      </w:r>
    </w:p>
    <w:p>
      <w:pPr>
        <w:spacing w:after="120" w:line="276" w:lineRule="auto"/>
      </w:pPr>
      <w:r>
        <w:t>**MACD** : La valeur du MACD (207,6) est inférieure à son signal (332,016), générant un croisement baissier et une divergence négative. Le momentum s'affaiblit, ce qui justifie une décision de **Vente** à court terme, bien que la ligne MACD reste en territoire positif.</w:t>
      </w:r>
    </w:p>
    <w:p>
      <w:pPr>
        <w:spacing w:after="120" w:line="276" w:lineRule="auto"/>
      </w:pPr>
      <w:r>
        <w:t>**RSI** : À 46,985, le RSI se situe dans la zone neutre (30-70), sans signal de surachat (&gt;70) ni de survente (&lt;30). Cette position médiane traduit un équilibre entre acheteurs et vendeurs, justifiant une décision **Neutre** et l'absence de pression directionnelle immédiate.</w:t>
      </w:r>
    </w:p>
    <w:p>
      <w:pPr>
        <w:spacing w:after="120" w:line="276" w:lineRule="auto"/>
      </w:pPr>
      <w:r>
        <w:t>**Stochastique** : Le %K à 0,0 et le %D à 21,88 indiquent que le %K a touché le plancher, générant un signal de survente extrême. Le croisement potentiel du %K au-dessus du %D, bien que non encore confirmé, justifie une décision d'**Achat** en anticipation d'un rebond technique.</w:t>
      </w:r>
    </w:p>
    <w:p>
      <w:pPr>
        <w:spacing w:after="120" w:line="276" w:lineRule="auto"/>
      </w:pPr>
      <w:r>
        <w:t>**Conclusion technique** : Les indicateurs sont divergents — les moyennes mobiles et le stochastique émettent des signaux d'achat, tandis que le MACD est baissier et que le RSI et les Bollinger restent neutres. Cette configuration suggère une phase de consolidation avec un potentiel de rebond à court terme, mais sans conviction directionnelle forte. La prudence est de mise avant toute décision.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SDCC a réalisé un chiffre d'affaires de 189,430 milliards FCFA, en croissance de 9,98% sur un an, porté par la hausse des volumes d'eau facturés et l'élargissement du portefeuille clients (2 272 032 clients, +6,14%). Le résultat net s'établit à 4,663 milliards FCFA, en progression de 31% par rapport à 2024, avec une marge nette de 2,46% et un ROE de 23,65% — niveau excellent (&gt;15%) qui témoigne d'une forte rentabilité des fonds propres. Le ROA reste faible à 0,99%, reflétant l'intensité capitalistique du secteur. La marge brute de 81,86% est élevée, mais la marge opérationnelle de 4,81% et la marge nette de 2,46% révèlent une structure de coûts lourde (charges de personnel de 27,932 Mds FCFA, DAP de 15,996 Mds FCFA). Le BFR de 104,748 Mds FCFA est positif et élevé, principalement dû à des créances clients de 388,852 Mds FCFA représentant un délai de recouvrement de 749,25 jours — un risque de trésorerie majeur, bien que le taux de recouvrement déclaré soit de 95,85%. La trésorerie nette est négative à -61,710 Mds FCFA, et le flux opérationnel est de -36,655 Mds FCFA, confirmant des tensions de liquidité persistantes. L'autonomie financière est très faible (4,17%), avec un ratio d'endettement de 95,83% et une dépendance financière de 740,21%, ce qui constitue la principale vulnérabilité du dossier.</w:t>
      </w:r>
    </w:p>
    <w:p>
      <w:pPr>
        <w:spacing w:after="120" w:line="276" w:lineRule="auto"/>
      </w:pPr>
      <w:r>
        <w:t>**Estimations basées sur les rapports trimestriels** : Le rapport du T1 2026 (publié en 2026) fait état d'un chiffre d'affaires de 40 916 millions FCFA, en léger repli de 2%, mais d'un résultat d'exploitation multiplié par 2,5 à 2 730 millions FCFA et d'un résultat net bondissant de 118% à 1 318 millions FCFA, avec une marge nette de 3,2%. Cette amélioration spectaculaire de la rentabilité opérationnelle, malgré un CA en baisse, suggère une meilleure maîtrise des charges et pourrait préfigurer un exercice 2026 plus rentable que 2025. Le rapport S1 2025 (daté du 30/06/2025) indiquait un CA de 82,3 milliards FCFA (-0,4%) et un résultat net de 1,355 milliard FCFA (-24%), mais cette tendance semble s'être inversée au T1 2026. Le dividende proposé au titre de 2025 est de 525 FCFA par action, offrant un rendement d'environ 4,2% au cours actuel.</w:t>
      </w:r>
    </w:p>
    <w:p>
      <w:pPr>
        <w:spacing w:after="120" w:line="276" w:lineRule="auto"/>
      </w:pPr>
      <w:r>
        <w:t>**Recommandation fondamentale** : SDCC présente un profil contrasté — excellente rentabilité des fonds propres (ROE 23,65%), croissance du CA (+10%) et amélioration récente de la rentabilité opérationnelle (T1 2026), mais une structure financière fragile (autonomie financière de 4,17%, trésorerie nette négative) et un délai de recouvrement clients très élevé (749 jours). La recommandation fondamentale est **CONSERVER**, avec une vigilance accrue sur la gestion du BFR et de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le PER de 24,1x (vs 8-12x pour le marché), le P/B de 5,70x et l'EV/EBITDA de 14,7x intègrent déjà une forte anticipation de croissance, laissant peu de marge de sécurité en cas de déception. Le comportement du cours sur 100 jours est haussier (+72,21%) mais la volatilité annualisée de 40,3% et le kurtosis leptokurtique (1,581) signalent un risque de pics baissiers brutaux, tandis que le skewness négatif (-1,121) indique une asymétrie défavorable aux acheteurs récents. Les signaux techniques sont divergents : les moyennes mobiles et le stochastique sont haussiers, mais le MACD est baissier et le RSI neutre, plaidant pour une consolidation avant tout rebond durable. Les fondamentaux sont solides sur la rentabilité (ROE 23,65%, RN +31% en 2025) et l'amélioration du T1 2026 (RN +118%) est encourageante, mais la structure financière reste fragile (autonomie de 4,17%, trésorerie nette de -61,7 Mds FCFA) et le délai client de 749 jours constitue un risque majeur. Les prédictions IA anticipent une hausse progressive vers 13 467 FCFA d'ici J+10 (soit +7,9%), ce qui confirme la tendance haussière de moyen terme mais contredit le signal baissier du MACD à court terme. **Recommandation finale : CONSERVER**, avec un biais positif pour les investisseurs déjà en position. La convergence entre la croissance des bénéfices, l'amélioration du T1 2026 et les prédictions haussières est tempérée par la valorisation élevée et les risques de trésorerie. Le niveau de confiance est **Moyen** et le risque global **Élevé** (volatilité 40,3%, endettement 95,8%). L'horizon d'investissement optimal est le **moyen terme (3-12 mois)**, le temps que la trajectoire bénéficiaire se confirme et que la structure financière se consolide.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152.42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18,316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+55.56%</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18.80% (Élevée) — μ=2,398 FCFA, σ=451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β=0.7381 (Défensif) — Cov=0.000030, Var(idx)=0.000040, ρ=0.142,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2,691</w:t>
            </w:r>
          </w:p>
        </w:tc>
        <w:tc>
          <w:tcPr>
            <w:tcW w:type="dxa" w:w="1440"/>
            <w:shd w:fill="FAFAFA" w:val="clear"/>
          </w:tcPr>
          <w:p>
            <w:r>
              <w:rPr>
                <w:b/>
                <w:sz w:val="17"/>
              </w:rPr>
              <w:t>2,827</w:t>
            </w:r>
          </w:p>
        </w:tc>
        <w:tc>
          <w:tcPr>
            <w:tcW w:type="dxa" w:w="1440"/>
            <w:shd w:fill="FAFAFA" w:val="clear"/>
          </w:tcPr>
          <w:p>
            <w:r>
              <w:rPr>
                <w:sz w:val="17"/>
              </w:rPr>
              <w:t>2,964</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2,661</w:t>
            </w:r>
          </w:p>
        </w:tc>
        <w:tc>
          <w:tcPr>
            <w:tcW w:type="dxa" w:w="1440"/>
            <w:shd w:fill="FAFAFA" w:val="clear"/>
          </w:tcPr>
          <w:p>
            <w:r>
              <w:rPr>
                <w:b/>
                <w:sz w:val="17"/>
              </w:rPr>
              <w:t>2,856</w:t>
            </w:r>
          </w:p>
        </w:tc>
        <w:tc>
          <w:tcPr>
            <w:tcW w:type="dxa" w:w="1440"/>
            <w:shd w:fill="FAFAFA" w:val="clear"/>
          </w:tcPr>
          <w:p>
            <w:r>
              <w:rPr>
                <w:sz w:val="17"/>
              </w:rPr>
              <w:t>3,051</w:t>
            </w:r>
          </w:p>
        </w:tc>
        <w:tc>
          <w:tcPr>
            <w:tcW w:type="dxa" w:w="1440"/>
            <w:shd w:fill="FAFAFA" w:val="clear"/>
          </w:tcPr>
          <w:p>
            <w:r>
              <w:rPr>
                <w:b/>
                <w:color w:val="008000"/>
                <w:sz w:val="17"/>
              </w:rPr>
              <w:t>+2.0%</w:t>
            </w:r>
          </w:p>
        </w:tc>
      </w:tr>
      <w:tr>
        <w:tc>
          <w:tcPr>
            <w:tcW w:type="dxa" w:w="1440"/>
            <w:shd w:fill="C6EFCE" w:val="clear"/>
          </w:tcPr>
          <w:p>
            <w:r>
              <w:rPr>
                <w:sz w:val="17"/>
              </w:rPr>
              <w:t>J+3  Moyenne</w:t>
            </w:r>
          </w:p>
        </w:tc>
        <w:tc>
          <w:tcPr>
            <w:tcW w:type="dxa" w:w="1440"/>
            <w:shd w:fill="C6EFCE" w:val="clear"/>
          </w:tcPr>
          <w:p>
            <w:r>
              <w:rPr>
                <w:sz w:val="17"/>
              </w:rPr>
              <w:t>2026-09-24</w:t>
            </w:r>
          </w:p>
        </w:tc>
        <w:tc>
          <w:tcPr>
            <w:tcW w:type="dxa" w:w="1440"/>
            <w:shd w:fill="C6EFCE" w:val="clear"/>
          </w:tcPr>
          <w:p>
            <w:r>
              <w:rPr>
                <w:sz w:val="17"/>
              </w:rPr>
              <w:t>2,635</w:t>
            </w:r>
          </w:p>
        </w:tc>
        <w:tc>
          <w:tcPr>
            <w:tcW w:type="dxa" w:w="1440"/>
            <w:shd w:fill="C6EFCE" w:val="clear"/>
          </w:tcPr>
          <w:p>
            <w:r>
              <w:rPr>
                <w:b/>
                <w:sz w:val="17"/>
              </w:rPr>
              <w:t>2,875</w:t>
            </w:r>
          </w:p>
        </w:tc>
        <w:tc>
          <w:tcPr>
            <w:tcW w:type="dxa" w:w="1440"/>
            <w:shd w:fill="C6EFCE" w:val="clear"/>
          </w:tcPr>
          <w:p>
            <w:r>
              <w:rPr>
                <w:sz w:val="17"/>
              </w:rPr>
              <w:t>3,116</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2,608</w:t>
            </w:r>
          </w:p>
        </w:tc>
        <w:tc>
          <w:tcPr>
            <w:tcW w:type="dxa" w:w="1440"/>
            <w:shd w:fill="C6EFCE" w:val="clear"/>
          </w:tcPr>
          <w:p>
            <w:r>
              <w:rPr>
                <w:b/>
                <w:sz w:val="17"/>
              </w:rPr>
              <w:t>2,886</w:t>
            </w:r>
          </w:p>
        </w:tc>
        <w:tc>
          <w:tcPr>
            <w:tcW w:type="dxa" w:w="1440"/>
            <w:shd w:fill="C6EFCE" w:val="clear"/>
          </w:tcPr>
          <w:p>
            <w:r>
              <w:rPr>
                <w:sz w:val="17"/>
              </w:rPr>
              <w:t>3,165</w:t>
            </w:r>
          </w:p>
        </w:tc>
        <w:tc>
          <w:tcPr>
            <w:tcW w:type="dxa" w:w="1440"/>
            <w:shd w:fill="C6EFCE" w:val="clear"/>
          </w:tcPr>
          <w:p>
            <w:r>
              <w:rPr>
                <w:b/>
                <w:color w:val="008000"/>
                <w:sz w:val="17"/>
              </w:rPr>
              <w:t>+3.1%</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2,581</w:t>
            </w:r>
          </w:p>
        </w:tc>
        <w:tc>
          <w:tcPr>
            <w:tcW w:type="dxa" w:w="1440"/>
            <w:shd w:fill="C6EFCE" w:val="clear"/>
          </w:tcPr>
          <w:p>
            <w:r>
              <w:rPr>
                <w:b/>
                <w:sz w:val="17"/>
              </w:rPr>
              <w:t>2,893</w:t>
            </w:r>
          </w:p>
        </w:tc>
        <w:tc>
          <w:tcPr>
            <w:tcW w:type="dxa" w:w="1440"/>
            <w:shd w:fill="C6EFCE" w:val="clear"/>
          </w:tcPr>
          <w:p>
            <w:r>
              <w:rPr>
                <w:sz w:val="17"/>
              </w:rPr>
              <w:t>3,205</w:t>
            </w:r>
          </w:p>
        </w:tc>
        <w:tc>
          <w:tcPr>
            <w:tcW w:type="dxa" w:w="1440"/>
            <w:shd w:fill="C6EFCE" w:val="clear"/>
          </w:tcPr>
          <w:p>
            <w:r>
              <w:rPr>
                <w:b/>
                <w:color w:val="008000"/>
                <w:sz w:val="17"/>
              </w:rPr>
              <w:t>+3.3%</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2,555</w:t>
            </w:r>
          </w:p>
        </w:tc>
        <w:tc>
          <w:tcPr>
            <w:tcW w:type="dxa" w:w="1440"/>
            <w:shd w:fill="C6EFCE" w:val="clear"/>
          </w:tcPr>
          <w:p>
            <w:r>
              <w:rPr>
                <w:b/>
                <w:sz w:val="17"/>
              </w:rPr>
              <w:t>2,898</w:t>
            </w:r>
          </w:p>
        </w:tc>
        <w:tc>
          <w:tcPr>
            <w:tcW w:type="dxa" w:w="1440"/>
            <w:shd w:fill="C6EFCE" w:val="clear"/>
          </w:tcPr>
          <w:p>
            <w:r>
              <w:rPr>
                <w:sz w:val="17"/>
              </w:rPr>
              <w:t>3,240</w:t>
            </w:r>
          </w:p>
        </w:tc>
        <w:tc>
          <w:tcPr>
            <w:tcW w:type="dxa" w:w="1440"/>
            <w:shd w:fill="C6EFCE" w:val="clear"/>
          </w:tcPr>
          <w:p>
            <w:r>
              <w:rPr>
                <w:b/>
                <w:color w:val="008000"/>
                <w:sz w:val="17"/>
              </w:rPr>
              <w:t>+3.5%</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2,531</w:t>
            </w:r>
          </w:p>
        </w:tc>
        <w:tc>
          <w:tcPr>
            <w:tcW w:type="dxa" w:w="1440"/>
            <w:shd w:fill="C6EFCE" w:val="clear"/>
          </w:tcPr>
          <w:p>
            <w:r>
              <w:rPr>
                <w:b/>
                <w:sz w:val="17"/>
              </w:rPr>
              <w:t>2,902</w:t>
            </w:r>
          </w:p>
        </w:tc>
        <w:tc>
          <w:tcPr>
            <w:tcW w:type="dxa" w:w="1440"/>
            <w:shd w:fill="C6EFCE" w:val="clear"/>
          </w:tcPr>
          <w:p>
            <w:r>
              <w:rPr>
                <w:sz w:val="17"/>
              </w:rPr>
              <w:t>3,272</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2,508</w:t>
            </w:r>
          </w:p>
        </w:tc>
        <w:tc>
          <w:tcPr>
            <w:tcW w:type="dxa" w:w="1440"/>
            <w:shd w:fill="C6EFCE" w:val="clear"/>
          </w:tcPr>
          <w:p>
            <w:r>
              <w:rPr>
                <w:b/>
                <w:sz w:val="17"/>
              </w:rPr>
              <w:t>2,905</w:t>
            </w:r>
          </w:p>
        </w:tc>
        <w:tc>
          <w:tcPr>
            <w:tcW w:type="dxa" w:w="1440"/>
            <w:shd w:fill="C6EFCE" w:val="clear"/>
          </w:tcPr>
          <w:p>
            <w:r>
              <w:rPr>
                <w:sz w:val="17"/>
              </w:rPr>
              <w:t>3,301</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2,487</w:t>
            </w:r>
          </w:p>
        </w:tc>
        <w:tc>
          <w:tcPr>
            <w:tcW w:type="dxa" w:w="1440"/>
            <w:shd w:fill="C6EFCE" w:val="clear"/>
          </w:tcPr>
          <w:p>
            <w:r>
              <w:rPr>
                <w:b/>
                <w:sz w:val="17"/>
              </w:rPr>
              <w:t>2,908</w:t>
            </w:r>
          </w:p>
        </w:tc>
        <w:tc>
          <w:tcPr>
            <w:tcW w:type="dxa" w:w="1440"/>
            <w:shd w:fill="C6EFCE" w:val="clear"/>
          </w:tcPr>
          <w:p>
            <w:r>
              <w:rPr>
                <w:sz w:val="17"/>
              </w:rPr>
              <w:t>3,329</w:t>
            </w:r>
          </w:p>
        </w:tc>
        <w:tc>
          <w:tcPr>
            <w:tcW w:type="dxa" w:w="1440"/>
            <w:shd w:fill="C6EFCE" w:val="clear"/>
          </w:tcPr>
          <w:p>
            <w:r>
              <w:rPr>
                <w:b/>
                <w:color w:val="008000"/>
                <w:sz w:val="17"/>
              </w:rPr>
              <w:t>+3.8%</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2,466</w:t>
            </w:r>
          </w:p>
        </w:tc>
        <w:tc>
          <w:tcPr>
            <w:tcW w:type="dxa" w:w="1440"/>
            <w:shd w:fill="C6EFCE" w:val="clear"/>
          </w:tcPr>
          <w:p>
            <w:r>
              <w:rPr>
                <w:b/>
                <w:sz w:val="17"/>
              </w:rPr>
              <w:t>2,910</w:t>
            </w:r>
          </w:p>
        </w:tc>
        <w:tc>
          <w:tcPr>
            <w:tcW w:type="dxa" w:w="1440"/>
            <w:shd w:fill="C6EFCE" w:val="clear"/>
          </w:tcPr>
          <w:p>
            <w:r>
              <w:rPr>
                <w:sz w:val="17"/>
              </w:rPr>
              <w:t>3,355</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152,42 milliards FCFA, SDSC se positionne parmi les valeurs moyennes-capitalisations de la cote BRVM, ce qui lui confère une certaine liquidité mais aussi une sensibilité accrue aux flux d'ordres. Le BPA de 387 FCFA/action signifie que chaque titre génère théoriquement près de 387 FCFA de bénéfice net, ce qui, rapporté au cours actuel de 2 800 FCFA, donne un PER de 7,2x — nettement inférieur à la moyenne BRVM (8-12x), suggérant une sous-évaluation apparente du titre par le marché. Le P/B de 1,96x indique que le marché valorise l'action à près du double de sa valeur comptable, ce qui reste raisonnable pour une entreprise bénéficiaire mais traduit une prime de qualité. En revanche, l'EV/EBITDA de 32,9x apparaît très exigeant (&gt;15x), signalant que la valeur d'entreprise intègre une forte anticipation de croissance opérationnelle qui contraste avec la faiblesse actuelle de l'EBITDA (4,26 milliards FCFA en 2025). Cette divergence entre un PER faible et un EV/EBITDA élevé révèle une structure de résultat atypique, largement portée par des éléments financiers plutôt qu'opérationnels.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remarquable de +55,56%, portée par un fort momentum acheteur, bien que la dernière séance (J-1) marque une correction de -3,78%, signe d'une prise de bénéfices après le rallye. Le titre a évolué dans un range très large de 1 650 FCFA (plus bas) à 3 205 FCFA (plus haut), soit une amplitude de 94%, témoignant d'une forte volatilité directionnelle. La tendance générale est clairement haussière sur la période, le cours actuel (2 800 FCFA) se situant au-dessus de la moyenne (2 398 FCFA) et de la médiane (2 475 FCFA), ce qui confirme la dynamique positive. Les statistiques descriptives révèlent une distribution quasi-symétrique (skewness = -0,212) mais aplatie (kurtosis = -1,175, platykurtique), indiquant une faible concentration des rendements autour de la moyenne et un risque de mouvements amples sans pics extrêmes fréquents. L'écart-type de 453 FCFA (CV = 18,9%) traduit une dispersion modérée du cours autour de sa moyenne, tandis que la volatilité annualisée de 52,0% classe le titre dans la catégorie des valeurs à volatilité élevée (&gt;30%), ce qui implique un risque de marché significatif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(2 943,25 FCFA) et la MM50 (2 761,5 FCFA) encadrent le cours actuel (2 800 FCFA), qui se situe entre les deux, légèrement au-dessus de la MM50 mais sous la MM20. Cette configuration indique que la tendance de court terme (MM20) est baissière tandis que la tendance de moyen terme (MM50) reste haussière, justifiant une décision d'achat sur la base du croisement haussier potentiel et du support offert par la MM50.</w:t>
      </w:r>
    </w:p>
    <w:p>
      <w:pPr>
        <w:spacing w:after="120" w:line="276" w:lineRule="auto"/>
      </w:pPr>
      <w:r>
        <w:t>**Bandes de Bollinger** : Le cours (2 800 FCFA) évolue dans la partie médiane de la bande, entre la borne inférieure (2 583,98 FCFA) et la borne supérieure (3 302,52 FCFA), sans contact avec les extrêmes. Cette position neutre, combinée à un écart-type élevé, suggère une volatilité soutenue mais sans signal directionnel fort, justifiant une décision neutre.</w:t>
      </w:r>
    </w:p>
    <w:p>
      <w:pPr>
        <w:spacing w:after="120" w:line="276" w:lineRule="auto"/>
      </w:pPr>
      <w:r>
        <w:t>**MACD** : La valeur du MACD (64,749) est inférieure à son signal (97,449), générant un croisement baissier qui indique un essoufflement du momentum haussier. Cette divergence négative, bien que modérée, plaide pour une décision de vente à court terme, en cohérence avec la correction récente du cours.</w:t>
      </w:r>
    </w:p>
    <w:p>
      <w:pPr>
        <w:spacing w:after="120" w:line="276" w:lineRule="auto"/>
      </w:pPr>
      <w:r>
        <w:t>**RSI** : À 43,961, le RSI se situe dans la zone neutre (30-70), sans signal de surachat (&gt;70) ni de survente (&lt;30). Cette position médiane reflète un équilibre entre acheteurs et vendeurs, justifiant une décision neutre et l'absence de signal contrarien fort.</w:t>
      </w:r>
    </w:p>
    <w:p>
      <w:pPr>
        <w:spacing w:after="120" w:line="276" w:lineRule="auto"/>
      </w:pPr>
      <w:r>
        <w:t>**Stochastique** : Le %K (0,0) est nettement inférieur au %D (15,638), avec un croisement en zone de survente qui génère un signal d'achat technique. Cette configuration suggère que le titre pourrait rebondir à court terme après la correction récente, justifiant une décision d'achat.</w:t>
      </w:r>
    </w:p>
    <w:p>
      <w:pPr>
        <w:spacing w:after="120" w:line="276" w:lineRule="auto"/>
      </w:pPr>
      <w:r>
        <w:t>**Conclusion technique** : Les indicateurs présentent une divergence notable : les moyennes mobiles et le stochastique plaident pour un achat (support MM50, survente stochastique), tandis que le MACD signale une vente (croisement baissier) et que le RSI et les Bollinger restent neutres. Cette configuration mitigée, dans un contexte de correction post-rallye, suggère une phase de consolidation avant une reprise potentielle, avec un biais haussier modéré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SDSC (AGL Côte d'Ivoire) affichait un chiffre d'affaires de 85,643 milliards FCFA, un résultat net de 21,069 milliards FCFA, un ROE de 27,08% et un ROA de 11,20%, traduisant une rentabilité exceptionnelle portée par des produits financiers (dividendes de filiales). Cependant, les états financiers 2025 (rapport du 31/12/2025, analysé par DeepSeek le 05/08/2026) révèlent une dégradation brutale : le CA progresse de +7,43% à 92,004 milliards FCFA, mais le résultat net s'effondre de -96% à 0,785 milliard FCFA, avec une marge nette de 0,85% (vs 24,6% en 2024) et un résultat d'exploitation négatif de -2,271 milliards FCFA. Cette chute s'explique par la hausse des dotations aux amortissements (+41%) et l'absence de dividendes exceptionnels des filiales, le résultat financier chutant de 66% à 7,080 milliards FCFA. La structure financière reste solide (capitaux propres de 73,55 milliards FCFA, trésorerie nette de 74,78 milliards FCFA, autonomie financière de 41,36%), mais le BFR a explosé à 75,7 milliards FCFA, absorbant une partie de la trésorerie. Les délais clients (466,94 jours) et fournisseurs (4 534,17 jours) sont anormalement élevés, le délai fournisseurs très long étant favorable à la trésorerie mais pouvant signaler des tensions avec les fournisseurs. Le rapport T3 2025 (30/09/2025) confirme la volatilité des résultats, avec un résultat net trimestriel de 4,341 milliards FCFA (-77% sur un an), tandis que le S1 2025 (30/06/2025) affichait une perte de -427 millions FCFA. Le rapport des commissaires aux comptes (Deloitte/ECR, 26/08/2026) certifie les comptes sans réserve mais signale des manquements réglementaires (retard de publication, non-respect des articles 23 et 525 de l'AU OHADA), ce qui constitue un signal de faiblesse de gouvernance. La recommandation fondamentale est de **conserver** le titre : la solidité du bilan et la croissance du CA sont des atouts, mais l'effondrement de la rentabilité opérationnelle, la volatilité des résultats et les risques de gouvernance imposent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présente un profil contrasté : un PER de 7,2x suggère une sous-évaluation, mais un EV/EBITDA de 32,9x et un P/B de 1,96x tempèrent cette lecture, le marché intégrant déjà une prime de qualité et des anticipations de croissance. Le comportement du cours sur 100 jours est haussier (+55,56%) mais la correction récente (-3,78%) et la volatilité élevée (52,0%) incitent à la prudence, la distribution platykurtique (kurtosis = -1,175) indiquant un risque de mouvements amples sans pics extrêmes fréquents. Les signaux techniques sont mitigés : le stochastique et les moyennes mobiles plaident pour un achat, mais le MACD baissier et le RSI neutre suggèrent une consolidation, créant une divergence qui appelle à la patience. Les fondamentaux sont préoccupants : malgré un CA en croissance (+7,43% en 2025), le résultat net s'est effondré de -96% à 0,785 milliard FCFA, le résultat d'exploitation est négatif (-2,271 milliards FCFA) et le dividende a été réduit de -89%, même si la trésorerie reste abondante (74,78 milliards FCFA). Les prédictions IA (J+1 à J+10) tablent sur une reprise progressive vers 2 893 FCFA (+3,3% depuis 2 800 FCFA), ce qui confirme la thèse d'un rebond technique à court terme mais sans conviction fondamentale forte. Sur la base de cette synthèse, la recommandation finale est **CONSERVER**, avec un niveau de confiance **Moyen** et un risque global **Élevé**. L'horizon d'investissement optimal est le **moyen terme (3-12 mois)**, en attendant une clarification sur la capacité de la direction à restaurer les marges opérationnelles et à normaliser la gouvernance, des catalyseurs nécessaires pour justifier une revalorisation durable du titre.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β=1.1231 (Neutre (suit le marché)) — Cov=0.000040, Var(idx)=0.000036, ρ=0.232, n=95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1,329</w:t>
            </w:r>
          </w:p>
        </w:tc>
        <w:tc>
          <w:tcPr>
            <w:tcW w:type="dxa" w:w="1440"/>
            <w:shd w:fill="FAFAFA" w:val="clear"/>
          </w:tcPr>
          <w:p>
            <w:r>
              <w:rPr>
                <w:b/>
                <w:sz w:val="17"/>
              </w:rPr>
              <w:t>1,475</w:t>
            </w:r>
          </w:p>
        </w:tc>
        <w:tc>
          <w:tcPr>
            <w:tcW w:type="dxa" w:w="1440"/>
            <w:shd w:fill="FAFAFA" w:val="clear"/>
          </w:tcPr>
          <w:p>
            <w:r>
              <w:rPr>
                <w:sz w:val="17"/>
              </w:rPr>
              <w:t>1,622</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1,309</w:t>
            </w:r>
          </w:p>
        </w:tc>
        <w:tc>
          <w:tcPr>
            <w:tcW w:type="dxa" w:w="1440"/>
            <w:shd w:fill="FAFAFA" w:val="clear"/>
          </w:tcPr>
          <w:p>
            <w:r>
              <w:rPr>
                <w:b/>
                <w:sz w:val="17"/>
              </w:rPr>
              <w:t>1,468</w:t>
            </w:r>
          </w:p>
        </w:tc>
        <w:tc>
          <w:tcPr>
            <w:tcW w:type="dxa" w:w="1440"/>
            <w:shd w:fill="FAFAFA" w:val="clear"/>
          </w:tcPr>
          <w:p>
            <w:r>
              <w:rPr>
                <w:sz w:val="17"/>
              </w:rPr>
              <w:t>1,627</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1,461</w:t>
            </w:r>
          </w:p>
        </w:tc>
        <w:tc>
          <w:tcPr>
            <w:tcW w:type="dxa" w:w="1440"/>
            <w:shd w:fill="FFDCE0" w:val="clear"/>
          </w:tcPr>
          <w:p>
            <w:r>
              <w:rPr>
                <w:sz w:val="17"/>
              </w:rPr>
              <w:t>1,632</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de petite capitalisation, avec une liquidité limitée (volume moyen de 6 046 titres/jour). Les ratios de valorisation classiques (BPA, PER, P/B, EV/EBITDA) ne sont pas calculables en l'état, les données financières structurées nécessaires étant manquantes dans la base. Toutefois, sur la base des états financiers 2023 (rapport du 31/12/2023), le bénéfice net de 1,01 milliard FCFA rapporté à la capitalisation actuelle suggère un PER implicite très élevé (supérieur à 35x), bien au-dessus de la moyenne BRVM (~8-12x), ce qui traduit une valorisation tendue au regard des bénéfices récents. Cette cherté apparente s'explique par la chute de 74% du résultat net en 2023 et par l'anticipation par le marché d'un rebond porté par le rachat par Sonoco Products Company.</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 repli de -1,64%, confirmant une tendance baissière persistante. Le cours actuel de 1 495 FCFA se situe dans la partie basse du range de trading établi entre un plus bas de 1 350 FCFA et un plus haut de 1 800 FCFA, soit une amplitude de 33% qui témoigne d'une forte nervosité. Les statistiques descriptives révèlent une moyenne de 1 527 FCFA légèrement supérieure à la médiane de 1 520 FCFA, avec un mode à 1 500 FCFA : l'écart faible entre moyenne et médiane indique une distribution quasi-symétrique, mais le skewness positif de 0,558 signale néanmoins une prédominance de journées sous la moyenne, typique d'une pression vendeuse. L'écart-type de 69 FCFA (CV de 4,5%) traduit une dispersion modérée en valeur relative, mais le kurtosis excédentaire de 1,652 (distribution leptokurtique) avertit d'un risque de pics de volatilité et de mouvements brusques. La volatilité annualisée de 47,2% classe clairement SEMC parmi les titres à volatilité élevée (&gt;30%), ce qui implique un risque significatif pour l'investisseur et justifie une prime de prudence dans toute décision d'allocation.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et la MM50 (1 499,20 FCFA) encadrent le cours actuel de 1 495 FCFA, qui évolue juste sous la MM50 et nettement sous la MM20. Cette configuration indique que la dynamique de court terme reste baissière (prix sous MM20), tandis que la MM50 fait office de support fragile. La décision affichée « Achat » doit être nuancée : elle reflète probablement un signal de croisement haussier antérieur, mais la position actuelle du cours sous les deux moyennes invite à la prudence.</w:t>
      </w:r>
    </w:p>
    <w:p>
      <w:pPr>
        <w:spacing w:after="120" w:line="276" w:lineRule="auto"/>
      </w:pPr>
      <w:r>
        <w:t>**Bandes de Bollinger** : Les bornes supérieure (1 621,81 FCFA) et inférieure (1 459,69 FCFA) encadrent un cours de 1 495 FCFA, situé dans la moitié basse du canal, à proximité de la borne inférieure. Cette position suggère une pression vendeuse sans survente extrême, et la largeur des bandes (162 FCFA) confirme une volatilité encore présente. La décision « Neutre » est cohérente : le titre n'est ni en zone d'achat technique (rebond sur borne basse) ni en zone de vente.</w:t>
      </w:r>
    </w:p>
    <w:p>
      <w:pPr>
        <w:spacing w:after="120" w:line="276" w:lineRule="auto"/>
      </w:pPr>
      <w:r>
        <w:t>**MACD** : La valeur du MACD (6,264) est inférieure à son signal (10,155), générant un croisement baissier et une divergence négative caractéristique d'un momentum affaibli. La décision « Vente » est justifiée : la dynamique baissière est confirmée par l'écart négatif entre les deux lignes, et aucun signe de retournement n'est visible à court terme.</w:t>
      </w:r>
    </w:p>
    <w:p>
      <w:pPr>
        <w:spacing w:after="120" w:line="276" w:lineRule="auto"/>
      </w:pPr>
      <w:r>
        <w:t>**RSI** : À 49,533, le RSI se situe exactement en zone neutre (30-70), sans signal de surachat (&gt;70) ni de survente (&lt;30). Cette valeur médiane indique un équilibre entre acheteurs et vendeurs, sans force directionnelle claire. La décision « Neutre » est appropriée : le RSI ne fournit aucun signal exploitable en l'état.</w:t>
      </w:r>
    </w:p>
    <w:p>
      <w:pPr>
        <w:spacing w:after="120" w:line="276" w:lineRule="auto"/>
      </w:pPr>
      <w:r>
        <w:t>**Stochastique** : Le %K (34,615) est nettement inférieur au %D (57,692), avec un croisement baissier en zone basse. Cette configuration signale que la pression vendeuse domine et que le titre pourrait tester des niveaux inférieurs avant tout rebond. La décision « Neutre » est quelque peu optimiste ; le signal est plutôt baissier à court terme.</w:t>
      </w:r>
    </w:p>
    <w:p>
      <w:pPr>
        <w:spacing w:after="120" w:line="276" w:lineRule="auto"/>
      </w:pPr>
      <w:r>
        <w:t>**Conclusion technique** : Les indicateurs sont majoritairement baissiers ou neutres : MACD en vente, stochastique baissier, cours sous les moyennes mobiles et dans la moitié basse des Bollinger. Seule la décision « Achat » des moyennes mobiles apporte une note positive, mais elle est contredite par la position réelle du cours. Le RSI neutre et les Bollinger neutres confirment l'absence de signal d'achat fort. La convergence des signaux penche donc vers une prudence renforcée, avec un risque de poursuite de la baisse vers le support de 1 459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de SEMC (ex-Eviosys Packaging SIEM) pour l'exercice clos le 31/12/2023, issus du rapport officiel analysé le 15/03/2026, révèlent une dégradation marquée de la performance : le chiffre d'affaires s'établit à 27,88 milliards FCFA, en baisse de 6% par rapport aux 29,60 milliards FCFA de 2022, et le résultat net chute de 74% à 1,01 milliard FCFA (contre 3,86 milliards en 2022). La marge nette s'effondre à 3,6% (vs 13,0% en 2022) et la marge d'exploitation à 6,9% (vs 11,0%), sous l'effet d'un effet ciseau défavorable (baisse du CA couplée à une quasi-stabilité des charges) et de la perte des dividendes de la filiale ghanéenne. Le ROE, non explicitement fourni pour 2023, peut être estimé en forte baisse compte tenu de la chute du résultat net. À titre de comparaison, l'exercice 2022 (rapport du 31/12/2022, analysé le 16/03/2026) affichait un CA de 125,4 milliards FCFA (périmètre consolidé différent) et un résultat net de 12,8 milliards FCFA, avec un ROE de 18,4% et une marge nette de 10,2%. L'analyse du rapport trimestriel T1 2023 (rapport du 31/03/2023, analysé le 15/03/2026) montrait pourtant une dynamique positive : CA de 7,65 milliards FCFA (+16,5%) et résultat net de 855,65 millions FCFA (+37,9%), avec une marge nette de 11,2%. On estime donc que la dégradation s'est concentrée sur les trimestres suivants, notamment en raison de la perte du client AIRONE (chute de 81% du CA Poisson) et de l'effondrement du segment Tomate. La politique de dividende est suspendue (0 FCFA en 2023 comme en 2022), la trésorerie (3,35 milliards FCFA) étant conservée pour financer la relance et faire face à la suspension de la cote BRVM (flottant insuffisant de 10,42% vs 15% requis). Le rachat par Sonoco Products Company, finalisé en décembre 2024, constitue un catalyseur majeur mais introduit un risque de dilution et de réorganisation. En synthèse, les fondamentaux 2023 sont faibles, mais les perspectives 2024 (objectif de CA de 32 milliards FCFA, +18%) et l'arrivée de Sonoco offrent des leviers de rebond, sous réserve d'exécution.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et des prédictions IA conduit à une recommandation de **CONSERVER** avec un niveau de confiance **Moyen** et un risque global **Élevé**. La valorisation (Partie 0) apparaît tendue avec un PER implicite supérieur à 35x, bien au-dessus de la moyenne BRVM, ce qui intègre déjà une forte anticipation de redressement. Le comportement du cours (Partie 1) est préoccupant : tendance baissière de -16,94% sur 100 jours, volatilité élevée de 47,2%, kurtosis leptokurtique (risque de pics) et skewness positif (pression vendeuse), autant de signaux défavorables. Les indicateurs techniques (Partie 2) convergent majoritairement à la baisse (MACD en vente, stochastique baissier, cours sous les moyennes mobiles), malgré un RSI neutre et des Bollinger neutres qui n'offrent aucun contrepoids haussier. Les fondamentaux (Partie 3) sont dégradés pour 2023 (CA -6%, résultat net -74%, marge nette à 3,6%), mais les perspectives 2024 (objectif CA +18%) et le rachat par Sonoco constituent des catalyseurs potentiels, à condition que la relance soit confirmée. Les prédictions IA (J+1 à J+10) projettent une poursuite de la baisse de 1 475 FCFA à 1 447 FCFA, ce qui **confirme** les signaux techniques baissiers et **contredit** toute velléité d'achat à court terme. La convergence entre technique baissier, fondamentaux dégradés et prédictions négatives l'emporte sur les perspectives de rebond, encore incertaines. En conséquence, une position de **conservation** est recommandée pour les investisseurs déjà exposés, avec un horizon de **moyen terme (3-12 mois)** pour laisser le temps aux synergies Sonoco et au plan de relance de produire leurs effets. Un passage à l'achat ne serait justifié qu'en cas de confirmation d'un retournement technique (cours repassant au-dessus de la MM20) et d'une amélioration des marges, tandis qu'une vente serait envisageable si le support de 1 350 FCFA venait à céder.</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5,273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+9.37%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4.26% (Faible) — μ=37,750 FCFA, σ=1,609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β=0.6504 (Défensif) — Cov=0.000026, Var(idx)=0.000040, ρ=0.276,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σ_j=1.49%/j (Stable) — Vol. annualisée≈23.6%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36,892</w:t>
            </w:r>
          </w:p>
        </w:tc>
        <w:tc>
          <w:tcPr>
            <w:tcW w:type="dxa" w:w="1440"/>
            <w:shd w:fill="FAFAFA" w:val="clear"/>
          </w:tcPr>
          <w:p>
            <w:r>
              <w:rPr>
                <w:b/>
                <w:sz w:val="17"/>
              </w:rPr>
              <w:t>38,000</w:t>
            </w:r>
          </w:p>
        </w:tc>
        <w:tc>
          <w:tcPr>
            <w:tcW w:type="dxa" w:w="1440"/>
            <w:shd w:fill="FAFAFA" w:val="clear"/>
          </w:tcPr>
          <w:p>
            <w:r>
              <w:rPr>
                <w:sz w:val="17"/>
              </w:rPr>
              <w:t>39,109</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36,316</w:t>
            </w:r>
          </w:p>
        </w:tc>
        <w:tc>
          <w:tcPr>
            <w:tcW w:type="dxa" w:w="1440"/>
            <w:shd w:fill="FAFAFA" w:val="clear"/>
          </w:tcPr>
          <w:p>
            <w:r>
              <w:rPr>
                <w:b/>
                <w:sz w:val="17"/>
              </w:rPr>
              <w:t>37,878</w:t>
            </w:r>
          </w:p>
        </w:tc>
        <w:tc>
          <w:tcPr>
            <w:tcW w:type="dxa" w:w="1440"/>
            <w:shd w:fill="FAFAFA" w:val="clear"/>
          </w:tcPr>
          <w:p>
            <w:r>
              <w:rPr>
                <w:sz w:val="17"/>
              </w:rPr>
              <w:t>39,441</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35,855</w:t>
            </w:r>
          </w:p>
        </w:tc>
        <w:tc>
          <w:tcPr>
            <w:tcW w:type="dxa" w:w="1440"/>
            <w:shd w:fill="FAFAFA" w:val="clear"/>
          </w:tcPr>
          <w:p>
            <w:r>
              <w:rPr>
                <w:b/>
                <w:sz w:val="17"/>
              </w:rPr>
              <w:t>37,764</w:t>
            </w:r>
          </w:p>
        </w:tc>
        <w:tc>
          <w:tcPr>
            <w:tcW w:type="dxa" w:w="1440"/>
            <w:shd w:fill="FAFAFA" w:val="clear"/>
          </w:tcPr>
          <w:p>
            <w:r>
              <w:rPr>
                <w:sz w:val="17"/>
              </w:rPr>
              <w:t>39,672</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2026-09-25</w:t>
            </w:r>
          </w:p>
        </w:tc>
        <w:tc>
          <w:tcPr>
            <w:tcW w:type="dxa" w:w="1440"/>
            <w:shd w:fill="FAFAFA" w:val="clear"/>
          </w:tcPr>
          <w:p>
            <w:r>
              <w:rPr>
                <w:sz w:val="17"/>
              </w:rPr>
              <w:t>35,457</w:t>
            </w:r>
          </w:p>
        </w:tc>
        <w:tc>
          <w:tcPr>
            <w:tcW w:type="dxa" w:w="1440"/>
            <w:shd w:fill="FAFAFA" w:val="clear"/>
          </w:tcPr>
          <w:p>
            <w:r>
              <w:rPr>
                <w:b/>
                <w:sz w:val="17"/>
              </w:rPr>
              <w:t>37,654</w:t>
            </w:r>
          </w:p>
        </w:tc>
        <w:tc>
          <w:tcPr>
            <w:tcW w:type="dxa" w:w="1440"/>
            <w:shd w:fill="FAFAFA" w:val="clear"/>
          </w:tcPr>
          <w:p>
            <w:r>
              <w:rPr>
                <w:sz w:val="17"/>
              </w:rPr>
              <w:t>39,852</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2026-09-28</w:t>
            </w:r>
          </w:p>
        </w:tc>
        <w:tc>
          <w:tcPr>
            <w:tcW w:type="dxa" w:w="1440"/>
            <w:shd w:fill="FAFAFA" w:val="clear"/>
          </w:tcPr>
          <w:p>
            <w:r>
              <w:rPr>
                <w:sz w:val="17"/>
              </w:rPr>
              <w:t>35,099</w:t>
            </w:r>
          </w:p>
        </w:tc>
        <w:tc>
          <w:tcPr>
            <w:tcW w:type="dxa" w:w="1440"/>
            <w:shd w:fill="FAFAFA" w:val="clear"/>
          </w:tcPr>
          <w:p>
            <w:r>
              <w:rPr>
                <w:b/>
                <w:sz w:val="17"/>
              </w:rPr>
              <w:t>37,549</w:t>
            </w:r>
          </w:p>
        </w:tc>
        <w:tc>
          <w:tcPr>
            <w:tcW w:type="dxa" w:w="1440"/>
            <w:shd w:fill="FAFAFA" w:val="clear"/>
          </w:tcPr>
          <w:p>
            <w:r>
              <w:rPr>
                <w:sz w:val="17"/>
              </w:rPr>
              <w:t>39,998</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2026-09-29</w:t>
            </w:r>
          </w:p>
        </w:tc>
        <w:tc>
          <w:tcPr>
            <w:tcW w:type="dxa" w:w="1440"/>
            <w:shd w:fill="FAFAFA" w:val="clear"/>
          </w:tcPr>
          <w:p>
            <w:r>
              <w:rPr>
                <w:sz w:val="17"/>
              </w:rPr>
              <w:t>34,769</w:t>
            </w:r>
          </w:p>
        </w:tc>
        <w:tc>
          <w:tcPr>
            <w:tcW w:type="dxa" w:w="1440"/>
            <w:shd w:fill="FAFAFA" w:val="clear"/>
          </w:tcPr>
          <w:p>
            <w:r>
              <w:rPr>
                <w:b/>
                <w:sz w:val="17"/>
              </w:rPr>
              <w:t>37,445</w:t>
            </w:r>
          </w:p>
        </w:tc>
        <w:tc>
          <w:tcPr>
            <w:tcW w:type="dxa" w:w="1440"/>
            <w:shd w:fill="FAFAFA" w:val="clear"/>
          </w:tcPr>
          <w:p>
            <w:r>
              <w:rPr>
                <w:sz w:val="17"/>
              </w:rPr>
              <w:t>40,121</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2026-09-30</w:t>
            </w:r>
          </w:p>
        </w:tc>
        <w:tc>
          <w:tcPr>
            <w:tcW w:type="dxa" w:w="1440"/>
            <w:shd w:fill="FAFAFA" w:val="clear"/>
          </w:tcPr>
          <w:p>
            <w:r>
              <w:rPr>
                <w:sz w:val="17"/>
              </w:rPr>
              <w:t>34,461</w:t>
            </w:r>
          </w:p>
        </w:tc>
        <w:tc>
          <w:tcPr>
            <w:tcW w:type="dxa" w:w="1440"/>
            <w:shd w:fill="FAFAFA" w:val="clear"/>
          </w:tcPr>
          <w:p>
            <w:r>
              <w:rPr>
                <w:b/>
                <w:sz w:val="17"/>
              </w:rPr>
              <w:t>37,344</w:t>
            </w:r>
          </w:p>
        </w:tc>
        <w:tc>
          <w:tcPr>
            <w:tcW w:type="dxa" w:w="1440"/>
            <w:shd w:fill="FAFAFA" w:val="clear"/>
          </w:tcPr>
          <w:p>
            <w:r>
              <w:rPr>
                <w:sz w:val="17"/>
              </w:rPr>
              <w:t>40,227</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2026-10-01</w:t>
            </w:r>
          </w:p>
        </w:tc>
        <w:tc>
          <w:tcPr>
            <w:tcW w:type="dxa" w:w="1440"/>
            <w:shd w:fill="FAFAFA" w:val="clear"/>
          </w:tcPr>
          <w:p>
            <w:r>
              <w:rPr>
                <w:sz w:val="17"/>
              </w:rPr>
              <w:t>34,171</w:t>
            </w:r>
          </w:p>
        </w:tc>
        <w:tc>
          <w:tcPr>
            <w:tcW w:type="dxa" w:w="1440"/>
            <w:shd w:fill="FAFAFA" w:val="clear"/>
          </w:tcPr>
          <w:p>
            <w:r>
              <w:rPr>
                <w:b/>
                <w:sz w:val="17"/>
              </w:rPr>
              <w:t>37,244</w:t>
            </w:r>
          </w:p>
        </w:tc>
        <w:tc>
          <w:tcPr>
            <w:tcW w:type="dxa" w:w="1440"/>
            <w:shd w:fill="FAFAFA" w:val="clear"/>
          </w:tcPr>
          <w:p>
            <w:r>
              <w:rPr>
                <w:sz w:val="17"/>
              </w:rPr>
              <w:t>40,318</w:t>
            </w:r>
          </w:p>
        </w:tc>
        <w:tc>
          <w:tcPr>
            <w:tcW w:type="dxa" w:w="1440"/>
            <w:shd w:fill="FAFAFA" w:val="clear"/>
          </w:tcPr>
          <w:p>
            <w:r>
              <w:rPr>
                <w:b/>
                <w:color w:val="C00000"/>
                <w:sz w:val="17"/>
              </w:rPr>
              <w:t>-2.0%</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33,895</w:t>
            </w:r>
          </w:p>
        </w:tc>
        <w:tc>
          <w:tcPr>
            <w:tcW w:type="dxa" w:w="1440"/>
            <w:shd w:fill="FFDCE0" w:val="clear"/>
          </w:tcPr>
          <w:p>
            <w:r>
              <w:rPr>
                <w:b/>
                <w:sz w:val="17"/>
              </w:rPr>
              <w:t>37,146</w:t>
            </w:r>
          </w:p>
        </w:tc>
        <w:tc>
          <w:tcPr>
            <w:tcW w:type="dxa" w:w="1440"/>
            <w:shd w:fill="FFDCE0" w:val="clear"/>
          </w:tcPr>
          <w:p>
            <w:r>
              <w:rPr>
                <w:sz w:val="17"/>
              </w:rPr>
              <w:t>40,398</w:t>
            </w:r>
          </w:p>
        </w:tc>
        <w:tc>
          <w:tcPr>
            <w:tcW w:type="dxa" w:w="1440"/>
            <w:shd w:fill="FFDCE0" w:val="clear"/>
          </w:tcPr>
          <w:p>
            <w:r>
              <w:rPr>
                <w:b/>
                <w:color w:val="C00000"/>
                <w:sz w:val="17"/>
              </w:rPr>
              <w:t>-2.2%</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33,631</w:t>
            </w:r>
          </w:p>
        </w:tc>
        <w:tc>
          <w:tcPr>
            <w:tcW w:type="dxa" w:w="1440"/>
            <w:shd w:fill="FFDCE0" w:val="clear"/>
          </w:tcPr>
          <w:p>
            <w:r>
              <w:rPr>
                <w:b/>
                <w:sz w:val="17"/>
              </w:rPr>
              <w:t>37,049</w:t>
            </w:r>
          </w:p>
        </w:tc>
        <w:tc>
          <w:tcPr>
            <w:tcW w:type="dxa" w:w="1440"/>
            <w:shd w:fill="FFDCE0" w:val="clear"/>
          </w:tcPr>
          <w:p>
            <w:r>
              <w:rPr>
                <w:sz w:val="17"/>
              </w:rPr>
              <w:t>40,468</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1 182,22 milliards FCFA, SGBC figure parmi les toutes premières capitalisations de la BRVM, ce qui en fait un pilier incontournable de l'indice composite et un titre de référence pour les investisseurs institutionnels de la zone UEMOA. Le BPA de 3 258 FCFA/action signifie que chaque titre génère plus de 3 200 FCFA de bénéfice net, un niveau remarquable qui traduit la forte rentabilité intrinsèque de la banque. Le PER de 11,7x se situe dans le haut de la fourchette moyenne du marché BRVM (8-12x), indiquant une valorisation raisonnable mais sans décote manifeste, les investisseurs acceptant de payer une légère prime pour la qualité de la signature. Le P/B de 2,39x montre que le marché valorise SGBC à plus du double de sa valeur comptable, une prime de croissance justifiée par un ROE supérieur à 20%. En revanche, l'EV/EBITDA de 24,5x apparaît très exigeant (&gt;15x), signalant que la valeur d'entreprise intègre déjà une anticipation de croissance soutenue et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+9,37%, mais la dernière séance (J-1) marque un repli de -2,31%, signalant une prise de bénéfices après un rallye haussier. Le cours actuel de 38 000 FCFA évolue dans un range de trading de 6 300 FCFA, entre un plus bas de 33 000 FCFA et un plus haut de 39 300 FCFA, ce qui témoigne d'une tendance générale haussière mais avec une consolidation récente. Les statistiques descriptives révèlent une moyenne de 37 750 FCFA légèrement inférieure à la médiane de 38 025 FCFA, avec un mode à 38 000 FCFA : cet écart marginal indique une distribution quasi-symétrique autour du cours actuel, le titre ayant passé l'essentiel de la période dans une zone de prix étroite. L'écart-type de 1 617 FCFA et le coefficient de variation de 4,3% traduisent une dispersion très faible du cours, confirmant la stabilité relative du titre. Le kurtosis de 1,420 (leptokurtique) signale des queues épaisses, donc un risque de pics de volatilité brutaux, tandis que le skewness de -1,510 (asymétrie négative) indique que les journées de hausse ont été plus fréquentes mais que les baisses, moins nombreuses, ont été plus amples — un profil typique de titres bancaires de qualité. La volatilité annualisée de 23,6% place SGBC dans la catégorie modérée (15-30%), cohérente avec un titre de grande capitalisation à faible risque relatif.</w:t>
      </w:r>
    </w:p>
    <w:p>
      <w:pPr>
        <w:spacing w:after="120" w:line="276" w:lineRule="auto"/>
      </w:pPr>
      <w:r>
        <w:t>---</w:t>
      </w:r>
    </w:p>
    <w:p>
      <w:pPr>
        <w:spacing w:after="120" w:line="276" w:lineRule="auto"/>
      </w:pPr>
      <w:r>
        <w:t>## PARTIE 2 : ANALYSE TECHNIQUE DÉTAILLÉE</w:t>
      </w:r>
    </w:p>
    <w:p>
      <w:pPr>
        <w:spacing w:after="120" w:line="276" w:lineRule="auto"/>
      </w:pPr>
      <w:r>
        <w:t>**Moyennes Mobiles** : La MM20 (38 452,5 FCFA) et la MM50 (38 409,6 FCFA) sont quasi confondues et légèrement supérieures au cours actuel de 38 000 FCFA, ce qui signifie que le titre évolue juste sous ses moyennes de court et moyen terme. Cette configuration, avec des moyennes en plateau et un cours en léger retrait, génère un signal d'achat par anticipation d'un retour à la moyenne, mais la faiblesse de l'écart entre MM20 et MM50 traduit l'absence de tendance directionnelle forte.</w:t>
      </w:r>
    </w:p>
    <w:p>
      <w:pPr>
        <w:spacing w:after="120" w:line="276" w:lineRule="auto"/>
      </w:pPr>
      <w:r>
        <w:t>**Bandes de Bollinger** : Le cours (38 000 FCFA) se situe dans la moitié inférieure de la bande, entre la borne inférieure (37 614,24 FCFA) et la borne supérieure (39 290,76 FCFA), sans contact avec les extrêmes. L'amplitude relativement étroite des bandes confirme la faible volatilité récente et la décision « Neutre » reflète l'absence de signal de rupture, le titre évoluant en zone d'équilibre.</w:t>
      </w:r>
    </w:p>
    <w:p>
      <w:pPr>
        <w:spacing w:after="120" w:line="276" w:lineRule="auto"/>
      </w:pPr>
      <w:r>
        <w:t>**MACD** : La valeur du MACD (-25,703) est nettement inférieure à son signal (11,337), générant un croisement baissier et une décision de vente. Cet indicateur de momentum signale que la dynamique haussière des dernières semaines s'essouffle et que la pression vendeuse prend le dessus à court terme, en cohérence avec le repli de -2,31% enregistré en J-1.</w:t>
      </w:r>
    </w:p>
    <w:p>
      <w:pPr>
        <w:spacing w:after="120" w:line="276" w:lineRule="auto"/>
      </w:pPr>
      <w:r>
        <w:t>**RSI** : À 49,701, le RSI se situe exactement en zone neutre (30-70), ni suracheté ni survendu. Cette position médiane indique un équilibre parfait entre acheteurs et vendeurs, sans excès émotionnel, et confirme que le titre n'est ni dans une phase de surchauffe ni dans une zone de rebond technique.</w:t>
      </w:r>
    </w:p>
    <w:p>
      <w:pPr>
        <w:spacing w:after="120" w:line="276" w:lineRule="auto"/>
      </w:pPr>
      <w:r>
        <w:t>**Stochastique** : Le %K (16,667) est très inférieur au %D (41,667), avec un %K en zone de survente (&lt;20). Cette configuration signale que le titre a été fortement vendu à court terme et qu'un rebond technique est probable, justifiant la décision d'achat contrariante du stochastique.</w:t>
      </w:r>
    </w:p>
    <w:p>
      <w:pPr>
        <w:spacing w:after="120" w:line="276" w:lineRule="auto"/>
      </w:pPr>
      <w:r>
        <w:t>**Conclusion technique** : Les indicateurs sont divergents — les moyennes mobiles et le stochastique plaident pour un achat (retour à la moyenne, survente), tandis que le MACD confirme une pression baissière et que le RSI et les Bollinger restent neutres. Cette absence de consensus traduit une phase de consolidation indécise, où le titre digère sa hausse de +9,37% sans direction claire, ce qui invite à la prudence à court terme en attendant un signal de convergence.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SGBC affiche un Produit Net Bancaire (équivalent du chiffre d'affaires pour une banque) de 276,048 milliards FCFA, en croissance de +4,88% par rapport à 2024, et un résultat net de 101,352 milliards FCFA, franchissant pour la première fois le seuil symbolique des 100 milliards. La rentabilité est exceptionnelle avec un ROE de 20,47% (&gt;15% = excellent) et un ROA de 2,69%, tandis que la marge nette atteint 36,72%, confirmant la qualité du modèle. Le coefficient d'exploitation de 38,75% est très inférieur au seuil de 60% et même au seuil d'excellence de 50%, témoignant d'une efficacité opérationnelle remarquable. Le coût du risque, mesuré par le ratio provisions/charges financières (17,995/47,775 = 37,7%), reste contenu et maîtrisé. La structure bilancielle est solide : les dépôts clientèle (2 907,675 Mds FCFA) couvrent largement les créances clientèle (2 546,290 Mds FCFA), avec un ratio de transformation de 87,6% (crédits/dépôts), en amélioration continue. La capacité de remboursement de 27,46 années et la couverture des intérêts de 255,88% confirment la solidité financière.</w:t>
      </w:r>
    </w:p>
    <w:p>
      <w:pPr>
        <w:spacing w:after="120" w:line="276" w:lineRule="auto"/>
      </w:pPr>
      <w:r>
        <w:t>**Évolution temporelle et estimations** : Les rapports trimestriels 2025 confirment cette dynamique. Le rapport du 30 septembre 2025 (T3 2025) indique un PNB cumulé de 201,0 Mds FCFA (+2,5%) et un résultat net de 83,3 Mds FCFA (+11,7%), avec un coefficient d'exploitation amélioré à 37,3% et un ratio prêts/dépôts de 84,6% (contre 96% un an plus tôt). Le rapport du 30 juin 2025 (S1 2025) faisait état d'un PNB de 132,0 Mds FCFA (+1,0%) et d'un résultat net de 53,1 Mds FCFA (+10,0%), avec un ratio de solvabilité de 17,7% (bien au-dessus du minimum réglementaire de 12,5%) et un ROE de 23,8%. Sur la base de ces rapports, on estime que l'exercice 2025 devrait confirmer un résultat net annuel autour de 101-105 Mds FCFA, avec un ROE maintenu au-dessus de 20% et une amélioration continue du coefficient d'exploitation. Le rapport annuel 2024 (publié le 31 décembre 2024) avait déjà établi un record avec un résultat net de 101,2 Mds FCFA (+4,1%) et un dividende brut de 1 863 FCFA/action (+8,4%), soit un rendement attractif de 4,9% au cours actuel.</w:t>
      </w:r>
    </w:p>
    <w:p>
      <w:pPr>
        <w:spacing w:after="120" w:line="276" w:lineRule="auto"/>
      </w:pPr>
      <w:r>
        <w:t>**Recommandation fondamentale** : SGBC présente des fondamentaux exceptionnellement solides — croissance rentable, efficacité opérationnelle, solidité bilancielle et notation AAA (seul acteur bancaire de la BRVM à ce niveau). Les risques identifiés (hausse des créances en souffrance à 7,8% au S1 2025, dépendance aux commissions) sont contenus et surveillés. La valorisation (PER 11,7x, P/B 2,39x) intègre déjà une prime de qualité, mais reste justifiée par la régularité des performances et la générosité du dividende. **Recommandation fondamentale : CONSERVER avec biais positif**, en attendant une clarification sur la qualité du crédit au second semestre 2025.</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à court terme mais solide à moyen terme. **Valorisation (Partie 0)** : le PER de 11,7x et le P/B de 2,39x indiquent une valorisation raisonnable mais sans décote, l'EV/EBITDA de 24,5x étant le seul signal de cherté relative. **Comportement du cours (Partie 1)** : la tendance haussière (+9,37% sur 100 jours) est tempérée par un repli récent (-2,31%), avec une volatilité modérée (23,6%) et une distribution leptokurtique (risque de pics) mais un skewness négatif (baisses moins fréquentes mais plus amples). **Signaux techniques (Partie 2)** : divergence entre le MACD baissier et le stochastique en survente, avec des moyennes mobiles et un RSI neutres — un consensus absent qui plaide pour l'attente. **Fondamentaux (Partie 3)** : les données 2025 (PNB 276,05 Mds FCFA, résultat net 101,35 Mds FCFA, ROE 20,47%, coefficient d'exploitation 38,75%) confirment une banque de premier plan, avec des rapports trimestriels (T3 2025 : résultat net +11,7%) qui soutiennent une projection annuelle favorable. **Prédictions IA (J+1 à J+10)** : la trajectoire prévue (38 000 → 37 549 FCFA) anticipe une légère consolidation baissière de -1,2%, en cohérence avec le MACD baissier et le repli récent, mais en contradiction avec le stochastique en survente.</w:t>
      </w:r>
    </w:p>
    <w:p>
      <w:pPr>
        <w:spacing w:after="120" w:line="276" w:lineRule="auto"/>
      </w:pPr>
      <w:r>
        <w:t>**Recommandation finale : CONSERVER** — Les signaux techniques à court terme (MACD baissier, prédictions IA en repli) invitent à la prudence, mais les fondamentaux exceptionnels (ROE &gt;20%, notation AAA, dividende attractif) et la valorisation raisonnable justifient une position d'attente plutôt qu'une vente. La convergence entre la solidité fondamentale et la consolidation technique actuelle suggère un point d'entrée potentiel à moyen terme. **Niveau de confiance : Moyen** (divergence technique/fondamental). **Niveau de risque global : Faible** (titre de qualité, volatilité modérée, bilan solide). **Horizon d'investissement optimal : Moyen terme (3-12 mois)**, pour capturer le dividende et la reprise de la tendance haussière une fois la consolidation terminée.</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182.07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4,781 titres</w:t>
            </w:r>
          </w:p>
        </w:tc>
        <w:tc>
          <w:tcPr>
            <w:tcW w:type="dxa" w:w="2268"/>
            <w:shd w:fill="FFF2CC" w:val="clear"/>
          </w:tcPr>
          <w:p>
            <w:r>
              <w:rPr>
                <w:b/>
                <w:color w:val="503200"/>
                <w:sz w:val="16"/>
              </w:rPr>
              <w:t xml:space="preserve">Cours actuel : </w:t>
            </w:r>
            <w:r>
              <w:rPr>
                <w:color w:val="000000"/>
                <w:sz w:val="17"/>
              </w:rPr>
              <w:t>2,890 FCFA</w:t>
            </w:r>
          </w:p>
          <w:p>
            <w:r>
              <w:rPr>
                <w:b/>
                <w:color w:val="503200"/>
                <w:sz w:val="16"/>
              </w:rPr>
              <w:t xml:space="preserve">Var. 100 jours : </w:t>
            </w:r>
            <w:r>
              <w:rPr>
                <w:b/>
                <w:color w:val="007800"/>
                <w:sz w:val="17"/>
              </w:rPr>
              <w:t>+48.21%</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10.86% (Moyenne) — μ=2,213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β=0.2262 (Défensif) — Cov=0.000009, Var(idx)=0.000040, ρ=0.060,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σ_j=2.39%/j (Stable) — Vol. annualisée≈38.0%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2026-09-22</w:t>
            </w:r>
          </w:p>
        </w:tc>
        <w:tc>
          <w:tcPr>
            <w:tcW w:type="dxa" w:w="1440"/>
            <w:shd w:fill="FFDCE0" w:val="clear"/>
          </w:tcPr>
          <w:p>
            <w:r>
              <w:rPr>
                <w:sz w:val="17"/>
              </w:rPr>
              <w:t>2,624</w:t>
            </w:r>
          </w:p>
        </w:tc>
        <w:tc>
          <w:tcPr>
            <w:tcW w:type="dxa" w:w="1440"/>
            <w:shd w:fill="FFDCE0" w:val="clear"/>
          </w:tcPr>
          <w:p>
            <w:r>
              <w:rPr>
                <w:b/>
                <w:sz w:val="17"/>
              </w:rPr>
              <w:t>2,751</w:t>
            </w:r>
          </w:p>
        </w:tc>
        <w:tc>
          <w:tcPr>
            <w:tcW w:type="dxa" w:w="1440"/>
            <w:shd w:fill="FFDCE0" w:val="clear"/>
          </w:tcPr>
          <w:p>
            <w:r>
              <w:rPr>
                <w:sz w:val="17"/>
              </w:rPr>
              <w:t>2,879</w:t>
            </w:r>
          </w:p>
        </w:tc>
        <w:tc>
          <w:tcPr>
            <w:tcW w:type="dxa" w:w="1440"/>
            <w:shd w:fill="FFDCE0" w:val="clear"/>
          </w:tcPr>
          <w:p>
            <w:r>
              <w:rPr>
                <w:b/>
                <w:color w:val="C00000"/>
                <w:sz w:val="17"/>
              </w:rPr>
              <w:t>-4.8%</w:t>
            </w:r>
          </w:p>
        </w:tc>
      </w:tr>
      <w:tr>
        <w:tc>
          <w:tcPr>
            <w:tcW w:type="dxa" w:w="1440"/>
            <w:shd w:fill="FFDCE0" w:val="clear"/>
          </w:tcPr>
          <w:p>
            <w:r>
              <w:rPr>
                <w:sz w:val="17"/>
              </w:rPr>
              <w:t>J+2  Moyenne</w:t>
            </w:r>
          </w:p>
        </w:tc>
        <w:tc>
          <w:tcPr>
            <w:tcW w:type="dxa" w:w="1440"/>
            <w:shd w:fill="FFDCE0" w:val="clear"/>
          </w:tcPr>
          <w:p>
            <w:r>
              <w:rPr>
                <w:sz w:val="17"/>
              </w:rPr>
              <w:t>2026-09-23</w:t>
            </w:r>
          </w:p>
        </w:tc>
        <w:tc>
          <w:tcPr>
            <w:tcW w:type="dxa" w:w="1440"/>
            <w:shd w:fill="FFDCE0" w:val="clear"/>
          </w:tcPr>
          <w:p>
            <w:r>
              <w:rPr>
                <w:sz w:val="17"/>
              </w:rPr>
              <w:t>2,491</w:t>
            </w:r>
          </w:p>
        </w:tc>
        <w:tc>
          <w:tcPr>
            <w:tcW w:type="dxa" w:w="1440"/>
            <w:shd w:fill="FFDCE0" w:val="clear"/>
          </w:tcPr>
          <w:p>
            <w:r>
              <w:rPr>
                <w:b/>
                <w:sz w:val="17"/>
              </w:rPr>
              <w:t>2,666</w:t>
            </w:r>
          </w:p>
        </w:tc>
        <w:tc>
          <w:tcPr>
            <w:tcW w:type="dxa" w:w="1440"/>
            <w:shd w:fill="FFDCE0" w:val="clear"/>
          </w:tcPr>
          <w:p>
            <w:r>
              <w:rPr>
                <w:sz w:val="17"/>
              </w:rPr>
              <w:t>2,840</w:t>
            </w:r>
          </w:p>
        </w:tc>
        <w:tc>
          <w:tcPr>
            <w:tcW w:type="dxa" w:w="1440"/>
            <w:shd w:fill="FFDCE0" w:val="clear"/>
          </w:tcPr>
          <w:p>
            <w:r>
              <w:rPr>
                <w:b/>
                <w:color w:val="C00000"/>
                <w:sz w:val="17"/>
              </w:rPr>
              <w:t>-7.8%</w:t>
            </w:r>
          </w:p>
        </w:tc>
      </w:tr>
      <w:tr>
        <w:tc>
          <w:tcPr>
            <w:tcW w:type="dxa" w:w="1440"/>
            <w:shd w:fill="FFDCE0" w:val="clear"/>
          </w:tcPr>
          <w:p>
            <w:r>
              <w:rPr>
                <w:sz w:val="17"/>
              </w:rPr>
              <w:t>J+3  Moyenne</w:t>
            </w:r>
          </w:p>
        </w:tc>
        <w:tc>
          <w:tcPr>
            <w:tcW w:type="dxa" w:w="1440"/>
            <w:shd w:fill="FFDCE0" w:val="clear"/>
          </w:tcPr>
          <w:p>
            <w:r>
              <w:rPr>
                <w:sz w:val="17"/>
              </w:rPr>
              <w:t>2026-09-24</w:t>
            </w:r>
          </w:p>
        </w:tc>
        <w:tc>
          <w:tcPr>
            <w:tcW w:type="dxa" w:w="1440"/>
            <w:shd w:fill="FFDCE0" w:val="clear"/>
          </w:tcPr>
          <w:p>
            <w:r>
              <w:rPr>
                <w:sz w:val="17"/>
              </w:rPr>
              <w:t>2,382</w:t>
            </w:r>
          </w:p>
        </w:tc>
        <w:tc>
          <w:tcPr>
            <w:tcW w:type="dxa" w:w="1440"/>
            <w:shd w:fill="FFDCE0" w:val="clear"/>
          </w:tcPr>
          <w:p>
            <w:r>
              <w:rPr>
                <w:b/>
                <w:sz w:val="17"/>
              </w:rPr>
              <w:t>2,590</w:t>
            </w:r>
          </w:p>
        </w:tc>
        <w:tc>
          <w:tcPr>
            <w:tcW w:type="dxa" w:w="1440"/>
            <w:shd w:fill="FFDCE0" w:val="clear"/>
          </w:tcPr>
          <w:p>
            <w:r>
              <w:rPr>
                <w:sz w:val="17"/>
              </w:rPr>
              <w:t>2,797</w:t>
            </w:r>
          </w:p>
        </w:tc>
        <w:tc>
          <w:tcPr>
            <w:tcW w:type="dxa" w:w="1440"/>
            <w:shd w:fill="FFDCE0" w:val="clear"/>
          </w:tcPr>
          <w:p>
            <w:r>
              <w:rPr>
                <w:b/>
                <w:color w:val="C00000"/>
                <w:sz w:val="17"/>
              </w:rPr>
              <w:t>-10.4%</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2,293</w:t>
            </w:r>
          </w:p>
        </w:tc>
        <w:tc>
          <w:tcPr>
            <w:tcW w:type="dxa" w:w="1440"/>
            <w:shd w:fill="FFDCE0" w:val="clear"/>
          </w:tcPr>
          <w:p>
            <w:r>
              <w:rPr>
                <w:b/>
                <w:sz w:val="17"/>
              </w:rPr>
              <w:t>2,527</w:t>
            </w:r>
          </w:p>
        </w:tc>
        <w:tc>
          <w:tcPr>
            <w:tcW w:type="dxa" w:w="1440"/>
            <w:shd w:fill="FFDCE0" w:val="clear"/>
          </w:tcPr>
          <w:p>
            <w:r>
              <w:rPr>
                <w:sz w:val="17"/>
              </w:rPr>
              <w:t>2,762</w:t>
            </w:r>
          </w:p>
        </w:tc>
        <w:tc>
          <w:tcPr>
            <w:tcW w:type="dxa" w:w="1440"/>
            <w:shd w:fill="FFDCE0" w:val="clear"/>
          </w:tcPr>
          <w:p>
            <w:r>
              <w:rPr>
                <w:b/>
                <w:color w:val="C00000"/>
                <w:sz w:val="17"/>
              </w:rPr>
              <w:t>-12.6%</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2,220</w:t>
            </w:r>
          </w:p>
        </w:tc>
        <w:tc>
          <w:tcPr>
            <w:tcW w:type="dxa" w:w="1440"/>
            <w:shd w:fill="FFDCE0" w:val="clear"/>
          </w:tcPr>
          <w:p>
            <w:r>
              <w:rPr>
                <w:b/>
                <w:sz w:val="17"/>
              </w:rPr>
              <w:t>2,477</w:t>
            </w:r>
          </w:p>
        </w:tc>
        <w:tc>
          <w:tcPr>
            <w:tcW w:type="dxa" w:w="1440"/>
            <w:shd w:fill="FFDCE0" w:val="clear"/>
          </w:tcPr>
          <w:p>
            <w:r>
              <w:rPr>
                <w:sz w:val="17"/>
              </w:rPr>
              <w:t>2,733</w:t>
            </w:r>
          </w:p>
        </w:tc>
        <w:tc>
          <w:tcPr>
            <w:tcW w:type="dxa" w:w="1440"/>
            <w:shd w:fill="FFDCE0" w:val="clear"/>
          </w:tcPr>
          <w:p>
            <w:r>
              <w:rPr>
                <w:b/>
                <w:color w:val="C00000"/>
                <w:sz w:val="17"/>
              </w:rPr>
              <w:t>-14.3%</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2,158</w:t>
            </w:r>
          </w:p>
        </w:tc>
        <w:tc>
          <w:tcPr>
            <w:tcW w:type="dxa" w:w="1440"/>
            <w:shd w:fill="FFDCE0" w:val="clear"/>
          </w:tcPr>
          <w:p>
            <w:r>
              <w:rPr>
                <w:b/>
                <w:sz w:val="17"/>
              </w:rPr>
              <w:t>2,435</w:t>
            </w:r>
          </w:p>
        </w:tc>
        <w:tc>
          <w:tcPr>
            <w:tcW w:type="dxa" w:w="1440"/>
            <w:shd w:fill="FFDCE0" w:val="clear"/>
          </w:tcPr>
          <w:p>
            <w:r>
              <w:rPr>
                <w:sz w:val="17"/>
              </w:rPr>
              <w:t>2,711</w:t>
            </w:r>
          </w:p>
        </w:tc>
        <w:tc>
          <w:tcPr>
            <w:tcW w:type="dxa" w:w="1440"/>
            <w:shd w:fill="FFDCE0" w:val="clear"/>
          </w:tcPr>
          <w:p>
            <w:r>
              <w:rPr>
                <w:b/>
                <w:color w:val="C00000"/>
                <w:sz w:val="17"/>
              </w:rPr>
              <w:t>-15.8%</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2,105</w:t>
            </w:r>
          </w:p>
        </w:tc>
        <w:tc>
          <w:tcPr>
            <w:tcW w:type="dxa" w:w="1440"/>
            <w:shd w:fill="FFDCE0" w:val="clear"/>
          </w:tcPr>
          <w:p>
            <w:r>
              <w:rPr>
                <w:b/>
                <w:sz w:val="17"/>
              </w:rPr>
              <w:t>2,399</w:t>
            </w:r>
          </w:p>
        </w:tc>
        <w:tc>
          <w:tcPr>
            <w:tcW w:type="dxa" w:w="1440"/>
            <w:shd w:fill="FFDCE0" w:val="clear"/>
          </w:tcPr>
          <w:p>
            <w:r>
              <w:rPr>
                <w:sz w:val="17"/>
              </w:rPr>
              <w:t>2,693</w:t>
            </w:r>
          </w:p>
        </w:tc>
        <w:tc>
          <w:tcPr>
            <w:tcW w:type="dxa" w:w="1440"/>
            <w:shd w:fill="FFDCE0" w:val="clear"/>
          </w:tcPr>
          <w:p>
            <w:r>
              <w:rPr>
                <w:b/>
                <w:color w:val="C00000"/>
                <w:sz w:val="17"/>
              </w:rPr>
              <w:t>-17.0%</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2,057</w:t>
            </w:r>
          </w:p>
        </w:tc>
        <w:tc>
          <w:tcPr>
            <w:tcW w:type="dxa" w:w="1440"/>
            <w:shd w:fill="FFDCE0" w:val="clear"/>
          </w:tcPr>
          <w:p>
            <w:r>
              <w:rPr>
                <w:b/>
                <w:sz w:val="17"/>
              </w:rPr>
              <w:t>2,367</w:t>
            </w:r>
          </w:p>
        </w:tc>
        <w:tc>
          <w:tcPr>
            <w:tcW w:type="dxa" w:w="1440"/>
            <w:shd w:fill="FFDCE0" w:val="clear"/>
          </w:tcPr>
          <w:p>
            <w:r>
              <w:rPr>
                <w:sz w:val="17"/>
              </w:rPr>
              <w:t>2,678</w:t>
            </w:r>
          </w:p>
        </w:tc>
        <w:tc>
          <w:tcPr>
            <w:tcW w:type="dxa" w:w="1440"/>
            <w:shd w:fill="FFDCE0" w:val="clear"/>
          </w:tcPr>
          <w:p>
            <w:r>
              <w:rPr>
                <w:b/>
                <w:color w:val="C00000"/>
                <w:sz w:val="17"/>
              </w:rPr>
              <w:t>-18.1%</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2,014</w:t>
            </w:r>
          </w:p>
        </w:tc>
        <w:tc>
          <w:tcPr>
            <w:tcW w:type="dxa" w:w="1440"/>
            <w:shd w:fill="FFDCE0" w:val="clear"/>
          </w:tcPr>
          <w:p>
            <w:r>
              <w:rPr>
                <w:b/>
                <w:sz w:val="17"/>
              </w:rPr>
              <w:t>2,339</w:t>
            </w:r>
          </w:p>
        </w:tc>
        <w:tc>
          <w:tcPr>
            <w:tcW w:type="dxa" w:w="1440"/>
            <w:shd w:fill="FFDCE0" w:val="clear"/>
          </w:tcPr>
          <w:p>
            <w:r>
              <w:rPr>
                <w:sz w:val="17"/>
              </w:rPr>
              <w:t>2,664</w:t>
            </w:r>
          </w:p>
        </w:tc>
        <w:tc>
          <w:tcPr>
            <w:tcW w:type="dxa" w:w="1440"/>
            <w:shd w:fill="FFDCE0" w:val="clear"/>
          </w:tcPr>
          <w:p>
            <w:r>
              <w:rPr>
                <w:b/>
                <w:color w:val="C00000"/>
                <w:sz w:val="17"/>
              </w:rPr>
              <w:t>-19.1%</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1,974</w:t>
            </w:r>
          </w:p>
        </w:tc>
        <w:tc>
          <w:tcPr>
            <w:tcW w:type="dxa" w:w="1440"/>
            <w:shd w:fill="FFDCE0" w:val="clear"/>
          </w:tcPr>
          <w:p>
            <w:r>
              <w:rPr>
                <w:b/>
                <w:sz w:val="17"/>
              </w:rPr>
              <w:t>2,313</w:t>
            </w:r>
          </w:p>
        </w:tc>
        <w:tc>
          <w:tcPr>
            <w:tcW w:type="dxa" w:w="1440"/>
            <w:shd w:fill="FFDCE0" w:val="clear"/>
          </w:tcPr>
          <w:p>
            <w:r>
              <w:rPr>
                <w:sz w:val="17"/>
              </w:rPr>
              <w:t>2,652</w:t>
            </w:r>
          </w:p>
        </w:tc>
        <w:tc>
          <w:tcPr>
            <w:tcW w:type="dxa" w:w="1440"/>
            <w:shd w:fill="FFDCE0" w:val="clear"/>
          </w:tcPr>
          <w:p>
            <w:r>
              <w:rPr>
                <w:b/>
                <w:color w:val="C00000"/>
                <w:sz w:val="17"/>
              </w:rPr>
              <w:t>-20.0%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ACTION SHEC (VIVO ENERGY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182,07 milliards FCFA, SHEC s'inscrit parmi les valeurs de taille intermédiaire à supérieure de la cote BRVM, ce qui témoigne d'une liquidité relative et d'une visibilité institutionnelle non négligeables. Le BPA de 96 FCFA/action signifie que chaque titre génère près d'un centième de sa valeur de marché en bénéfice net, mais le PER de 30,2x traduit une valorisation très généreuse : les investisseurs paient environ trois fois plus cher que la moyenne du marché BRVM (8-12x), ce qui intègre soit une anticipation de forte croissance, soit une prime de rareté sectorielle. Le P/B de 6,70x, très supérieur au seuil de 4x, indique que le marché valorise l'entreprise bien au-delà de sa valeur comptable (capitaux propres de 27,16 Mds FCFA), signe d'une confiance excessive ou d'une sous-évaluation des actifs immatériels. Enfin, l'EV/EBITDA de 15,1x, supérieur au seuil de 15x, confirme que la valeur d'entreprise (incluant la dette) est chèrement payée par rapport à la capacité opérationnelle de génération de cash, ce qui laisse peu de marge de sécurité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performance remarquable de +48,21%, avec une dernière séance en hausse de +4,71%, portant le cours à 2 890 FCFA. Le range de trading s'étend de 1 840 FCFA (plus bas) à 2 980 FCFA (plus haut), soit une amplitude de 62%, ce qui positionne le titre en tendance nettement haussière, soutenue par un volume moyen quotidien de 4 781 titres. Les statistiques descriptives révèlent une moyenne de 2 213 FCFA légèrement supérieure à la médiane de 2 195 FCFA, avec un mode à 2 200 FCFA, indiquant une distribution asymétrique positive (skewness de 1,088) où davantage de journées se sont situées sous la moyenne, mais avec des pics haussiers marqués. L'écart-type de 242 FCFA (CV de 10,9%) traduit une dispersion modérée du cours autour de sa moyenne, tandis que le kurtosis de 1,324 (leptokurtique) signale des queues épaisses, donc un risque de mouvements brusques et de pics de volatilité. La volatilité annualisée de 38,0% classe le titre dans la catégorie des valeurs à volatilité élevée (&gt;30%), ce qui implique un risque de marché significatif et une prime de risque exigée plus forte de la part des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(2 580 FCFA) et la MM50 (2 381,2 FCFA) sont toutes deux nettement inférieures au cours actuel (2 890 FCFA), et la MM20 est au-dessus de la MM50, configurant un croisement haussier classique. Cette configuration en « golden cross » confirme la dynamique positive et justifie la décision d'achat, le cours évoluant au-dessus de ses supports mobiles.</w:t>
      </w:r>
    </w:p>
    <w:p>
      <w:pPr>
        <w:spacing w:after="120" w:line="276" w:lineRule="auto"/>
      </w:pPr>
      <w:r>
        <w:t>**Bandes de Bollinger** : Le cours actuel (2 890 FCFA) se situe à proximité de la borne supérieure (2 986,37 FCFA) et très au-dessus de la borne inférieure (2 173,63 FCFA), ce qui indique une pression acheteuse forte mais un risque de surachat à court terme. La décision neutre reflète cette position ambiguë : le titre est soutenu mais pourrait rencontrer une résistance à la borne supérieure, avec un risque de correction vers la moyenne mobile.</w:t>
      </w:r>
    </w:p>
    <w:p>
      <w:pPr>
        <w:spacing w:after="120" w:line="276" w:lineRule="auto"/>
      </w:pPr>
      <w:r>
        <w:t>**MACD** : La valeur du MACD (145,934) est nettement supérieure à son signal (111,278), avec un histogramme positif, ce qui confirme un momentum haussier solide et une accélération de la tendance. La décision d'achat est cohérente avec cette configuration, le MACD n'ayant pas encore montré de signe de divergence baissière.</w:t>
      </w:r>
    </w:p>
    <w:p>
      <w:pPr>
        <w:spacing w:after="120" w:line="276" w:lineRule="auto"/>
      </w:pPr>
      <w:r>
        <w:t>**RSI** : À 73,575, le RSI se situe au-dessus du seuil de surachat (70), ce qui indique que le titre a été acheté de manière excessive à court terme et pourrait être sujet à une correction. La décision de vente est justifiée par ce niveau élevé, qui historiquement précède souvent un repli ou une consolidation.</w:t>
      </w:r>
    </w:p>
    <w:p>
      <w:pPr>
        <w:spacing w:after="120" w:line="276" w:lineRule="auto"/>
      </w:pPr>
      <w:r>
        <w:t>**Stochastique** : Le %K (84,483) et le %D (82,184) sont tous deux en zone de surachat (&gt;80), avec un %K légèrement supérieur au %D, ce qui suggère que la pression haussière pourrait s'essouffler. La décision de vente est cohérente avec ce signal, un croisement baissier du %K sous le %D étant imminent.</w:t>
      </w:r>
    </w:p>
    <w:p>
      <w:pPr>
        <w:spacing w:after="120" w:line="276" w:lineRule="auto"/>
      </w:pPr>
      <w:r>
        <w:t>**Conclusion technique** : Les indicateurs de tendance (MM, MACD) confirment une dynamique haussière solide, mais les oscillateurs (RSI, Stochastique) signalent un surachat marqué et un risque de correction à court terme. Cette divergence entre tendance et momentum suggère une phase de consolidation ou de repli probable dans les prochaines séances, avant une éventuelle reprise si les fondamentaux soutiennent la valorisation.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légère hausse de +0,71% par rapport à 2024 (600,708 Mds FCFA), selon les états financiers annuels 2025. Le résultat net s'établit à 6,028 milliards FCFA, en progression de +12,6% (contre 5,354 Mds en 2024), avec une marge nette de 1,00% (0,89% en 2024), confirmant la faible rentabilité structurelle du secteur pétrolier aval. Le ROE de 22,20% est excellent (&gt;15%), mais le ROA de 3,11% reste modeste, reflétant une rotation des actifs élevée (312,55%) et un effet de levier important. Les ratios de structure financière sont préoccupants : l'autonomie financière de 14,03% est très inférieure au seuil de 30%, la trésorerie nette est fortement négative (-65,26 Mds FCFA), et le BFR de 15,315 Mds FCFA (positif) indique un besoin de financement. Les délais clients (23,27 jours) et fournisseurs (35,47 jours) sont maîtrisés, mais la durée de stockage (7,47 jours) est faible, ce qui est favorable. Sur la base du rapport T1 2026 (publié en 2026), le CA chute de -9% à 141,649 Mds FCFA, mais le résultat net reste stable (+1% à 1,295 Mds FCFA), grâce à une maîtrise des charges. Le rapport S1 2026 (publié en 2026) confirme cette tendance avec un CA de 305,038 Mds FCFA (-1%) et un résultat d'exploitation en hausse de +17% à 6,133 Mds FCFA, soutenu par le butane. On estime donc que l'exercice 2026 devrait afficher un résultat net légèrement supérieur à 2025 (autour de 6,2-6,5 Mds FCFA), mais la trésorerie négative et l'endettement élevé (dettes fournisseurs de 53,43 Mds, découverts de 70,3 Mds) constituent des risques majeurs. La recommandation fondamentale est de **conserver** le titre : la société est bénéficiaire et distribue un dividende attractif (6,09 Mds FCFA proposé, soit 1 933 FCFA/action), mais la fragilité financière et la faible marge nette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nettement surévaluée : le PER de 30,2x, le P/B de 6,70x et l'EV/EBITDA de 15,1x intègrent une prime de croissance que les fondamentaux ne justifient que partiellement, compte tenu de la marge nette de 1% et de la croissance atone du CA (+0,71% en 2025). Le comportement du cours sur 100 jours est haussier (+48,21%), mais la volatilité élevée (38%) et le kurtosis leptokurtique (1,324) signalent un risque de pics baissiers, tandis que le skewness positif (1,088) indique une asymétrie défavorable. Les signaux techniques sont divergents : les MM et le MACD confirment la tendance haussière, mais le RSI (73,6) et le Stochastique (84,5) sont en zone de surachat, annonçant une correction probable. Les fondamentaux sont mitigés : résultat net en hausse (+12,6% en 2025), ROE excellent (22,2%), mais trésorerie nette très négative (-65,26 Mds FCFA) et endettement élevé. Les prédictions IA (J+1 à J+10) anticipent une baisse progressive de 2 751 FCFA à 2 477 FCFA, soit un repli de -14,3% sur 10 jours, ce qui confirme la correction attendue par les oscillateurs techniques. Sur la base de cette synthèse, la recommandation finale est **CONSERVER**, avec un niveau de confiance **Moyen** et un risque global **Élevé**. L'horizon d'investissement optimal est le **moyen terme (3-12 mois)**, en attendant la publication des comptes définitifs 2025 et une clarification de la politique de dividende, ainsi qu'une amélioration de la structure financière (réduction de la trésorerie négative et de l'endettement). Un renforcement pourrait être envisagé si le titre corrige vers 2 400-2 500 FCFA et que les volumes du T2 2026 confirment la reprise des segments butane et lubrifiants.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10,582 titres</w:t>
            </w:r>
          </w:p>
        </w:tc>
        <w:tc>
          <w:tcPr>
            <w:tcW w:type="dxa" w:w="2268"/>
            <w:shd w:fill="FFF2CC" w:val="clear"/>
          </w:tcPr>
          <w:p>
            <w:r>
              <w:rPr>
                <w:b/>
                <w:color w:val="503200"/>
                <w:sz w:val="16"/>
              </w:rPr>
              <w:t xml:space="preserve">Cours actuel : </w:t>
            </w:r>
            <w:r>
              <w:rPr>
                <w:color w:val="000000"/>
                <w:sz w:val="17"/>
              </w:rPr>
              <w:t>9,185 FCFA</w:t>
            </w:r>
          </w:p>
          <w:p>
            <w:r>
              <w:rPr>
                <w:b/>
                <w:color w:val="503200"/>
                <w:sz w:val="16"/>
              </w:rPr>
              <w:t xml:space="preserve">Var. 100 jours : </w:t>
            </w:r>
            <w:r>
              <w:rPr>
                <w:b/>
                <w:color w:val="007800"/>
                <w:sz w:val="17"/>
              </w:rPr>
              <w:t>+33.12%</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6,900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8.06% (Moyenne) — μ=8,662 FCFA, σ=698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β=0.3024 (Défensif) — Cov=0.000012, Var(idx)=0.000040, ρ=0.107,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10,582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8,915</w:t>
            </w:r>
          </w:p>
        </w:tc>
        <w:tc>
          <w:tcPr>
            <w:tcW w:type="dxa" w:w="1440"/>
            <w:shd w:fill="FAFAFA" w:val="clear"/>
          </w:tcPr>
          <w:p>
            <w:r>
              <w:rPr>
                <w:b/>
                <w:sz w:val="17"/>
              </w:rPr>
              <w:t>9,099</w:t>
            </w:r>
          </w:p>
        </w:tc>
        <w:tc>
          <w:tcPr>
            <w:tcW w:type="dxa" w:w="1440"/>
            <w:shd w:fill="FAFAFA" w:val="clear"/>
          </w:tcPr>
          <w:p>
            <w:r>
              <w:rPr>
                <w:sz w:val="17"/>
              </w:rPr>
              <w:t>9,284</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8,758</w:t>
            </w:r>
          </w:p>
        </w:tc>
        <w:tc>
          <w:tcPr>
            <w:tcW w:type="dxa" w:w="1440"/>
            <w:shd w:fill="FAFAFA" w:val="clear"/>
          </w:tcPr>
          <w:p>
            <w:r>
              <w:rPr>
                <w:b/>
                <w:sz w:val="17"/>
              </w:rPr>
              <w:t>9,017</w:t>
            </w:r>
          </w:p>
        </w:tc>
        <w:tc>
          <w:tcPr>
            <w:tcW w:type="dxa" w:w="1440"/>
            <w:shd w:fill="FAFAFA" w:val="clear"/>
          </w:tcPr>
          <w:p>
            <w:r>
              <w:rPr>
                <w:sz w:val="17"/>
              </w:rPr>
              <w:t>9,275</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8,624</w:t>
            </w:r>
          </w:p>
        </w:tc>
        <w:tc>
          <w:tcPr>
            <w:tcW w:type="dxa" w:w="1440"/>
            <w:shd w:fill="FFDCE0" w:val="clear"/>
          </w:tcPr>
          <w:p>
            <w:r>
              <w:rPr>
                <w:b/>
                <w:sz w:val="17"/>
              </w:rPr>
              <w:t>8,938</w:t>
            </w:r>
          </w:p>
        </w:tc>
        <w:tc>
          <w:tcPr>
            <w:tcW w:type="dxa" w:w="1440"/>
            <w:shd w:fill="FFDCE0" w:val="clear"/>
          </w:tcPr>
          <w:p>
            <w:r>
              <w:rPr>
                <w:sz w:val="17"/>
              </w:rPr>
              <w:t>9,252</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2026-09-25</w:t>
            </w:r>
          </w:p>
        </w:tc>
        <w:tc>
          <w:tcPr>
            <w:tcW w:type="dxa" w:w="1440"/>
            <w:shd w:fill="FFDCE0" w:val="clear"/>
          </w:tcPr>
          <w:p>
            <w:r>
              <w:rPr>
                <w:sz w:val="17"/>
              </w:rPr>
              <w:t>8,508</w:t>
            </w:r>
          </w:p>
        </w:tc>
        <w:tc>
          <w:tcPr>
            <w:tcW w:type="dxa" w:w="1440"/>
            <w:shd w:fill="FFDCE0" w:val="clear"/>
          </w:tcPr>
          <w:p>
            <w:r>
              <w:rPr>
                <w:b/>
                <w:sz w:val="17"/>
              </w:rPr>
              <w:t>8,868</w:t>
            </w:r>
          </w:p>
        </w:tc>
        <w:tc>
          <w:tcPr>
            <w:tcW w:type="dxa" w:w="1440"/>
            <w:shd w:fill="FFDCE0" w:val="clear"/>
          </w:tcPr>
          <w:p>
            <w:r>
              <w:rPr>
                <w:sz w:val="17"/>
              </w:rPr>
              <w:t>9,228</w:t>
            </w:r>
          </w:p>
        </w:tc>
        <w:tc>
          <w:tcPr>
            <w:tcW w:type="dxa" w:w="1440"/>
            <w:shd w:fill="FFDCE0" w:val="clear"/>
          </w:tcPr>
          <w:p>
            <w:r>
              <w:rPr>
                <w:b/>
                <w:color w:val="C00000"/>
                <w:sz w:val="17"/>
              </w:rPr>
              <w:t>-3.5%</w:t>
            </w:r>
          </w:p>
        </w:tc>
      </w:tr>
      <w:tr>
        <w:tc>
          <w:tcPr>
            <w:tcW w:type="dxa" w:w="1440"/>
            <w:shd w:fill="FFDCE0" w:val="clear"/>
          </w:tcPr>
          <w:p>
            <w:r>
              <w:rPr>
                <w:sz w:val="17"/>
              </w:rPr>
              <w:t>J+5  Moyenne</w:t>
            </w:r>
          </w:p>
        </w:tc>
        <w:tc>
          <w:tcPr>
            <w:tcW w:type="dxa" w:w="1440"/>
            <w:shd w:fill="FFDCE0" w:val="clear"/>
          </w:tcPr>
          <w:p>
            <w:r>
              <w:rPr>
                <w:sz w:val="17"/>
              </w:rPr>
              <w:t>2026-09-28</w:t>
            </w:r>
          </w:p>
        </w:tc>
        <w:tc>
          <w:tcPr>
            <w:tcW w:type="dxa" w:w="1440"/>
            <w:shd w:fill="FFDCE0" w:val="clear"/>
          </w:tcPr>
          <w:p>
            <w:r>
              <w:rPr>
                <w:sz w:val="17"/>
              </w:rPr>
              <w:t>8,405</w:t>
            </w:r>
          </w:p>
        </w:tc>
        <w:tc>
          <w:tcPr>
            <w:tcW w:type="dxa" w:w="1440"/>
            <w:shd w:fill="FFDCE0" w:val="clear"/>
          </w:tcPr>
          <w:p>
            <w:r>
              <w:rPr>
                <w:b/>
                <w:sz w:val="17"/>
              </w:rPr>
              <w:t>8,805</w:t>
            </w:r>
          </w:p>
        </w:tc>
        <w:tc>
          <w:tcPr>
            <w:tcW w:type="dxa" w:w="1440"/>
            <w:shd w:fill="FFDCE0" w:val="clear"/>
          </w:tcPr>
          <w:p>
            <w:r>
              <w:rPr>
                <w:sz w:val="17"/>
              </w:rPr>
              <w:t>9,204</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2026-09-29</w:t>
            </w:r>
          </w:p>
        </w:tc>
        <w:tc>
          <w:tcPr>
            <w:tcW w:type="dxa" w:w="1440"/>
            <w:shd w:fill="FFDCE0" w:val="clear"/>
          </w:tcPr>
          <w:p>
            <w:r>
              <w:rPr>
                <w:sz w:val="17"/>
              </w:rPr>
              <w:t>8,313</w:t>
            </w:r>
          </w:p>
        </w:tc>
        <w:tc>
          <w:tcPr>
            <w:tcW w:type="dxa" w:w="1440"/>
            <w:shd w:fill="FFDCE0" w:val="clear"/>
          </w:tcPr>
          <w:p>
            <w:r>
              <w:rPr>
                <w:b/>
                <w:sz w:val="17"/>
              </w:rPr>
              <w:t>8,748</w:t>
            </w:r>
          </w:p>
        </w:tc>
        <w:tc>
          <w:tcPr>
            <w:tcW w:type="dxa" w:w="1440"/>
            <w:shd w:fill="FFDCE0" w:val="clear"/>
          </w:tcPr>
          <w:p>
            <w:r>
              <w:rPr>
                <w:sz w:val="17"/>
              </w:rPr>
              <w:t>9,183</w:t>
            </w:r>
          </w:p>
        </w:tc>
        <w:tc>
          <w:tcPr>
            <w:tcW w:type="dxa" w:w="1440"/>
            <w:shd w:fill="FFDCE0" w:val="clear"/>
          </w:tcPr>
          <w:p>
            <w:r>
              <w:rPr>
                <w:b/>
                <w:color w:val="C00000"/>
                <w:sz w:val="17"/>
              </w:rPr>
              <w:t>-4.8%</w:t>
            </w:r>
          </w:p>
        </w:tc>
      </w:tr>
      <w:tr>
        <w:tc>
          <w:tcPr>
            <w:tcW w:type="dxa" w:w="1440"/>
            <w:shd w:fill="FFDCE0" w:val="clear"/>
          </w:tcPr>
          <w:p>
            <w:r>
              <w:rPr>
                <w:sz w:val="17"/>
              </w:rPr>
              <w:t>J+7  Moyenne</w:t>
            </w:r>
          </w:p>
        </w:tc>
        <w:tc>
          <w:tcPr>
            <w:tcW w:type="dxa" w:w="1440"/>
            <w:shd w:fill="FFDCE0" w:val="clear"/>
          </w:tcPr>
          <w:p>
            <w:r>
              <w:rPr>
                <w:sz w:val="17"/>
              </w:rPr>
              <w:t>2026-09-30</w:t>
            </w:r>
          </w:p>
        </w:tc>
        <w:tc>
          <w:tcPr>
            <w:tcW w:type="dxa" w:w="1440"/>
            <w:shd w:fill="FFDCE0" w:val="clear"/>
          </w:tcPr>
          <w:p>
            <w:r>
              <w:rPr>
                <w:sz w:val="17"/>
              </w:rPr>
              <w:t>8,229</w:t>
            </w:r>
          </w:p>
        </w:tc>
        <w:tc>
          <w:tcPr>
            <w:tcW w:type="dxa" w:w="1440"/>
            <w:shd w:fill="FFDCE0" w:val="clear"/>
          </w:tcPr>
          <w:p>
            <w:r>
              <w:rPr>
                <w:b/>
                <w:sz w:val="17"/>
              </w:rPr>
              <w:t>8,696</w:t>
            </w:r>
          </w:p>
        </w:tc>
        <w:tc>
          <w:tcPr>
            <w:tcW w:type="dxa" w:w="1440"/>
            <w:shd w:fill="FFDCE0" w:val="clear"/>
          </w:tcPr>
          <w:p>
            <w:r>
              <w:rPr>
                <w:sz w:val="17"/>
              </w:rPr>
              <w:t>9,163</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2026-10-01</w:t>
            </w:r>
          </w:p>
        </w:tc>
        <w:tc>
          <w:tcPr>
            <w:tcW w:type="dxa" w:w="1440"/>
            <w:shd w:fill="FFDCE0" w:val="clear"/>
          </w:tcPr>
          <w:p>
            <w:r>
              <w:rPr>
                <w:sz w:val="17"/>
              </w:rPr>
              <w:t>8,151</w:t>
            </w:r>
          </w:p>
        </w:tc>
        <w:tc>
          <w:tcPr>
            <w:tcW w:type="dxa" w:w="1440"/>
            <w:shd w:fill="FFDCE0" w:val="clear"/>
          </w:tcPr>
          <w:p>
            <w:r>
              <w:rPr>
                <w:b/>
                <w:sz w:val="17"/>
              </w:rPr>
              <w:t>8,647</w:t>
            </w:r>
          </w:p>
        </w:tc>
        <w:tc>
          <w:tcPr>
            <w:tcW w:type="dxa" w:w="1440"/>
            <w:shd w:fill="FFDCE0" w:val="clear"/>
          </w:tcPr>
          <w:p>
            <w:r>
              <w:rPr>
                <w:sz w:val="17"/>
              </w:rPr>
              <w:t>9,144</w:t>
            </w:r>
          </w:p>
        </w:tc>
        <w:tc>
          <w:tcPr>
            <w:tcW w:type="dxa" w:w="1440"/>
            <w:shd w:fill="FFDCE0" w:val="clear"/>
          </w:tcPr>
          <w:p>
            <w:r>
              <w:rPr>
                <w:b/>
                <w:color w:val="C00000"/>
                <w:sz w:val="17"/>
              </w:rPr>
              <w:t>-5.9%</w:t>
            </w:r>
          </w:p>
        </w:tc>
      </w:tr>
      <w:tr>
        <w:tc>
          <w:tcPr>
            <w:tcW w:type="dxa" w:w="1440"/>
            <w:shd w:fill="FFDCE0" w:val="clear"/>
          </w:tcPr>
          <w:p>
            <w:r>
              <w:rPr>
                <w:sz w:val="17"/>
              </w:rPr>
              <w:t>J+9  Moyenne</w:t>
            </w:r>
          </w:p>
        </w:tc>
        <w:tc>
          <w:tcPr>
            <w:tcW w:type="dxa" w:w="1440"/>
            <w:shd w:fill="FFDCE0" w:val="clear"/>
          </w:tcPr>
          <w:p>
            <w:r>
              <w:rPr>
                <w:sz w:val="17"/>
              </w:rPr>
              <w:t>2026-10-02</w:t>
            </w:r>
          </w:p>
        </w:tc>
        <w:tc>
          <w:tcPr>
            <w:tcW w:type="dxa" w:w="1440"/>
            <w:shd w:fill="FFDCE0" w:val="clear"/>
          </w:tcPr>
          <w:p>
            <w:r>
              <w:rPr>
                <w:sz w:val="17"/>
              </w:rPr>
              <w:t>8,079</w:t>
            </w:r>
          </w:p>
        </w:tc>
        <w:tc>
          <w:tcPr>
            <w:tcW w:type="dxa" w:w="1440"/>
            <w:shd w:fill="FFDCE0" w:val="clear"/>
          </w:tcPr>
          <w:p>
            <w:r>
              <w:rPr>
                <w:b/>
                <w:sz w:val="17"/>
              </w:rPr>
              <w:t>8,602</w:t>
            </w:r>
          </w:p>
        </w:tc>
        <w:tc>
          <w:tcPr>
            <w:tcW w:type="dxa" w:w="1440"/>
            <w:shd w:fill="FFDCE0" w:val="clear"/>
          </w:tcPr>
          <w:p>
            <w:r>
              <w:rPr>
                <w:sz w:val="17"/>
              </w:rPr>
              <w:t>9,126</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2026-10-05</w:t>
            </w:r>
          </w:p>
        </w:tc>
        <w:tc>
          <w:tcPr>
            <w:tcW w:type="dxa" w:w="1440"/>
            <w:shd w:fill="FFDCE0" w:val="clear"/>
          </w:tcPr>
          <w:p>
            <w:r>
              <w:rPr>
                <w:sz w:val="17"/>
              </w:rPr>
              <w:t>8,011</w:t>
            </w:r>
          </w:p>
        </w:tc>
        <w:tc>
          <w:tcPr>
            <w:tcW w:type="dxa" w:w="1440"/>
            <w:shd w:fill="FFDCE0" w:val="clear"/>
          </w:tcPr>
          <w:p>
            <w:r>
              <w:rPr>
                <w:b/>
                <w:sz w:val="17"/>
              </w:rPr>
              <w:t>8,560</w:t>
            </w:r>
          </w:p>
        </w:tc>
        <w:tc>
          <w:tcPr>
            <w:tcW w:type="dxa" w:w="1440"/>
            <w:shd w:fill="FFDCE0" w:val="clear"/>
          </w:tcPr>
          <w:p>
            <w:r>
              <w:rPr>
                <w:sz w:val="17"/>
              </w:rPr>
              <w:t>9,110</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 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**918,50 milliards FCFA**, la SIBC s'impose comme l'une des valeurs les plus capitalisées de la cote BRVM, ce qui témoigne de son statut de pilier du secteur bancaire sous-régional. Le BPA de **556 FCFA/action** confère au titre un PER de **16,5x**, soit un niveau nettement supérieur à la moyenne du marché BRVM (généralement comprise entre 8 et 12x), ce qui traduit une prime de qualité mais aussi une valorisation déjà exigeante. Le ratio P/B de **4,49x** indique que le marché valorise la banque à plus de quatre fois sa valeur comptable, une prime substantielle qui n'est justifiée que par la régularité exceptionnelle de sa rentabilité (ROE &gt; 27%). Enfin, l'EV/EBITDA de **15,3x** confirme cette cherté relative : les investisseurs paient cher la capacité opérationnelle de la banque, ce qui laisse peu de marge d'erreur en cas de déception sur les résultats. Globalement, la valorisation intègre déjà une large part des bonnes performances historiques, limitant le potentiel de réévaluation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remarquable de **+33,12%**, clôturant à **9 185 FCFA** avec une variation nulle sur la dernière séance (J-1 : +0,00%), signe d'une pause dans le mouvement haussier. Le range de trading s'est établi entre un plus bas de **6 900 FCFA** et un plus haut de **9 500 FCFA**, soit une amplitude de plus de 37%, illustrant une dynamique nettement haussière portée par des publications trimestrielles solides. La moyenne du cours sur la période s'établit à **8 662 FCFA**, légèrement en dessous de la médiane (**8 890 FCFA**) et du mode (**9 000 FCFA**), ce qui, combiné à un skewness négatif de **-1,335**, indique une asymétrie vers le bas : le titre a passé davantage de séances au-dessus de sa moyenne, mais avec quelques corrections marquées. L'écart-type de **701 FCFA** (CV de **8,1%**) révèle une dispersion modérée du cours, tandis que le kurtosis de **0,420** (mésokurtique) suggère une distribution proche de la normale, sans risque extrême de pics violents. La volatilité annualisée de **28,3%** positionne le titre dans la catégorie des valeurs à volatilité modérée à élevée (limite haute de la fourchette 15-30%), ce qui reste cohérent avec une action bancaire de qualité mais sensible aux annonces macroéconomiques.</w:t>
      </w:r>
    </w:p>
    <w:p>
      <w:pPr>
        <w:spacing w:after="120" w:line="276" w:lineRule="auto"/>
      </w:pPr>
      <w:r>
        <w:t>---</w:t>
      </w:r>
    </w:p>
    <w:p>
      <w:pPr>
        <w:spacing w:after="120" w:line="276" w:lineRule="auto"/>
      </w:pPr>
      <w:r>
        <w:t>## PARTIE 2 : ANALYSE TECHNIQUE DÉTAILLÉE</w:t>
      </w:r>
    </w:p>
    <w:p>
      <w:pPr>
        <w:spacing w:after="120" w:line="276" w:lineRule="auto"/>
      </w:pPr>
      <w:r>
        <w:t>**Moyennes Mobiles** : La MM20 (**9 196,25 FCFA**) et la MM50 (**9 089,30 FCFA**) encadrent le cours actuel (9 185 FCFA), qui évolue juste sous sa moyenne court terme mais au-dessus de sa moyenne moyen terme. Cette configuration en « croisement haussier » (MM20 &gt; MM50) confirme la tendance positive de fond et justifie la décision d'**Achat** fournie par l'indicateur.</w:t>
      </w:r>
    </w:p>
    <w:p>
      <w:pPr>
        <w:spacing w:after="120" w:line="276" w:lineRule="auto"/>
      </w:pPr>
      <w:r>
        <w:t>**Bandes de Bollinger** : Le cours (9 185 FCFA) se situe dans la partie médiane-haute de la bande, entre la borne inférieure (**9 034,88 FCFA**) et la borne supérieure (**9 357,62 FCFA**). L'absence de contact avec les bornes traduit une volatilité contenue et une phase de consolidation, d'où la décision **Neutre** qui invite à attendre une cassure directionnelle.</w:t>
      </w:r>
    </w:p>
    <w:p>
      <w:pPr>
        <w:spacing w:after="120" w:line="276" w:lineRule="auto"/>
      </w:pPr>
      <w:r>
        <w:t>**MACD** : La valeur du MACD (**21,405**) est nettement inférieure à son signal (**35,877**), générant un croisement baissier qui signale un essoufflement du momentum haussier. Cette divergence négative justifie la décision de **Vente** à court terme, bien qu'elle puisse n'être qu'une correction technique dans une tendance de fond toujours positive.</w:t>
      </w:r>
    </w:p>
    <w:p>
      <w:pPr>
        <w:spacing w:after="120" w:line="276" w:lineRule="auto"/>
      </w:pPr>
      <w:r>
        <w:t>**RSI** : À **49,045**, le RSI se situe parfaitement dans la zone neutre (30-70), sans signal de surachat ni de survente. Cette position médiane confirme l'absence de pression acheteuse ou vendeuse dominante et valide la décision **Neutre**, en cohérence avec la phase de consolidation observée.</w:t>
      </w:r>
    </w:p>
    <w:p>
      <w:pPr>
        <w:spacing w:after="120" w:line="276" w:lineRule="auto"/>
      </w:pPr>
      <w:r>
        <w:t>**Stochastique** : Le %K (**42,5**) est légèrement supérieur au %D (**39,444**), sans croisement significatif ni zone extrême. Cette configuration neutre, sans signal clair d'entrée ou de sortie, confirme la décision **Neutre** et suggère que le titre cherche une direction.</w:t>
      </w:r>
    </w:p>
    <w:p>
      <w:pPr>
        <w:spacing w:after="120" w:line="276" w:lineRule="auto"/>
      </w:pPr>
      <w:r>
        <w:t>**Conclusion technique** : Les indicateurs techniques présentent un tableau mitigé : la structure des moyennes mobiles reste haussière (MM20 &gt; MM50), mais le MACD baissier, le RSI neutre et le stochastique sans direction traduisent une phase de consolidation après la forte hausse de +33%. Le titre évolue dans une zone d'indécision entre 9 035 et 9 358 FCFA, et seule une cassure nette de ces bornes permettrait de confirmer la prochaine tendance. La prudence technique domine à court terme, sans invalider la dynamique de fond.</w:t>
      </w:r>
    </w:p>
    <w:p>
      <w:pPr>
        <w:spacing w:after="120" w:line="276" w:lineRule="auto"/>
      </w:pPr>
      <w:r>
        <w:t>---</w:t>
      </w:r>
    </w:p>
    <w:p>
      <w:pPr>
        <w:spacing w:after="120" w:line="276" w:lineRule="auto"/>
      </w:pPr>
      <w:r>
        <w:t>## PARTIE 3 : ANALYSE FONDAMENTALE</w:t>
      </w:r>
    </w:p>
    <w:p>
      <w:pPr>
        <w:spacing w:after="120" w:line="276" w:lineRule="auto"/>
      </w:pPr>
      <w:r>
        <w:t>**Données structurées (exercice 2025)** : La SIBC affiche un **Produit Net Bancaire (PNB) de 108,663 milliards FCFA** en 2025, en croissance de **+5,74%**, pour un **résultat net de 55,623 milliards FCFA**, soit une marge nette exceptionnelle de **51,19%**. Le **ROE s'élève à 27,16%** (largement supérieur au seuil de 15% considéré comme excellent) et le **ROA à 2,96%**, confirmant une rentabilité parmi les meilleures du secteur bancaire ouest-africain. Le **coefficient d'exploitation de 38,59%** (très inférieur au seuil de 60%) témoigne d'une efficacité opérationnelle remarquable, tandis que le **ratio de solvabilité générale de 112,21%** et l'**autonomie financière de 10,88%** (faible mais structurellement normale pour une banque) traduisent une solidité bilancielle correcte. Le **coût du risque** apparaît toutefois élevé (provisions de 14,124 Mds FCFA pour des charges financières de 16,320 Mds FCFA), ce qui constitue un point de vigilance sur la qualité du portefeuille de crédits.</w:t>
      </w:r>
    </w:p>
    <w:p>
      <w:pPr>
        <w:spacing w:after="120" w:line="276" w:lineRule="auto"/>
      </w:pPr>
      <w:r>
        <w:t>**Analyse sectorielle bancaire** : La structure de bilan est saine avec **1 503,441 milliards FCFA de dépôts clientèle** pour **1 226,720 milliards FCFA de créances clientèle**, soit un ratio de transformation de **81,6%**, indiquant une banque qui utilise efficacement ses ressources pour financer l'économie. Les **créances interbancaires (61,521 Mds FCFA)** et les **dettes interbancaires (104,261 Mds FCFA)** restent maîtrisées, tandis que le portefeuille de **titres d'État (375,561 Mds FCFA)** représente une part significative de l'actif, exposant la banque au risque souverain mais offrant des revenus réguliers.</w:t>
      </w:r>
    </w:p>
    <w:p>
      <w:pPr>
        <w:spacing w:after="120" w:line="276" w:lineRule="auto"/>
      </w:pPr>
      <w:r>
        <w:t>**Estimations basées sur les rapports trimestriels** : Selon le **rapport T1 2026 (publié le 31/12/2026)**, le PNB progresse de **+4% à 27,7 Mds FCFA** et le résultat net bondit de **+11% à 15,2 Mds FCFA**, avec des dépôts en hausse de **+9% (1 495 Mds FCFA)** et des crédits en **+7% (1 112 Mds FCFA)**. Sur cette base, on peut estimer que l'exercice 2026 devrait enregistrer un PNB annuel d'environ **113-115 Mds FCFA** et un résultat net de l'ordre de **60-62 Mds FCFA**, soit une croissance de **8-11%** par rapport à 2025. Le **rapport T3 2025 (30/09/2025)** confirmait déjà cette dynamique avec un PNB cumulé de **81,4 Mds FCFA (+8%)** et un résultat net de **43,0 Mds FCFA (+11%)**, tandis que le **rapport annuel 2024 (31/12/2024)** affichait un PNB de **102,8 Mds FCFA (+8%)** et un résultat net de **50,2 Mds FCFA (+15%)**, avec un dividende proposé de **375 FCFA/action** (rendement ~10,55% au cours de fin 2024). La trajectoire historique montre une croissance régulière et une rentabilité stable, bien que le rythme de progression du PNB se soit légèrement ralenti en 2025 (+5,74% contre +8% en 2024).</w:t>
      </w:r>
    </w:p>
    <w:p>
      <w:pPr>
        <w:spacing w:after="120" w:line="276" w:lineRule="auto"/>
      </w:pPr>
      <w:r>
        <w:t>**Recommandation fondamentale** : La SIBC présente des fondamentaux solides (ROE &gt; 27%, coefficient d'exploitation &lt; 40%, marge nette &gt; 50%) qui justifient une prime de valorisation, mais le coût du risque élevé et le ralentissement de la croissance du PNB en 2025 appellent à la vigilance. Le titre reste une valeur de qualité, mais sa valorisation exigeante (PER 16,5x, P/B 4,49x) limite le potentiel de hausse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nuancé pour la SIBC. **Sur le plan de la valorisation (Partie 0)**, les ratios PER (16,5x), P/B (4,49x) et EV/EBITDA (15,3x) indiquent une action chèrement valorisée par rapport à la moyenne du marché BRVM, ce qui suggère une surévaluation relative et un potentiel de réévaluation limité. **Le comportement du cours (Partie 1)** est nettement haussier (+33,12% sur 100 jours) mais présente une asymétrie négative (skewness -1,335) et une volatilité modérée à élevée (28,3%), ce qui invite à la prudence après une telle performance. **Les signaux techniques (Partie 2)** sont mitigés : la structure des moyennes mobiles reste haussière, mais le MACD baissier, le RSI neutre et le stochastique sans direction traduisent une consolidation en cours, sans signal d'achat clair. **Les fondamentaux (Partie 3)** demeurent solides (ROE 27,16%, marge nette 51,19%, coefficient d'exploitation 38,59%) et les estimations basées sur le T1 2026 (+11% de résultat net) confirment la poursuite de la croissance, mais le coût du risque élevé et le ralentissement du PNB en 2025 constituent des points de vigilance. **Les prédictions IA (J+1 à J+10)** anticipent une trajectoire baissière à court terme, avec un cours passant de **9 099 FCFA** (J+1) à **8 805 FCFA** (J+10), soit une correction d'environ **-4,2%** qui contredit la dynamique haussière récente et confirme les signaux techniques baissiers (MACD, consolidation).</w:t>
      </w:r>
    </w:p>
    <w:p>
      <w:pPr>
        <w:spacing w:after="120" w:line="276" w:lineRule="auto"/>
      </w:pPr>
      <w:r>
        <w:t>**Recommandation finale : CONSERVER**</w:t>
      </w:r>
    </w:p>
    <w:p>
      <w:pPr>
        <w:spacing w:after="120" w:line="276" w:lineRule="auto"/>
      </w:pPr>
      <w:r>
        <w:t>Cette recommandation résulte d'une convergence partielle des signaux : les fondamentaux solides et la croissance régulière justifient de conserver le titre pour le long terme, mais la valorisation exigeante, les signaux techniques mitigés et les prédictions IA baissières à court terme déconseillent un achat immédiat. Les investisseurs déjà positionnés peuvent conserver leur titre en profitant de la qualité du modèle, tandis que les nouveaux investisseurs devraient attendre une correction vers **8 800-9 000 FCFA** pour se positionner. Le **niveau de confiance est Moyen**, car si les fondamentaux sont robustes, l'incertitude technique et la cherté relative limitent la visibilité. Le **niveau de risque global est Moyen**, avec une exposition aux risques macroéconomiques ivoiriens, au risque de crédit (coût du risque élevé) et à une possible compression des marges. L'**horizon d'investissement optimal est le moyen à long terme (6 à 18 mois)**, afin de laisser le temps aux fondamentaux de rattraper la valorisation et de bénéficier de la croissance régulière de la banque, tout en évitant la volatilité de court terme.</w:t>
      </w:r>
    </w:p>
    <w:p>
      <w:pPr>
        <w:spacing w:after="120" w:line="276" w:lineRule="auto"/>
      </w:pPr>
      <w:r>
        <w:t>---</w:t>
      </w:r>
    </w:p>
    <w:p>
      <w:pPr>
        <w:spacing w:after="120" w:line="276" w:lineRule="auto"/>
      </w:pPr>
      <w:r>
        <w:t>*Rapport généré sur la base des données officielles BRVM, des états financiers 2025 et des rapports trimestriels T1 2026, T3 2025, S1 2025, T1 2025 et annuel 2024. Les prédictions IA sont fournies à titre indicatif et ne constituent pas une garantie de performance future.*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β=-1.0648 (Contre-cyclique) — Cov=-0.000038, Var(idx)=0.000036, ρ=-0.175, n=95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2026-09-22</w:t>
            </w:r>
          </w:p>
        </w:tc>
        <w:tc>
          <w:tcPr>
            <w:tcW w:type="dxa" w:w="1440"/>
            <w:shd w:fill="FFDCE0" w:val="clear"/>
          </w:tcPr>
          <w:p>
            <w:r>
              <w:rPr>
                <w:sz w:val="17"/>
              </w:rPr>
              <w:t>6,567</w:t>
            </w:r>
          </w:p>
        </w:tc>
        <w:tc>
          <w:tcPr>
            <w:tcW w:type="dxa" w:w="1440"/>
            <w:shd w:fill="FFDCE0" w:val="clear"/>
          </w:tcPr>
          <w:p>
            <w:r>
              <w:rPr>
                <w:b/>
                <w:sz w:val="17"/>
              </w:rPr>
              <w:t>7,817</w:t>
            </w:r>
          </w:p>
        </w:tc>
        <w:tc>
          <w:tcPr>
            <w:tcW w:type="dxa" w:w="1440"/>
            <w:shd w:fill="FFDCE0" w:val="clear"/>
          </w:tcPr>
          <w:p>
            <w:r>
              <w:rPr>
                <w:sz w:val="17"/>
              </w:rPr>
              <w:t>9,066</w:t>
            </w:r>
          </w:p>
        </w:tc>
        <w:tc>
          <w:tcPr>
            <w:tcW w:type="dxa" w:w="1440"/>
            <w:shd w:fill="FFDCE0" w:val="clear"/>
          </w:tcPr>
          <w:p>
            <w:r>
              <w:rPr>
                <w:b/>
                <w:color w:val="C00000"/>
                <w:sz w:val="17"/>
              </w:rPr>
              <w:t>-6.9%</w:t>
            </w:r>
          </w:p>
        </w:tc>
      </w:tr>
      <w:tr>
        <w:tc>
          <w:tcPr>
            <w:tcW w:type="dxa" w:w="1440"/>
            <w:shd w:fill="FFDCE0" w:val="clear"/>
          </w:tcPr>
          <w:p>
            <w:r>
              <w:rPr>
                <w:sz w:val="17"/>
              </w:rPr>
              <w:t>J+2  ⭐</w:t>
            </w:r>
          </w:p>
        </w:tc>
        <w:tc>
          <w:tcPr>
            <w:tcW w:type="dxa" w:w="1440"/>
            <w:shd w:fill="FFDCE0" w:val="clear"/>
          </w:tcPr>
          <w:p>
            <w:r>
              <w:rPr>
                <w:sz w:val="17"/>
              </w:rPr>
              <w:t>2026-09-23</w:t>
            </w:r>
          </w:p>
        </w:tc>
        <w:tc>
          <w:tcPr>
            <w:tcW w:type="dxa" w:w="1440"/>
            <w:shd w:fill="FFDCE0" w:val="clear"/>
          </w:tcPr>
          <w:p>
            <w:r>
              <w:rPr>
                <w:sz w:val="17"/>
              </w:rPr>
              <w:t>6,346</w:t>
            </w:r>
          </w:p>
        </w:tc>
        <w:tc>
          <w:tcPr>
            <w:tcW w:type="dxa" w:w="1440"/>
            <w:shd w:fill="FFDCE0" w:val="clear"/>
          </w:tcPr>
          <w:p>
            <w:r>
              <w:rPr>
                <w:b/>
                <w:sz w:val="17"/>
              </w:rPr>
              <w:t>7,694</w:t>
            </w:r>
          </w:p>
        </w:tc>
        <w:tc>
          <w:tcPr>
            <w:tcW w:type="dxa" w:w="1440"/>
            <w:shd w:fill="FFDCE0" w:val="clear"/>
          </w:tcPr>
          <w:p>
            <w:r>
              <w:rPr>
                <w:sz w:val="17"/>
              </w:rPr>
              <w:t>9,041</w:t>
            </w:r>
          </w:p>
        </w:tc>
        <w:tc>
          <w:tcPr>
            <w:tcW w:type="dxa" w:w="1440"/>
            <w:shd w:fill="FFDCE0" w:val="clear"/>
          </w:tcPr>
          <w:p>
            <w:r>
              <w:rPr>
                <w:b/>
                <w:color w:val="C00000"/>
                <w:sz w:val="17"/>
              </w:rPr>
              <w:t>-8.4%</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6,141</w:t>
            </w:r>
          </w:p>
        </w:tc>
        <w:tc>
          <w:tcPr>
            <w:tcW w:type="dxa" w:w="1440"/>
            <w:shd w:fill="FFDCE0" w:val="clear"/>
          </w:tcPr>
          <w:p>
            <w:r>
              <w:rPr>
                <w:b/>
                <w:sz w:val="17"/>
              </w:rPr>
              <w:t>7,574</w:t>
            </w:r>
          </w:p>
        </w:tc>
        <w:tc>
          <w:tcPr>
            <w:tcW w:type="dxa" w:w="1440"/>
            <w:shd w:fill="FFDCE0" w:val="clear"/>
          </w:tcPr>
          <w:p>
            <w:r>
              <w:rPr>
                <w:sz w:val="17"/>
              </w:rPr>
              <w:t>9,007</w:t>
            </w:r>
          </w:p>
        </w:tc>
        <w:tc>
          <w:tcPr>
            <w:tcW w:type="dxa" w:w="1440"/>
            <w:shd w:fill="FFDCE0" w:val="clear"/>
          </w:tcPr>
          <w:p>
            <w:r>
              <w:rPr>
                <w:b/>
                <w:color w:val="C00000"/>
                <w:sz w:val="17"/>
              </w:rPr>
              <w:t>-9.8%</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(SICC)**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exposant le titre à une liquidité limitée (volume moyen de seulement 120 titres/jour). Les ratios de valorisation classiques (BPA, PER, P/B, EV/EBITDA) ne sont pas calculables en l'absence de données financières structurées récentes exploitables dans la base, ce qui constitue en soi un signal de transparence perfectible pour les investisseurs. À titre indicatif, si l'on rapportait le résultat net 2023 de 19,25 millions FCFA (dernier exercice bénéficiaire documenté) aux 600 000 actions composant le capital de 1,5 milliard FCFA, le BPA ressortirait à environ 32 FCFA, soit un PER implicite supérieur à 260x — un niveau stratosphérique qui traduit une décorrélation totale entre le cours de 8 400 FCFA et la capacité bénéficiaire actuelle de l'entreprise. Le marché valorise donc SICOR bien au-delà de sa valeur comptable et de ses fondamentaux, porté par une dynamique purement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+95,35%, passant d'un plus bas de 3 985 FCFA à un plus haut de 10 200 FCFA, avant de refluer à 8 400 FCFA (recul de -1,12% sur la dernière séance). Ce range de trading de plus de 6 200 FCFA illustre une tendance nettement haussière, mais dont la vigueur s'essouffle à mesure que le titre s'éloigne de ses sommets. Les statistiques descriptives révèlent une distribution asymétrique : la moyenne (5 815 FCFA) excède sensiblement la médiane (5 022 FCFA), confirmant un skewness positif de 0,913 — davantage de séances se sont déroulées sous la moyenne, les pics haussiers étant concentrés sur quelques journées explosives. L'écart-type de 1 813 FCFA (CV de 31,2%) traduit une dispersion très élevée du cours, tandis que le kurtosis de -0,630 (mésokurtique) indique une distribution proche de la normale, sans risque extrême de pics violents au-delà de ce qui est déjà observé. Avec une volatilité annualisée de 58,2%, SICOR se situe très largement au-dessus du seuil de 30% caractérisant les titres à volatilité élevée — un profil réservé aux investisseurs avertis acceptant un risque de perte en capital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 FCFA) et la MM50 (7 205 FCFA) se situent toutes deux sous le cours actuel de 8 400 FCFA pour la MM20 (léger écart) et nettement en dessous pour la MM50, configurant un alignement haussier classique (cours &gt; MM20 &gt; MM50). La décision « Achat » est justifiée par cette structure, bien que la proximité du cours avec la MM20 suggère une perte de momentum à court terme.</w:t>
      </w:r>
    </w:p>
    <w:p>
      <w:pPr>
        <w:spacing w:after="120" w:line="276" w:lineRule="auto"/>
      </w:pPr>
      <w:r>
        <w:t>**Bandes de Bollinger** : Le cours (8 400 FCFA) évolue dans la partie médiane-haute du canal, entre la borne inférieure (7 354,78 FCFA) et supérieure (9 589,72 FCFA), sans contact avec les extrêmes. La décision « Neutre » reflète l'absence de signal de surachat ou de survente, avec une volatilité qui reste contenue dans les bandes malgré son niveau absolu élevé.</w:t>
      </w:r>
    </w:p>
    <w:p>
      <w:pPr>
        <w:spacing w:after="120" w:line="276" w:lineRule="auto"/>
      </w:pPr>
      <w:r>
        <w:t>**MACD** : La ligne MACD (273,89) est passée sous sa ligne de signal (366,08), générant un croisement baissier caractéristique d'un essoufflement du momentum haussier. La décision « Vente » signale que la dynamique positive des dernières semaines s'inverse, les acheteurs perdant le contrôle.</w:t>
      </w:r>
    </w:p>
    <w:p>
      <w:pPr>
        <w:spacing w:after="120" w:line="276" w:lineRule="auto"/>
      </w:pPr>
      <w:r>
        <w:t>**RSI** : À 61,16, le RSI se situe en zone neutre-haute, sans atteindre le seuil de surachat de 70. La décision « Neutre » indique que le titre conserve une marge de progression théorique, mais que la pression acheteuse n'est plus dominante.</w:t>
      </w:r>
    </w:p>
    <w:p>
      <w:pPr>
        <w:spacing w:after="120" w:line="276" w:lineRule="auto"/>
      </w:pPr>
      <w:r>
        <w:t>**Stochastique** : Le %K (85,71) et le %D (94,76) évoluent en zone de surachat marquée, avec un %K inférieur au %D signalant un croisement baissier imminent. La décision « Vente » confirme la probabilité d'une correction à court terme.</w:t>
      </w:r>
    </w:p>
    <w:p>
      <w:pPr>
        <w:spacing w:after="120" w:line="276" w:lineRule="auto"/>
      </w:pPr>
      <w:r>
        <w:t>**Conclusion technique** : Les indicateurs présentent une divergence préoccupante — les moyennes mobiles restent haussières, mais le MACD, le stochastique et la position du cours sous les sommets plaident pour une correction. Le RSI et les Bollinger en zone neutre n'offrent aucun soutien directionnel clair. La convergence des signaux baissiers à court terme (MACD, stochastique) face à une tendance de fond haussière suggère une phase de consolidation, voire un repli vers la MM20 (8 472 FCFA) dans les prochaines séances.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récentes ne sont pas disponibles dans la base, mais les rapports officiels analysés permettent de retracer l'évolution de SICOR sur plusieurs exercices. En 2022 (rapport analysé par MISTRAL le 15/03/2026), le chiffre d'affaires s'établissait à 1 138,17 millions FCFA, en baisse de 17,58%, pour une perte nette de 39,95 millions FCFA (marge nette de -3,51%), marquant une inversion de tendance après quatre années bénéficiaires. En 2023 (rapport MISTRAL du 15/03/2026), le CA a chuté de 38,4% à 701,09 millions FCFA, mais l'entreprise est revenue à la profitabilité avec un résultat net de +19,25 millions FCFA (marge nette de 2,75%), grâce à une réduction drastique des charges (-43,68%) incluant le transfert de 50% du personnel vers la filiale SIPAL. Le rapport 2021 (analysé le 15/03/2026) révélait déjà la fragilité de la qualité du résultat : le bénéfice de 119,2 millions FCFA était soutenu par un résultat financier exceptionnel de +66 millions FCFA (reprises de provisions), tandis que le CA chutait de 41% et l'EBE reculait à 165 millions FCFA. Plus anciennement, les exercices 2015-2017 affichaient des résultats nets respectifs de 434,87 millions, 53,31 millions et 100,57 millions FCFA, avec des marges nettes de 15,69%, 3,39% et 6,44% — illustrant une volatilité chronique de la rentabilité. Le rapport annuel 2024 (analysé par GEMINI-VISION le 06/09/2026) confirme la convocation de l'AGO du 22 mai 2026 pour approuver les comptes 2024, mais les détails chiffrés de cet exercice restent partiellement exploitables. La structure financière demeure sous tension : dettes fiscales et sociales en hausse (+11,48% en 2022), découverts bancaires multipliés par 14 en 2023, et pertes cumulées de 689,86 millions FCFA interdisant toute distribution de dividende depuis 2017 (conformément à l'Acte Uniforme OHADA). La dépendance aux cours mondiaux du coprah, les vols récurrents sur les sites de Boulay et Gliké, et la concurrence d'acteurs comme SIFCA ou Olam constituent des risques structurels majeurs. **Recommandation fondamentale : CONSERVER avec vigilance** — le retour à la profitabilité en 2023 est encourageant, mais la faiblesse du CA, l'absence de dividende et la fragilité de la trésorerie ne justifient en aucun cas la valorisation boursière actuelle.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fondamentale entre la valorisation, le comportement du cours, les signaux techniques et les fondamentaux. La valorisation (Partie 0) apparaît totalement déconnectée : avec un PER implicite supérieur à 260x sur la base du résultat 2023, le marché surévalue massivement SICOR par rapport à sa capacité bénéficiaire réelle. Le comportement du cours (Partie 1) affiche une hausse spectaculaire de +95,35% sur 100 jours, mais les statistiques descriptives (skewness positif, CV de 31,2%, volatilité de 58,2%) signalent une dynamique spéculative aux antipodes d'une appréciation fondamentale. Les signaux techniques (Partie 2) convergent vers un essoufflement : MACD baissier, stochastique en surachat avec croisement baissier, cours sous les sommets — seules les moyennes mobiles conservent une orientation positive, mais leur retard les rend peu fiables en phase de correction. Les fondamentaux (Partie 3) demeurent fragiles : CA en chute libre depuis 2021, pertes cumulées de 689,86 millions FCFA, absence de dividende depuis 2017, trésorerie tendue — le retour à la profitabilité de 19,25 millions FCFA en 2023 ne compense pas ces faiblesses structurelles. Les prédictions IA (J+1 à J+10) confirment cette analyse en projetant une trajectoire baissière de 7 817 FCFA à 7 347 FCFA, soit un repli de -12,5% depuis le cours actuel de 8 400 FCFA. **Recommandation finale : VENTE** — la convergence entre la surévaluation manifeste, les signaux techniques baissiers, la fragilité fondamentale et les prédictions IA négatives ne laisse aucune place à l'ambiguïté. Le niveau de confiance est **Élevé** (convergence de tous les indicateurs), le niveau de risque est **Élevé** (volatilité de 58,2%, liquidité faible, fondamentaux fragiles), et l'horizon d'investissement recommandé est **court terme (&lt;3 mois)** pour les investisseurs cherchant à sortir avant la correction anticipée. Une position acheteuse ne se justifierait qu'à des niveaux historiquement bas (sous 4 000 FCFA), en anticipation d'un redressement fondamental durable qui reste à démontrer.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5,493 titres</w:t>
            </w:r>
          </w:p>
        </w:tc>
        <w:tc>
          <w:tcPr>
            <w:tcW w:type="dxa" w:w="2268"/>
            <w:shd w:fill="FFF2CC" w:val="clear"/>
          </w:tcPr>
          <w:p>
            <w:r>
              <w:rPr>
                <w:b/>
                <w:color w:val="503200"/>
                <w:sz w:val="16"/>
              </w:rPr>
              <w:t xml:space="preserve">Cours actuel : </w:t>
            </w:r>
            <w:r>
              <w:rPr>
                <w:color w:val="000000"/>
                <w:sz w:val="17"/>
              </w:rPr>
              <w:t>2,030 FCFA</w:t>
            </w:r>
          </w:p>
          <w:p>
            <w:r>
              <w:rPr>
                <w:b/>
                <w:color w:val="503200"/>
                <w:sz w:val="16"/>
              </w:rPr>
              <w:t xml:space="preserve">Var. 100 jours : </w:t>
            </w:r>
            <w:r>
              <w:rPr>
                <w:b/>
                <w:color w:val="B40000"/>
                <w:sz w:val="17"/>
              </w:rPr>
              <w:t>-27.76%</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10.79% (Moyenne) — μ=2,501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β=0.6440 (Défensif) — Cov=0.000026, Var(idx)=0.000040, ρ=0.127,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2026-09-22</w:t>
            </w:r>
          </w:p>
        </w:tc>
        <w:tc>
          <w:tcPr>
            <w:tcW w:type="dxa" w:w="1440"/>
            <w:shd w:fill="C6EFCE" w:val="clear"/>
          </w:tcPr>
          <w:p>
            <w:r>
              <w:rPr>
                <w:sz w:val="17"/>
              </w:rPr>
              <w:t>2,033</w:t>
            </w:r>
          </w:p>
        </w:tc>
        <w:tc>
          <w:tcPr>
            <w:tcW w:type="dxa" w:w="1440"/>
            <w:shd w:fill="C6EFCE" w:val="clear"/>
          </w:tcPr>
          <w:p>
            <w:r>
              <w:rPr>
                <w:b/>
                <w:sz w:val="17"/>
              </w:rPr>
              <w:t>2,135</w:t>
            </w:r>
          </w:p>
        </w:tc>
        <w:tc>
          <w:tcPr>
            <w:tcW w:type="dxa" w:w="1440"/>
            <w:shd w:fill="C6EFCE" w:val="clear"/>
          </w:tcPr>
          <w:p>
            <w:r>
              <w:rPr>
                <w:sz w:val="17"/>
              </w:rPr>
              <w:t>2,238</w:t>
            </w:r>
          </w:p>
        </w:tc>
        <w:tc>
          <w:tcPr>
            <w:tcW w:type="dxa" w:w="1440"/>
            <w:shd w:fill="C6EFCE" w:val="clear"/>
          </w:tcPr>
          <w:p>
            <w:r>
              <w:rPr>
                <w:b/>
                <w:color w:val="008000"/>
                <w:sz w:val="17"/>
              </w:rPr>
              <w:t>+5.2%</w:t>
            </w:r>
          </w:p>
        </w:tc>
      </w:tr>
      <w:tr>
        <w:tc>
          <w:tcPr>
            <w:tcW w:type="dxa" w:w="1440"/>
            <w:shd w:fill="C6EFCE" w:val="clear"/>
          </w:tcPr>
          <w:p>
            <w:r>
              <w:rPr>
                <w:sz w:val="17"/>
              </w:rPr>
              <w:t>J+2  ⭐</w:t>
            </w:r>
          </w:p>
        </w:tc>
        <w:tc>
          <w:tcPr>
            <w:tcW w:type="dxa" w:w="1440"/>
            <w:shd w:fill="C6EFCE" w:val="clear"/>
          </w:tcPr>
          <w:p>
            <w:r>
              <w:rPr>
                <w:sz w:val="17"/>
              </w:rPr>
              <w:t>2026-09-23</w:t>
            </w:r>
          </w:p>
        </w:tc>
        <w:tc>
          <w:tcPr>
            <w:tcW w:type="dxa" w:w="1440"/>
            <w:shd w:fill="C6EFCE" w:val="clear"/>
          </w:tcPr>
          <w:p>
            <w:r>
              <w:rPr>
                <w:sz w:val="17"/>
              </w:rPr>
              <w:t>1,966</w:t>
            </w:r>
          </w:p>
        </w:tc>
        <w:tc>
          <w:tcPr>
            <w:tcW w:type="dxa" w:w="1440"/>
            <w:shd w:fill="C6EFCE" w:val="clear"/>
          </w:tcPr>
          <w:p>
            <w:r>
              <w:rPr>
                <w:b/>
                <w:sz w:val="17"/>
              </w:rPr>
              <w:t>2,109</w:t>
            </w:r>
          </w:p>
        </w:tc>
        <w:tc>
          <w:tcPr>
            <w:tcW w:type="dxa" w:w="1440"/>
            <w:shd w:fill="C6EFCE" w:val="clear"/>
          </w:tcPr>
          <w:p>
            <w:r>
              <w:rPr>
                <w:sz w:val="17"/>
              </w:rPr>
              <w:t>2,252</w:t>
            </w:r>
          </w:p>
        </w:tc>
        <w:tc>
          <w:tcPr>
            <w:tcW w:type="dxa" w:w="1440"/>
            <w:shd w:fill="C6EFCE" w:val="clear"/>
          </w:tcPr>
          <w:p>
            <w:r>
              <w:rPr>
                <w:b/>
                <w:color w:val="008000"/>
                <w:sz w:val="17"/>
              </w:rPr>
              <w:t>+3.9%</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1,920</w:t>
            </w:r>
          </w:p>
        </w:tc>
        <w:tc>
          <w:tcPr>
            <w:tcW w:type="dxa" w:w="1440"/>
            <w:shd w:fill="C6EFCE" w:val="clear"/>
          </w:tcPr>
          <w:p>
            <w:r>
              <w:rPr>
                <w:b/>
                <w:sz w:val="17"/>
              </w:rPr>
              <w:t>2,094</w:t>
            </w:r>
          </w:p>
        </w:tc>
        <w:tc>
          <w:tcPr>
            <w:tcW w:type="dxa" w:w="1440"/>
            <w:shd w:fill="C6EFCE" w:val="clear"/>
          </w:tcPr>
          <w:p>
            <w:r>
              <w:rPr>
                <w:sz w:val="17"/>
              </w:rPr>
              <w:t>2,267</w:t>
            </w:r>
          </w:p>
        </w:tc>
        <w:tc>
          <w:tcPr>
            <w:tcW w:type="dxa" w:w="1440"/>
            <w:shd w:fill="C6EFCE" w:val="clear"/>
          </w:tcPr>
          <w:p>
            <w:r>
              <w:rPr>
                <w:b/>
                <w:color w:val="008000"/>
                <w:sz w:val="17"/>
              </w:rPr>
              <w:t>+3.1%</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1,882</w:t>
            </w:r>
          </w:p>
        </w:tc>
        <w:tc>
          <w:tcPr>
            <w:tcW w:type="dxa" w:w="1440"/>
            <w:shd w:fill="C6EFCE" w:val="clear"/>
          </w:tcPr>
          <w:p>
            <w:r>
              <w:rPr>
                <w:b/>
                <w:sz w:val="17"/>
              </w:rPr>
              <w:t>2,082</w:t>
            </w:r>
          </w:p>
        </w:tc>
        <w:tc>
          <w:tcPr>
            <w:tcW w:type="dxa" w:w="1440"/>
            <w:shd w:fill="C6EFCE" w:val="clear"/>
          </w:tcPr>
          <w:p>
            <w:r>
              <w:rPr>
                <w:sz w:val="17"/>
              </w:rPr>
              <w:t>2,281</w:t>
            </w:r>
          </w:p>
        </w:tc>
        <w:tc>
          <w:tcPr>
            <w:tcW w:type="dxa" w:w="1440"/>
            <w:shd w:fill="C6EFCE" w:val="clear"/>
          </w:tcPr>
          <w:p>
            <w:r>
              <w:rPr>
                <w:b/>
                <w:color w:val="008000"/>
                <w:sz w:val="17"/>
              </w:rPr>
              <w:t>+2.5%</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1,849</w:t>
            </w:r>
          </w:p>
        </w:tc>
        <w:tc>
          <w:tcPr>
            <w:tcW w:type="dxa" w:w="1440"/>
            <w:shd w:fill="FAFAFA" w:val="clear"/>
          </w:tcPr>
          <w:p>
            <w:r>
              <w:rPr>
                <w:b/>
                <w:sz w:val="17"/>
              </w:rPr>
              <w:t>2,070</w:t>
            </w:r>
          </w:p>
        </w:tc>
        <w:tc>
          <w:tcPr>
            <w:tcW w:type="dxa" w:w="1440"/>
            <w:shd w:fill="FAFAFA" w:val="clear"/>
          </w:tcPr>
          <w:p>
            <w:r>
              <w:rPr>
                <w:sz w:val="17"/>
              </w:rPr>
              <w:t>2,292</w:t>
            </w:r>
          </w:p>
        </w:tc>
        <w:tc>
          <w:tcPr>
            <w:tcW w:type="dxa" w:w="1440"/>
            <w:shd w:fill="FAFAFA" w:val="clear"/>
          </w:tcPr>
          <w:p>
            <w:r>
              <w:rPr>
                <w:b/>
                <w:color w:val="008000"/>
                <w:sz w:val="17"/>
              </w:rPr>
              <w:t>+2.0%</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1,818</w:t>
            </w:r>
          </w:p>
        </w:tc>
        <w:tc>
          <w:tcPr>
            <w:tcW w:type="dxa" w:w="1440"/>
            <w:shd w:fill="FAFAFA" w:val="clear"/>
          </w:tcPr>
          <w:p>
            <w:r>
              <w:rPr>
                <w:b/>
                <w:sz w:val="17"/>
              </w:rPr>
              <w:t>2,060</w:t>
            </w:r>
          </w:p>
        </w:tc>
        <w:tc>
          <w:tcPr>
            <w:tcW w:type="dxa" w:w="1440"/>
            <w:shd w:fill="FAFAFA" w:val="clear"/>
          </w:tcPr>
          <w:p>
            <w:r>
              <w:rPr>
                <w:sz w:val="17"/>
              </w:rPr>
              <w:t>2,302</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1,789</w:t>
            </w:r>
          </w:p>
        </w:tc>
        <w:tc>
          <w:tcPr>
            <w:tcW w:type="dxa" w:w="1440"/>
            <w:shd w:fill="FAFAFA" w:val="clear"/>
          </w:tcPr>
          <w:p>
            <w:r>
              <w:rPr>
                <w:b/>
                <w:sz w:val="17"/>
              </w:rPr>
              <w:t>2,049</w:t>
            </w:r>
          </w:p>
        </w:tc>
        <w:tc>
          <w:tcPr>
            <w:tcW w:type="dxa" w:w="1440"/>
            <w:shd w:fill="FAFAFA" w:val="clear"/>
          </w:tcPr>
          <w:p>
            <w:r>
              <w:rPr>
                <w:sz w:val="17"/>
              </w:rPr>
              <w:t>2,309</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1,763</w:t>
            </w:r>
          </w:p>
        </w:tc>
        <w:tc>
          <w:tcPr>
            <w:tcW w:type="dxa" w:w="1440"/>
            <w:shd w:fill="FAFAFA" w:val="clear"/>
          </w:tcPr>
          <w:p>
            <w:r>
              <w:rPr>
                <w:b/>
                <w:sz w:val="17"/>
              </w:rPr>
              <w:t>2,039</w:t>
            </w:r>
          </w:p>
        </w:tc>
        <w:tc>
          <w:tcPr>
            <w:tcW w:type="dxa" w:w="1440"/>
            <w:shd w:fill="FAFAFA" w:val="clear"/>
          </w:tcPr>
          <w:p>
            <w:r>
              <w:rPr>
                <w:sz w:val="17"/>
              </w:rPr>
              <w:t>2,316</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1,737</w:t>
            </w:r>
          </w:p>
        </w:tc>
        <w:tc>
          <w:tcPr>
            <w:tcW w:type="dxa" w:w="1440"/>
            <w:shd w:fill="FAFAFA" w:val="clear"/>
          </w:tcPr>
          <w:p>
            <w:r>
              <w:rPr>
                <w:b/>
                <w:sz w:val="17"/>
              </w:rPr>
              <w:t>2,029</w:t>
            </w:r>
          </w:p>
        </w:tc>
        <w:tc>
          <w:tcPr>
            <w:tcW w:type="dxa" w:w="1440"/>
            <w:shd w:fill="FAFAFA" w:val="clear"/>
          </w:tcPr>
          <w:p>
            <w:r>
              <w:rPr>
                <w:sz w:val="17"/>
              </w:rPr>
              <w:t>2,321</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1,713</w:t>
            </w:r>
          </w:p>
        </w:tc>
        <w:tc>
          <w:tcPr>
            <w:tcW w:type="dxa" w:w="1440"/>
            <w:shd w:fill="FAFAFA" w:val="clear"/>
          </w:tcPr>
          <w:p>
            <w:r>
              <w:rPr>
                <w:b/>
                <w:sz w:val="17"/>
              </w:rPr>
              <w:t>2,019</w:t>
            </w:r>
          </w:p>
        </w:tc>
        <w:tc>
          <w:tcPr>
            <w:tcW w:type="dxa" w:w="1440"/>
            <w:shd w:fill="FAFAFA" w:val="clear"/>
          </w:tcPr>
          <w:p>
            <w:r>
              <w:rPr>
                <w:sz w:val="17"/>
              </w:rPr>
              <w:t>2,325</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17,73 milliards FCFA, SIVC se situe dans la catégorie des valeurs moyennes de la BRVM, ce qui la rend vulnérable aux mouvements de faible volume. Le BPA de 43 FCFA/action, rapporté au cours actuel de 2 030 FCFA, génère un PER de 47,0x — soit près de quatre à cinq fois le PER moyen de la BRVM (~8-12x) — signalant une valorisation très exigeante qui n'est justifiée que si la croissance bénéficiaire future est explosive. Le P/B de 5,42x indique que le marché valorise l'action à plus de cinq fois sa valeur comptable, une prime considérable qui traduit soit une anticipation de forte rentabilité future, soit une anomalie de marché. Enfin, l'EV/EBITDA de 15,3x, supérieur au seuil de 15x, confirme que la valeur d'entreprise intègre déjà une prime de croissance significative, laissant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vertigineuse de -27,76%, avec une dernière séance particulièrement brutale à -6,67%, portant le cours à 2 030 FCFA. Le range de trading s'étend de 1 920 FCFA (plus bas) à 2 875 FCFA (plus haut), soit une amplitude de près de 50%, reflétant une tendance baissière marquée et une pression vendeuse persistante. La moyenne (2 501 FCFA) est supérieure à la médiane (2 410 FCFA), ce qui indique une distribution légèrement asymétrique à droite — les cours élevés du début de période tirent la moyenne vers le haut, mais la dynamique récente est clairement baissière. L'écart-type de 271 FCFA (CV = 10,8%) traduit une dispersion modérée du cours autour de sa moyenne, tandis que le kurtosis de -1,323 (distribution platykurtique) suggère une faible concentration des variations et un risque de pics moins prononcé qu'une distribution normale — ce qui est rassurant pour la gestion du risque. Le skewness de 0,038, quasi nul, confirme une distribution symétrique, sans biais directionnel structurel. La volatilité annualisée de 51,0% classe le titre dans la catégorie des valeurs à volatilité élevée (&gt;30%), ce qui implique un risque de perte en capital important et nécessite une tolérance au risque élevée.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(2 314 FCFA) et la MM50 (2 296,6 FCFA) sont toutes deux supérieures au cours actuel (2 030 FCFA), ce qui place le titre en position de faiblesse relative. Cependant, la MM20 étant légèrement au-dessus de la MM50, la configuration reste haussière sur le croisement, d'où la décision "Achat" — mais cette lecture est fragilisée par l'écart négatif entre le cours et les deux moyennes.</w:t>
      </w:r>
    </w:p>
    <w:p>
      <w:pPr>
        <w:spacing w:after="120" w:line="276" w:lineRule="auto"/>
      </w:pPr>
      <w:r>
        <w:t>**Bandes de Bollinger** : Le cours (2 030 FCFA) se situe en dessous de la borne inférieure (2 128,28 FCFA), ce qui constitue un signal de survente extrême et une anomalie statistique (le cours est hors des bandes). La décision "Achat" s'explique par cette position hors bande, qui précède souvent un rebond technique, mais la volatilité élevée (bandes larges) indique que le marché est désordonné.</w:t>
      </w:r>
    </w:p>
    <w:p>
      <w:pPr>
        <w:spacing w:after="120" w:line="276" w:lineRule="auto"/>
      </w:pPr>
      <w:r>
        <w:t>**MACD** : La valeur du MACD (-45,579) est nettement inférieure à son signal (-15,189), générant un histogramme négatif et une divergence baissière. Le momentum est clairement négatif, et la décision "Vente" reflète cette dynamique défavorable qui contredit les signaux d'achat des autres indicateurs.</w:t>
      </w:r>
    </w:p>
    <w:p>
      <w:pPr>
        <w:spacing w:after="120" w:line="276" w:lineRule="auto"/>
      </w:pPr>
      <w:r>
        <w:t>**RSI** : À 28,743, le RSI est en zone de survente (&lt;30), ce qui déclenche la décision "Achat" — le titre est potentiellement survendu et un rebond technique est envisageable. Cependant, un RSI bas peut aussi persister en tendance baissière forte, et la prudence reste de mise.</w:t>
      </w:r>
    </w:p>
    <w:p>
      <w:pPr>
        <w:spacing w:after="120" w:line="276" w:lineRule="auto"/>
      </w:pPr>
      <w:r>
        <w:t>**Stochastique** : Les valeurs %K et %D sont toutes deux à 0,0, ce qui est un signal de survente extrême et un possible retournement à la hausse. La décision "Achat" est cohérente avec cette lecture, mais l'absence de croisement haussier confirmé (les deux lignes sont à zéro) rend le signal moins fiable.</w:t>
      </w:r>
    </w:p>
    <w:p>
      <w:pPr>
        <w:spacing w:after="120" w:line="276" w:lineRule="auto"/>
      </w:pPr>
      <w:r>
        <w:t>**Conclusion technique** : Les indicateurs sont majoritairement en zone de survente (Bollinger, RSI, Stochastique) et suggèrent un rebond technique à court terme, mais le MACD en divergence baissière et le cours sous les moyennes mobiles tempèrent cet optimisme. La convergence des signaux d'achat sur les indicateurs de survente est contrebalancée par la faiblesse du momentum, créant une configuration technique incertaine où un rebond est possible mais non confirmé.</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(secteur banque) indiquent un PNB de 9,283 milliards FCFA, un résultat net de 376,96 millions FCFA, un ROE de 11,52% et un ROA de 2,69%. Le coefficient d'exploitation ressort à 95,83%, très au-dessus du seuil de 60% qui définit une banque efficace — ce qui signifie que les charges absorbent près de 96% du PNB, laissant une marge opérationnelle très faible. Le coût du risque (provisions/charges financières) s'élève à 3,10%, un niveau élevé qui traduit un portefeuille de crédits risqué. La structure financière est fragile : l'autonomie financière n'est que de 23,34% (seuil sain &gt;30%), le ratio d'endettement atteint 80,09%, et la trésorerie nette est négative à -2,143 milliards FCFA. Le rapport annuel 2025 (analysé le 29/06/2026) confirme la dégradation : le CA progresse de +8,53% à 10,075 milliards FCFA, mais le résultat net chute de -52,4% à 179,29 millions FCFA, avec une marge nette divisée par deux (1,78% contre 4,06%). Le rapport du S1 2025 (30/06/2025) faisait pourtant état d'un résultat net de 512,9 millions FCFA (+4,6%) et d'une marge nette de 10,5%, tandis que le rapport du T3 2025 (date inconnue) affichait un résultat net de 832,5 millions FCFA (+58%) et une marge nette de 11,0% — ces chiffres trimestriels semblent donc en contradiction avec les états financiers annuels 2025, possiblement en raison de retraitements ou d'éléments exceptionnels non récurrents. Sur la base du T3 2025 (CA +13%, RN +58%), on pourrait estimer un exercice 2025 en forte amélioration, mais les données annuelles officielles (RN 179 M FCFA) contredisent cette tendance, ce qui suggère que le T4 2025 a été catastrophique (provisions massives ou charges exceptionnelles). La recommandation fondamentale est de **conserver avec une surveillance accrue** : la croissance du CA est réelle, mais la rentabilité et la structure financière se dégradent dangereusement, et l'absence de dividende (0 FCFA versé en 2025) prive les actionnaires de toute rémunération.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extrêmement tendue avec un PER de 47x, un P/B de 5,42x et un EV/EBITDA de 15,3x, ce qui contraste violemment avec la dégradation des fondamentaux (Partie 3) — le marché paie très cher une croissance qui ne se transforme pas en profits. Le comportement du cours (Partie 1) est baissier (-27,76% sur 100 jours), avec une volatilité élevée (51%) et une distribution platykurtique qui limite les pics extrêmes, mais la tendance reste clairement négative. Les signaux techniques (Partie 2) sont contradictoires : les indicateurs de survente (RSI, Stochastique, Bollinger) plaident pour un rebond, mais le MACD en divergence baissière et le cours sous les moyennes mobiles suggèrent que la pression vendeuse persiste. Les fondamentaux (Partie 3) sont préoccupants : malgré un CA en hausse (+8,53% en 2025), le résultat net s'est effondré (-52,4%), la marge nette est tombée à 1,78%, et la trésorerie nette reste négative à -2,143 milliards FCFA, avec un endettement élevé (80,09%). Les prédictions IA (J+1 à J+10) anticipent une poursuite de la baisse jusqu'à 2 070 FCFA, confirmant la tendance baissière et contredisant les signaux d'achat techniques à court terme. Sur la base de cette synthèse, la recommandation finale est **VENTE** (ou **CONSERVER** pour les investisseurs déjà en position, avec un stop-loss strict), car la convergence entre valorisation excessive, fondamentaux dégradés, tendance baissière et prédictions négatives l'emporte sur les signaux techniques de survente. Le niveau de confiance est **Moyen** (les indicateurs techniques de survente introduisent une incertitude sur le timing), le risque global est **Élevé** (volatilité 51%, endettement 80%, trésorerie négative), et l'horizon d'investissement optimal est **court terme** (&lt;3 mois) pour un éventuel rebond technique, ou **moyen terme** (3-12 mois) pour une éventuelle stabilisation — mais un investissement long terme (&gt;1 an) est déconseillé tant que la rentabilité et la structure financière ne se redressent pas durablement.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1,336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2.39% (Faible) — μ=38,230 FCFA, σ=912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β=0.1432 (Défensif) — Cov=0.000006, Var(idx)=0.000040, ρ=0.053,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37,886</w:t>
            </w:r>
          </w:p>
        </w:tc>
        <w:tc>
          <w:tcPr>
            <w:tcW w:type="dxa" w:w="1440"/>
            <w:shd w:fill="FAFAFA" w:val="clear"/>
          </w:tcPr>
          <w:p>
            <w:r>
              <w:rPr>
                <w:b/>
                <w:sz w:val="17"/>
              </w:rPr>
              <w:t>38,618</w:t>
            </w:r>
          </w:p>
        </w:tc>
        <w:tc>
          <w:tcPr>
            <w:tcW w:type="dxa" w:w="1440"/>
            <w:shd w:fill="FAFAFA" w:val="clear"/>
          </w:tcPr>
          <w:p>
            <w:r>
              <w:rPr>
                <w:sz w:val="17"/>
              </w:rPr>
              <w:t>39,351</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2026-09-23</w:t>
            </w:r>
          </w:p>
        </w:tc>
        <w:tc>
          <w:tcPr>
            <w:tcW w:type="dxa" w:w="1440"/>
            <w:shd w:fill="C6EFCE" w:val="clear"/>
          </w:tcPr>
          <w:p>
            <w:r>
              <w:rPr>
                <w:sz w:val="17"/>
              </w:rPr>
              <w:t>37,847</w:t>
            </w:r>
          </w:p>
        </w:tc>
        <w:tc>
          <w:tcPr>
            <w:tcW w:type="dxa" w:w="1440"/>
            <w:shd w:fill="C6EFCE" w:val="clear"/>
          </w:tcPr>
          <w:p>
            <w:r>
              <w:rPr>
                <w:b/>
                <w:sz w:val="17"/>
              </w:rPr>
              <w:t>38,890</w:t>
            </w:r>
          </w:p>
        </w:tc>
        <w:tc>
          <w:tcPr>
            <w:tcW w:type="dxa" w:w="1440"/>
            <w:shd w:fill="C6EFCE" w:val="clear"/>
          </w:tcPr>
          <w:p>
            <w:r>
              <w:rPr>
                <w:sz w:val="17"/>
              </w:rPr>
              <w:t>39,932</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37,935</w:t>
            </w:r>
          </w:p>
        </w:tc>
        <w:tc>
          <w:tcPr>
            <w:tcW w:type="dxa" w:w="1440"/>
            <w:shd w:fill="C6EFCE" w:val="clear"/>
          </w:tcPr>
          <w:p>
            <w:r>
              <w:rPr>
                <w:b/>
                <w:sz w:val="17"/>
              </w:rPr>
              <w:t>39,223</w:t>
            </w:r>
          </w:p>
        </w:tc>
        <w:tc>
          <w:tcPr>
            <w:tcW w:type="dxa" w:w="1440"/>
            <w:shd w:fill="C6EFCE" w:val="clear"/>
          </w:tcPr>
          <w:p>
            <w:r>
              <w:rPr>
                <w:sz w:val="17"/>
              </w:rPr>
              <w:t>40,511</w:t>
            </w:r>
          </w:p>
        </w:tc>
        <w:tc>
          <w:tcPr>
            <w:tcW w:type="dxa" w:w="1440"/>
            <w:shd w:fill="C6EFCE" w:val="clear"/>
          </w:tcPr>
          <w:p>
            <w:r>
              <w:rPr>
                <w:b/>
                <w:color w:val="008000"/>
                <w:sz w:val="17"/>
              </w:rPr>
              <w:t>+3.2%</w:t>
            </w:r>
          </w:p>
        </w:tc>
      </w:tr>
      <w:tr>
        <w:tc>
          <w:tcPr>
            <w:tcW w:type="dxa" w:w="1440"/>
            <w:shd w:fill="C6EFCE" w:val="clear"/>
          </w:tcPr>
          <w:p>
            <w:r>
              <w:rPr>
                <w:sz w:val="17"/>
              </w:rPr>
              <w:t>J+4  Moyenne</w:t>
            </w:r>
          </w:p>
        </w:tc>
        <w:tc>
          <w:tcPr>
            <w:tcW w:type="dxa" w:w="1440"/>
            <w:shd w:fill="C6EFCE" w:val="clear"/>
          </w:tcPr>
          <w:p>
            <w:r>
              <w:rPr>
                <w:sz w:val="17"/>
              </w:rPr>
              <w:t>2026-09-25</w:t>
            </w:r>
          </w:p>
        </w:tc>
        <w:tc>
          <w:tcPr>
            <w:tcW w:type="dxa" w:w="1440"/>
            <w:shd w:fill="C6EFCE" w:val="clear"/>
          </w:tcPr>
          <w:p>
            <w:r>
              <w:rPr>
                <w:sz w:val="17"/>
              </w:rPr>
              <w:t>38,061</w:t>
            </w:r>
          </w:p>
        </w:tc>
        <w:tc>
          <w:tcPr>
            <w:tcW w:type="dxa" w:w="1440"/>
            <w:shd w:fill="C6EFCE" w:val="clear"/>
          </w:tcPr>
          <w:p>
            <w:r>
              <w:rPr>
                <w:b/>
                <w:sz w:val="17"/>
              </w:rPr>
              <w:t>39,561</w:t>
            </w:r>
          </w:p>
        </w:tc>
        <w:tc>
          <w:tcPr>
            <w:tcW w:type="dxa" w:w="1440"/>
            <w:shd w:fill="C6EFCE" w:val="clear"/>
          </w:tcPr>
          <w:p>
            <w:r>
              <w:rPr>
                <w:sz w:val="17"/>
              </w:rPr>
              <w:t>41,061</w:t>
            </w:r>
          </w:p>
        </w:tc>
        <w:tc>
          <w:tcPr>
            <w:tcW w:type="dxa" w:w="1440"/>
            <w:shd w:fill="C6EFCE" w:val="clear"/>
          </w:tcPr>
          <w:p>
            <w:r>
              <w:rPr>
                <w:b/>
                <w:color w:val="008000"/>
                <w:sz w:val="17"/>
              </w:rPr>
              <w:t>+4.1%</w:t>
            </w:r>
          </w:p>
        </w:tc>
      </w:tr>
      <w:tr>
        <w:tc>
          <w:tcPr>
            <w:tcW w:type="dxa" w:w="1440"/>
            <w:shd w:fill="C6EFCE" w:val="clear"/>
          </w:tcPr>
          <w:p>
            <w:r>
              <w:rPr>
                <w:sz w:val="17"/>
              </w:rPr>
              <w:t>J+5  Moyenne</w:t>
            </w:r>
          </w:p>
        </w:tc>
        <w:tc>
          <w:tcPr>
            <w:tcW w:type="dxa" w:w="1440"/>
            <w:shd w:fill="C6EFCE" w:val="clear"/>
          </w:tcPr>
          <w:p>
            <w:r>
              <w:rPr>
                <w:sz w:val="17"/>
              </w:rPr>
              <w:t>2026-09-28</w:t>
            </w:r>
          </w:p>
        </w:tc>
        <w:tc>
          <w:tcPr>
            <w:tcW w:type="dxa" w:w="1440"/>
            <w:shd w:fill="C6EFCE" w:val="clear"/>
          </w:tcPr>
          <w:p>
            <w:r>
              <w:rPr>
                <w:sz w:val="17"/>
              </w:rPr>
              <w:t>38,201</w:t>
            </w:r>
          </w:p>
        </w:tc>
        <w:tc>
          <w:tcPr>
            <w:tcW w:type="dxa" w:w="1440"/>
            <w:shd w:fill="C6EFCE" w:val="clear"/>
          </w:tcPr>
          <w:p>
            <w:r>
              <w:rPr>
                <w:b/>
                <w:sz w:val="17"/>
              </w:rPr>
              <w:t>39,892</w:t>
            </w:r>
          </w:p>
        </w:tc>
        <w:tc>
          <w:tcPr>
            <w:tcW w:type="dxa" w:w="1440"/>
            <w:shd w:fill="C6EFCE" w:val="clear"/>
          </w:tcPr>
          <w:p>
            <w:r>
              <w:rPr>
                <w:sz w:val="17"/>
              </w:rPr>
              <w:t>41,584</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2026-09-29</w:t>
            </w:r>
          </w:p>
        </w:tc>
        <w:tc>
          <w:tcPr>
            <w:tcW w:type="dxa" w:w="1440"/>
            <w:shd w:fill="C6EFCE" w:val="clear"/>
          </w:tcPr>
          <w:p>
            <w:r>
              <w:rPr>
                <w:sz w:val="17"/>
              </w:rPr>
              <w:t>38,348</w:t>
            </w:r>
          </w:p>
        </w:tc>
        <w:tc>
          <w:tcPr>
            <w:tcW w:type="dxa" w:w="1440"/>
            <w:shd w:fill="C6EFCE" w:val="clear"/>
          </w:tcPr>
          <w:p>
            <w:r>
              <w:rPr>
                <w:b/>
                <w:sz w:val="17"/>
              </w:rPr>
              <w:t>40,216</w:t>
            </w:r>
          </w:p>
        </w:tc>
        <w:tc>
          <w:tcPr>
            <w:tcW w:type="dxa" w:w="1440"/>
            <w:shd w:fill="C6EFCE" w:val="clear"/>
          </w:tcPr>
          <w:p>
            <w:r>
              <w:rPr>
                <w:sz w:val="17"/>
              </w:rPr>
              <w:t>42,084</w:t>
            </w:r>
          </w:p>
        </w:tc>
        <w:tc>
          <w:tcPr>
            <w:tcW w:type="dxa" w:w="1440"/>
            <w:shd w:fill="C6EFCE" w:val="clear"/>
          </w:tcPr>
          <w:p>
            <w:r>
              <w:rPr>
                <w:b/>
                <w:color w:val="008000"/>
                <w:sz w:val="17"/>
              </w:rPr>
              <w:t>+5.8%</w:t>
            </w:r>
          </w:p>
        </w:tc>
      </w:tr>
      <w:tr>
        <w:tc>
          <w:tcPr>
            <w:tcW w:type="dxa" w:w="1440"/>
            <w:shd w:fill="C6EFCE" w:val="clear"/>
          </w:tcPr>
          <w:p>
            <w:r>
              <w:rPr>
                <w:sz w:val="17"/>
              </w:rPr>
              <w:t>J+7  Moyenne</w:t>
            </w:r>
          </w:p>
        </w:tc>
        <w:tc>
          <w:tcPr>
            <w:tcW w:type="dxa" w:w="1440"/>
            <w:shd w:fill="C6EFCE" w:val="clear"/>
          </w:tcPr>
          <w:p>
            <w:r>
              <w:rPr>
                <w:sz w:val="17"/>
              </w:rPr>
              <w:t>2026-09-30</w:t>
            </w:r>
          </w:p>
        </w:tc>
        <w:tc>
          <w:tcPr>
            <w:tcW w:type="dxa" w:w="1440"/>
            <w:shd w:fill="C6EFCE" w:val="clear"/>
          </w:tcPr>
          <w:p>
            <w:r>
              <w:rPr>
                <w:sz w:val="17"/>
              </w:rPr>
              <w:t>38,500</w:t>
            </w:r>
          </w:p>
        </w:tc>
        <w:tc>
          <w:tcPr>
            <w:tcW w:type="dxa" w:w="1440"/>
            <w:shd w:fill="C6EFCE" w:val="clear"/>
          </w:tcPr>
          <w:p>
            <w:r>
              <w:rPr>
                <w:b/>
                <w:sz w:val="17"/>
              </w:rPr>
              <w:t>40,533</w:t>
            </w:r>
          </w:p>
        </w:tc>
        <w:tc>
          <w:tcPr>
            <w:tcW w:type="dxa" w:w="1440"/>
            <w:shd w:fill="C6EFCE" w:val="clear"/>
          </w:tcPr>
          <w:p>
            <w:r>
              <w:rPr>
                <w:sz w:val="17"/>
              </w:rPr>
              <w:t>42,567</w:t>
            </w:r>
          </w:p>
        </w:tc>
        <w:tc>
          <w:tcPr>
            <w:tcW w:type="dxa" w:w="1440"/>
            <w:shd w:fill="C6EFCE" w:val="clear"/>
          </w:tcPr>
          <w:p>
            <w:r>
              <w:rPr>
                <w:b/>
                <w:color w:val="008000"/>
                <w:sz w:val="17"/>
              </w:rPr>
              <w:t>+6.7%</w:t>
            </w:r>
          </w:p>
        </w:tc>
      </w:tr>
      <w:tr>
        <w:tc>
          <w:tcPr>
            <w:tcW w:type="dxa" w:w="1440"/>
            <w:shd w:fill="C6EFCE" w:val="clear"/>
          </w:tcPr>
          <w:p>
            <w:r>
              <w:rPr>
                <w:sz w:val="17"/>
              </w:rPr>
              <w:t>J+8  Moyenne</w:t>
            </w:r>
          </w:p>
        </w:tc>
        <w:tc>
          <w:tcPr>
            <w:tcW w:type="dxa" w:w="1440"/>
            <w:shd w:fill="C6EFCE" w:val="clear"/>
          </w:tcPr>
          <w:p>
            <w:r>
              <w:rPr>
                <w:sz w:val="17"/>
              </w:rPr>
              <w:t>2026-10-01</w:t>
            </w:r>
          </w:p>
        </w:tc>
        <w:tc>
          <w:tcPr>
            <w:tcW w:type="dxa" w:w="1440"/>
            <w:shd w:fill="C6EFCE" w:val="clear"/>
          </w:tcPr>
          <w:p>
            <w:r>
              <w:rPr>
                <w:sz w:val="17"/>
              </w:rPr>
              <w:t>38,654</w:t>
            </w:r>
          </w:p>
        </w:tc>
        <w:tc>
          <w:tcPr>
            <w:tcW w:type="dxa" w:w="1440"/>
            <w:shd w:fill="C6EFCE" w:val="clear"/>
          </w:tcPr>
          <w:p>
            <w:r>
              <w:rPr>
                <w:b/>
                <w:sz w:val="17"/>
              </w:rPr>
              <w:t>40,845</w:t>
            </w:r>
          </w:p>
        </w:tc>
        <w:tc>
          <w:tcPr>
            <w:tcW w:type="dxa" w:w="1440"/>
            <w:shd w:fill="C6EFCE" w:val="clear"/>
          </w:tcPr>
          <w:p>
            <w:r>
              <w:rPr>
                <w:sz w:val="17"/>
              </w:rPr>
              <w:t>43,035</w:t>
            </w:r>
          </w:p>
        </w:tc>
        <w:tc>
          <w:tcPr>
            <w:tcW w:type="dxa" w:w="1440"/>
            <w:shd w:fill="C6EFCE" w:val="clear"/>
          </w:tcPr>
          <w:p>
            <w:r>
              <w:rPr>
                <w:b/>
                <w:color w:val="008000"/>
                <w:sz w:val="17"/>
              </w:rPr>
              <w:t>+7.5%</w:t>
            </w:r>
          </w:p>
        </w:tc>
      </w:tr>
      <w:tr>
        <w:tc>
          <w:tcPr>
            <w:tcW w:type="dxa" w:w="1440"/>
            <w:shd w:fill="C6EFCE" w:val="clear"/>
          </w:tcPr>
          <w:p>
            <w:r>
              <w:rPr>
                <w:sz w:val="17"/>
              </w:rPr>
              <w:t>J+9  Moyenne</w:t>
            </w:r>
          </w:p>
        </w:tc>
        <w:tc>
          <w:tcPr>
            <w:tcW w:type="dxa" w:w="1440"/>
            <w:shd w:fill="C6EFCE" w:val="clear"/>
          </w:tcPr>
          <w:p>
            <w:r>
              <w:rPr>
                <w:sz w:val="17"/>
              </w:rPr>
              <w:t>2026-10-02</w:t>
            </w:r>
          </w:p>
        </w:tc>
        <w:tc>
          <w:tcPr>
            <w:tcW w:type="dxa" w:w="1440"/>
            <w:shd w:fill="C6EFCE" w:val="clear"/>
          </w:tcPr>
          <w:p>
            <w:r>
              <w:rPr>
                <w:sz w:val="17"/>
              </w:rPr>
              <w:t>38,810</w:t>
            </w:r>
          </w:p>
        </w:tc>
        <w:tc>
          <w:tcPr>
            <w:tcW w:type="dxa" w:w="1440"/>
            <w:shd w:fill="C6EFCE" w:val="clear"/>
          </w:tcPr>
          <w:p>
            <w:r>
              <w:rPr>
                <w:b/>
                <w:sz w:val="17"/>
              </w:rPr>
              <w:t>41,151</w:t>
            </w:r>
          </w:p>
        </w:tc>
        <w:tc>
          <w:tcPr>
            <w:tcW w:type="dxa" w:w="1440"/>
            <w:shd w:fill="C6EFCE" w:val="clear"/>
          </w:tcPr>
          <w:p>
            <w:r>
              <w:rPr>
                <w:sz w:val="17"/>
              </w:rPr>
              <w:t>43,492</w:t>
            </w:r>
          </w:p>
        </w:tc>
        <w:tc>
          <w:tcPr>
            <w:tcW w:type="dxa" w:w="1440"/>
            <w:shd w:fill="C6EFCE" w:val="clear"/>
          </w:tcPr>
          <w:p>
            <w:r>
              <w:rPr>
                <w:b/>
                <w:color w:val="008000"/>
                <w:sz w:val="17"/>
              </w:rPr>
              <w:t>+8.3%</w:t>
            </w:r>
          </w:p>
        </w:tc>
      </w:tr>
      <w:tr>
        <w:tc>
          <w:tcPr>
            <w:tcW w:type="dxa" w:w="1440"/>
            <w:shd w:fill="C6EFCE" w:val="clear"/>
          </w:tcPr>
          <w:p>
            <w:r>
              <w:rPr>
                <w:sz w:val="17"/>
              </w:rPr>
              <w:t>J+10  Moyenne</w:t>
            </w:r>
          </w:p>
        </w:tc>
        <w:tc>
          <w:tcPr>
            <w:tcW w:type="dxa" w:w="1440"/>
            <w:shd w:fill="C6EFCE" w:val="clear"/>
          </w:tcPr>
          <w:p>
            <w:r>
              <w:rPr>
                <w:sz w:val="17"/>
              </w:rPr>
              <w:t>2026-10-05</w:t>
            </w:r>
          </w:p>
        </w:tc>
        <w:tc>
          <w:tcPr>
            <w:tcW w:type="dxa" w:w="1440"/>
            <w:shd w:fill="C6EFCE" w:val="clear"/>
          </w:tcPr>
          <w:p>
            <w:r>
              <w:rPr>
                <w:sz w:val="17"/>
              </w:rPr>
              <w:t>38,968</w:t>
            </w:r>
          </w:p>
        </w:tc>
        <w:tc>
          <w:tcPr>
            <w:tcW w:type="dxa" w:w="1440"/>
            <w:shd w:fill="C6EFCE" w:val="clear"/>
          </w:tcPr>
          <w:p>
            <w:r>
              <w:rPr>
                <w:b/>
                <w:sz w:val="17"/>
              </w:rPr>
              <w:t>41,454</w:t>
            </w:r>
          </w:p>
        </w:tc>
        <w:tc>
          <w:tcPr>
            <w:tcW w:type="dxa" w:w="1440"/>
            <w:shd w:fill="C6EFCE" w:val="clear"/>
          </w:tcPr>
          <w:p>
            <w:r>
              <w:rPr>
                <w:sz w:val="17"/>
              </w:rPr>
              <w:t>43,939</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Entreprise (Boissons/Limonaderies)*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625,51 milliards FCFA, SOLIBRA s'impose comme l'une des plus importantes capitalisations de la BRVM, témoignant de sa stature de leader régional dans le secteur des boissons. Le BPA de 2 781 FCFA/action signifie que chaque titre génère près de 2 800 FCFA de bénéfice net, un niveau remarquable qui traduit la forte rentabilité de l'entreprise. Le PER de 13,7x, légèrement supérieur à la moyenne BRVM (~8-12x), indique que le marché accorde une prime modérée à la qualité des bénéfices, sans pour autant surpayer le titre. Le P/B de 3,21x confirme cette prime de croissance : les investisseurs valorisent l'entreprise à plus de trois fois ses fonds propres comptables, ce qui est justifié par un ROE exceptionnel de 23,46%. Enfin, l'EV/EBITDA de 7,4x, dans la fourchette raisonnable de 5-10x, suggère que la valeur totale de l'entreprise (incluant sa dette) reste cohérente avec sa capacité opérationnelle, ce qui plaide pour une valorisation équilibrée, ni excessive ni décotée.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+0,00% et une variation J-1 de +0,00%, traduisant une phase de stabilisation marquée autour du cours actuel de 38 000 FCFA. Le range de trading s'établit entre un plus haut de 41 500 FCFA et un plus bas de 35 540 FCFA, soit une amplitude de près de 17%, ce qui indique que le titre a connu des mouvements significatifs avant de revenir à son point d'équilibre. La tendance générale est donc stable, avec une absence de direction claire sur la période récente. Les statistiques descriptives révèlent une moyenne de 38 230 FCFA très proche de la médiane (38 000 FCFA) et du mode (38 000 FCFA), ce qui suggère une distribution quasi-symétrique centrée sur ce niveau pivot. L'écart-type de 916 FCFA et le coefficient de variation de 2,4% indiquent une dispersion très faible du cours, signe d'une grande stabilité. Le kurtosis de 0,879 (mésokurtique) signifie que la distribution des rendements est proche d'une loi normale, sans risque de pics extrêmes prononcé. Le skewness de 0,501 (asymétrie positive) indique toutefois que les journées sous la moyenne ont été plus fréquentes, mais compensées par des hausses ponctuelles plus amples. Enfin, la volatilité annualisée de 26,9% positionne le titre dans la catégorie des valeurs à volatilité modérée (15-30%), ce qui est rassurant pour un investisseur recherchant stabilité et prévisibilité.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(37 786,75 FCFA) et la MM50 (38 102,10 FCFA) encadrent le cours actuel de 38 000 FCFA, avec une MM20 légèrement inférieure à la MM50, ce qui traduit une pression baissière de court terme. Le cours évoluant sous la MM50, la décision technique est à la vente, bien que l'écart reste marginal.</w:t>
      </w:r>
    </w:p>
    <w:p>
      <w:pPr>
        <w:spacing w:after="120" w:line="276" w:lineRule="auto"/>
      </w:pPr>
      <w:r>
        <w:t>**Bandes de Bollinger** : Le cours (38 000 FCFA) se situe à l'intérieur des bandes, entre la borne inférieure (37 151,44 FCFA) et la borne supérieure (38 422,06 FCFA), sans franchissement des extrêmes. Cette position centrale, couplée à un resserrement des bandes, indique une faible volatilité et une absence de signal directionnel fort, justifiant la décision neutre.</w:t>
      </w:r>
    </w:p>
    <w:p>
      <w:pPr>
        <w:spacing w:after="120" w:line="276" w:lineRule="auto"/>
      </w:pPr>
      <w:r>
        <w:t>**MACD** : La valeur du MACD (19,565) est nettement supérieure à son signal (-43,008), générant un croisement haussier et une divergence positive. Ce momentum positif, bien que le signal soit encore négatif, suggère un retournement potentiel à la hausse, justifiant la décision d'achat.</w:t>
      </w:r>
    </w:p>
    <w:p>
      <w:pPr>
        <w:spacing w:after="120" w:line="276" w:lineRule="auto"/>
      </w:pPr>
      <w:r>
        <w:t>**RSI** : À 50,0, le RSI se situe exactement au point d'équilibre entre surachat (&gt;70) et survente (&lt;30), reflétant une absence de pression acheteuse ou vendeuse dominante. Cette neutralité confirme l'absence de signal fort à court terme.</w:t>
      </w:r>
    </w:p>
    <w:p>
      <w:pPr>
        <w:spacing w:after="120" w:line="276" w:lineRule="auto"/>
      </w:pPr>
      <w:r>
        <w:t>**Stochastique** : Les valeurs %K et %D sont toutes deux à 100,0, indiquant que le cours évolue au plus haut de sa fourchette récente. Cette situation de surachat technique extrême, bien que le cours soit stable, suggère un risque de correction à court terme, justifiant la décision de vente.</w:t>
      </w:r>
    </w:p>
    <w:p>
      <w:pPr>
        <w:spacing w:after="120" w:line="276" w:lineRule="auto"/>
      </w:pPr>
      <w:r>
        <w:t>**Conclusion technique** : Les indicateurs sont divergents : le MACD est haussier, les Bandes de Bollinger et le RSI sont neutres, tandis que les Moyennes Mobiles et le Stochastique sont baissiers. Cette absence de consensus technique, dans un contexte de volatilité modérée et de cours stable, plaide pour une prudence et une attente de confirmation directionnelle avant toute décision.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de 22,08% par rapport à 2024, portée par une augmentation des volumes distribués et une stratégie commerciale efficace. Le résultat net s'établit à 45,781 milliards FCFA, en hausse spectaculaire de 113% (contre 21,472 milliards en 2024), avec une marge nette qui double de 6,9% à 12,1%. Le ROE atteint 23,46% (excellent, &gt;15%) et le ROA 13,48%, confirmant la remarquable rentabilité des capitaux propres et des actifs. La structure financière est saine : l'autonomie financière est de 57,48% (capitaux propres/total bilan), le ratio d'endettement de 42,52%, et la trésorerie nette positive à 22,117 milliards FCFA. Le BFR de 61,587 milliards FCFA, bien que positif, est maîtrisé, et les délais clients (64,27 jours) et fournisseurs (76,82 jours) sont équilibrés, avec un délai de stockage de 117,32 jours qui reste un point de vigilance. Le Free Cash Flow de 60,867 milliards FCFA et la CAF de 69,895 milliards FCFA témoignent d'une génération de trésorerie robuste. Les rapports trimestriels confirment cette dynamique : le T1 2026 (rapport du 20/05/2026) affiche un chiffre d'affaires de 93,46 milliards FCFA (+7,6%) et un résultat net de 16,26 milliards FCFA (+4,8%), avec une marge nette de 17,4%. Sur cette base, on estime que l'exercice 2026 devrait maintenir une croissance à deux chiffres, portée par la position dominante de SOLIBRA sur le marché ivoirien et la croissance démographique régionale. Les risques identifiés incluent la dépendance aux matières premières (90 milliards FCFA d'achats exposés à la volatilité des prix), la concentration géographique sur la Côte d'Ivoire, et un taux de distribution de dividende élevé (76,5% en 2025) qui pourrait limiter les investissements futurs. Néanmoins, la solidité du bilan, la rentabilité exceptionnelle et les perspectives favorables justifient une recommandation fondamentale à l'achat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SOLIBRA (Partie 0) apparaît équilibrée : le PER de 13,7x est modéré, le P/B de 3,21x reflète une prime de croissance justifiée par un ROE de 23,46%, et l'EV/EBITDA de 7,4x reste raisonnable. Le comportement du cours (Partie 1) est stable, avec une volatilité modérée (26,9%) et une distribution quasi-normale (kurtosis 0,879, skewness 0,501), ce qui est rassurant mais n'offre pas de signal directionnel fort. Les indicateurs techniques (Partie 2) sont divergents : le MACD est haussier, mais les Moyennes Mobiles et le Stochastique sont baissiers, tandis que le RSI et les Bandes de Bollinger sont neutres, créant une incertitude à court terme. Les fondamentaux (Partie 3) sont exceptionnels : croissance du CA de 22%, résultat net en hausse de 113%, ROE de 23,46%, et génération de trésorerie robuste, avec des perspectives 2026 favorables estimées à partir du T1 (+7,6% de CA). Les prédictions IA (J+1 à J+10) anticipent une trajectoire haussière modérée, avec un cours cible de 39 892 FCFA à J+10, soit une progression de +5% par rapport au cours actuel de 38 000 FCFA. Cette prédiction confirme la tendance fondamentale positive, mais contredit partiellement les signaux techniques baissiers de court terme. Sur la base de cette synthèse, la recommandation finale est **ACHAT**, avec un niveau de confiance **Moyen** et un risque global **Moyen**. La convergence entre valorisation équilibrée, fondamentaux solides et prédictions haussières l'emporte sur les divergences techniques, mais l'absence de signal technique fort et la stabilité récente du cours incitent à la prudence. L'horizon d'investissement optimal est le **moyen terme (3-12 mois)**, pour capturer la croissance bénéficiaire et le rendement du dividende (2 127 FCFA/action proposé, soit un rendement de 5,6% au cours actuel), tout en surveillant les risques liés aux matières premières et à la concentration géographique.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1,606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+43.35%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12.75% (Moyenne) — μ=15,595 FCFA, σ=1,989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β=-0.3706 (Contre-cyclique) — Cov=-0.000015, Var(idx)=0.000040, ρ=-0.099,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2026-09-22</w:t>
            </w:r>
          </w:p>
        </w:tc>
        <w:tc>
          <w:tcPr>
            <w:tcW w:type="dxa" w:w="1440"/>
            <w:shd w:fill="C6EFCE" w:val="clear"/>
          </w:tcPr>
          <w:p>
            <w:r>
              <w:rPr>
                <w:sz w:val="17"/>
              </w:rPr>
              <w:t>16,416</w:t>
            </w:r>
          </w:p>
        </w:tc>
        <w:tc>
          <w:tcPr>
            <w:tcW w:type="dxa" w:w="1440"/>
            <w:shd w:fill="C6EFCE" w:val="clear"/>
          </w:tcPr>
          <w:p>
            <w:r>
              <w:rPr>
                <w:b/>
                <w:sz w:val="17"/>
              </w:rPr>
              <w:t>16,859</w:t>
            </w:r>
          </w:p>
        </w:tc>
        <w:tc>
          <w:tcPr>
            <w:tcW w:type="dxa" w:w="1440"/>
            <w:shd w:fill="C6EFCE" w:val="clear"/>
          </w:tcPr>
          <w:p>
            <w:r>
              <w:rPr>
                <w:sz w:val="17"/>
              </w:rPr>
              <w:t>17,302</w:t>
            </w:r>
          </w:p>
        </w:tc>
        <w:tc>
          <w:tcPr>
            <w:tcW w:type="dxa" w:w="1440"/>
            <w:shd w:fill="C6EFCE" w:val="clear"/>
          </w:tcPr>
          <w:p>
            <w:r>
              <w:rPr>
                <w:b/>
                <w:color w:val="008000"/>
                <w:sz w:val="17"/>
              </w:rPr>
              <w:t>+2.2%</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16,204</w:t>
            </w:r>
          </w:p>
        </w:tc>
        <w:tc>
          <w:tcPr>
            <w:tcW w:type="dxa" w:w="1440"/>
            <w:shd w:fill="FAFAFA" w:val="clear"/>
          </w:tcPr>
          <w:p>
            <w:r>
              <w:rPr>
                <w:b/>
                <w:sz w:val="17"/>
              </w:rPr>
              <w:t>16,830</w:t>
            </w:r>
          </w:p>
        </w:tc>
        <w:tc>
          <w:tcPr>
            <w:tcW w:type="dxa" w:w="1440"/>
            <w:shd w:fill="FAFAFA" w:val="clear"/>
          </w:tcPr>
          <w:p>
            <w:r>
              <w:rPr>
                <w:sz w:val="17"/>
              </w:rPr>
              <w:t>17,455</w:t>
            </w:r>
          </w:p>
        </w:tc>
        <w:tc>
          <w:tcPr>
            <w:tcW w:type="dxa" w:w="1440"/>
            <w:shd w:fill="FAFAFA" w:val="clear"/>
          </w:tcPr>
          <w:p>
            <w:r>
              <w:rPr>
                <w:b/>
                <w:color w:val="008000"/>
                <w:sz w:val="17"/>
              </w:rPr>
              <w:t>+2.0%</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16,067</w:t>
            </w:r>
          </w:p>
        </w:tc>
        <w:tc>
          <w:tcPr>
            <w:tcW w:type="dxa" w:w="1440"/>
            <w:shd w:fill="C6EFCE" w:val="clear"/>
          </w:tcPr>
          <w:p>
            <w:r>
              <w:rPr>
                <w:b/>
                <w:sz w:val="17"/>
              </w:rPr>
              <w:t>16,834</w:t>
            </w:r>
          </w:p>
        </w:tc>
        <w:tc>
          <w:tcPr>
            <w:tcW w:type="dxa" w:w="1440"/>
            <w:shd w:fill="C6EFCE" w:val="clear"/>
          </w:tcPr>
          <w:p>
            <w:r>
              <w:rPr>
                <w:sz w:val="17"/>
              </w:rPr>
              <w:t>17,600</w:t>
            </w:r>
          </w:p>
        </w:tc>
        <w:tc>
          <w:tcPr>
            <w:tcW w:type="dxa" w:w="1440"/>
            <w:shd w:fill="C6EFCE" w:val="clear"/>
          </w:tcPr>
          <w:p>
            <w:r>
              <w:rPr>
                <w:b/>
                <w:color w:val="008000"/>
                <w:sz w:val="17"/>
              </w:rPr>
              <w:t>+2.0%</w:t>
            </w:r>
          </w:p>
        </w:tc>
      </w:tr>
      <w:tr>
        <w:tc>
          <w:tcPr>
            <w:tcW w:type="dxa" w:w="1440"/>
            <w:shd w:fill="FAFAFA" w:val="clear"/>
          </w:tcPr>
          <w:p>
            <w:r>
              <w:rPr>
                <w:sz w:val="17"/>
              </w:rPr>
              <w:t>J+4  Moyenne</w:t>
            </w:r>
          </w:p>
        </w:tc>
        <w:tc>
          <w:tcPr>
            <w:tcW w:type="dxa" w:w="1440"/>
            <w:shd w:fill="FAFAFA" w:val="clear"/>
          </w:tcPr>
          <w:p>
            <w:r>
              <w:rPr>
                <w:sz w:val="17"/>
              </w:rPr>
              <w:t>2026-09-25</w:t>
            </w:r>
          </w:p>
        </w:tc>
        <w:tc>
          <w:tcPr>
            <w:tcW w:type="dxa" w:w="1440"/>
            <w:shd w:fill="FAFAFA" w:val="clear"/>
          </w:tcPr>
          <w:p>
            <w:r>
              <w:rPr>
                <w:sz w:val="17"/>
              </w:rPr>
              <w:t>15,943</w:t>
            </w:r>
          </w:p>
        </w:tc>
        <w:tc>
          <w:tcPr>
            <w:tcW w:type="dxa" w:w="1440"/>
            <w:shd w:fill="FAFAFA" w:val="clear"/>
          </w:tcPr>
          <w:p>
            <w:r>
              <w:rPr>
                <w:b/>
                <w:sz w:val="17"/>
              </w:rPr>
              <w:t>16,827</w:t>
            </w:r>
          </w:p>
        </w:tc>
        <w:tc>
          <w:tcPr>
            <w:tcW w:type="dxa" w:w="1440"/>
            <w:shd w:fill="FAFAFA" w:val="clear"/>
          </w:tcPr>
          <w:p>
            <w:r>
              <w:rPr>
                <w:sz w:val="17"/>
              </w:rPr>
              <w:t>17,712</w:t>
            </w:r>
          </w:p>
        </w:tc>
        <w:tc>
          <w:tcPr>
            <w:tcW w:type="dxa" w:w="1440"/>
            <w:shd w:fill="FAFAFA" w:val="clear"/>
          </w:tcPr>
          <w:p>
            <w:r>
              <w:rPr>
                <w:b/>
                <w:color w:val="008000"/>
                <w:sz w:val="17"/>
              </w:rPr>
              <w:t>+2.0%</w:t>
            </w:r>
          </w:p>
        </w:tc>
      </w:tr>
      <w:tr>
        <w:tc>
          <w:tcPr>
            <w:tcW w:type="dxa" w:w="1440"/>
            <w:shd w:fill="FAFAFA" w:val="clear"/>
          </w:tcPr>
          <w:p>
            <w:r>
              <w:rPr>
                <w:sz w:val="17"/>
              </w:rPr>
              <w:t>J+5  Moyenne</w:t>
            </w:r>
          </w:p>
        </w:tc>
        <w:tc>
          <w:tcPr>
            <w:tcW w:type="dxa" w:w="1440"/>
            <w:shd w:fill="FAFAFA" w:val="clear"/>
          </w:tcPr>
          <w:p>
            <w:r>
              <w:rPr>
                <w:sz w:val="17"/>
              </w:rPr>
              <w:t>2026-09-28</w:t>
            </w:r>
          </w:p>
        </w:tc>
        <w:tc>
          <w:tcPr>
            <w:tcW w:type="dxa" w:w="1440"/>
            <w:shd w:fill="FAFAFA" w:val="clear"/>
          </w:tcPr>
          <w:p>
            <w:r>
              <w:rPr>
                <w:sz w:val="17"/>
              </w:rPr>
              <w:t>15,828</w:t>
            </w:r>
          </w:p>
        </w:tc>
        <w:tc>
          <w:tcPr>
            <w:tcW w:type="dxa" w:w="1440"/>
            <w:shd w:fill="FAFAFA" w:val="clear"/>
          </w:tcPr>
          <w:p>
            <w:r>
              <w:rPr>
                <w:b/>
                <w:sz w:val="17"/>
              </w:rPr>
              <w:t>16,816</w:t>
            </w:r>
          </w:p>
        </w:tc>
        <w:tc>
          <w:tcPr>
            <w:tcW w:type="dxa" w:w="1440"/>
            <w:shd w:fill="FAFAFA" w:val="clear"/>
          </w:tcPr>
          <w:p>
            <w:r>
              <w:rPr>
                <w:sz w:val="17"/>
              </w:rPr>
              <w:t>17,805</w:t>
            </w:r>
          </w:p>
        </w:tc>
        <w:tc>
          <w:tcPr>
            <w:tcW w:type="dxa" w:w="1440"/>
            <w:shd w:fill="FAFAFA" w:val="clear"/>
          </w:tcPr>
          <w:p>
            <w:r>
              <w:rPr>
                <w:b/>
                <w:color w:val="008000"/>
                <w:sz w:val="17"/>
              </w:rPr>
              <w:t>+1.9%</w:t>
            </w:r>
          </w:p>
        </w:tc>
      </w:tr>
      <w:tr>
        <w:tc>
          <w:tcPr>
            <w:tcW w:type="dxa" w:w="1440"/>
            <w:shd w:fill="FAFAFA" w:val="clear"/>
          </w:tcPr>
          <w:p>
            <w:r>
              <w:rPr>
                <w:sz w:val="17"/>
              </w:rPr>
              <w:t>J+6  Moyenne</w:t>
            </w:r>
          </w:p>
        </w:tc>
        <w:tc>
          <w:tcPr>
            <w:tcW w:type="dxa" w:w="1440"/>
            <w:shd w:fill="FAFAFA" w:val="clear"/>
          </w:tcPr>
          <w:p>
            <w:r>
              <w:rPr>
                <w:sz w:val="17"/>
              </w:rPr>
              <w:t>2026-09-29</w:t>
            </w:r>
          </w:p>
        </w:tc>
        <w:tc>
          <w:tcPr>
            <w:tcW w:type="dxa" w:w="1440"/>
            <w:shd w:fill="FAFAFA" w:val="clear"/>
          </w:tcPr>
          <w:p>
            <w:r>
              <w:rPr>
                <w:sz w:val="17"/>
              </w:rPr>
              <w:t>15,722</w:t>
            </w:r>
          </w:p>
        </w:tc>
        <w:tc>
          <w:tcPr>
            <w:tcW w:type="dxa" w:w="1440"/>
            <w:shd w:fill="FAFAFA" w:val="clear"/>
          </w:tcPr>
          <w:p>
            <w:r>
              <w:rPr>
                <w:b/>
                <w:sz w:val="17"/>
              </w:rPr>
              <w:t>16,804</w:t>
            </w:r>
          </w:p>
        </w:tc>
        <w:tc>
          <w:tcPr>
            <w:tcW w:type="dxa" w:w="1440"/>
            <w:shd w:fill="FAFAFA" w:val="clear"/>
          </w:tcPr>
          <w:p>
            <w:r>
              <w:rPr>
                <w:sz w:val="17"/>
              </w:rPr>
              <w:t>17,886</w:t>
            </w:r>
          </w:p>
        </w:tc>
        <w:tc>
          <w:tcPr>
            <w:tcW w:type="dxa" w:w="1440"/>
            <w:shd w:fill="FAFAFA" w:val="clear"/>
          </w:tcPr>
          <w:p>
            <w:r>
              <w:rPr>
                <w:b/>
                <w:color w:val="008000"/>
                <w:sz w:val="17"/>
              </w:rPr>
              <w:t>+1.8%</w:t>
            </w:r>
          </w:p>
        </w:tc>
      </w:tr>
      <w:tr>
        <w:tc>
          <w:tcPr>
            <w:tcW w:type="dxa" w:w="1440"/>
            <w:shd w:fill="FAFAFA" w:val="clear"/>
          </w:tcPr>
          <w:p>
            <w:r>
              <w:rPr>
                <w:sz w:val="17"/>
              </w:rPr>
              <w:t>J+7  Moyenne</w:t>
            </w:r>
          </w:p>
        </w:tc>
        <w:tc>
          <w:tcPr>
            <w:tcW w:type="dxa" w:w="1440"/>
            <w:shd w:fill="FAFAFA" w:val="clear"/>
          </w:tcPr>
          <w:p>
            <w:r>
              <w:rPr>
                <w:sz w:val="17"/>
              </w:rPr>
              <w:t>2026-09-30</w:t>
            </w:r>
          </w:p>
        </w:tc>
        <w:tc>
          <w:tcPr>
            <w:tcW w:type="dxa" w:w="1440"/>
            <w:shd w:fill="FAFAFA" w:val="clear"/>
          </w:tcPr>
          <w:p>
            <w:r>
              <w:rPr>
                <w:sz w:val="17"/>
              </w:rPr>
              <w:t>15,624</w:t>
            </w:r>
          </w:p>
        </w:tc>
        <w:tc>
          <w:tcPr>
            <w:tcW w:type="dxa" w:w="1440"/>
            <w:shd w:fill="FAFAFA" w:val="clear"/>
          </w:tcPr>
          <w:p>
            <w:r>
              <w:rPr>
                <w:b/>
                <w:sz w:val="17"/>
              </w:rPr>
              <w:t>16,792</w:t>
            </w:r>
          </w:p>
        </w:tc>
        <w:tc>
          <w:tcPr>
            <w:tcW w:type="dxa" w:w="1440"/>
            <w:shd w:fill="FAFAFA" w:val="clear"/>
          </w:tcPr>
          <w:p>
            <w:r>
              <w:rPr>
                <w:sz w:val="17"/>
              </w:rPr>
              <w:t>17,960</w:t>
            </w:r>
          </w:p>
        </w:tc>
        <w:tc>
          <w:tcPr>
            <w:tcW w:type="dxa" w:w="1440"/>
            <w:shd w:fill="FAFAFA" w:val="clear"/>
          </w:tcPr>
          <w:p>
            <w:r>
              <w:rPr>
                <w:b/>
                <w:color w:val="008000"/>
                <w:sz w:val="17"/>
              </w:rPr>
              <w:t>+1.8%</w:t>
            </w:r>
          </w:p>
        </w:tc>
      </w:tr>
      <w:tr>
        <w:tc>
          <w:tcPr>
            <w:tcW w:type="dxa" w:w="1440"/>
            <w:shd w:fill="FAFAFA" w:val="clear"/>
          </w:tcPr>
          <w:p>
            <w:r>
              <w:rPr>
                <w:sz w:val="17"/>
              </w:rPr>
              <w:t>J+8  Moyenne</w:t>
            </w:r>
          </w:p>
        </w:tc>
        <w:tc>
          <w:tcPr>
            <w:tcW w:type="dxa" w:w="1440"/>
            <w:shd w:fill="FAFAFA" w:val="clear"/>
          </w:tcPr>
          <w:p>
            <w:r>
              <w:rPr>
                <w:sz w:val="17"/>
              </w:rPr>
              <w:t>2026-10-01</w:t>
            </w:r>
          </w:p>
        </w:tc>
        <w:tc>
          <w:tcPr>
            <w:tcW w:type="dxa" w:w="1440"/>
            <w:shd w:fill="FAFAFA" w:val="clear"/>
          </w:tcPr>
          <w:p>
            <w:r>
              <w:rPr>
                <w:sz w:val="17"/>
              </w:rPr>
              <w:t>15,532</w:t>
            </w:r>
          </w:p>
        </w:tc>
        <w:tc>
          <w:tcPr>
            <w:tcW w:type="dxa" w:w="1440"/>
            <w:shd w:fill="FAFAFA" w:val="clear"/>
          </w:tcPr>
          <w:p>
            <w:r>
              <w:rPr>
                <w:b/>
                <w:sz w:val="17"/>
              </w:rPr>
              <w:t>16,780</w:t>
            </w:r>
          </w:p>
        </w:tc>
        <w:tc>
          <w:tcPr>
            <w:tcW w:type="dxa" w:w="1440"/>
            <w:shd w:fill="FAFAFA" w:val="clear"/>
          </w:tcPr>
          <w:p>
            <w:r>
              <w:rPr>
                <w:sz w:val="17"/>
              </w:rPr>
              <w:t>18,027</w:t>
            </w:r>
          </w:p>
        </w:tc>
        <w:tc>
          <w:tcPr>
            <w:tcW w:type="dxa" w:w="1440"/>
            <w:shd w:fill="FAFAFA" w:val="clear"/>
          </w:tcPr>
          <w:p>
            <w:r>
              <w:rPr>
                <w:b/>
                <w:color w:val="008000"/>
                <w:sz w:val="17"/>
              </w:rPr>
              <w:t>+1.7%</w:t>
            </w:r>
          </w:p>
        </w:tc>
      </w:tr>
      <w:tr>
        <w:tc>
          <w:tcPr>
            <w:tcW w:type="dxa" w:w="1440"/>
            <w:shd w:fill="FAFAFA" w:val="clear"/>
          </w:tcPr>
          <w:p>
            <w:r>
              <w:rPr>
                <w:sz w:val="17"/>
              </w:rPr>
              <w:t>J+9  Moyenne</w:t>
            </w:r>
          </w:p>
        </w:tc>
        <w:tc>
          <w:tcPr>
            <w:tcW w:type="dxa" w:w="1440"/>
            <w:shd w:fill="FAFAFA" w:val="clear"/>
          </w:tcPr>
          <w:p>
            <w:r>
              <w:rPr>
                <w:sz w:val="17"/>
              </w:rPr>
              <w:t>2026-10-02</w:t>
            </w:r>
          </w:p>
        </w:tc>
        <w:tc>
          <w:tcPr>
            <w:tcW w:type="dxa" w:w="1440"/>
            <w:shd w:fill="FAFAFA" w:val="clear"/>
          </w:tcPr>
          <w:p>
            <w:r>
              <w:rPr>
                <w:sz w:val="17"/>
              </w:rPr>
              <w:t>15,445</w:t>
            </w:r>
          </w:p>
        </w:tc>
        <w:tc>
          <w:tcPr>
            <w:tcW w:type="dxa" w:w="1440"/>
            <w:shd w:fill="FAFAFA" w:val="clear"/>
          </w:tcPr>
          <w:p>
            <w:r>
              <w:rPr>
                <w:b/>
                <w:sz w:val="17"/>
              </w:rPr>
              <w:t>16,767</w:t>
            </w:r>
          </w:p>
        </w:tc>
        <w:tc>
          <w:tcPr>
            <w:tcW w:type="dxa" w:w="1440"/>
            <w:shd w:fill="FAFAFA" w:val="clear"/>
          </w:tcPr>
          <w:p>
            <w:r>
              <w:rPr>
                <w:sz w:val="17"/>
              </w:rPr>
              <w:t>18,090</w:t>
            </w:r>
          </w:p>
        </w:tc>
        <w:tc>
          <w:tcPr>
            <w:tcW w:type="dxa" w:w="1440"/>
            <w:shd w:fill="FAFAFA" w:val="clear"/>
          </w:tcPr>
          <w:p>
            <w:r>
              <w:rPr>
                <w:b/>
                <w:color w:val="008000"/>
                <w:sz w:val="17"/>
              </w:rPr>
              <w:t>+1.6%</w:t>
            </w:r>
          </w:p>
        </w:tc>
      </w:tr>
      <w:tr>
        <w:tc>
          <w:tcPr>
            <w:tcW w:type="dxa" w:w="1440"/>
            <w:shd w:fill="FAFAFA" w:val="clear"/>
          </w:tcPr>
          <w:p>
            <w:r>
              <w:rPr>
                <w:sz w:val="17"/>
              </w:rPr>
              <w:t>J+10  Moyenne</w:t>
            </w:r>
          </w:p>
        </w:tc>
        <w:tc>
          <w:tcPr>
            <w:tcW w:type="dxa" w:w="1440"/>
            <w:shd w:fill="FAFAFA" w:val="clear"/>
          </w:tcPr>
          <w:p>
            <w:r>
              <w:rPr>
                <w:sz w:val="17"/>
              </w:rPr>
              <w:t>2026-10-05</w:t>
            </w:r>
          </w:p>
        </w:tc>
        <w:tc>
          <w:tcPr>
            <w:tcW w:type="dxa" w:w="1440"/>
            <w:shd w:fill="FAFAFA" w:val="clear"/>
          </w:tcPr>
          <w:p>
            <w:r>
              <w:rPr>
                <w:sz w:val="17"/>
              </w:rPr>
              <w:t>15,362</w:t>
            </w:r>
          </w:p>
        </w:tc>
        <w:tc>
          <w:tcPr>
            <w:tcW w:type="dxa" w:w="1440"/>
            <w:shd w:fill="FAFAFA" w:val="clear"/>
          </w:tcPr>
          <w:p>
            <w:r>
              <w:rPr>
                <w:b/>
                <w:sz w:val="17"/>
              </w:rPr>
              <w:t>16,755</w:t>
            </w:r>
          </w:p>
        </w:tc>
        <w:tc>
          <w:tcPr>
            <w:tcW w:type="dxa" w:w="1440"/>
            <w:shd w:fill="FAFAFA" w:val="clear"/>
          </w:tcPr>
          <w:p>
            <w:r>
              <w:rPr>
                <w:sz w:val="17"/>
              </w:rPr>
              <w:t>18,148</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non bancaire (Bitumes / Produits pétroliers)*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128,62 Mds FCFA, SMBC se positionne comme une valeur de taille intermédiaire sur la BRVM, loin des poids lourds bancaires et télécoms mais suffisamment liquide pour intéresser les investisseurs institutionnels. Le BPA de 1 677 FCFA/action signifie que chaque titre génère près de 1 677 FCFA de bénéfice net, ce qui, rapporté au cours actuel de 16 500 FCFA, donne un PER de 9,8x — légèrement inférieur à la moyenne BRVM (8-12x), suggérant une valorisation raisonnable voire légèrement sous-évaluée au regard de la qualité des résultats 2025. Le P/B de 3,00x indique que le marché valorise SMBC à trois fois ses fonds propres comptables (42,9 Mds FCFA), soit une prime de croissance significative (fourchette 2-4x) justifiée par un ROE exceptionnel de 30,5%. Enfin, l'EV/EBITDA de 6,2x (fourchette raisonnable 5-10x) montre que la valeur d'entreprise reste contenue par rapport à la capacité opérationnelle de génération de cash (EBE de 18,48 Mds FCFA), ce qui plaide pour une valorisation équilibrée, sans excès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SMBC affiche une performance remarquable de +43,35%, portée par un contexte de forte amélioration de la rentabilité, même si la dernière séance (J-1) marque une correction de -2,94% à 16 500 FCFA. Le range de trading est large, entre un plus bas de 11 500 FCFA et un plus haut de 18 500 FCFA, soit une amplitude de 61%, témoignant d'une forte volatilité intra-période. La tendance générale est nettement haussière, le cours actuel se maintenant au-dessus de la moyenne (15 595 FCFA) et de la médiane (16 272 FCFA), ce qui traduit une dynamique positive malgré la consolidation récente. Les statistiques descriptives révèlent une distribution légèrement asymétrique : la moyenne (15 595 FCFA) est inférieure à la médiane (16 272 FCFA), confirmant le skewness négatif de -0,791, c'est-à-dire que le titre a passé plus de journées au-dessus de sa moyenne, avec quelques journées de forte baisse tirant la moyenne vers le bas. L'écart-type de 1 999 FCFA (CV = 12,8%) indique une dispersion modérée du cours, tandis que le kurtosis de -0,643 (mésokurtique) suggère une distribution proche de la normale, sans risque extrême de pics. La volatilité annualisée de 37,8% classe SMBC dans la catégorie des titres à volatilité élevée (&gt;30%), ce qui implique un risque de marché non négligeable mais cohérent avec la nature cyclique du secteur des bitumes.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(17 497,5 FCFA) et la MM50 (16 745,7 FCFA) se situent toutes deux au-dessus du cours actuel (16 500 FCFA), ce qui place le titre en position de faiblesse relative à court terme. Toutefois, la MM20 reste supérieure à la MM50, signalant que la tendance de fond demeure haussière ; la décision technique globale est donc « Achat » sur repli, le cours venant tester une zone de support dynamique.</w:t>
      </w:r>
    </w:p>
    <w:p>
      <w:pPr>
        <w:spacing w:after="120" w:line="276" w:lineRule="auto"/>
      </w:pPr>
      <w:r>
        <w:t>**Bandes de Bollinger** : Le cours (16 500 FCFA) évolue dans la partie basse de la bande, proche de la borne inférieure (16 368,26 FCFA) et loin de la borne supérieure (18 626,74 FCFA). Cette position indique une pression vendeuse de court terme mais aussi un potentiel de rebond technique vers la moyenne mobile, la décision étant « Neutre » en raison de l'absence de signal directionnel fort.</w:t>
      </w:r>
    </w:p>
    <w:p>
      <w:pPr>
        <w:spacing w:after="120" w:line="276" w:lineRule="auto"/>
      </w:pPr>
      <w:r>
        <w:t>**MACD** : La valeur du MACD (151,79) est nettement inférieure à son signal (315,27), ce qui confirme un momentum baissier de court terme et justifie la décision « Vente ». Cette divergence négative suggère que la correction entamée en J-1 pourrait se poursuivre avant un retournement.</w:t>
      </w:r>
    </w:p>
    <w:p>
      <w:pPr>
        <w:spacing w:after="120" w:line="276" w:lineRule="auto"/>
      </w:pPr>
      <w:r>
        <w:t>**RSI** : À 39,61, le RSI se situe dans la zone neutre basse (30-70), sans atteindre la zone de survente (&lt;30). La décision est « Neutre », le titre n'étant ni suracheté ni survendu, mais la proximité de la zone de survente laisse entrevoir un potentiel de rebond à moyen terme.</w:t>
      </w:r>
    </w:p>
    <w:p>
      <w:pPr>
        <w:spacing w:after="120" w:line="276" w:lineRule="auto"/>
      </w:pPr>
      <w:r>
        <w:t>**Stochastique** : Le %K et le %D sont tous deux à 0,0, ce qui place l'indicateur en zone de survente extrême et déclenche une décision « Achat ». Ce signal contredit le MACD et suggère qu'un rebond technique est imminent, le cours ayant probablement surréagi à la baisse.</w:t>
      </w:r>
    </w:p>
    <w:p>
      <w:pPr>
        <w:spacing w:after="120" w:line="276" w:lineRule="auto"/>
      </w:pPr>
      <w:r>
        <w:t>**Conclusion technique** : Les indicateurs sont divergents — le MACD est baissier, les Bandes de Bollinger et le RSI sont neutres, tandis que les Moyennes Mobiles et le Stochastique sont haussiers. Cette configuration suggère une phase de consolidation en cours, avec un potentiel de rebond à court terme (Stochastique en survente) mais une prudence nécessaire tant que le MACD ne s'inverse pas. Le titre évolue dans une zone de support critique (16 368-16 500 FCFA) qu'il convient de surveiller.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paradoxale mais solide : le chiffre d'affaires s'établit à 206,74 Mds FCFA, en baisse de -9,74% sur un an, tandis que le résultat net progresse spectaculairement de +50,3% à 13,075 Mds FCFA, portant la marge nette de 3,8% à 6,32%. Cette performance s'explique par une amélioration remarquable de l'efficacité opérationnelle : l'EBE bondit de +41,8% à 18,48 Mds FCFA, la valeur ajoutée atteint 22,57 Mds FCFA et le résultat d'exploitation s'élève à 17,83 Mds FCFA, malgré un contexte de contraction des volumes. Le ROE atteint 30,47% (excellent, &gt;15%) et le ROA 7,26%, confirmant la capacité de SMBC à générer des profits élevés avec ses fonds propres (42,91 Mds FCFA) et ses actifs (180,00 Mds FCFA). En tant qu'entreprise non bancaire, l'analyse des délais d'exploitation est cruciale : le délai clients est élevé à 193,75 jours (risque de trésorerie), mais il est compensé par un délai fournisseurs de 207,07 jours (favorable à la trésorerie) et une durée de stockage de 38,09 jours. Le BFR est positif à 1,693 Md FCFA mais reste contenu, et la trésorerie nette est confortable à 23,99 Mds FCFA. La structure financière est saine : l'autonomie financière est de 23,84% (légèrement sous le seuil de 30%), le ratio d'endettement de 76,16% reste maîtrisé, et la capacité de remboursement est de 0,68 an (excellent). Les rapports trimestriels 2025 confirment cette dynamique : le T1 2025 (CA -22%, RN -7%) et le S1 2025 (CA -23%, RN -7%) montraient déjà une résilience opérationnelle, tandis que le T3 2025 (CA -14%, RN +6%) et le rapport annuel 2025 (RN +50,3%) témoignent d'une accélération de la rentabilité en fin d'année, portée par l'amélioration des marges de raffinage et la demande locale. La politique de dividende, avec 5 457 M FCFA versés en 2025 (payout ratio de 41,7%), est prudente et soutenable, contrastant avec le taux de 107,5% de 2024. La recommandation fondamentale est donc **CONSERVER** le titre : la solidité financière, la rentabilité exceptionnelle et la trésorerie abondante sont des atouts majeurs, mais la baisse du chiffre d'affaires et la dépendance aux cycles pétroliers et aux investissements publics en infrastructures appellent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**Valorisation (Partie 0)** : avec un PER de 9,8x (sous la moyenne BRVM), un P/B de 3,00x (prime justifiée par un ROE de 30,5%) et un EV/EBITDA de 6,2x (raisonnable), SMBC apparaît légèrement sous-évaluée au regard de ses fondamentaux. **Comportement du cours (Partie 1)** : la tendance haussière de +43,35% sur 100 jours est impressionnante, mais la volatilité élevée (37,8%) et le skewness négatif (-0,791) indiquent un risque de correction, confirmé par la baisse de -2,94% en J-1. **Signaux techniques (Partie 2)** : la divergence entre le MACD (vente) et le Stochastique (achat) traduit une indécision du marché, avec un biais haussier à court terme (survente stochastique) mais une prudence sur le momentum. **Fondamentaux (Partie 3)** : la performance 2025 est excellente (RN +50,3%, ROE 30,5%, trésorerie nette de 24 Mds FCFA), mais la baisse du CA (-9,7%) et la dépendance au secteur des BTP restent des préoccupations structurelles. **Prédictions IA (J+1 à J+10)** : la trajectoire projetée (16 859 FCFA le 22/09, puis 16 816 FCFA le 28/09) suggère une légère reprise suivie d'une stabilisation autour de 16 800 FCFA, ce qui confirme un rebond technique modéré sans emballement. Sur la base de cette convergence partielle — valorisation attractive, fondamentaux solides mais croissance en berne, technique indécise et prédictions modérément haussières — la recommandation finale est **CONSERVER**, avec un niveau de confiance **Moyen** et un risque global **Moyen**. L'horizon d'investissement optimal est le **moyen terme (3-12 mois)**, le temps que la société confirme la reprise de son chiffre d'affaires et que les investissements en cours (modernisation, extension) portent leurs fruits. Un passage à l'achat serait justifié si le CA repart à la hausse et si le MACD s'inverse durablement à la hausse ; une vente serait envisagée en cas de nouvelle dégradation du CA ou de détérioration de la trésorerie.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11,003 titres</w:t>
            </w:r>
          </w:p>
        </w:tc>
        <w:tc>
          <w:tcPr>
            <w:tcW w:type="dxa" w:w="2268"/>
            <w:shd w:fill="FFF2CC" w:val="clear"/>
          </w:tcPr>
          <w:p>
            <w:r>
              <w:rPr>
                <w:b/>
                <w:color w:val="503200"/>
                <w:sz w:val="16"/>
              </w:rPr>
              <w:t xml:space="preserve">Cours actuel : </w:t>
            </w:r>
            <w:r>
              <w:rPr>
                <w:color w:val="000000"/>
                <w:sz w:val="17"/>
              </w:rPr>
              <w:t>42,000 FCFA</w:t>
            </w:r>
          </w:p>
          <w:p>
            <w:r>
              <w:rPr>
                <w:b/>
                <w:color w:val="503200"/>
                <w:sz w:val="16"/>
              </w:rPr>
              <w:t xml:space="preserve">Var. 100 jours : </w:t>
            </w:r>
            <w:r>
              <w:rPr>
                <w:b/>
                <w:color w:val="007800"/>
                <w:sz w:val="17"/>
              </w:rPr>
              <w:t>+47.37%</w:t>
            </w:r>
          </w:p>
          <w:p>
            <w:r>
              <w:rPr>
                <w:b/>
                <w:color w:val="503200"/>
                <w:sz w:val="16"/>
              </w:rPr>
              <w:t xml:space="preserve">Plus haut 100j : </w:t>
            </w:r>
            <w:r>
              <w:rPr>
                <w:color w:val="000000"/>
                <w:sz w:val="17"/>
              </w:rPr>
              <w:t>42,190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12.02% (Moyenne) — μ=31,626 FCFA, σ=3,802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β=1.7390 (Agressif) — Cov=0.000070, Var(idx)=0.000040, ρ=0.543,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11,003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2026-09-22</w:t>
            </w:r>
          </w:p>
        </w:tc>
        <w:tc>
          <w:tcPr>
            <w:tcW w:type="dxa" w:w="1440"/>
            <w:shd w:fill="FFDCE0" w:val="clear"/>
          </w:tcPr>
          <w:p>
            <w:r>
              <w:rPr>
                <w:sz w:val="17"/>
              </w:rPr>
              <w:t>38,591</w:t>
            </w:r>
          </w:p>
        </w:tc>
        <w:tc>
          <w:tcPr>
            <w:tcW w:type="dxa" w:w="1440"/>
            <w:shd w:fill="FFDCE0" w:val="clear"/>
          </w:tcPr>
          <w:p>
            <w:r>
              <w:rPr>
                <w:b/>
                <w:sz w:val="17"/>
              </w:rPr>
              <w:t>40,270</w:t>
            </w:r>
          </w:p>
        </w:tc>
        <w:tc>
          <w:tcPr>
            <w:tcW w:type="dxa" w:w="1440"/>
            <w:shd w:fill="FFDCE0" w:val="clear"/>
          </w:tcPr>
          <w:p>
            <w:r>
              <w:rPr>
                <w:sz w:val="17"/>
              </w:rPr>
              <w:t>41,949</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2026-09-23</w:t>
            </w:r>
          </w:p>
        </w:tc>
        <w:tc>
          <w:tcPr>
            <w:tcW w:type="dxa" w:w="1440"/>
            <w:shd w:fill="FFDCE0" w:val="clear"/>
          </w:tcPr>
          <w:p>
            <w:r>
              <w:rPr>
                <w:sz w:val="17"/>
              </w:rPr>
              <w:t>37,930</w:t>
            </w:r>
          </w:p>
        </w:tc>
        <w:tc>
          <w:tcPr>
            <w:tcW w:type="dxa" w:w="1440"/>
            <w:shd w:fill="FFDCE0" w:val="clear"/>
          </w:tcPr>
          <w:p>
            <w:r>
              <w:rPr>
                <w:b/>
                <w:sz w:val="17"/>
              </w:rPr>
              <w:t>40,307</w:t>
            </w:r>
          </w:p>
        </w:tc>
        <w:tc>
          <w:tcPr>
            <w:tcW w:type="dxa" w:w="1440"/>
            <w:shd w:fill="FFDCE0" w:val="clear"/>
          </w:tcPr>
          <w:p>
            <w:r>
              <w:rPr>
                <w:sz w:val="17"/>
              </w:rPr>
              <w:t>42,683</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37,289</w:t>
            </w:r>
          </w:p>
        </w:tc>
        <w:tc>
          <w:tcPr>
            <w:tcW w:type="dxa" w:w="1440"/>
            <w:shd w:fill="FFDCE0" w:val="clear"/>
          </w:tcPr>
          <w:p>
            <w:r>
              <w:rPr>
                <w:b/>
                <w:sz w:val="17"/>
              </w:rPr>
              <w:t>40,191</w:t>
            </w:r>
          </w:p>
        </w:tc>
        <w:tc>
          <w:tcPr>
            <w:tcW w:type="dxa" w:w="1440"/>
            <w:shd w:fill="FFDCE0" w:val="clear"/>
          </w:tcPr>
          <w:p>
            <w:r>
              <w:rPr>
                <w:sz w:val="17"/>
              </w:rPr>
              <w:t>43,093</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36,749</w:t>
            </w:r>
          </w:p>
        </w:tc>
        <w:tc>
          <w:tcPr>
            <w:tcW w:type="dxa" w:w="1440"/>
            <w:shd w:fill="FFDCE0" w:val="clear"/>
          </w:tcPr>
          <w:p>
            <w:r>
              <w:rPr>
                <w:b/>
                <w:sz w:val="17"/>
              </w:rPr>
              <w:t>40,092</w:t>
            </w:r>
          </w:p>
        </w:tc>
        <w:tc>
          <w:tcPr>
            <w:tcW w:type="dxa" w:w="1440"/>
            <w:shd w:fill="FFDCE0" w:val="clear"/>
          </w:tcPr>
          <w:p>
            <w:r>
              <w:rPr>
                <w:sz w:val="17"/>
              </w:rPr>
              <w:t>43,435</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36,291</w:t>
            </w:r>
          </w:p>
        </w:tc>
        <w:tc>
          <w:tcPr>
            <w:tcW w:type="dxa" w:w="1440"/>
            <w:shd w:fill="FFDCE0" w:val="clear"/>
          </w:tcPr>
          <w:p>
            <w:r>
              <w:rPr>
                <w:b/>
                <w:sz w:val="17"/>
              </w:rPr>
              <w:t>40,021</w:t>
            </w:r>
          </w:p>
        </w:tc>
        <w:tc>
          <w:tcPr>
            <w:tcW w:type="dxa" w:w="1440"/>
            <w:shd w:fill="FFDCE0" w:val="clear"/>
          </w:tcPr>
          <w:p>
            <w:r>
              <w:rPr>
                <w:sz w:val="17"/>
              </w:rPr>
              <w:t>43,752</w:t>
            </w:r>
          </w:p>
        </w:tc>
        <w:tc>
          <w:tcPr>
            <w:tcW w:type="dxa" w:w="1440"/>
            <w:shd w:fill="FFDCE0" w:val="clear"/>
          </w:tcPr>
          <w:p>
            <w:r>
              <w:rPr>
                <w:b/>
                <w:color w:val="C00000"/>
                <w:sz w:val="17"/>
              </w:rPr>
              <w:t>-4.7%</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35,885</w:t>
            </w:r>
          </w:p>
        </w:tc>
        <w:tc>
          <w:tcPr>
            <w:tcW w:type="dxa" w:w="1440"/>
            <w:shd w:fill="FFDCE0" w:val="clear"/>
          </w:tcPr>
          <w:p>
            <w:r>
              <w:rPr>
                <w:b/>
                <w:sz w:val="17"/>
              </w:rPr>
              <w:t>39,966</w:t>
            </w:r>
          </w:p>
        </w:tc>
        <w:tc>
          <w:tcPr>
            <w:tcW w:type="dxa" w:w="1440"/>
            <w:shd w:fill="FFDCE0" w:val="clear"/>
          </w:tcPr>
          <w:p>
            <w:r>
              <w:rPr>
                <w:sz w:val="17"/>
              </w:rPr>
              <w:t>44,047</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35,514</w:t>
            </w:r>
          </w:p>
        </w:tc>
        <w:tc>
          <w:tcPr>
            <w:tcW w:type="dxa" w:w="1440"/>
            <w:shd w:fill="FFDCE0" w:val="clear"/>
          </w:tcPr>
          <w:p>
            <w:r>
              <w:rPr>
                <w:b/>
                <w:sz w:val="17"/>
              </w:rPr>
              <w:t>39,917</w:t>
            </w:r>
          </w:p>
        </w:tc>
        <w:tc>
          <w:tcPr>
            <w:tcW w:type="dxa" w:w="1440"/>
            <w:shd w:fill="FFDCE0" w:val="clear"/>
          </w:tcPr>
          <w:p>
            <w:r>
              <w:rPr>
                <w:sz w:val="17"/>
              </w:rPr>
              <w:t>44,320</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35,170</w:t>
            </w:r>
          </w:p>
        </w:tc>
        <w:tc>
          <w:tcPr>
            <w:tcW w:type="dxa" w:w="1440"/>
            <w:shd w:fill="FFDCE0" w:val="clear"/>
          </w:tcPr>
          <w:p>
            <w:r>
              <w:rPr>
                <w:b/>
                <w:sz w:val="17"/>
              </w:rPr>
              <w:t>39,871</w:t>
            </w:r>
          </w:p>
        </w:tc>
        <w:tc>
          <w:tcPr>
            <w:tcW w:type="dxa" w:w="1440"/>
            <w:shd w:fill="FFDCE0" w:val="clear"/>
          </w:tcPr>
          <w:p>
            <w:r>
              <w:rPr>
                <w:sz w:val="17"/>
              </w:rPr>
              <w:t>44,572</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34,846</w:t>
            </w:r>
          </w:p>
        </w:tc>
        <w:tc>
          <w:tcPr>
            <w:tcW w:type="dxa" w:w="1440"/>
            <w:shd w:fill="FFDCE0" w:val="clear"/>
          </w:tcPr>
          <w:p>
            <w:r>
              <w:rPr>
                <w:b/>
                <w:sz w:val="17"/>
              </w:rPr>
              <w:t>39,826</w:t>
            </w:r>
          </w:p>
        </w:tc>
        <w:tc>
          <w:tcPr>
            <w:tcW w:type="dxa" w:w="1440"/>
            <w:shd w:fill="FFDCE0" w:val="clear"/>
          </w:tcPr>
          <w:p>
            <w:r>
              <w:rPr>
                <w:sz w:val="17"/>
              </w:rPr>
              <w:t>44,807</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34,538</w:t>
            </w:r>
          </w:p>
        </w:tc>
        <w:tc>
          <w:tcPr>
            <w:tcW w:type="dxa" w:w="1440"/>
            <w:shd w:fill="FFDCE0" w:val="clear"/>
          </w:tcPr>
          <w:p>
            <w:r>
              <w:rPr>
                <w:b/>
                <w:sz w:val="17"/>
              </w:rPr>
              <w:t>39,783</w:t>
            </w:r>
          </w:p>
        </w:tc>
        <w:tc>
          <w:tcPr>
            <w:tcW w:type="dxa" w:w="1440"/>
            <w:shd w:fill="FFDCE0" w:val="clear"/>
          </w:tcPr>
          <w:p>
            <w:r>
              <w:rPr>
                <w:sz w:val="17"/>
              </w:rPr>
              <w:t>45,027</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4 200 milliards FCFA, Sonatel s'impose comme la première capitalisation de la BRVM, représentant à elle seule une part prépondérante de l'indice BRVM Composite et constituant le titre de référence du marché régional. Le BPA de 4 136 FCFA par action signifie que chaque titre génère près de 4 136 FCFA de bénéfice net, un niveau remarquable qui traduit la forte rentabilité de l'opérateur télécoms. Le PER de 10,2x situe le titre dans la fourchette modérée de la BRVM (moyenne ~8-12x), indiquant que les investisseurs ne paient pas de prime excessive pour les bénéfices, avec un potentiel de revalorisation si la croissance se maintient. Le P/B de 3,00x traduit une prime de croissance accordée par le marché (fourchette 2-4x), justifiée par la qualité des actifs incorporels (licences, réseaux) et la rentabilité des fonds propres. Enfin, l'EV/EBITDA de 4,4x, inférieur au seuil de 5x, signale que la valeur totale de l'entreprise (dette incluse) reste très bon marché au regard de sa capacité opérationnelle à générer du cash, ce qui constitue un signal de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**+47,37%**, passant d'environ 28 500 FCFA à son cours actuel de **42 000 FCFA**, avec une légère correction de -0,45% lors de la dernière séance. Le range de trading est particulièrement large, avec un plus haut à **42 190 FCFA** (pratiquement le niveau actuel) et un plus bas à **27 160 FCFA**, soit un écart de plus de 15 000 FCFA qui témoigne d'une dynamique haussière puissante et d'un intérêt croissant des investisseurs. La tendance générale est clairement haussière, portée par des fondamentaux solides et un contexte de marché favorable aux valeurs télécoms. Les statistiques descriptives révèlent une moyenne de 31 626 FCFA contre une médiane de 30 900 FCFA, avec un écart modéré qui indique une légère asymétrie positive (skewness de 1,138), confirmant que le cours a passé plus de journées sous sa moyenne avant de s'envoler en fin de période. L'écart-type de 3 821 FCFA (CV de 12,1%) traduit une dispersion modérée du cours, tandis que le kurtosis de 0,095 (mésokurtique) indique une distribution proche de la normale, sans risque excessif de pics extrêmes. La volatilité annualisée de **32,2%** positionne le titre dans la catégorie des valeurs à volatilité élevée (&gt;30%), ce qui est cohérent avec la forte progression récente et appelle à la prudence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38 337,75 FCFA et la MM50 à 34 470,90 FCFA, toutes deux nettement inférieures au cours actuel de 42 000 FCFA, ce qui confirme une configuration haussière solide avec un cours évoluant au-dessus de ses moyennes. L'écart entre la MM20 et la MM50 (environ 3 867 FCFA) indique un momentum positif soutenu, et la décision technique est logiquement **Achat**.</w:t>
      </w:r>
    </w:p>
    <w:p>
      <w:pPr>
        <w:spacing w:after="120" w:line="276" w:lineRule="auto"/>
      </w:pPr>
      <w:r>
        <w:t>**Bandes de Bollinger :** Le cours actuel (42 000 FCFA) évolue pratiquement au niveau de la borne supérieure (42 042,74 FCFA), tandis que la borne inférieure se situe à 34 632,76 FCFA, ce qui traduit une volatilité élevée et une pression acheteuse forte. La décision est **Neutre**, car le cours frôle la borne supérieure, suggérant une possible consolidation ou correction à court terme.</w:t>
      </w:r>
    </w:p>
    <w:p>
      <w:pPr>
        <w:spacing w:after="120" w:line="276" w:lineRule="auto"/>
      </w:pPr>
      <w:r>
        <w:t>**MACD :** La valeur du MACD (1 933,12) est supérieure à son signal (1 787,01), avec un histogramme positif d'environ 146 points, confirmant un momentum haussier en cours. La décision technique est **Achat**, bien que l'écart relativement faible entre les deux lignes appelle à surveiller un éventuel croisement baissier.</w:t>
      </w:r>
    </w:p>
    <w:p>
      <w:pPr>
        <w:spacing w:after="120" w:line="276" w:lineRule="auto"/>
      </w:pPr>
      <w:r>
        <w:t>**RSI :** Avec une valeur de **85,01**, le RSI se situe largement au-dessus du seuil de surachat (70), signalant que le titre est techniquement surchauffé et qu'une correction ou consolidation est probable à court terme. La décision est donc **Vente** à court terme, ce qui contraste avec la tendance de fond haussière.</w:t>
      </w:r>
    </w:p>
    <w:p>
      <w:pPr>
        <w:spacing w:after="120" w:line="276" w:lineRule="auto"/>
      </w:pPr>
      <w:r>
        <w:t>**Stochastique :** Le %K (96,23) et le %D (98,43) sont tous deux en zone de surachat extrême, avec un %K légèrement inférieur au %D, ce qui pourrait annoncer un croisement baissier imminent. La décision est **Vente**, confirmant la nécessité de prudence à court terme.</w:t>
      </w:r>
    </w:p>
    <w:p>
      <w:pPr>
        <w:spacing w:after="120" w:line="276" w:lineRule="auto"/>
      </w:pPr>
      <w:r>
        <w:t>**Conclusion technique :** Les indicateurs techniques présentent une divergence classique : les moyennes mobiles et le MACD confirment une tendance haussière de fond, tandis que le RSI et le stochastique signalent une surchauffe à court terme. Cette configuration suggère que le titre pourrait connaître une consolidation ou une correction avant de reprendre sa tendance haussière, offrant potentiellement des points d'entrée intéressants pour les investisseurs de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**1 923,122 milliards FCFA**, en croissance de **+8,26%** par rapport à 2024, porté par la Data mobile, le Fixe Broadband et Orange Money. Le résultat net s'établit à **413,588 milliards FCFA**, avec une marge nette de **21,51%**, tandis que le ROE atteint **29,56%** (largement supérieur au seuil de 15% considéré comme excellent) et le ROA **12,65%**, confirmant une rentabilité exceptionnelle. Le BFR est négatif à **-284,906 milliards FCFA**, ce qui est très favorable car l'entreprise finance son cycle d'exploitation par ses fournisseurs (délai fournisseurs de 201,39 jours contre un délai clients de 46,16 jours), générant ainsi une trésorerie nette de **536,105 milliards FCFA**. L'autonomie financière de **42,79%** (capitaux propres/total bilan) est saine, et la capacité de remboursement de **0,64 an** (dettes financières/CAF) témoigne d'un endettement très maîtrisé. La couverture des intérêts par le résultat d'exploitation est de **2 744,71%**, éliminant tout risque de défaut. **Estimations basées sur les rapports trimestriels :** Le rapport du S1 2026 (publié le 24/07/2026) indique un chiffre d'affaires de **1 049,8 milliards FCFA** (+9,3%) et un résultat net de **230 milliards FCFA** (+10,5%), avec une marge EBITDAaL de 48,7%. Sur cette base, on estime que l'exercice 2026 devrait afficher un chiffre d'affaires d'environ **2 100 milliards FCFA** et un résultat net proche de **450 milliards FCFA**, confirmant la trajectoire de croissance rentable. Le dividende proposé au titre de 2025 est de **1 933 FCFA brut** (1 740 FCFA net), offrant un rendement d'environ **4,14%** au cours actuel de 42 000 FCFA. La notation financière a été relevée à **AAA (wu)** par GCR Ratings, confirmant la solidité exceptionnelle du bilan. **Recommandation fondamentale :** Sonatel présente des fondamentaux exceptionnels (ROE &gt;29%, BFR négatif, trésorerie nette positive, endettement faible) et une croissance durable, ce qui justifie une recommandation **Achat** sur le moyen/long terme, malgré les risques réglementaires et concurrentiels identifiés dans les rapports.</w:t>
      </w:r>
    </w:p>
    <w:p>
      <w:pPr>
        <w:spacing w:after="120" w:line="276" w:lineRule="auto"/>
      </w:pPr>
      <w:r>
        <w:t>---</w:t>
      </w:r>
    </w:p>
    <w:p>
      <w:pPr>
        <w:spacing w:after="120" w:line="276" w:lineRule="auto"/>
      </w:pPr>
      <w:r>
        <w:t>## PARTIE 4 : CONCLUSION D'INVESTISSEMENT</w:t>
      </w:r>
    </w:p>
    <w:p>
      <w:pPr>
        <w:spacing w:after="120" w:line="276" w:lineRule="auto"/>
      </w:pPr>
      <w:r>
        <w:t>La valorisation de Sonatel apparaît **attractive** : le PER de 10,2x est modéré, le P/B de 3,00x reflète une prime de croissance justifiée, et l'EV/EBITDA de 4,4x signale une sous-évaluation par rapport à la capacité opérationnelle. Le comportement du cours sur 100 jours est **haussier** (+47,37%), avec une volatilité élevée (32,2%) et une asymétrie positive (skewness de 1,138), ce qui indique une dynamique favorable mais des risques de correction à court terme. Les signaux techniques sont **divergents** : les moyennes mobiles et le MACD confirment la tendance haussière, tandis que le RSI (85,01) et le stochastique (96,23) signalent une surchauffe imminente. Les fondamentaux sont **excellents** : ROE de 29,56%, BFR négatif, trésorerie nette de 536 milliards FCFA, et croissance estimée à +9,3% au S1 2026, avec un dividende net de 1 740 FCFA (rendement ~4,14%). Les prédictions IA pour les 10 prochains jours (40 270 FCFA à 40 021 FCFA) suggèrent une **légère consolidation** (-4,7% par rapport au cours actuel), ce qui est cohérent avec la surchauffe technique et pourrait offrir un point d'entrée optimal. **Recommandation finale : ACHAT** (avec une convergence entre valorisation attractive, fondamentaux solides et prédiction de consolidation à court terme). Le niveau de confiance est **Élevé** pour le moyen/long terme, mais **Moyen** pour le court terme en raison de la surchauffe technique. Le risque global est **Moyen** (volatilité élevée mais fondamentaux robustes). L'horizon d'investissement optimal est le **moyen terme (3-12 mois)**, en profitant d'une éventuelle consolidation pour accumuler le titre avant la reprise de la tendance haussière portée par la croissance des services Data, Orange Money et le déploiement de la 5G.</w:t>
      </w:r>
    </w:p>
    <w:p>
      <w:pPr>
        <w:spacing w:after="120" w:line="276" w:lineRule="auto"/>
      </w:pPr>
      <w:r>
        <w:t>---</w:t>
      </w:r>
    </w:p>
    <w:p>
      <w:pPr>
        <w:spacing w:after="120" w:line="276" w:lineRule="auto"/>
      </w:pPr>
      <w:r>
        <w:t>*Rapport généré le 21 septembre 2026 — Sources : BRVM, rapports financiers Sonatel (2024, 2025, S1 2026), données de marché.*</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170.55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5,328 titres</w:t>
            </w:r>
          </w:p>
        </w:tc>
        <w:tc>
          <w:tcPr>
            <w:tcW w:type="dxa" w:w="2268"/>
            <w:shd w:fill="FFF2CC" w:val="clear"/>
          </w:tcPr>
          <w:p>
            <w:r>
              <w:rPr>
                <w:b/>
                <w:color w:val="503200"/>
                <w:sz w:val="16"/>
              </w:rPr>
              <w:t xml:space="preserve">Cours actuel : </w:t>
            </w:r>
            <w:r>
              <w:rPr>
                <w:color w:val="000000"/>
                <w:sz w:val="17"/>
              </w:rPr>
              <w:t>7,895 FCFA</w:t>
            </w:r>
          </w:p>
          <w:p>
            <w:r>
              <w:rPr>
                <w:b/>
                <w:color w:val="503200"/>
                <w:sz w:val="16"/>
              </w:rPr>
              <w:t xml:space="preserve">Var. 100 jours : </w:t>
            </w:r>
            <w:r>
              <w:rPr>
                <w:b/>
                <w:color w:val="007800"/>
                <w:sz w:val="17"/>
              </w:rPr>
              <w:t>+3.20%</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4.95% (Faible) — μ=8,043 FCFA, σ=399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β=0.2918 (Défensif) — Cov=0.000012, Var(idx)=0.000040, ρ=0.072,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7,510</w:t>
            </w:r>
          </w:p>
        </w:tc>
        <w:tc>
          <w:tcPr>
            <w:tcW w:type="dxa" w:w="1440"/>
            <w:shd w:fill="FAFAFA" w:val="clear"/>
          </w:tcPr>
          <w:p>
            <w:r>
              <w:rPr>
                <w:b/>
                <w:sz w:val="17"/>
              </w:rPr>
              <w:t>7,898</w:t>
            </w:r>
          </w:p>
        </w:tc>
        <w:tc>
          <w:tcPr>
            <w:tcW w:type="dxa" w:w="1440"/>
            <w:shd w:fill="FAFAFA" w:val="clear"/>
          </w:tcPr>
          <w:p>
            <w:r>
              <w:rPr>
                <w:sz w:val="17"/>
              </w:rPr>
              <w:t>8,286</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7,345</w:t>
            </w:r>
          </w:p>
        </w:tc>
        <w:tc>
          <w:tcPr>
            <w:tcW w:type="dxa" w:w="1440"/>
            <w:shd w:fill="FAFAFA" w:val="clear"/>
          </w:tcPr>
          <w:p>
            <w:r>
              <w:rPr>
                <w:b/>
                <w:sz w:val="17"/>
              </w:rPr>
              <w:t>7,893</w:t>
            </w:r>
          </w:p>
        </w:tc>
        <w:tc>
          <w:tcPr>
            <w:tcW w:type="dxa" w:w="1440"/>
            <w:shd w:fill="FAFAFA" w:val="clear"/>
          </w:tcPr>
          <w:p>
            <w:r>
              <w:rPr>
                <w:sz w:val="17"/>
              </w:rPr>
              <w:t>8,442</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7,216</w:t>
            </w:r>
          </w:p>
        </w:tc>
        <w:tc>
          <w:tcPr>
            <w:tcW w:type="dxa" w:w="1440"/>
            <w:shd w:fill="FAFAFA" w:val="clear"/>
          </w:tcPr>
          <w:p>
            <w:r>
              <w:rPr>
                <w:b/>
                <w:sz w:val="17"/>
              </w:rPr>
              <w:t>7,887</w:t>
            </w:r>
          </w:p>
        </w:tc>
        <w:tc>
          <w:tcPr>
            <w:tcW w:type="dxa" w:w="1440"/>
            <w:shd w:fill="FAFAFA" w:val="clear"/>
          </w:tcPr>
          <w:p>
            <w:r>
              <w:rPr>
                <w:sz w:val="17"/>
              </w:rPr>
              <w:t>8,559</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7,106</w:t>
            </w:r>
          </w:p>
        </w:tc>
        <w:tc>
          <w:tcPr>
            <w:tcW w:type="dxa" w:w="1440"/>
            <w:shd w:fill="FAFAFA" w:val="clear"/>
          </w:tcPr>
          <w:p>
            <w:r>
              <w:rPr>
                <w:b/>
                <w:sz w:val="17"/>
              </w:rPr>
              <w:t>7,881</w:t>
            </w:r>
          </w:p>
        </w:tc>
        <w:tc>
          <w:tcPr>
            <w:tcW w:type="dxa" w:w="1440"/>
            <w:shd w:fill="FAFAFA" w:val="clear"/>
          </w:tcPr>
          <w:p>
            <w:r>
              <w:rPr>
                <w:sz w:val="17"/>
              </w:rPr>
              <w:t>8,656</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7,009</w:t>
            </w:r>
          </w:p>
        </w:tc>
        <w:tc>
          <w:tcPr>
            <w:tcW w:type="dxa" w:w="1440"/>
            <w:shd w:fill="FAFAFA" w:val="clear"/>
          </w:tcPr>
          <w:p>
            <w:r>
              <w:rPr>
                <w:b/>
                <w:sz w:val="17"/>
              </w:rPr>
              <w:t>7,875</w:t>
            </w:r>
          </w:p>
        </w:tc>
        <w:tc>
          <w:tcPr>
            <w:tcW w:type="dxa" w:w="1440"/>
            <w:shd w:fill="FAFAFA" w:val="clear"/>
          </w:tcPr>
          <w:p>
            <w:r>
              <w:rPr>
                <w:sz w:val="17"/>
              </w:rPr>
              <w:t>8,740</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6,921</w:t>
            </w:r>
          </w:p>
        </w:tc>
        <w:tc>
          <w:tcPr>
            <w:tcW w:type="dxa" w:w="1440"/>
            <w:shd w:fill="FAFAFA" w:val="clear"/>
          </w:tcPr>
          <w:p>
            <w:r>
              <w:rPr>
                <w:b/>
                <w:sz w:val="17"/>
              </w:rPr>
              <w:t>7,868</w:t>
            </w:r>
          </w:p>
        </w:tc>
        <w:tc>
          <w:tcPr>
            <w:tcW w:type="dxa" w:w="1440"/>
            <w:shd w:fill="FAFAFA" w:val="clear"/>
          </w:tcPr>
          <w:p>
            <w:r>
              <w:rPr>
                <w:sz w:val="17"/>
              </w:rPr>
              <w:t>8,816</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6,840</w:t>
            </w:r>
          </w:p>
        </w:tc>
        <w:tc>
          <w:tcPr>
            <w:tcW w:type="dxa" w:w="1440"/>
            <w:shd w:fill="FAFAFA" w:val="clear"/>
          </w:tcPr>
          <w:p>
            <w:r>
              <w:rPr>
                <w:b/>
                <w:sz w:val="17"/>
              </w:rPr>
              <w:t>7,863</w:t>
            </w:r>
          </w:p>
        </w:tc>
        <w:tc>
          <w:tcPr>
            <w:tcW w:type="dxa" w:w="1440"/>
            <w:shd w:fill="FAFAFA" w:val="clear"/>
          </w:tcPr>
          <w:p>
            <w:r>
              <w:rPr>
                <w:sz w:val="17"/>
              </w:rPr>
              <w:t>8,885</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6,765</w:t>
            </w:r>
          </w:p>
        </w:tc>
        <w:tc>
          <w:tcPr>
            <w:tcW w:type="dxa" w:w="1440"/>
            <w:shd w:fill="FAFAFA" w:val="clear"/>
          </w:tcPr>
          <w:p>
            <w:r>
              <w:rPr>
                <w:b/>
                <w:sz w:val="17"/>
              </w:rPr>
              <w:t>7,857</w:t>
            </w:r>
          </w:p>
        </w:tc>
        <w:tc>
          <w:tcPr>
            <w:tcW w:type="dxa" w:w="1440"/>
            <w:shd w:fill="FAFAFA" w:val="clear"/>
          </w:tcPr>
          <w:p>
            <w:r>
              <w:rPr>
                <w:sz w:val="17"/>
              </w:rPr>
              <w:t>8,949</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6,694</w:t>
            </w:r>
          </w:p>
        </w:tc>
        <w:tc>
          <w:tcPr>
            <w:tcW w:type="dxa" w:w="1440"/>
            <w:shd w:fill="FAFAFA" w:val="clear"/>
          </w:tcPr>
          <w:p>
            <w:r>
              <w:rPr>
                <w:b/>
                <w:sz w:val="17"/>
              </w:rPr>
              <w:t>7,851</w:t>
            </w:r>
          </w:p>
        </w:tc>
        <w:tc>
          <w:tcPr>
            <w:tcW w:type="dxa" w:w="1440"/>
            <w:shd w:fill="FAFAFA" w:val="clear"/>
          </w:tcPr>
          <w:p>
            <w:r>
              <w:rPr>
                <w:sz w:val="17"/>
              </w:rPr>
              <w:t>9,009</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6,626</w:t>
            </w:r>
          </w:p>
        </w:tc>
        <w:tc>
          <w:tcPr>
            <w:tcW w:type="dxa" w:w="1440"/>
            <w:shd w:fill="FAFAFA" w:val="clear"/>
          </w:tcPr>
          <w:p>
            <w:r>
              <w:rPr>
                <w:b/>
                <w:sz w:val="17"/>
              </w:rPr>
              <w:t>7,846</w:t>
            </w:r>
          </w:p>
        </w:tc>
        <w:tc>
          <w:tcPr>
            <w:tcW w:type="dxa" w:w="1440"/>
            <w:shd w:fill="FAFAFA" w:val="clear"/>
          </w:tcPr>
          <w:p>
            <w:r>
              <w:rPr>
                <w:sz w:val="17"/>
              </w:rPr>
              <w:t>9,065</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**Marché : BRVM | Secteur : Agro-industrie (Hévéa &amp; Palmier à huile)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**170,55 milliards FCFA**, SOGC se positionne parmi les valeurs moyennes à grandes de la cote BRVM, ce qui traduit une entreprise mature et bien installée dans le paysage agro-industriel ouest-africain. Le **BPA de 578 FCFA/action** indique que chaque titre génère près de 578 FCFA de bénéfice net, un niveau appréciable pour une valeur de 7 895 FCFA. Le **PER de 13,7x** se situe légèrement au-dessus de la moyenne du marché BRVM (8-12x), signalant une valorisation modérée mais non excessive, avec une prime justifiée par la qualité des fondamentaux. Le **P/B de 2,49x** montre que le marché valorise l'action à environ 2,5 fois sa valeur comptable, ce qui traduit une prime de croissance accordée par les investisseurs. Enfin, l'**EV/EBITDA de 7,1x**, dans la fourchette raisonnable de 5-10x, confirme que la valeur d'entreprise reste cohérente avec la capacité opérationnelle de génération de cash-flows.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de +3,20%**, avec une dernière séance en hausse de **+0,51%**, témoignant d'une dynamique légèrement positive mais sans emballement. Le cours actuel de **7 895 FCFA** évolue dans un range de trading compris entre **7 100 FCFA (plus bas)** et **8 875 FCFA (plus haut)**, soit une amplitude de près de 25%, révélant une tendance globalement haussière mais avec des phases de correction marquées. La **moyenne de 8 043 FCFA** et la **médiane de 8 145 FCFA** sont proches, mais l'écart de 102 FCFA indique une légère asymétrie vers le bas, cohérente avec le **skewness de -0,548** (plus de journées au-dessus de la moyenne, mais quelques baisses marquées). L'**écart-type de 401 FCFA** avec un **CV de 5,0%** traduit une dispersion modérée du cours autour de sa moyenne, tandis que le **kurtosis de -0,578** (mésokurtique) suggère une distribution proche de la normale, sans risque de pics extrêmes prononcés. La **volatilité annualisée de 40,5%** classe le titre dans la catégorie **élevée (&gt;30%)**, ce qui est typique des valeurs agro-industrielles exposées aux prix des matières premières, et implique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(8 171 FCFA) et la MM50 (8 123 FCFA) sont toutes deux supérieures au cours actuel (7 895 FCFA), ce qui place le titre en dessous de ses moyennes de court et moyen terme. Cependant, la MM20 reste au-dessus de la MM50, signalant une structure haussière de fond. La décision technique affichée est **Achat**, probablement justifiée par le potentiel de rebond vers ces moyennes.</w:t>
      </w:r>
    </w:p>
    <w:p>
      <w:pPr>
        <w:spacing w:after="120" w:line="276" w:lineRule="auto"/>
      </w:pPr>
      <w:r>
        <w:t>**Bandes de Bollinger** : Le cours actuel (7 895 FCFA) se situe dans la partie basse de la bande, entre la borne inférieure (7 584,92 FCFA) et la borne supérieure (8 757,08 FCFA). Cette position proche du bas de la bande suggère une pression vendeuse récente, mais la décision **Neutre** indique l'absence de signal clair de survente ou de surachat, la volatilité restant contenue dans les bornes.</w:t>
      </w:r>
    </w:p>
    <w:p>
      <w:pPr>
        <w:spacing w:after="120" w:line="276" w:lineRule="auto"/>
      </w:pPr>
      <w:r>
        <w:t>**MACD** : La valeur du MACD (-56,912) est inférieure à son signal (-21,581), confirmant un momentum baissier à court terme. La décision **Vente** reflète cette divergence négative, bien que l'écart entre les deux lignes tende à se réduire, ce qui pourrait annoncer un retournement prochain.</w:t>
      </w:r>
    </w:p>
    <w:p>
      <w:pPr>
        <w:spacing w:after="120" w:line="276" w:lineRule="auto"/>
      </w:pPr>
      <w:r>
        <w:t>**RSI** : À **41,948**, le RSI se situe dans la zone neutre (30-70), sans signal de survente (&lt;30) ni de surachat (&gt;70). La décision **Neutre** est cohérente avec cette position, indiquant que le titre n'est ni survendu ni suracheté, laissant la place à une consolidation.</w:t>
      </w:r>
    </w:p>
    <w:p>
      <w:pPr>
        <w:spacing w:after="120" w:line="276" w:lineRule="auto"/>
      </w:pPr>
      <w:r>
        <w:t>**Stochastique** : Le %K (16,596) et le %D (18,44) sont tous deux en zone de survente (&lt;20), avec un %K légèrement inférieur au %D. Cette configuration précède souvent un croisement haussier, ce qui justifie la décision **Achat** affichée, anticipant un rebond technique.</w:t>
      </w:r>
    </w:p>
    <w:p>
      <w:pPr>
        <w:spacing w:after="120" w:line="276" w:lineRule="auto"/>
      </w:pPr>
      <w:r>
        <w:t>**Conclusion technique** : Les indicateurs sont **mitigés mais légèrement haussiers**. Les moyennes mobiles et le stochastique plaident pour un achat, tandis que le MACD reste baissier et le RSI neutre. La position du cours sous les moyennes mobiles et dans le bas des bandes de Bollinger suggère un potentiel de rebond, mais la confirmation d'un retournement dépendra d'un croisement haussier du MACD et d'une sortie de la zone de survente du stochastique.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affiche un **chiffre d'affaires de 98,979 milliards FCFA**, en croissance de **+10,70%** par rapport à 2024, porté par la hausse des prix de l'huile de palme (+20%) et de palmiste (+47%), ainsi que par la croissance des volumes de caoutchouc (+9%). Le **résultat net s'établit à 12,493 milliards FCFA**, en légère baisse de 5% par rapport à 2024 (13,11 milliards FCFA), en raison de la hausse des coûts de matières premières (+15%) liée à l'augmentation du prix du coagulum. La **marge nette de 12,62%** reste solide, bien qu'en retrait par rapport aux 14,0% de 2024. Le **ROE de 18,26%** et le **ROA de 13,84%** confirment une excellente rentabilité des fonds propres et des actifs, largement supérieure aux seuils de référence (&gt;15% pour le ROE). La structure financière est très saine, avec une **autonomie financière de 75,79%**, un **ratio d'endettement de 24,21%** et une **trésorerie nette de 4,575 milliards FCFA**. Le **BFR de 7,124 milliards FCFA** (positif) et les **délais clients de 29,60 jours** et **fournisseurs de 31,72 jours** témoignent d'une gestion équilibrée du besoin en fonds de roulement, bien que la **durée de stockage de 97,67 jours** soit élevée, immobilisant du capital.</w:t>
      </w:r>
    </w:p>
    <w:p>
      <w:pPr>
        <w:spacing w:after="120" w:line="276" w:lineRule="auto"/>
      </w:pPr>
      <w:r>
        <w:t>**Estimations basées sur les rapports trimestriels** : Le rapport du **T3 2025 (30/09/2025)** indique un chiffre d'affaires cumulé de **75,6 milliards FCFA** (+21,3% sur 9 mois) et un résultat net de **11,5 milliards FCFA** (+39,5%), avec une marge nette de 15,3%. Le rapport du **S1 2025 (30/06/2025)** faisait état d'un CA de 55,4 milliards FCFA (+51,9%) et d'un résultat net de 10,2 milliards FCFA (+151,6%). Ces performances exceptionnelles au premier semestre ont été suivies d'un ralentissement au second semestre, comme anticipé par la direction, en raison de la concurrence accrue pour l'achat de coagulum et de la baisse des cours internationaux du caoutchouc (SICOM). Sur la base de ces tendances, on estime que l'exercice 2025 devrait se clôturer avec un résultat net autour de 12,5 milliards FCFA, confirmant la résilience de la rentabilité malgré un environnement plus difficile.</w:t>
      </w:r>
    </w:p>
    <w:p>
      <w:pPr>
        <w:spacing w:after="120" w:line="276" w:lineRule="auto"/>
      </w:pPr>
      <w:r>
        <w:t>**Évolution et recommandation fondamentale** : Entre 2023 et 2025, SOGC a connu une transformation remarquable, avec un résultat net passant de 5,27 milliards FCFA (2023) à 13,11 milliards FCFA (2024), puis 12,49 milliards FCFA (2025). La politique de dividende est très généreuse, avec un **dividende brut proposé de 570 FCFA/action** pour 2025 (rendement de 7,2% au cours actuel), représentant un taux de distribution de 98,9% du bénéfice net. Cette politique, bien qu'attractive pour les actionnaires, limite les capacités de réinvestissement et expose l'entreprise à un risque de sous-capitalisation à long terme. Les principaux risques identifiés sont la volatilité des prix des matières premières (caoutchouc et huiles), la concurrence accrue sur l'achat de coagulum, et la dépendance aux conditions climatiques. **Conclusion fondamentale** : SOGC présente des fondamentaux solides, une rentabilité élevée et une structure financière saine, mais fait face à des vents contraires en 2025. La recommandation fondamentale est **CONSERVER** avec une vigilance accrue sur l'évolution des prix et la politique de distribution.</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**équilibré avec une légère inclinaison haussière**. La **valorisation (Partie 0)** est modérée (PER 13,7x, P/B 2,49x, EV/EBITDA 7,1x), sans signe de sous-évaluation flagrante mais avec une prime de croissance justifiée par la qualité des fondamentaux. Le **comportement du cours (Partie 1)** montre une tendance haussière sur 100 jours (+3,20%) avec une volatilité élevée (40,5%) et une distribution proche de la normale (kurtosis -0,578), ce qui est préoccupant pour les investisseurs averses au risque mais attractif pour les traders. Les **signaux techniques (Partie 2)** sont mitigés : les moyennes mobiles et le stochastique plaident pour un achat, tandis que le MACD reste baissier et le RSI neutre, suggérant un potentiel de rebond mais sans confirmation forte. Les **fondamentaux (Partie 3)** sont solides (ROE 18,26%, ROA 13,84%, autonomie financière 75,79%) malgré une légère baisse du résultat net en 2025 (-5%), et la politique de dividende généreuse (570 FCFA/action) offre un rendement attractif de 7,2%. Les **prédictions IA (J+1 à J+10)** anticipent une légère baisse du cours vers 7 875 FCFA, ce qui contredit les signaux techniques haussiers à court terme mais reste cohérent avec la tendance baissière du MACD.</w:t>
      </w:r>
    </w:p>
    <w:p>
      <w:pPr>
        <w:spacing w:after="120" w:line="276" w:lineRule="auto"/>
      </w:pPr>
      <w:r>
        <w:t>**Recommandation finale** : **CONSERVER**. La convergence entre une valorisation modérée, des fondamentaux solides et un rendement du dividende attractif justifie le maintien en portefeuille, mais l'absence de signal technique fort et la légère baisse attendue à court terme incitent à la prudence. Le **niveau de confiance est Moyen**, car les indicateurs techniques sont divergents et les perspectives 2026 restent incertaines. Le **niveau de risque global est Moyen à Élevé**, en raison de la volatilité du titre (40,5%) et de l'exposition aux prix des matières premières. L'**horizon d'investissement optimal est le moyen terme (3-12 mois)**, le temps que les tendances techniques se clarifient et que les fondamentaux 2026 se confirment, avec un potentiel de revalorisation si les prix du caoutchouc et des huiles se stabilisent.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198.07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4,657 titres</w:t>
            </w:r>
          </w:p>
        </w:tc>
        <w:tc>
          <w:tcPr>
            <w:tcW w:type="dxa" w:w="2268"/>
            <w:shd w:fill="FFF2CC" w:val="clear"/>
          </w:tcPr>
          <w:p>
            <w:r>
              <w:rPr>
                <w:b/>
                <w:color w:val="503200"/>
                <w:sz w:val="16"/>
              </w:rPr>
              <w:t xml:space="preserve">Cours actuel : </w:t>
            </w:r>
            <w:r>
              <w:rPr>
                <w:color w:val="000000"/>
                <w:sz w:val="17"/>
              </w:rPr>
              <w:t>7,750 FCFA</w:t>
            </w:r>
          </w:p>
          <w:p>
            <w:r>
              <w:rPr>
                <w:b/>
                <w:color w:val="503200"/>
                <w:sz w:val="16"/>
              </w:rPr>
              <w:t xml:space="preserve">Var. 100 jours : </w:t>
            </w:r>
            <w:r>
              <w:rPr>
                <w:b/>
                <w:color w:val="007800"/>
                <w:sz w:val="17"/>
              </w:rPr>
              <w:t>+6.02%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10.23% (Moyenne) — μ=7,800 FCFA, σ=798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β=0.8560 (Neutre (suit le marché)) — Cov=0.000034, Var(idx)=0.000040, ρ=0.191,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7,294</w:t>
            </w:r>
          </w:p>
        </w:tc>
        <w:tc>
          <w:tcPr>
            <w:tcW w:type="dxa" w:w="1440"/>
            <w:shd w:fill="FAFAFA" w:val="clear"/>
          </w:tcPr>
          <w:p>
            <w:r>
              <w:rPr>
                <w:b/>
                <w:sz w:val="17"/>
              </w:rPr>
              <w:t>7,815</w:t>
            </w:r>
          </w:p>
        </w:tc>
        <w:tc>
          <w:tcPr>
            <w:tcW w:type="dxa" w:w="1440"/>
            <w:shd w:fill="FAFAFA" w:val="clear"/>
          </w:tcPr>
          <w:p>
            <w:r>
              <w:rPr>
                <w:sz w:val="17"/>
              </w:rPr>
              <w:t>8,336</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7,057</w:t>
            </w:r>
          </w:p>
        </w:tc>
        <w:tc>
          <w:tcPr>
            <w:tcW w:type="dxa" w:w="1440"/>
            <w:shd w:fill="FAFAFA" w:val="clear"/>
          </w:tcPr>
          <w:p>
            <w:r>
              <w:rPr>
                <w:b/>
                <w:sz w:val="17"/>
              </w:rPr>
              <w:t>7,792</w:t>
            </w:r>
          </w:p>
        </w:tc>
        <w:tc>
          <w:tcPr>
            <w:tcW w:type="dxa" w:w="1440"/>
            <w:shd w:fill="FAFAFA" w:val="clear"/>
          </w:tcPr>
          <w:p>
            <w:r>
              <w:rPr>
                <w:sz w:val="17"/>
              </w:rPr>
              <w:t>8,526</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6,878</w:t>
            </w:r>
          </w:p>
        </w:tc>
        <w:tc>
          <w:tcPr>
            <w:tcW w:type="dxa" w:w="1440"/>
            <w:shd w:fill="FAFAFA" w:val="clear"/>
          </w:tcPr>
          <w:p>
            <w:r>
              <w:rPr>
                <w:b/>
                <w:sz w:val="17"/>
              </w:rPr>
              <w:t>7,776</w:t>
            </w:r>
          </w:p>
        </w:tc>
        <w:tc>
          <w:tcPr>
            <w:tcW w:type="dxa" w:w="1440"/>
            <w:shd w:fill="FAFAFA" w:val="clear"/>
          </w:tcPr>
          <w:p>
            <w:r>
              <w:rPr>
                <w:sz w:val="17"/>
              </w:rPr>
              <w:t>8,674</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6,724</w:t>
            </w:r>
          </w:p>
        </w:tc>
        <w:tc>
          <w:tcPr>
            <w:tcW w:type="dxa" w:w="1440"/>
            <w:shd w:fill="FAFAFA" w:val="clear"/>
          </w:tcPr>
          <w:p>
            <w:r>
              <w:rPr>
                <w:b/>
                <w:sz w:val="17"/>
              </w:rPr>
              <w:t>7,759</w:t>
            </w:r>
          </w:p>
        </w:tc>
        <w:tc>
          <w:tcPr>
            <w:tcW w:type="dxa" w:w="1440"/>
            <w:shd w:fill="FAFAFA" w:val="clear"/>
          </w:tcPr>
          <w:p>
            <w:r>
              <w:rPr>
                <w:sz w:val="17"/>
              </w:rPr>
              <w:t>8,793</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6,587</w:t>
            </w:r>
          </w:p>
        </w:tc>
        <w:tc>
          <w:tcPr>
            <w:tcW w:type="dxa" w:w="1440"/>
            <w:shd w:fill="FAFAFA" w:val="clear"/>
          </w:tcPr>
          <w:p>
            <w:r>
              <w:rPr>
                <w:b/>
                <w:sz w:val="17"/>
              </w:rPr>
              <w:t>7,741</w:t>
            </w:r>
          </w:p>
        </w:tc>
        <w:tc>
          <w:tcPr>
            <w:tcW w:type="dxa" w:w="1440"/>
            <w:shd w:fill="FAFAFA" w:val="clear"/>
          </w:tcPr>
          <w:p>
            <w:r>
              <w:rPr>
                <w:sz w:val="17"/>
              </w:rPr>
              <w:t>8,895</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6,463</w:t>
            </w:r>
          </w:p>
        </w:tc>
        <w:tc>
          <w:tcPr>
            <w:tcW w:type="dxa" w:w="1440"/>
            <w:shd w:fill="FAFAFA" w:val="clear"/>
          </w:tcPr>
          <w:p>
            <w:r>
              <w:rPr>
                <w:b/>
                <w:sz w:val="17"/>
              </w:rPr>
              <w:t>7,725</w:t>
            </w:r>
          </w:p>
        </w:tc>
        <w:tc>
          <w:tcPr>
            <w:tcW w:type="dxa" w:w="1440"/>
            <w:shd w:fill="FAFAFA" w:val="clear"/>
          </w:tcPr>
          <w:p>
            <w:r>
              <w:rPr>
                <w:sz w:val="17"/>
              </w:rPr>
              <w:t>8,986</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6,349</w:t>
            </w:r>
          </w:p>
        </w:tc>
        <w:tc>
          <w:tcPr>
            <w:tcW w:type="dxa" w:w="1440"/>
            <w:shd w:fill="FAFAFA" w:val="clear"/>
          </w:tcPr>
          <w:p>
            <w:r>
              <w:rPr>
                <w:b/>
                <w:sz w:val="17"/>
              </w:rPr>
              <w:t>7,709</w:t>
            </w:r>
          </w:p>
        </w:tc>
        <w:tc>
          <w:tcPr>
            <w:tcW w:type="dxa" w:w="1440"/>
            <w:shd w:fill="FAFAFA" w:val="clear"/>
          </w:tcPr>
          <w:p>
            <w:r>
              <w:rPr>
                <w:sz w:val="17"/>
              </w:rPr>
              <w:t>9,068</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6,242</w:t>
            </w:r>
          </w:p>
        </w:tc>
        <w:tc>
          <w:tcPr>
            <w:tcW w:type="dxa" w:w="1440"/>
            <w:shd w:fill="FAFAFA" w:val="clear"/>
          </w:tcPr>
          <w:p>
            <w:r>
              <w:rPr>
                <w:b/>
                <w:sz w:val="17"/>
              </w:rPr>
              <w:t>7,693</w:t>
            </w:r>
          </w:p>
        </w:tc>
        <w:tc>
          <w:tcPr>
            <w:tcW w:type="dxa" w:w="1440"/>
            <w:shd w:fill="FAFAFA" w:val="clear"/>
          </w:tcPr>
          <w:p>
            <w:r>
              <w:rPr>
                <w:sz w:val="17"/>
              </w:rPr>
              <w:t>9,144</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6,143</w:t>
            </w:r>
          </w:p>
        </w:tc>
        <w:tc>
          <w:tcPr>
            <w:tcW w:type="dxa" w:w="1440"/>
            <w:shd w:fill="FAFAFA" w:val="clear"/>
          </w:tcPr>
          <w:p>
            <w:r>
              <w:rPr>
                <w:b/>
                <w:sz w:val="17"/>
              </w:rPr>
              <w:t>7,678</w:t>
            </w:r>
          </w:p>
        </w:tc>
        <w:tc>
          <w:tcPr>
            <w:tcW w:type="dxa" w:w="1440"/>
            <w:shd w:fill="FAFAFA" w:val="clear"/>
          </w:tcPr>
          <w:p>
            <w:r>
              <w:rPr>
                <w:sz w:val="17"/>
              </w:rPr>
              <w:t>9,214</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6,048</w:t>
            </w:r>
          </w:p>
        </w:tc>
        <w:tc>
          <w:tcPr>
            <w:tcW w:type="dxa" w:w="1440"/>
            <w:shd w:fill="FAFAFA" w:val="clear"/>
          </w:tcPr>
          <w:p>
            <w:r>
              <w:rPr>
                <w:b/>
                <w:sz w:val="17"/>
              </w:rPr>
              <w:t>7,664</w:t>
            </w:r>
          </w:p>
        </w:tc>
        <w:tc>
          <w:tcPr>
            <w:tcW w:type="dxa" w:w="1440"/>
            <w:shd w:fill="FAFAFA" w:val="clear"/>
          </w:tcPr>
          <w:p>
            <w:r>
              <w:rPr>
                <w:sz w:val="17"/>
              </w:rPr>
              <w:t>9,280</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198,07 milliards FCFA, SPHC s'impose comme une valeur de premier plan de la cote BRVM, représentant un pilier du compartiment agro-industriel régional. Le BPA de 977 FCFA/action signifie que chaque titre génère près d'un millier de francs de bénéfice net, ce qui, rapporté au cours actuel de 7 750 FCFA, aboutit à un PER de 7,9x — nettement inférieur à la moyenne BRVM (8-12x), signalant une potentielle sous-évaluation relative. Le P/B de 1,44x indique que le marché valorise SPHC à 44% au-dessus de sa valeur comptable, ce qui reste raisonnable pour une entreprise affichant un ROE de 18,1% et une croissance à deux chiffres. Enfin, l'EV/EBITDA de 5,0x traduit une valorisation modérée de la capacité opérationnelle, laissant entrevoir un potentiel d'appréciation si la rentabilité se maintient.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variation positive de +6,02%, bien que la dernière séance (J-1) se soit soldée par un repli de -0,64%, signalant une légère consolidation. Le titre a évolué dans un range large de 6 720 FCFA (plus bas) à 10 300 FCFA (plus haut), soit une amplitude de plus de 53%, reflétant une forte volatilité intra-période. La tendance générale reste haussière sur le fond, mais le cours actuel (7 750 FCFA) se situe en dessous de la moyenne (7 800 FCFA) et de la médiane (7 595 FCFA), ce qui suggère une pression vendeuse récente. L'écart-type de 802 FCFA et le coefficient de variation de 10,3% indiquent une dispersion modérée autour de la moyenne, tandis que le kurtosis de 1,425 (leptokurtique) et le skewness de 1,381 (asymétrie positive) révèlent une distribution à queues épaisses avec davantage de journées sous la moyenne — donc un risque de pics baissiers ponctuels. La volatilité annualisée de 45,1% classe SPHC dans la catégorie des titres à volatilité élevée (&gt;30%), ce qui implique un risque significatif mais aussi des opportunités de trading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(8 856,25 FCFA) et la MM50 (8 239,70 FCFA) se situent toutes deux au-dessus du cours actuel (7 750 FCFA), ce qui place le titre en position baissière à court terme. Cependant, la décision technique affichée est "Achat", probablement en anticipation d'un retournement ou d'un rebond technique depuis des niveaux survendus. La convergence des deux moyennes suggère une tendance encore indécise.</w:t>
      </w:r>
    </w:p>
    <w:p>
      <w:pPr>
        <w:spacing w:after="120" w:line="276" w:lineRule="auto"/>
      </w:pPr>
      <w:r>
        <w:t>**Bandes de Bollinger** : Le cours actuel (7 750 FCFA) évolue dans la partie basse de la bande, proche de la borne inférieure (7 152,49 FCFA) et loin de la borne supérieure (10 560,01 FCFA). Cette position indique une pression baissière mais aussi un potentiel de rebond vers la moyenne mobile. La décision "Neutre" reflète l'absence de signal directionnel fort, le marché attendant un catalyseur.</w:t>
      </w:r>
    </w:p>
    <w:p>
      <w:pPr>
        <w:spacing w:after="120" w:line="276" w:lineRule="auto"/>
      </w:pPr>
      <w:r>
        <w:t>**MACD** : La valeur du MACD (-179,012) est inférieure à son signal (14,701), confirmant un momentum baissier persistant. La décision "Vente" est cohérente avec cette configuration, le croisement à la baisse étant récent. Une inversion de tendance nécessiterait un redressement du MACD au-dessus de son signal.</w:t>
      </w:r>
    </w:p>
    <w:p>
      <w:pPr>
        <w:spacing w:after="120" w:line="276" w:lineRule="auto"/>
      </w:pPr>
      <w:r>
        <w:t>**RSI** : À 24,937, le RSI se situe en zone de survente (&lt;30), ce qui déclenche une décision "Achat". Cette configuration suggère que le titre a été excessivement vendu et qu'un rebond technique est probable à court terme, bien que la tendance de fond reste fragile.</w:t>
      </w:r>
    </w:p>
    <w:p>
      <w:pPr>
        <w:spacing w:after="120" w:line="276" w:lineRule="auto"/>
      </w:pPr>
      <w:r>
        <w:t>**Stochastique** : Avec un %K à 0,0 et un %D à 1,621, le stochastique est en zone extrême de survente, signalant un épuisement des vendeurs. La décision "Achat" est justifiée par cette configuration, un croisement haussier du %K au-dessus du %D étant attendu pour confirmer le rebond.</w:t>
      </w:r>
    </w:p>
    <w:p>
      <w:pPr>
        <w:spacing w:after="120" w:line="276" w:lineRule="auto"/>
      </w:pPr>
      <w:r>
        <w:t>**Conclusion technique** : Les indicateurs sont majoritairement baissiers (MACD, position sous les MM), mais les signaux de survente (RSI, Stochastique) plaident pour un rebond à court terme. La divergence entre la tendance baissière et les conditions de survente crée une configuration incertaine, nécessitant une confirmation par les volumes ou un croisement technique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340,831 milliards FCFA, en croissance de 21,97% par rapport à 2024 (279,44 milliards FCFA). Le résultat net s'établit à 24,972 milliards FCFA, soit une progression de 32,9%, avec une marge nette de 7,33% (contre 6,7% en 2024). Le ROE atteint 18,10% (excellent, &gt;15%) et le ROA 11,06%, confirmant une rentabilité solide. La structure financière est saine avec une autonomie financière de 61,08% et un ratio d'endettement maîtrisé de 25,81%. Le BFR est positif à 65,389 milliards FCFA, avec des délais clients de 35 jours et une durée de stockage de 72,33 jours — ce dernier point mérite surveillance car il immobilise du capital. La trésorerie nette reste négative (-15,413 milliards FCFA), un point de vigilance récurrent dans le secteur.</w:t>
      </w:r>
    </w:p>
    <w:p>
      <w:pPr>
        <w:spacing w:after="120" w:line="276" w:lineRule="auto"/>
      </w:pPr>
      <w:r>
        <w:t>**Estimations basées sur les rapports trimestriels** : Le rapport T1 2026 (publié en 2026) révèle un net ralentissement avec un CA de 71,8 milliards FCFA (-24%) et un résultat net de 2,6 milliards FCFA (-78%), pénalisé par la chute des cours mondiaux du caoutchouc et l'engorgement du port de San Pedro. Le rapport T3 2025 (30/09/2025) affichait encore une croissance de +36% du CA et un résultat net de 23,2 milliards FCFA (+131%), illustrant la dégradation brutale de la dynamique entre 2025 et 2026. Sur la base de ces éléments, on estime que l'exercice 2026 devrait être nettement moins favorable que 2025, avec un risque de contraction du résultat net si les cours ne se redressent pas.</w:t>
      </w:r>
    </w:p>
    <w:p>
      <w:pPr>
        <w:spacing w:after="120" w:line="276" w:lineRule="auto"/>
      </w:pPr>
      <w:r>
        <w:t>**Recommandation fondamentale** : SPHC reste une entreprise solide avec des fondamentaux robustes (ROE élevé, endettement maîtrisé, dividende attractif de 489 FCFA/action proposé en AG 2026). Cependant, la dépendance aux cours mondiaux du caoutchouc et la dégradation récente des résultats trimestriels imposent une grande prudence. La recommandation fondamentale est **CONSERVER**, avec une surveillance active des indicateurs de trésorerie et des cours du caoutchouc.</w:t>
      </w:r>
    </w:p>
    <w:p>
      <w:pPr>
        <w:spacing w:after="120" w:line="276" w:lineRule="auto"/>
      </w:pPr>
      <w:r>
        <w:t>---</w:t>
      </w:r>
    </w:p>
    <w:p>
      <w:pPr>
        <w:spacing w:after="120" w:line="276" w:lineRule="auto"/>
      </w:pPr>
      <w:r>
        <w:t>## PARTIE 4 : CONCLUSION D'INVESTISSEMENT</w:t>
      </w:r>
    </w:p>
    <w:p>
      <w:pPr>
        <w:spacing w:after="120" w:line="276" w:lineRule="auto"/>
      </w:pPr>
      <w:r>
        <w:t>La valorisation de SPHC apparaît attractive (PER 7,9x &lt; moyenne BRVM, P/B 1,44x raisonnable, EV/EBITDA 5,0x), suggérant une sous-évaluation potentielle. Cependant, le comportement du cours sur 100 jours (+6,02% mais -0,64% en J-1) et les statistiques descriptives (kurtosis élevé, skewness positif, volatilité de 45,1%) indiquent un risque de pics baissiers et une tendance fragile. Les signaux techniques sont divergents : baissiers (MACD, position sous les MM) mais avec des conditions de survente (RSI 24,9, Stochastique 0,0) qui pourraient déclencher un rebond à court terme. Les fondamentaux 2025 sont excellents (CA +22%, RN +33%, ROE 18,1%), mais les rapports T1 2026 (CA -24%, RN -78%) révèlent une dégradation brutale qui remet en cause la dynamique récente. Les prédictions IA anticipent une légère baisse du cours (7 815 → 7 741 FCFA sur 10 jours), confirmant la pression baissière à court terme sans effondrement majeur.</w:t>
      </w:r>
    </w:p>
    <w:p>
      <w:pPr>
        <w:spacing w:after="120" w:line="276" w:lineRule="auto"/>
      </w:pPr>
      <w:r>
        <w:t>**Recommandation finale** : **CONSERVER** — La convergence entre une valorisation attractive, des fondamentaux 2025 solides mais une dégradation en 2026 et des signaux techniques mitigés ne justifie ni un achat agressif ni une vente précipitée. Le niveau de confiance est **Moyen**, car les données trimestrielles récentes sont préoccupantes mais la solidité financière de l'entreprise offre un coussin de sécurité. Le risque global est **Élevé** en raison de la volatilité du titre (45,1%) et de la dépendance aux cours mondiaux du caoutchouc. L'horizon d'investissement optimal est **moyen terme (3-12 mois)**, en attendant une clarification sur la tendance des cours du caoutchouc et une stabilisation des résultats trimestriels.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5,952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B40000"/>
                <w:sz w:val="17"/>
              </w:rPr>
              <w:t>-29.60%</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2,105 FCFA</w:t>
            </w:r>
          </w:p>
          <w:p>
            <w:r>
              <w:rPr>
                <w:b/>
                <w:color w:val="503200"/>
                <w:sz w:val="16"/>
              </w:rPr>
              <w:t xml:space="preserve">Volatilité ann. : </w:t>
            </w:r>
            <w:r>
              <w:rPr>
                <w:color w:val="000000"/>
                <w:sz w:val="17"/>
              </w:rPr>
              <w:t>57.5%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12.13% (Moyenne) — μ=2,926 FCFA, σ=355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β=-0.3605 (Contre-cyclique) — Cov=-0.000014, Var(idx)=0.000040, ρ=-0.063,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σ_j=3.62%/j (Modérée) — Vol. annualisée≈57.5%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1,991</w:t>
            </w:r>
          </w:p>
        </w:tc>
        <w:tc>
          <w:tcPr>
            <w:tcW w:type="dxa" w:w="1440"/>
            <w:shd w:fill="FAFAFA" w:val="clear"/>
          </w:tcPr>
          <w:p>
            <w:r>
              <w:rPr>
                <w:b/>
                <w:sz w:val="17"/>
              </w:rPr>
              <w:t>2,082</w:t>
            </w:r>
          </w:p>
        </w:tc>
        <w:tc>
          <w:tcPr>
            <w:tcW w:type="dxa" w:w="1440"/>
            <w:shd w:fill="FAFAFA" w:val="clear"/>
          </w:tcPr>
          <w:p>
            <w:r>
              <w:rPr>
                <w:sz w:val="17"/>
              </w:rPr>
              <w:t>2,173</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2026-09-23</w:t>
            </w:r>
          </w:p>
        </w:tc>
        <w:tc>
          <w:tcPr>
            <w:tcW w:type="dxa" w:w="1440"/>
            <w:shd w:fill="FFDCE0" w:val="clear"/>
          </w:tcPr>
          <w:p>
            <w:r>
              <w:rPr>
                <w:sz w:val="17"/>
              </w:rPr>
              <w:t>1,916</w:t>
            </w:r>
          </w:p>
        </w:tc>
        <w:tc>
          <w:tcPr>
            <w:tcW w:type="dxa" w:w="1440"/>
            <w:shd w:fill="FFDCE0" w:val="clear"/>
          </w:tcPr>
          <w:p>
            <w:r>
              <w:rPr>
                <w:b/>
                <w:sz w:val="17"/>
              </w:rPr>
              <w:t>2,042</w:t>
            </w:r>
          </w:p>
        </w:tc>
        <w:tc>
          <w:tcPr>
            <w:tcW w:type="dxa" w:w="1440"/>
            <w:shd w:fill="FFDCE0" w:val="clear"/>
          </w:tcPr>
          <w:p>
            <w:r>
              <w:rPr>
                <w:sz w:val="17"/>
              </w:rPr>
              <w:t>2,168</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2026-09-24</w:t>
            </w:r>
          </w:p>
        </w:tc>
        <w:tc>
          <w:tcPr>
            <w:tcW w:type="dxa" w:w="1440"/>
            <w:shd w:fill="FFDCE0" w:val="clear"/>
          </w:tcPr>
          <w:p>
            <w:r>
              <w:rPr>
                <w:sz w:val="17"/>
              </w:rPr>
              <w:t>1,877</w:t>
            </w:r>
          </w:p>
        </w:tc>
        <w:tc>
          <w:tcPr>
            <w:tcW w:type="dxa" w:w="1440"/>
            <w:shd w:fill="FFDCE0" w:val="clear"/>
          </w:tcPr>
          <w:p>
            <w:r>
              <w:rPr>
                <w:b/>
                <w:sz w:val="17"/>
              </w:rPr>
              <w:t>2,031</w:t>
            </w:r>
          </w:p>
        </w:tc>
        <w:tc>
          <w:tcPr>
            <w:tcW w:type="dxa" w:w="1440"/>
            <w:shd w:fill="FFDCE0" w:val="clear"/>
          </w:tcPr>
          <w:p>
            <w:r>
              <w:rPr>
                <w:sz w:val="17"/>
              </w:rPr>
              <w:t>2,185</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1,854</w:t>
            </w:r>
          </w:p>
        </w:tc>
        <w:tc>
          <w:tcPr>
            <w:tcW w:type="dxa" w:w="1440"/>
            <w:shd w:fill="FFDCE0" w:val="clear"/>
          </w:tcPr>
          <w:p>
            <w:r>
              <w:rPr>
                <w:b/>
                <w:sz w:val="17"/>
              </w:rPr>
              <w:t>2,032</w:t>
            </w:r>
          </w:p>
        </w:tc>
        <w:tc>
          <w:tcPr>
            <w:tcW w:type="dxa" w:w="1440"/>
            <w:shd w:fill="FFDCE0" w:val="clear"/>
          </w:tcPr>
          <w:p>
            <w:r>
              <w:rPr>
                <w:sz w:val="17"/>
              </w:rPr>
              <w:t>2,210</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1,840</w:t>
            </w:r>
          </w:p>
        </w:tc>
        <w:tc>
          <w:tcPr>
            <w:tcW w:type="dxa" w:w="1440"/>
            <w:shd w:fill="FFDCE0" w:val="clear"/>
          </w:tcPr>
          <w:p>
            <w:r>
              <w:rPr>
                <w:b/>
                <w:sz w:val="17"/>
              </w:rPr>
              <w:t>2,039</w:t>
            </w:r>
          </w:p>
        </w:tc>
        <w:tc>
          <w:tcPr>
            <w:tcW w:type="dxa" w:w="1440"/>
            <w:shd w:fill="FFDCE0" w:val="clear"/>
          </w:tcPr>
          <w:p>
            <w:r>
              <w:rPr>
                <w:sz w:val="17"/>
              </w:rPr>
              <w:t>2,239</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1,828</w:t>
            </w:r>
          </w:p>
        </w:tc>
        <w:tc>
          <w:tcPr>
            <w:tcW w:type="dxa" w:w="1440"/>
            <w:shd w:fill="FFDCE0" w:val="clear"/>
          </w:tcPr>
          <w:p>
            <w:r>
              <w:rPr>
                <w:b/>
                <w:sz w:val="17"/>
              </w:rPr>
              <w:t>2,048</w:t>
            </w:r>
          </w:p>
        </w:tc>
        <w:tc>
          <w:tcPr>
            <w:tcW w:type="dxa" w:w="1440"/>
            <w:shd w:fill="FFDCE0" w:val="clear"/>
          </w:tcPr>
          <w:p>
            <w:r>
              <w:rPr>
                <w:sz w:val="17"/>
              </w:rPr>
              <w:t>2,267</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1,818</w:t>
            </w:r>
          </w:p>
        </w:tc>
        <w:tc>
          <w:tcPr>
            <w:tcW w:type="dxa" w:w="1440"/>
            <w:shd w:fill="FFDCE0" w:val="clear"/>
          </w:tcPr>
          <w:p>
            <w:r>
              <w:rPr>
                <w:b/>
                <w:sz w:val="17"/>
              </w:rPr>
              <w:t>2,056</w:t>
            </w:r>
          </w:p>
        </w:tc>
        <w:tc>
          <w:tcPr>
            <w:tcW w:type="dxa" w:w="1440"/>
            <w:shd w:fill="FFDCE0" w:val="clear"/>
          </w:tcPr>
          <w:p>
            <w:r>
              <w:rPr>
                <w:sz w:val="17"/>
              </w:rPr>
              <w:t>2,294</w:t>
            </w:r>
          </w:p>
        </w:tc>
        <w:tc>
          <w:tcPr>
            <w:tcW w:type="dxa" w:w="1440"/>
            <w:shd w:fill="FFDCE0" w:val="clear"/>
          </w:tcPr>
          <w:p>
            <w:r>
              <w:rPr>
                <w:b/>
                <w:color w:val="C00000"/>
                <w:sz w:val="17"/>
              </w:rPr>
              <w:t>-2.3%</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1,808</w:t>
            </w:r>
          </w:p>
        </w:tc>
        <w:tc>
          <w:tcPr>
            <w:tcW w:type="dxa" w:w="1440"/>
            <w:shd w:fill="FAFAFA" w:val="clear"/>
          </w:tcPr>
          <w:p>
            <w:r>
              <w:rPr>
                <w:b/>
                <w:sz w:val="17"/>
              </w:rPr>
              <w:t>2,064</w:t>
            </w:r>
          </w:p>
        </w:tc>
        <w:tc>
          <w:tcPr>
            <w:tcW w:type="dxa" w:w="1440"/>
            <w:shd w:fill="FAFAFA" w:val="clear"/>
          </w:tcPr>
          <w:p>
            <w:r>
              <w:rPr>
                <w:sz w:val="17"/>
              </w:rPr>
              <w:t>2,319</w:t>
            </w:r>
          </w:p>
        </w:tc>
        <w:tc>
          <w:tcPr>
            <w:tcW w:type="dxa" w:w="1440"/>
            <w:shd w:fill="FAFAFA" w:val="clear"/>
          </w:tcPr>
          <w:p>
            <w:r>
              <w:rPr>
                <w:b/>
                <w:color w:val="C00000"/>
                <w:sz w:val="17"/>
              </w:rPr>
              <w:t>-2.0%</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1,799</w:t>
            </w:r>
          </w:p>
        </w:tc>
        <w:tc>
          <w:tcPr>
            <w:tcW w:type="dxa" w:w="1440"/>
            <w:shd w:fill="FAFAFA" w:val="clear"/>
          </w:tcPr>
          <w:p>
            <w:r>
              <w:rPr>
                <w:b/>
                <w:sz w:val="17"/>
              </w:rPr>
              <w:t>2,070</w:t>
            </w:r>
          </w:p>
        </w:tc>
        <w:tc>
          <w:tcPr>
            <w:tcW w:type="dxa" w:w="1440"/>
            <w:shd w:fill="FAFAFA" w:val="clear"/>
          </w:tcPr>
          <w:p>
            <w:r>
              <w:rPr>
                <w:sz w:val="17"/>
              </w:rPr>
              <w:t>2,342</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1,789</w:t>
            </w:r>
          </w:p>
        </w:tc>
        <w:tc>
          <w:tcPr>
            <w:tcW w:type="dxa" w:w="1440"/>
            <w:shd w:fill="FAFAFA" w:val="clear"/>
          </w:tcPr>
          <w:p>
            <w:r>
              <w:rPr>
                <w:b/>
                <w:sz w:val="17"/>
              </w:rPr>
              <w:t>2,076</w:t>
            </w:r>
          </w:p>
        </w:tc>
        <w:tc>
          <w:tcPr>
            <w:tcW w:type="dxa" w:w="1440"/>
            <w:shd w:fill="FAFAFA" w:val="clear"/>
          </w:tcPr>
          <w:p>
            <w:r>
              <w:rPr>
                <w:sz w:val="17"/>
              </w:rPr>
              <w:t>2,363</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ACTION STAC (SETAO)**</w:t>
        <w:br/>
        <w:t>**Bourse Régionale des Valeurs Mobilières (BRVM) — Secteur : BTP / Études &amp; Travaux**</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s'élève à 28,29 milliards FCFA, un niveau modeste à l'échelle de la BRVM qui la classe parmi les petites capitalisations du compartiment industriel. Le BPA ressort à -7 FCFA/action, traduisant une société en perte nette, ce qui rend le PER non significatif (-293,0x) — un ratio négatif qui signale l'absence de bénéfices et disqualifie toute lecture classique de valorisation par les résultats. Le P/B de 79,30x constitue un signal d'alerte majeur : le marché valorise l'action à près de 80 fois sa valeur comptable, une prime extrême qui s'explique par des capitaux propres très faibles (356,75 M FCFA) face à une capitalisation de 28,29 Mds FCFA, et qui traduit soit une anticipation spéculative de redressement, soit une décorrélation totale entre le prix et les fondamentaux. Le ratio EV/EBITDA n'est pas exploitable en l'état, l'EBE étant négatif (-650,13 M FCFA en 2025), ce qui confirme que la valeur d'entreprise ne peut être appréciée par la capacité opérationnelle actuelle. En synthèse, la valorisation boursière de STAC est **excessivement tendue et sans ancrage sur les bénéfices**, portée par des anticipations plutôt que par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chute vertigineuse de **-29,60%**, avec une dernière séance particulièrement violente à **-7,47%**, portant le cours à 2 105 FCFA — soit exactement le plus bas de la période, tandis que le plus haut a atteint 3 640 FCFA. Le range de trading est donc extrêmement large (1 535 FCFA d'amplitude, soit 73% du cours bas), signe d'une tendance **franchement baissière** et d'une pression vendeuse persistante. Les statistiques descriptives révèlent une moyenne de 2 926 FCFA nettement supérieure à la médiane de 2 848 FCFA, avec un mode à 3 500 FCFA : cet écart confirme que le cours a passé l'essentiel de la période à des niveaux élevés avant de s'effondrer en fin de fenêtre, la médiane et le mode étant « tirés vers le haut » par l'historique. L'écart-type de 357 FCFA (CV = 12,2%) indique une dispersion modérée en valeur relative, mais le kurtosis de -0,728 (mésokurtique) et le skewness de 0,394 (distribution quasi symétrique) suggèrent l'absence de pics extrêmes isolés — la baisse est donc **progressive et structurelle** plutôt que le fait d'un krach ponctuel. Enfin, la volatilité annualisée de **57,5%** place STAC dans la catégorie des titres à **volatilité élevée** (&gt;30%), ce qui implique un risque de perte en capital significatif et justifie une prime de risque importante pour tout 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(2 550,75 FCFA) et la MM50 (2 721,30 FCFA) sont toutes deux situées **au-dessus du cours actuel** (2 105 FCFA), avec une MM20 inférieure à la MM50 — configuration baissière classique (death cross). Le cours évoluant sous ses deux moyennes, la décision technique est logiquement **Vente**, confirmant que la dynamique de fond reste négative.</w:t>
      </w:r>
    </w:p>
    <w:p>
      <w:pPr>
        <w:spacing w:after="120" w:line="276" w:lineRule="auto"/>
      </w:pPr>
      <w:r>
        <w:t>**Bandes de Bollinger** : Le cours (2 105 FCFA) est **en dessous de la borne inférieure** (2 219,15 FCFA), ce qui constitue un signal de survente extrême et une anomalie statistique (le prix sort des bandes). La décision affichée est **Achat**, mais ce signal doit être interprété avec prudence : une sortie par le bas peut annoncer soit un rebond technique, soit une accélération de la baisse en cas de tendance baissière forte.</w:t>
      </w:r>
    </w:p>
    <w:p>
      <w:pPr>
        <w:spacing w:after="120" w:line="276" w:lineRule="auto"/>
      </w:pPr>
      <w:r>
        <w:t>**MACD** : La valeur du MACD (-118,95) est **inférieure à son signal** (-86,95), avec un histogramme négatif — le momentum baissier est clairement installé et la divergence négative persiste. La décision est **Vente**, le MACD ne montrant aucun signe de retournement imminent.</w:t>
      </w:r>
    </w:p>
    <w:p>
      <w:pPr>
        <w:spacing w:after="120" w:line="276" w:lineRule="auto"/>
      </w:pPr>
      <w:r>
        <w:t>**RSI** : À **9,04**, le RSI est en **survente extrême** (seuil de survente à 30), un niveau rarement atteint qui traduit une pression vendeuse exceptionnelle. La décision affichée est **Achat** (signal de rebond technique), mais un RSI aussi bas dans une tendance baissière peut rester « collé » plusieurs séances avant tout retournement.</w:t>
      </w:r>
    </w:p>
    <w:p>
      <w:pPr>
        <w:spacing w:after="120" w:line="276" w:lineRule="auto"/>
      </w:pPr>
      <w:r>
        <w:t>**Stochastique** : %K et %D sont tous deux à **0,0**, soit un plancher absolu — le titre est survendu de manière maximale. La décision est **Achat**, mais l'absence de croisement haussier (%K &gt; %D) rend ce signal purement théorique à ce stade.</w:t>
      </w:r>
    </w:p>
    <w:p>
      <w:pPr>
        <w:spacing w:after="120" w:line="276" w:lineRule="auto"/>
      </w:pPr>
      <w:r>
        <w:t>**Conclusion technique** : Les indicateurs présentent une **divergence majeure** : les moyennes mobiles et le MACD confirment une tendance baissière structurelle, tandis que le RSI (9,04), le stochastique (0,0) et la sortie des bandes de Bollinger signalent une **survente extrême** propice à un rebond technique. Cette configuration est typique d'un titre en chute libre où les acheteurs « contrariants » guettent un point d'entrée, mais sans confirmation de retournement, le risque de poursuite de la baisse reste dominant.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SETAO (STAC) affiche un chiffre d'affaires de **3,878 Mds FCFA**, en croissance spectaculaire de **+116,26%** par rapport à 2024 (1,793 Md FCFA), portée par les travaux préliminaires de l'aéroport d'Abidjan. Cependant, cette dynamique commerciale ne se traduit pas en rentabilité : le résultat net reste **négatif à -96,56 M FCFA** (marge nette de -2,49%), l'EBE est déficitaire à **-650,13 M FCFA** et le résultat d'exploitation à **-771,95 M FCFA**. Les ratios de rentabilité sont préoccupants : **ROE de -27,07%** et **ROA de -1,77%**, confirmant une destruction de valeur. La structure financière est très fragile : **autonomie financière de 6,55%** (très en dessous du seuil sain de 30%), **ratio d'endettement de 93,45%** et **dépendance financière de 129,87%**. Point positif pour un profil « entreprise » : le **BFR est négatif (-930,47 M FCFA)**, ce qui est favorable à la trésorerie, et la trésorerie nette reste positive à **1,330 Md FCFA**. La **liquidité générale (108,64%)** est juste au-dessus de 1, mais la **liquidité immédiate (28,75%)** est faible.</w:t>
      </w:r>
    </w:p>
    <w:p>
      <w:pPr>
        <w:spacing w:after="120" w:line="276" w:lineRule="auto"/>
      </w:pPr>
      <w:r>
        <w:t>**Estimations basées sur les rapports trimestriels** : Le rapport du **T3 2025 (30/09/2025)** indique un CA cumulé de 3 456 M FCFA (+176% sur 9 mois) et une perte nette de 477 M FCFA, en réduction de 22% — la direction maintient une prévision annuelle de 4 Mds FCFA, ce qui implique un T4 très faible (~544 M FCFA). Le rapport du **S1 2025 (30/06/2025)** faisait état d'un CA de 2 271 M FCFA (+290%) mais d'une perte nette de 557 M FCFA en aggravation, avec un résultat financier effondré (4 M FCFA contre 271 M FCFA). Le rapport **2024 (31/12/2024)** montrait un CA de 1 793 M FCFA (-80,6%) et une perte nette de 348 M FCFA. **On estime donc** que l'exercice 2025 marque une reprise d'activité réelle mais insuffisante pour restaurer la rentabilité, la structure de coûts restant inadaptée au niveau de revenus. Les rapports plus anciens (2020-2021) montrent qu'un retour à la profitabilité est possible (marge nette de 14,6% en 2020, 10,9% en 2021), mais la dégradation depuis 2022 est sévère.</w:t>
      </w:r>
    </w:p>
    <w:p>
      <w:pPr>
        <w:spacing w:after="120" w:line="276" w:lineRule="auto"/>
      </w:pPr>
      <w:r>
        <w:t>**Recommandation fondamentale** : La société présente un **profil de risque très élevé** — croissance du CA réelle mais non rentable, capitaux propres quasi érodés (356,75 M FCFA), endettement massif et dépendance à un projet unique (aéroport d'Abidjan). La survie à moyen terme dépend de la sécurisation de nouveaux contrats et d'une recapitalisation. **Solidité financière : faible. Perspectives : incertaines.**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profonde entre les signaux**. Sur le plan de la **valorisation (Partie 0)**, les ratios sont aberrants : PER négatif (-293x), P/B de 79,30x — le marché paie une prime exorbitante pour une société déficitaire, ce qui traduit une **surévaluation manifeste** sans ancrage fondamental. Le **comportement du cours (Partie 1)** est franchement baissier (-29,60% sur 100 jours, -7,47% en J-1), avec une volatilité élevée (57,5%) et une distribution symétrique sans pics extrêmes — la baisse est structurelle et non un accident. Les **signaux techniques (Partie 2)** sont contradictoires : tendance baissière confirmée par MM et MACD, mais survente extrême (RSI 9,04, stochastique 0,0, sortie des bandes basses) qui plaide pour un rebond technique à court terme. Les **fondamentaux (Partie 3)** sont très dégradés : CA en forte hausse (+116%) mais résultat net négatif (-96,56 M FCFA), ROE de -27,07%, autonomie financière de 6,55% — la société est en situation de fragilité critique malgré un BFR négatif favorable. Enfin, les **prédictions IA (J+1 à J+10)** anticipent une poursuite de la baisse (2 082 → 2 039 FCFA), confirmant la tendance baissière et **contredisant** l'hypothèse d'un rebond immédiat malgré la survente.</w:t>
      </w:r>
    </w:p>
    <w:p>
      <w:pPr>
        <w:spacing w:after="120" w:line="276" w:lineRule="auto"/>
      </w:pPr>
      <w:r>
        <w:t>**Recommandation finale : VENTE FORTE.** La convergence des signaux baissiers (valorisation aberrante, tendance de fond négative, fondamentaux dégradés, prédictions IA à la baisse) l'emporte largement sur le seul signal haussier (survente technique). Le niveau de confiance est **Élevé** (les données sont nombreuses et convergentes), le risque global est **Élevé** (volatilité 57,5%, capitaux propres quasi nuls, dépendance à un projet unique). L'horizon d'investissement recommandé est **court terme (&lt;3 mois)** pour toute position vendeuse, et **aucune position acheteuse** n'est justifiée tant que la rentabilité opérationnelle n'est pas restaurée et que le cours ne repasse pas au-dessus de la MM20 (2 550,75 FCFA) avec confirmation du MACD.</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386.03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3,926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+5.65%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5.63% (Moyenne) — μ=22,445 FCFA, σ=1,263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β=0.3680 (Défensif) — Cov=0.000015, Var(idx)=0.000040, ρ=0.099,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2026-09-22</w:t>
            </w:r>
          </w:p>
        </w:tc>
        <w:tc>
          <w:tcPr>
            <w:tcW w:type="dxa" w:w="1440"/>
            <w:shd w:fill="C6EFCE" w:val="clear"/>
          </w:tcPr>
          <w:p>
            <w:r>
              <w:rPr>
                <w:sz w:val="17"/>
              </w:rPr>
              <w:t>21,256</w:t>
            </w:r>
          </w:p>
        </w:tc>
        <w:tc>
          <w:tcPr>
            <w:tcW w:type="dxa" w:w="1440"/>
            <w:shd w:fill="C6EFCE" w:val="clear"/>
          </w:tcPr>
          <w:p>
            <w:r>
              <w:rPr>
                <w:b/>
                <w:sz w:val="17"/>
              </w:rPr>
              <w:t>22,368</w:t>
            </w:r>
          </w:p>
        </w:tc>
        <w:tc>
          <w:tcPr>
            <w:tcW w:type="dxa" w:w="1440"/>
            <w:shd w:fill="C6EFCE" w:val="clear"/>
          </w:tcPr>
          <w:p>
            <w:r>
              <w:rPr>
                <w:sz w:val="17"/>
              </w:rPr>
              <w:t>23,481</w:t>
            </w:r>
          </w:p>
        </w:tc>
        <w:tc>
          <w:tcPr>
            <w:tcW w:type="dxa" w:w="1440"/>
            <w:shd w:fill="C6EFCE" w:val="clear"/>
          </w:tcPr>
          <w:p>
            <w:r>
              <w:rPr>
                <w:b/>
                <w:color w:val="008000"/>
                <w:sz w:val="17"/>
              </w:rPr>
              <w:t>+4.0%</w:t>
            </w:r>
          </w:p>
        </w:tc>
      </w:tr>
      <w:tr>
        <w:tc>
          <w:tcPr>
            <w:tcW w:type="dxa" w:w="1440"/>
            <w:shd w:fill="C6EFCE" w:val="clear"/>
          </w:tcPr>
          <w:p>
            <w:r>
              <w:rPr>
                <w:sz w:val="17"/>
              </w:rPr>
              <w:t>J+2  ⭐</w:t>
            </w:r>
          </w:p>
        </w:tc>
        <w:tc>
          <w:tcPr>
            <w:tcW w:type="dxa" w:w="1440"/>
            <w:shd w:fill="C6EFCE" w:val="clear"/>
          </w:tcPr>
          <w:p>
            <w:r>
              <w:rPr>
                <w:sz w:val="17"/>
              </w:rPr>
              <w:t>2026-09-23</w:t>
            </w:r>
          </w:p>
        </w:tc>
        <w:tc>
          <w:tcPr>
            <w:tcW w:type="dxa" w:w="1440"/>
            <w:shd w:fill="C6EFCE" w:val="clear"/>
          </w:tcPr>
          <w:p>
            <w:r>
              <w:rPr>
                <w:sz w:val="17"/>
              </w:rPr>
              <w:t>21,136</w:t>
            </w:r>
          </w:p>
        </w:tc>
        <w:tc>
          <w:tcPr>
            <w:tcW w:type="dxa" w:w="1440"/>
            <w:shd w:fill="C6EFCE" w:val="clear"/>
          </w:tcPr>
          <w:p>
            <w:r>
              <w:rPr>
                <w:b/>
                <w:sz w:val="17"/>
              </w:rPr>
              <w:t>22,736</w:t>
            </w:r>
          </w:p>
        </w:tc>
        <w:tc>
          <w:tcPr>
            <w:tcW w:type="dxa" w:w="1440"/>
            <w:shd w:fill="C6EFCE" w:val="clear"/>
          </w:tcPr>
          <w:p>
            <w:r>
              <w:rPr>
                <w:sz w:val="17"/>
              </w:rPr>
              <w:t>24,335</w:t>
            </w:r>
          </w:p>
        </w:tc>
        <w:tc>
          <w:tcPr>
            <w:tcW w:type="dxa" w:w="1440"/>
            <w:shd w:fill="C6EFCE" w:val="clear"/>
          </w:tcPr>
          <w:p>
            <w:r>
              <w:rPr>
                <w:b/>
                <w:color w:val="008000"/>
                <w:sz w:val="17"/>
              </w:rPr>
              <w:t>+5.7%</w:t>
            </w:r>
          </w:p>
        </w:tc>
      </w:tr>
      <w:tr>
        <w:tc>
          <w:tcPr>
            <w:tcW w:type="dxa" w:w="1440"/>
            <w:shd w:fill="C6EFCE" w:val="clear"/>
          </w:tcPr>
          <w:p>
            <w:r>
              <w:rPr>
                <w:sz w:val="17"/>
              </w:rPr>
              <w:t>J+3  ⭐</w:t>
            </w:r>
          </w:p>
        </w:tc>
        <w:tc>
          <w:tcPr>
            <w:tcW w:type="dxa" w:w="1440"/>
            <w:shd w:fill="C6EFCE" w:val="clear"/>
          </w:tcPr>
          <w:p>
            <w:r>
              <w:rPr>
                <w:sz w:val="17"/>
              </w:rPr>
              <w:t>2026-09-24</w:t>
            </w:r>
          </w:p>
        </w:tc>
        <w:tc>
          <w:tcPr>
            <w:tcW w:type="dxa" w:w="1440"/>
            <w:shd w:fill="C6EFCE" w:val="clear"/>
          </w:tcPr>
          <w:p>
            <w:r>
              <w:rPr>
                <w:sz w:val="17"/>
              </w:rPr>
              <w:t>21,091</w:t>
            </w:r>
          </w:p>
        </w:tc>
        <w:tc>
          <w:tcPr>
            <w:tcW w:type="dxa" w:w="1440"/>
            <w:shd w:fill="C6EFCE" w:val="clear"/>
          </w:tcPr>
          <w:p>
            <w:r>
              <w:rPr>
                <w:b/>
                <w:sz w:val="17"/>
              </w:rPr>
              <w:t>23,080</w:t>
            </w:r>
          </w:p>
        </w:tc>
        <w:tc>
          <w:tcPr>
            <w:tcW w:type="dxa" w:w="1440"/>
            <w:shd w:fill="C6EFCE" w:val="clear"/>
          </w:tcPr>
          <w:p>
            <w:r>
              <w:rPr>
                <w:sz w:val="17"/>
              </w:rPr>
              <w:t>25,068</w:t>
            </w:r>
          </w:p>
        </w:tc>
        <w:tc>
          <w:tcPr>
            <w:tcW w:type="dxa" w:w="1440"/>
            <w:shd w:fill="C6EFCE" w:val="clear"/>
          </w:tcPr>
          <w:p>
            <w:r>
              <w:rPr>
                <w:b/>
                <w:color w:val="008000"/>
                <w:sz w:val="17"/>
              </w:rPr>
              <w:t>+7.3%</w:t>
            </w:r>
          </w:p>
        </w:tc>
      </w:tr>
      <w:tr>
        <w:tc>
          <w:tcPr>
            <w:tcW w:type="dxa" w:w="1440"/>
            <w:shd w:fill="C6EFCE" w:val="clear"/>
          </w:tcPr>
          <w:p>
            <w:r>
              <w:rPr>
                <w:sz w:val="17"/>
              </w:rPr>
              <w:t>J+4  ⭐</w:t>
            </w:r>
          </w:p>
        </w:tc>
        <w:tc>
          <w:tcPr>
            <w:tcW w:type="dxa" w:w="1440"/>
            <w:shd w:fill="C6EFCE" w:val="clear"/>
          </w:tcPr>
          <w:p>
            <w:r>
              <w:rPr>
                <w:sz w:val="17"/>
              </w:rPr>
              <w:t>2026-09-25</w:t>
            </w:r>
          </w:p>
        </w:tc>
        <w:tc>
          <w:tcPr>
            <w:tcW w:type="dxa" w:w="1440"/>
            <w:shd w:fill="C6EFCE" w:val="clear"/>
          </w:tcPr>
          <w:p>
            <w:r>
              <w:rPr>
                <w:sz w:val="17"/>
              </w:rPr>
              <w:t>21,028</w:t>
            </w:r>
          </w:p>
        </w:tc>
        <w:tc>
          <w:tcPr>
            <w:tcW w:type="dxa" w:w="1440"/>
            <w:shd w:fill="C6EFCE" w:val="clear"/>
          </w:tcPr>
          <w:p>
            <w:r>
              <w:rPr>
                <w:b/>
                <w:sz w:val="17"/>
              </w:rPr>
              <w:t>23,350</w:t>
            </w:r>
          </w:p>
        </w:tc>
        <w:tc>
          <w:tcPr>
            <w:tcW w:type="dxa" w:w="1440"/>
            <w:shd w:fill="C6EFCE" w:val="clear"/>
          </w:tcPr>
          <w:p>
            <w:r>
              <w:rPr>
                <w:sz w:val="17"/>
              </w:rPr>
              <w:t>25,673</w:t>
            </w:r>
          </w:p>
        </w:tc>
        <w:tc>
          <w:tcPr>
            <w:tcW w:type="dxa" w:w="1440"/>
            <w:shd w:fill="C6EFCE" w:val="clear"/>
          </w:tcPr>
          <w:p>
            <w:r>
              <w:rPr>
                <w:b/>
                <w:color w:val="008000"/>
                <w:sz w:val="17"/>
              </w:rPr>
              <w:t>+8.6%</w:t>
            </w:r>
          </w:p>
        </w:tc>
      </w:tr>
      <w:tr>
        <w:tc>
          <w:tcPr>
            <w:tcW w:type="dxa" w:w="1440"/>
            <w:shd w:fill="C6EFCE" w:val="clear"/>
          </w:tcPr>
          <w:p>
            <w:r>
              <w:rPr>
                <w:sz w:val="17"/>
              </w:rPr>
              <w:t>J+5  ⭐</w:t>
            </w:r>
          </w:p>
        </w:tc>
        <w:tc>
          <w:tcPr>
            <w:tcW w:type="dxa" w:w="1440"/>
            <w:shd w:fill="C6EFCE" w:val="clear"/>
          </w:tcPr>
          <w:p>
            <w:r>
              <w:rPr>
                <w:sz w:val="17"/>
              </w:rPr>
              <w:t>2026-09-28</w:t>
            </w:r>
          </w:p>
        </w:tc>
        <w:tc>
          <w:tcPr>
            <w:tcW w:type="dxa" w:w="1440"/>
            <w:shd w:fill="C6EFCE" w:val="clear"/>
          </w:tcPr>
          <w:p>
            <w:r>
              <w:rPr>
                <w:sz w:val="17"/>
              </w:rPr>
              <w:t>20,987</w:t>
            </w:r>
          </w:p>
        </w:tc>
        <w:tc>
          <w:tcPr>
            <w:tcW w:type="dxa" w:w="1440"/>
            <w:shd w:fill="C6EFCE" w:val="clear"/>
          </w:tcPr>
          <w:p>
            <w:r>
              <w:rPr>
                <w:b/>
                <w:sz w:val="17"/>
              </w:rPr>
              <w:t>23,613</w:t>
            </w:r>
          </w:p>
        </w:tc>
        <w:tc>
          <w:tcPr>
            <w:tcW w:type="dxa" w:w="1440"/>
            <w:shd w:fill="C6EFCE" w:val="clear"/>
          </w:tcPr>
          <w:p>
            <w:r>
              <w:rPr>
                <w:sz w:val="17"/>
              </w:rPr>
              <w:t>26,239</w:t>
            </w:r>
          </w:p>
        </w:tc>
        <w:tc>
          <w:tcPr>
            <w:tcW w:type="dxa" w:w="1440"/>
            <w:shd w:fill="C6EFCE" w:val="clear"/>
          </w:tcPr>
          <w:p>
            <w:r>
              <w:rPr>
                <w:b/>
                <w:color w:val="008000"/>
                <w:sz w:val="17"/>
              </w:rPr>
              <w:t>+9.8%</w:t>
            </w:r>
          </w:p>
        </w:tc>
      </w:tr>
      <w:tr>
        <w:tc>
          <w:tcPr>
            <w:tcW w:type="dxa" w:w="1440"/>
            <w:shd w:fill="C6EFCE" w:val="clear"/>
          </w:tcPr>
          <w:p>
            <w:r>
              <w:rPr>
                <w:sz w:val="17"/>
              </w:rPr>
              <w:t>J+6  ⭐</w:t>
            </w:r>
          </w:p>
        </w:tc>
        <w:tc>
          <w:tcPr>
            <w:tcW w:type="dxa" w:w="1440"/>
            <w:shd w:fill="C6EFCE" w:val="clear"/>
          </w:tcPr>
          <w:p>
            <w:r>
              <w:rPr>
                <w:sz w:val="17"/>
              </w:rPr>
              <w:t>2026-09-29</w:t>
            </w:r>
          </w:p>
        </w:tc>
        <w:tc>
          <w:tcPr>
            <w:tcW w:type="dxa" w:w="1440"/>
            <w:shd w:fill="C6EFCE" w:val="clear"/>
          </w:tcPr>
          <w:p>
            <w:r>
              <w:rPr>
                <w:sz w:val="17"/>
              </w:rPr>
              <w:t>20,926</w:t>
            </w:r>
          </w:p>
        </w:tc>
        <w:tc>
          <w:tcPr>
            <w:tcW w:type="dxa" w:w="1440"/>
            <w:shd w:fill="C6EFCE" w:val="clear"/>
          </w:tcPr>
          <w:p>
            <w:r>
              <w:rPr>
                <w:b/>
                <w:sz w:val="17"/>
              </w:rPr>
              <w:t>23,829</w:t>
            </w:r>
          </w:p>
        </w:tc>
        <w:tc>
          <w:tcPr>
            <w:tcW w:type="dxa" w:w="1440"/>
            <w:shd w:fill="C6EFCE" w:val="clear"/>
          </w:tcPr>
          <w:p>
            <w:r>
              <w:rPr>
                <w:sz w:val="17"/>
              </w:rPr>
              <w:t>26,732</w:t>
            </w:r>
          </w:p>
        </w:tc>
        <w:tc>
          <w:tcPr>
            <w:tcW w:type="dxa" w:w="1440"/>
            <w:shd w:fill="C6EFCE" w:val="clear"/>
          </w:tcPr>
          <w:p>
            <w:r>
              <w:rPr>
                <w:b/>
                <w:color w:val="008000"/>
                <w:sz w:val="17"/>
              </w:rPr>
              <w:t>+10.8%</w:t>
            </w:r>
          </w:p>
        </w:tc>
      </w:tr>
      <w:tr>
        <w:tc>
          <w:tcPr>
            <w:tcW w:type="dxa" w:w="1440"/>
            <w:shd w:fill="C6EFCE" w:val="clear"/>
          </w:tcPr>
          <w:p>
            <w:r>
              <w:rPr>
                <w:sz w:val="17"/>
              </w:rPr>
              <w:t>J+7  ⭐</w:t>
            </w:r>
          </w:p>
        </w:tc>
        <w:tc>
          <w:tcPr>
            <w:tcW w:type="dxa" w:w="1440"/>
            <w:shd w:fill="C6EFCE" w:val="clear"/>
          </w:tcPr>
          <w:p>
            <w:r>
              <w:rPr>
                <w:sz w:val="17"/>
              </w:rPr>
              <w:t>2026-09-30</w:t>
            </w:r>
          </w:p>
        </w:tc>
        <w:tc>
          <w:tcPr>
            <w:tcW w:type="dxa" w:w="1440"/>
            <w:shd w:fill="C6EFCE" w:val="clear"/>
          </w:tcPr>
          <w:p>
            <w:r>
              <w:rPr>
                <w:sz w:val="17"/>
              </w:rPr>
              <w:t>20,860</w:t>
            </w:r>
          </w:p>
        </w:tc>
        <w:tc>
          <w:tcPr>
            <w:tcW w:type="dxa" w:w="1440"/>
            <w:shd w:fill="C6EFCE" w:val="clear"/>
          </w:tcPr>
          <w:p>
            <w:r>
              <w:rPr>
                <w:b/>
                <w:sz w:val="17"/>
              </w:rPr>
              <w:t>24,021</w:t>
            </w:r>
          </w:p>
        </w:tc>
        <w:tc>
          <w:tcPr>
            <w:tcW w:type="dxa" w:w="1440"/>
            <w:shd w:fill="C6EFCE" w:val="clear"/>
          </w:tcPr>
          <w:p>
            <w:r>
              <w:rPr>
                <w:sz w:val="17"/>
              </w:rPr>
              <w:t>27,182</w:t>
            </w:r>
          </w:p>
        </w:tc>
        <w:tc>
          <w:tcPr>
            <w:tcW w:type="dxa" w:w="1440"/>
            <w:shd w:fill="C6EFCE" w:val="clear"/>
          </w:tcPr>
          <w:p>
            <w:r>
              <w:rPr>
                <w:b/>
                <w:color w:val="008000"/>
                <w:sz w:val="17"/>
              </w:rPr>
              <w:t>+11.7%</w:t>
            </w:r>
          </w:p>
        </w:tc>
      </w:tr>
      <w:tr>
        <w:tc>
          <w:tcPr>
            <w:tcW w:type="dxa" w:w="1440"/>
            <w:shd w:fill="C6EFCE" w:val="clear"/>
          </w:tcPr>
          <w:p>
            <w:r>
              <w:rPr>
                <w:sz w:val="17"/>
              </w:rPr>
              <w:t>J+8  ⭐</w:t>
            </w:r>
          </w:p>
        </w:tc>
        <w:tc>
          <w:tcPr>
            <w:tcW w:type="dxa" w:w="1440"/>
            <w:shd w:fill="C6EFCE" w:val="clear"/>
          </w:tcPr>
          <w:p>
            <w:r>
              <w:rPr>
                <w:sz w:val="17"/>
              </w:rPr>
              <w:t>2026-10-01</w:t>
            </w:r>
          </w:p>
        </w:tc>
        <w:tc>
          <w:tcPr>
            <w:tcW w:type="dxa" w:w="1440"/>
            <w:shd w:fill="C6EFCE" w:val="clear"/>
          </w:tcPr>
          <w:p>
            <w:r>
              <w:rPr>
                <w:sz w:val="17"/>
              </w:rPr>
              <w:t>20,780</w:t>
            </w:r>
          </w:p>
        </w:tc>
        <w:tc>
          <w:tcPr>
            <w:tcW w:type="dxa" w:w="1440"/>
            <w:shd w:fill="C6EFCE" w:val="clear"/>
          </w:tcPr>
          <w:p>
            <w:r>
              <w:rPr>
                <w:b/>
                <w:sz w:val="17"/>
              </w:rPr>
              <w:t>24,181</w:t>
            </w:r>
          </w:p>
        </w:tc>
        <w:tc>
          <w:tcPr>
            <w:tcW w:type="dxa" w:w="1440"/>
            <w:shd w:fill="C6EFCE" w:val="clear"/>
          </w:tcPr>
          <w:p>
            <w:r>
              <w:rPr>
                <w:sz w:val="17"/>
              </w:rPr>
              <w:t>27,583</w:t>
            </w:r>
          </w:p>
        </w:tc>
        <w:tc>
          <w:tcPr>
            <w:tcW w:type="dxa" w:w="1440"/>
            <w:shd w:fill="C6EFCE" w:val="clear"/>
          </w:tcPr>
          <w:p>
            <w:r>
              <w:rPr>
                <w:b/>
                <w:color w:val="008000"/>
                <w:sz w:val="17"/>
              </w:rPr>
              <w:t>+12.5%</w:t>
            </w:r>
          </w:p>
        </w:tc>
      </w:tr>
      <w:tr>
        <w:tc>
          <w:tcPr>
            <w:tcW w:type="dxa" w:w="1440"/>
            <w:shd w:fill="C6EFCE" w:val="clear"/>
          </w:tcPr>
          <w:p>
            <w:r>
              <w:rPr>
                <w:sz w:val="17"/>
              </w:rPr>
              <w:t>J+9  ⭐</w:t>
            </w:r>
          </w:p>
        </w:tc>
        <w:tc>
          <w:tcPr>
            <w:tcW w:type="dxa" w:w="1440"/>
            <w:shd w:fill="C6EFCE" w:val="clear"/>
          </w:tcPr>
          <w:p>
            <w:r>
              <w:rPr>
                <w:sz w:val="17"/>
              </w:rPr>
              <w:t>2026-10-02</w:t>
            </w:r>
          </w:p>
        </w:tc>
        <w:tc>
          <w:tcPr>
            <w:tcW w:type="dxa" w:w="1440"/>
            <w:shd w:fill="C6EFCE" w:val="clear"/>
          </w:tcPr>
          <w:p>
            <w:r>
              <w:rPr>
                <w:sz w:val="17"/>
              </w:rPr>
              <w:t>20,662</w:t>
            </w:r>
          </w:p>
        </w:tc>
        <w:tc>
          <w:tcPr>
            <w:tcW w:type="dxa" w:w="1440"/>
            <w:shd w:fill="C6EFCE" w:val="clear"/>
          </w:tcPr>
          <w:p>
            <w:r>
              <w:rPr>
                <w:b/>
                <w:sz w:val="17"/>
              </w:rPr>
              <w:t>24,286</w:t>
            </w:r>
          </w:p>
        </w:tc>
        <w:tc>
          <w:tcPr>
            <w:tcW w:type="dxa" w:w="1440"/>
            <w:shd w:fill="C6EFCE" w:val="clear"/>
          </w:tcPr>
          <w:p>
            <w:r>
              <w:rPr>
                <w:sz w:val="17"/>
              </w:rPr>
              <w:t>27,909</w:t>
            </w:r>
          </w:p>
        </w:tc>
        <w:tc>
          <w:tcPr>
            <w:tcW w:type="dxa" w:w="1440"/>
            <w:shd w:fill="C6EFCE" w:val="clear"/>
          </w:tcPr>
          <w:p>
            <w:r>
              <w:rPr>
                <w:b/>
                <w:color w:val="008000"/>
                <w:sz w:val="17"/>
              </w:rPr>
              <w:t>+13.0%</w:t>
            </w:r>
          </w:p>
        </w:tc>
      </w:tr>
      <w:tr>
        <w:tc>
          <w:tcPr>
            <w:tcW w:type="dxa" w:w="1440"/>
            <w:shd w:fill="C6EFCE" w:val="clear"/>
          </w:tcPr>
          <w:p>
            <w:r>
              <w:rPr>
                <w:sz w:val="17"/>
              </w:rPr>
              <w:t>J+10  ⭐</w:t>
            </w:r>
          </w:p>
        </w:tc>
        <w:tc>
          <w:tcPr>
            <w:tcW w:type="dxa" w:w="1440"/>
            <w:shd w:fill="C6EFCE" w:val="clear"/>
          </w:tcPr>
          <w:p>
            <w:r>
              <w:rPr>
                <w:sz w:val="17"/>
              </w:rPr>
              <w:t>2026-10-05</w:t>
            </w:r>
          </w:p>
        </w:tc>
        <w:tc>
          <w:tcPr>
            <w:tcW w:type="dxa" w:w="1440"/>
            <w:shd w:fill="C6EFCE" w:val="clear"/>
          </w:tcPr>
          <w:p>
            <w:r>
              <w:rPr>
                <w:sz w:val="17"/>
              </w:rPr>
              <w:t>20,554</w:t>
            </w:r>
          </w:p>
        </w:tc>
        <w:tc>
          <w:tcPr>
            <w:tcW w:type="dxa" w:w="1440"/>
            <w:shd w:fill="C6EFCE" w:val="clear"/>
          </w:tcPr>
          <w:p>
            <w:r>
              <w:rPr>
                <w:b/>
                <w:sz w:val="17"/>
              </w:rPr>
              <w:t>24,390</w:t>
            </w:r>
          </w:p>
        </w:tc>
        <w:tc>
          <w:tcPr>
            <w:tcW w:type="dxa" w:w="1440"/>
            <w:shd w:fill="C6EFCE" w:val="clear"/>
          </w:tcPr>
          <w:p>
            <w:r>
              <w:rPr>
                <w:sz w:val="17"/>
              </w:rPr>
              <w:t>28,226</w:t>
            </w:r>
          </w:p>
        </w:tc>
        <w:tc>
          <w:tcPr>
            <w:tcW w:type="dxa" w:w="1440"/>
            <w:shd w:fill="C6EFCE" w:val="clear"/>
          </w:tcPr>
          <w:p>
            <w:r>
              <w:rPr>
                <w:b/>
                <w:color w:val="008000"/>
                <w:sz w:val="17"/>
              </w:rPr>
              <w:t>+13.4%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**Bourse Régionale des Valeurs Mobilières (BRVM) — Secteur : Entreprise (Distribution de tabac)**</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386,03 milliards FCFA, STBC s'impose comme l'une des plus importantes capitalisations de la BRVM, ce qui lui confère une liquidité relative et une visibilité institutionnelle appréciables. Le BPA de 2 014 FCFA/action signifie que chaque titre génère un bénéfice net de 2 014 FCFA, ce qui, rapporté au cours actuel de 21 500 FCFA, donne un PER de 10,7x — un niveau modéré et parfaitement dans la fourchette moyenne du marché BRVM (8-12x), suggérant que les investisseurs ne paient pas de prime excessive pour les bénéfices. En revanche, le P/B de 8,51x traduit une valorisation très exigeante par rapport à la valeur comptable (capitaux propres de 45,3 Mds FCFA pour 386 Mds FCFA de capitalisation), ce qui s'explique par la forte rentabilité des fonds propres (ROE de 79,75%) et l'absence d'actifs industriels lourds dans un modèle de pur trading. Enfin, l'EV/EBITDA de 7,7x, situé dans la fourchette raisonnable de 5-10x, indique que la valeur totale de l'entreprise (incluant sa trésorerie nette positive) reste cohérente avec sa capacité opérationnelle à générer de l'EBE (46,39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STBC affiche une variation totale positive de +5,65%, mais la dernière séance (J-1) enregistre un repli marqué de -2,05%, signalant une pression vendeuse récente. Le cours actuel de 21 500 FCFA se situe dans la partie basse du range de trading établi entre 19 705 FCFA (plus bas) et 25 000 FCFA (plus haut), ce qui traduit une tendance générale haussière sur la période mais avec une correction en cours depuis les sommets. Les statistiques descriptives révèlent une moyenne de 22 445 FCFA légèrement supérieure à la médiane de 22 218 FCFA, avec un mode à 21 000 FCFA — l'écart modéré entre moyenne et médiane indique une distribution quasi-symétrique, confirmée par un skewness de 0,202 (distribution symétrique). L'écart-type de 1 270 FCFA et le coefficient de variation de 5,7% témoignent d'une dispersion relativement faible du cours autour de sa moyenne, tandis que le kurtosis de -0,661 (mésokurtique) suggère une distribution proche de la normale, sans risque majeur de pics extrêmes. La volatilité annualisée de 37,3% positionne le titre dans la catégorie des valeurs à volatilité élevée (&gt;30%), ce qui est cohérent avec la nature du secteur et la taille moyenne des volumes échangés (3 926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(22 018,75 FCFA) et la MM50 (22 904,80 FCFA) se situent toutes deux au-dessus du cours actuel (21 500 FCFA), avec une MM20 inférieure à la MM50 — configuration baissière classique. Le cours évoluant sous ses deux moyennes mobiles, la pression vendeuse est confirmée, justifiant la décision technique de **Vente**.</w:t>
      </w:r>
    </w:p>
    <w:p>
      <w:pPr>
        <w:spacing w:after="120" w:line="276" w:lineRule="auto"/>
      </w:pPr>
      <w:r>
        <w:t>**Bandes de Bollinger :** Le cours actuel (21 500 FCFA) se situe dans la moitié inférieure de la bande, entre la borne inférieure (21 102,69 FCFA) et la borne supérieure (22 934,81 FCFA), sans franchissement des extrêmes. Cette position centrale-basse, couplée à un rétrécissement relatif des bandes, indique une absence de signal directionnel fort, justifiant la décision **Neutre**.</w:t>
      </w:r>
    </w:p>
    <w:p>
      <w:pPr>
        <w:spacing w:after="120" w:line="276" w:lineRule="auto"/>
      </w:pPr>
      <w:r>
        <w:t>**MACD :** La valeur du MACD (-361,293) est quasiment identique à son signal (-361,276), avec un écart marginal de -0,017 point. Cette convergence extrême indique un momentum baissier qui s'essouffle, sans croisement haussier imminent, ce qui justifie le maintien de la décision **Vente** mais avec une intensité décroissante.</w:t>
      </w:r>
    </w:p>
    <w:p>
      <w:pPr>
        <w:spacing w:after="120" w:line="276" w:lineRule="auto"/>
      </w:pPr>
      <w:r>
        <w:t>**RSI :** À 38,251, le RSI se situe dans la zone neutre basse (30-70), sans atteindre le seuil de survente (&lt;30). Cette valeur indique une faiblesse relative du titre sans capitulation, laissant place à un potentiel de rebond technique mais sans signal d'achat confirmé — décision **Neutre**.</w:t>
      </w:r>
    </w:p>
    <w:p>
      <w:pPr>
        <w:spacing w:after="120" w:line="276" w:lineRule="auto"/>
      </w:pPr>
      <w:r>
        <w:t>**Stochastique :** Le %K (46,154) est inférieur au %D (61,01), configuration baissière avec un croisement récent des lignes vers le bas. Le stochastique se situe en zone médiane, sans surachat ni survente, ce qui confirme la décision **Neutre** avec un biais baissier modéré.</w:t>
      </w:r>
    </w:p>
    <w:p>
      <w:pPr>
        <w:spacing w:after="120" w:line="276" w:lineRule="auto"/>
      </w:pPr>
      <w:r>
        <w:t>**Conclusion technique :** La convergence des signaux est majoritairement baissière (MM, MACD) ou neutre (Bollinger, RSI, Stochastique), sans divergence haussière significative. Le titre évolue sous ses moyennes mobiles avec un momentum négatif qui tend à s'atténuer, suggérant une phase de consolidation baissière plutôt qu'un retournement imminent. La prudence technique reste de mise tant que le cours ne repasse pas au-dessus de la MM20 (22 018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SITAB a réalisé un chiffre d'affaires de 268,537 milliards FCFA, en croissance de +25,3% par rapport à 2024, portée par une hausse des volumes de +5,6% et un effet prix favorable. Le résultat net s'établit à 36,158 milliards FCFA, en recul de -17,5% sur un an, sous l'effet de la hausse des droits d'accises (de 49% à 70% en janvier 2025) et d'un contrôle fiscal. La rentabilité reste exceptionnelle avec un ROE de 79,75% (résultat net/capitaux propres de 45,337 Mds FCFA) et un ROA de 48,09%, tandis que la marge nette se contracte à 13,46% (contre 20,4% en 2024). En tant qu'entreprise de distribution, les délais clients de 42,57 jours et la durée de stockage de 5,73 jours sont maîtrisés, et le BFR de 5,639 Mds FCFA reste faible. La structure financière est très saine : autonomie financière de 60,3%, dettes financières quasi nulles (1,4 M FCFA), trésorerie nette de 30,763 Mds FCFA et liquidité générale de 225%.</w:t>
      </w:r>
    </w:p>
    <w:p>
      <w:pPr>
        <w:spacing w:after="120" w:line="276" w:lineRule="auto"/>
      </w:pPr>
      <w:r>
        <w:t>**Estimations basées sur les rapports trimestriels :** Le rapport du T1 2026 (publié en 2026) indique un CA de 68,8 Mds FCFA (+12%) et des volumes en hausse de +10%, confirmant un redressement commercial après la contraction de 2025. Le rapport du T2 2026 (publié en 2026) fait état d'un CA de 70,05 Mds FCFA (+1%) et d'un résultat net de 8,64 Mds FCFA (-0,2%), avec une marge nette de 12,3%. Sur la base de ces deux trimestres, on peut estimer que l'exercice 2026 devrait afficher un CA annuel d'environ 275-280 Mds FCFA (+3-4%) et un résultat net de l'ordre de 35-37 Mds FCFA, soit une stabilisation de la rentabilité après la correction de 2025. Le dividende proposé de 1 940 FCFA/action (rendement de 9,0% au cours actuel) reste attractif, bien que le taux de distribution de 84,9% demeure élevé.</w:t>
      </w:r>
    </w:p>
    <w:p>
      <w:pPr>
        <w:spacing w:after="120" w:line="276" w:lineRule="auto"/>
      </w:pPr>
      <w:r>
        <w:t>**Recommandation fondamentale :** SITAB présente une solidité bilantielle remarquable (zéro dette, trésorerie abondante) et une rentabilité toujours élevée malgré la compression des marges. Les risques principaux résident dans la pression fiscale continue (droits d'accises), la dépendance au secteur du tabac et une politique de dividende généreuse qui limite les capacités de réinvestissement. La dynamique des volumes au T1 2026 (+10%) est encourageante et pourrait compenser partiellement l'érosion des marges. **Recommandation : CONSERVER** — valeur de rendement solide, mais sans catalyseur de croissance majeur à court terme.</w:t>
      </w:r>
    </w:p>
    <w:p>
      <w:pPr>
        <w:spacing w:after="120" w:line="276" w:lineRule="auto"/>
      </w:pPr>
      <w:r>
        <w:t>---</w:t>
      </w:r>
    </w:p>
    <w:p>
      <w:pPr>
        <w:spacing w:after="120" w:line="276" w:lineRule="auto"/>
      </w:pPr>
      <w:r>
        <w:t>## PARTIE 4 : CONCLUSION D'INVESTISSEMENT</w:t>
      </w:r>
    </w:p>
    <w:p>
      <w:pPr>
        <w:spacing w:after="120" w:line="276" w:lineRule="auto"/>
      </w:pPr>
      <w:r>
        <w:t>La valorisation de STBC apparaît globalement raisonnable : le PER de 10,7x est dans la moyenne du marché, l'EV/EBITDA de 7,7x est correct, mais le P/B de 8,51x traduit une prime élevée justifiée par un ROE exceptionnel de 79,75%. Le comportement du cours sur 100 jours (+5,65%) est positif mais la correction récente (-2,05% en J-1) et la volatilité élevée (37,3%) incitent à la prudence, d'autant que la distribution est symétrique (skewness 0,202) et sans risque de pics extrêmes (kurtosis -0,661). Les signaux techniques sont majoritairement baissiers ou neutres (cours sous MM20/MM50, MACD négatif, RSI à 38,25), sans divergence haussière, ce qui suggère une poursuite de la consolidation à court terme. Les fondamentaux restent solides (CA +25,3% en 2025, ROE 79,75%, trésorerie nette 30,8 Mds FCFA) mais la rentabilité se dégrade (marge nette 13,46% contre 20,4% en 2024), et les rapports T1/T2 2026 indiquent une stabilisation avec un redressement des volumes (+10% au T1). Les prédictions IA (J+1 à J+10) anticipent une trajectoire haussière vers 23 613 FCFA (+9,8% depuis 21 500 FCFA), ce qui contredit les signaux techniques baissiers à court terme mais s'aligne sur la solidité fondamentale et le rendement attractif du dividende (9,0%).</w:t>
      </w:r>
    </w:p>
    <w:p>
      <w:pPr>
        <w:spacing w:after="120" w:line="276" w:lineRule="auto"/>
      </w:pPr>
      <w:r>
        <w:t>**Recommandation finale : CONSERVER**</w:t>
        <w:br/>
        <w:t>La convergence entre une valorisation modérée (PER 10,7x), des fondamentaux solides mais en légère dégradation, des signaux techniques baissiers à court terme et des prédictions IA haussières à 10 jours plaide pour une position de conservation. Le titre offre un rendement attractif (dividende de 1 940 FCFA/action) et une structure financière sans risque majeur, mais l'absence de catalyseur de croissance fort et la pression fiscale persistante limitent le potentiel d'appréciation à court terme. **Niveau de confiance : Moyen** — les signaux sont divergents entre technique (baissier) et prédiction/fondamental (haussier). **Niveau de risque global : Moyen** — volatilité élevée (37,3%) mais bilan très sain. **Horizon d'investissement optimal : Moyen terme (3-12 mois)** — pour capturer le dividende et une éventuelle reprise technique, en surveillant l'évolution des marges et des volumes aux prochains trimestres.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198.96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7,302 titres</w:t>
            </w:r>
          </w:p>
        </w:tc>
        <w:tc>
          <w:tcPr>
            <w:tcW w:type="dxa" w:w="2268"/>
            <w:shd w:fill="FFF2CC" w:val="clear"/>
          </w:tcPr>
          <w:p>
            <w:r>
              <w:rPr>
                <w:b/>
                <w:color w:val="503200"/>
                <w:sz w:val="16"/>
              </w:rPr>
              <w:t xml:space="preserve">Cours actuel : </w:t>
            </w:r>
            <w:r>
              <w:rPr>
                <w:color w:val="000000"/>
                <w:sz w:val="17"/>
              </w:rPr>
              <w:t>3,160 FCFA</w:t>
            </w:r>
          </w:p>
          <w:p>
            <w:r>
              <w:rPr>
                <w:b/>
                <w:color w:val="503200"/>
                <w:sz w:val="16"/>
              </w:rPr>
              <w:t xml:space="preserve">Var. 100 jours : </w:t>
            </w:r>
            <w:r>
              <w:rPr>
                <w:b/>
                <w:color w:val="007800"/>
                <w:sz w:val="17"/>
              </w:rPr>
              <w:t>+16.82%</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6.88% (Moyenne) — μ=2,992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β=-0.4250 (Contre-cyclique) — Cov=-0.000017, Var(idx)=0.000040, ρ=-0.104,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2,990</w:t>
            </w:r>
          </w:p>
        </w:tc>
        <w:tc>
          <w:tcPr>
            <w:tcW w:type="dxa" w:w="1440"/>
            <w:shd w:fill="FAFAFA" w:val="clear"/>
          </w:tcPr>
          <w:p>
            <w:r>
              <w:rPr>
                <w:b/>
                <w:sz w:val="17"/>
              </w:rPr>
              <w:t>3,125</w:t>
            </w:r>
          </w:p>
        </w:tc>
        <w:tc>
          <w:tcPr>
            <w:tcW w:type="dxa" w:w="1440"/>
            <w:shd w:fill="FAFAFA" w:val="clear"/>
          </w:tcPr>
          <w:p>
            <w:r>
              <w:rPr>
                <w:sz w:val="17"/>
              </w:rPr>
              <w:t>3,260</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2,909</w:t>
            </w:r>
          </w:p>
        </w:tc>
        <w:tc>
          <w:tcPr>
            <w:tcW w:type="dxa" w:w="1440"/>
            <w:shd w:fill="FAFAFA" w:val="clear"/>
          </w:tcPr>
          <w:p>
            <w:r>
              <w:rPr>
                <w:b/>
                <w:sz w:val="17"/>
              </w:rPr>
              <w:t>3,098</w:t>
            </w:r>
          </w:p>
        </w:tc>
        <w:tc>
          <w:tcPr>
            <w:tcW w:type="dxa" w:w="1440"/>
            <w:shd w:fill="FAFAFA" w:val="clear"/>
          </w:tcPr>
          <w:p>
            <w:r>
              <w:rPr>
                <w:sz w:val="17"/>
              </w:rPr>
              <w:t>3,287</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2026-09-24</w:t>
            </w:r>
          </w:p>
        </w:tc>
        <w:tc>
          <w:tcPr>
            <w:tcW w:type="dxa" w:w="1440"/>
            <w:shd w:fill="FFDCE0" w:val="clear"/>
          </w:tcPr>
          <w:p>
            <w:r>
              <w:rPr>
                <w:sz w:val="17"/>
              </w:rPr>
              <w:t>2,841</w:t>
            </w:r>
          </w:p>
        </w:tc>
        <w:tc>
          <w:tcPr>
            <w:tcW w:type="dxa" w:w="1440"/>
            <w:shd w:fill="FFDCE0" w:val="clear"/>
          </w:tcPr>
          <w:p>
            <w:r>
              <w:rPr>
                <w:b/>
                <w:sz w:val="17"/>
              </w:rPr>
              <w:t>3,071</w:t>
            </w:r>
          </w:p>
        </w:tc>
        <w:tc>
          <w:tcPr>
            <w:tcW w:type="dxa" w:w="1440"/>
            <w:shd w:fill="FFDCE0" w:val="clear"/>
          </w:tcPr>
          <w:p>
            <w:r>
              <w:rPr>
                <w:sz w:val="17"/>
              </w:rPr>
              <w:t>3,300</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2026-09-25</w:t>
            </w:r>
          </w:p>
        </w:tc>
        <w:tc>
          <w:tcPr>
            <w:tcW w:type="dxa" w:w="1440"/>
            <w:shd w:fill="FFDCE0" w:val="clear"/>
          </w:tcPr>
          <w:p>
            <w:r>
              <w:rPr>
                <w:sz w:val="17"/>
              </w:rPr>
              <w:t>2,782</w:t>
            </w:r>
          </w:p>
        </w:tc>
        <w:tc>
          <w:tcPr>
            <w:tcW w:type="dxa" w:w="1440"/>
            <w:shd w:fill="FFDCE0" w:val="clear"/>
          </w:tcPr>
          <w:p>
            <w:r>
              <w:rPr>
                <w:b/>
                <w:sz w:val="17"/>
              </w:rPr>
              <w:t>3,044</w:t>
            </w:r>
          </w:p>
        </w:tc>
        <w:tc>
          <w:tcPr>
            <w:tcW w:type="dxa" w:w="1440"/>
            <w:shd w:fill="FFDCE0" w:val="clear"/>
          </w:tcPr>
          <w:p>
            <w:r>
              <w:rPr>
                <w:sz w:val="17"/>
              </w:rPr>
              <w:t>3,307</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2,728</w:t>
            </w:r>
          </w:p>
        </w:tc>
        <w:tc>
          <w:tcPr>
            <w:tcW w:type="dxa" w:w="1440"/>
            <w:shd w:fill="FFDCE0" w:val="clear"/>
          </w:tcPr>
          <w:p>
            <w:r>
              <w:rPr>
                <w:b/>
                <w:sz w:val="17"/>
              </w:rPr>
              <w:t>3,019</w:t>
            </w:r>
          </w:p>
        </w:tc>
        <w:tc>
          <w:tcPr>
            <w:tcW w:type="dxa" w:w="1440"/>
            <w:shd w:fill="FFDCE0" w:val="clear"/>
          </w:tcPr>
          <w:p>
            <w:r>
              <w:rPr>
                <w:sz w:val="17"/>
              </w:rPr>
              <w:t>3,311</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2,679</w:t>
            </w:r>
          </w:p>
        </w:tc>
        <w:tc>
          <w:tcPr>
            <w:tcW w:type="dxa" w:w="1440"/>
            <w:shd w:fill="FFDCE0" w:val="clear"/>
          </w:tcPr>
          <w:p>
            <w:r>
              <w:rPr>
                <w:b/>
                <w:sz w:val="17"/>
              </w:rPr>
              <w:t>2,995</w:t>
            </w:r>
          </w:p>
        </w:tc>
        <w:tc>
          <w:tcPr>
            <w:tcW w:type="dxa" w:w="1440"/>
            <w:shd w:fill="FFDCE0" w:val="clear"/>
          </w:tcPr>
          <w:p>
            <w:r>
              <w:rPr>
                <w:sz w:val="17"/>
              </w:rPr>
              <w:t>3,312</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2,633</w:t>
            </w:r>
          </w:p>
        </w:tc>
        <w:tc>
          <w:tcPr>
            <w:tcW w:type="dxa" w:w="1440"/>
            <w:shd w:fill="FFDCE0" w:val="clear"/>
          </w:tcPr>
          <w:p>
            <w:r>
              <w:rPr>
                <w:b/>
                <w:sz w:val="17"/>
              </w:rPr>
              <w:t>2,972</w:t>
            </w:r>
          </w:p>
        </w:tc>
        <w:tc>
          <w:tcPr>
            <w:tcW w:type="dxa" w:w="1440"/>
            <w:shd w:fill="FFDCE0" w:val="clear"/>
          </w:tcPr>
          <w:p>
            <w:r>
              <w:rPr>
                <w:sz w:val="17"/>
              </w:rPr>
              <w:t>3,312</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2,590</w:t>
            </w:r>
          </w:p>
        </w:tc>
        <w:tc>
          <w:tcPr>
            <w:tcW w:type="dxa" w:w="1440"/>
            <w:shd w:fill="FFDCE0" w:val="clear"/>
          </w:tcPr>
          <w:p>
            <w:r>
              <w:rPr>
                <w:b/>
                <w:sz w:val="17"/>
              </w:rPr>
              <w:t>2,950</w:t>
            </w:r>
          </w:p>
        </w:tc>
        <w:tc>
          <w:tcPr>
            <w:tcW w:type="dxa" w:w="1440"/>
            <w:shd w:fill="FFDCE0" w:val="clear"/>
          </w:tcPr>
          <w:p>
            <w:r>
              <w:rPr>
                <w:sz w:val="17"/>
              </w:rPr>
              <w:t>3,310</w:t>
            </w:r>
          </w:p>
        </w:tc>
        <w:tc>
          <w:tcPr>
            <w:tcW w:type="dxa" w:w="1440"/>
            <w:shd w:fill="FFDCE0" w:val="clear"/>
          </w:tcPr>
          <w:p>
            <w:r>
              <w:rPr>
                <w:b/>
                <w:color w:val="C00000"/>
                <w:sz w:val="17"/>
              </w:rPr>
              <w:t>-6.6%</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2,550</w:t>
            </w:r>
          </w:p>
        </w:tc>
        <w:tc>
          <w:tcPr>
            <w:tcW w:type="dxa" w:w="1440"/>
            <w:shd w:fill="FFDCE0" w:val="clear"/>
          </w:tcPr>
          <w:p>
            <w:r>
              <w:rPr>
                <w:b/>
                <w:sz w:val="17"/>
              </w:rPr>
              <w:t>2,929</w:t>
            </w:r>
          </w:p>
        </w:tc>
        <w:tc>
          <w:tcPr>
            <w:tcW w:type="dxa" w:w="1440"/>
            <w:shd w:fill="FFDCE0" w:val="clear"/>
          </w:tcPr>
          <w:p>
            <w:r>
              <w:rPr>
                <w:sz w:val="17"/>
              </w:rPr>
              <w:t>3,308</w:t>
            </w:r>
          </w:p>
        </w:tc>
        <w:tc>
          <w:tcPr>
            <w:tcW w:type="dxa" w:w="1440"/>
            <w:shd w:fill="FFDCE0" w:val="clear"/>
          </w:tcPr>
          <w:p>
            <w:r>
              <w:rPr>
                <w:b/>
                <w:color w:val="C00000"/>
                <w:sz w:val="17"/>
              </w:rPr>
              <w:t>-7.3%</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2,512</w:t>
            </w:r>
          </w:p>
        </w:tc>
        <w:tc>
          <w:tcPr>
            <w:tcW w:type="dxa" w:w="1440"/>
            <w:shd w:fill="FFDCE0" w:val="clear"/>
          </w:tcPr>
          <w:p>
            <w:r>
              <w:rPr>
                <w:b/>
                <w:sz w:val="17"/>
              </w:rPr>
              <w:t>2,909</w:t>
            </w:r>
          </w:p>
        </w:tc>
        <w:tc>
          <w:tcPr>
            <w:tcW w:type="dxa" w:w="1440"/>
            <w:shd w:fill="FFDCE0" w:val="clear"/>
          </w:tcPr>
          <w:p>
            <w:r>
              <w:rPr>
                <w:sz w:val="17"/>
              </w:rPr>
              <w:t>3,306</w:t>
            </w:r>
          </w:p>
        </w:tc>
        <w:tc>
          <w:tcPr>
            <w:tcW w:type="dxa" w:w="1440"/>
            <w:shd w:fill="FFDCE0" w:val="clear"/>
          </w:tcPr>
          <w:p>
            <w:r>
              <w:rPr>
                <w:b/>
                <w:color w:val="C00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TTLC (TotalEnergies Marketing Côte d'Ivoire)</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198,96 milliards FCFA, TTLC figure parmi les valeurs les plus importantes de la cote BRVM, ce qui témoigne de sa stature de leader du secteur énergétique ivoirien. Le BPA de 144 FCFA/action signifie que chaque titre génère 144 FCFA de bénéfice net, mais le PER de 21,9x indique que les investisseurs paient près de 22 fois les bénéfices, soit un niveau nettement supérieur à la moyenne BRVM (~8-12x) — signe d'une forte anticipation de croissance ou d'une prime de qualité. Le P/B de 5,50x confirme cette exigence : le marché valorise l'action à plus de 5 fois sa valeur comptable, une prime rarement justifiée hors contexte de rentabilité exceptionnelle. Enfin, l'EV/EBITDA de 11,3x (fourchette 10-15x) traduit une valorisation élevée de la capacité opérationnelle, cohérente avec la position dominante de la société mais laissant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TTLC affiche une performance remarquable de **+16,82%**, avec un cours actuel de 3 160 FCFA et une variation J-1 nulle (3 160 FCFA), signe d'une séance de stabilisation après un mouvement haussier. Le range de trading s'étend de 2 700 FCFA (plus bas) à 3 595 FCFA (plus haut), soit une amplitude de 33%, ce qui traduit une tendance générale haussière mais ponctuée de corrections notables. Les statistiques descriptives révèlent une moyenne (2 992 FCFA) supérieure à la médiane (2 908 FCFA) et un skewness positif de 0,903, indiquant une asymétrie à droite : davantage de journées se sont situées sous la moyenne, avec quelques pics haussiers tirant la distribution vers le haut. L'écart-type de 207 FCFA (CV = 6,9%) témoigne d'une dispersion modérée du cours, tandis que le kurtosis de -0,235 (mésokurtique) suggère une distribution proche de la normale, sans risque excessif de pics extrêmes. La volatilité annualisée de 40,9% classe le titre dans la catégorie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(3 319,5 FCFA) est supérieure à la MM50 (3 127,2 FCFA), configuration haussière classique. Le cours actuel (3 160 FCFA) se situe sous la MM20 mais au-dessus de la MM50, ce qui suggère une correction à court terme dans une tendance de fond positive. La décision technique est **Achat**, portée par le croisement haussier des moyennes.</w:t>
      </w:r>
    </w:p>
    <w:p>
      <w:pPr>
        <w:spacing w:after="120" w:line="276" w:lineRule="auto"/>
      </w:pPr>
      <w:r>
        <w:t>**Bandes de Bollinger** : Le cours (3 160 FCFA) évolue dans la partie basse de la bande, proche de la borne inférieure (3 113,9 FCFA) et loin de la borne supérieure (3 525,1 FCFA). Cette position indique une pression vendeuse récente mais aussi un potentiel de rebond vers la moyenne. La décision est **Neutre**, la volatilité restant contenue dans les bandes.</w:t>
      </w:r>
    </w:p>
    <w:p>
      <w:pPr>
        <w:spacing w:after="120" w:line="276" w:lineRule="auto"/>
      </w:pPr>
      <w:r>
        <w:t>**MACD** : La valeur du MACD (13,799) est nettement inférieure à son signal (44,682), générant une divergence baissière et un momentum négatif. La décision est **Vente**, signalant que la dynamique haussière s'essouffle à court terme.</w:t>
      </w:r>
    </w:p>
    <w:p>
      <w:pPr>
        <w:spacing w:after="120" w:line="276" w:lineRule="auto"/>
      </w:pPr>
      <w:r>
        <w:t>**RSI** : À 28,44, le RSI se situe en zone de **survente** (&lt;30), ce qui indique un excès baissier et une probabilité de rebond technique. La décision est **Achat**, le titre étant potentiellement survendu.</w:t>
      </w:r>
    </w:p>
    <w:p>
      <w:pPr>
        <w:spacing w:after="120" w:line="276" w:lineRule="auto"/>
      </w:pPr>
      <w:r>
        <w:t>**Stochastique** : Le %K (0,0) est au plus bas, sous le %D (11,966), confirmant la survente. La décision est **Achat**, un croisement haussier étant imminent.</w:t>
      </w:r>
    </w:p>
    <w:p>
      <w:pPr>
        <w:spacing w:after="120" w:line="276" w:lineRule="auto"/>
      </w:pPr>
      <w:r>
        <w:t>**Conclusion technique** : Les indicateurs sont partagés — les moyennes mobiles et le RSI/Stochastique plaident pour un rebond (Achat), tandis que le MACD signale une pression baissière persistante (Vente). La position du cours sous la MM20 et proche de la borne basse de Bollinger suggère une phase de consolidation, avec un potentiel de rebond à court terme si le RSI sort de la zone de survente.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milliards FCFA**, en repli de 5,2% sur un an, et un résultat net de **9,087 milliards FCFA** (-3%). La marge nette reste faible à **1,54%**, typique du secteur de distribution, mais le ROE atteint **25,1%**, un niveau excellent (&gt;15%) qui traduit une forte rentabilité des capitaux propres. Le ROA de **4,82%** reste modéré, reflétant l'intensité capitalistique de l'activité. La structure financière est solide avec une autonomie financière de **19,2%** (inférieure au seuil de 30% mais acceptable pour un distributeur) et une solvabilité générale de **123,8%**. Le BFR est négatif (-9,662 milliards FCFA), un point favorable qui signifie que les fournisseurs financent une partie du cycle d'exploitation (délai fournisseurs de 49,7 jours contre 13,8 jours de stockage). La trésorerie nette est négative (-21,926 milliards FCFA), ce qui constitue un point de vigilance.</w:t>
      </w:r>
    </w:p>
    <w:p>
      <w:pPr>
        <w:spacing w:after="120" w:line="276" w:lineRule="auto"/>
      </w:pPr>
      <w:r>
        <w:t>**Estimations basées sur les rapports trimestriels** : Le rapport T1 2026 (publié en 2026) fait état d'un chiffre d'affaires de **154,392 milliards FCFA** (+4,3%) et d'un résultat net de **2,329 milliards FCFA** (+5,5%), marquant un retour à la croissance après le repli de 2025. Le rapport annuel 2025 (publié en 2026) confirme un EBE en hausse de 12% à 22,347 milliards FCFA et un résultat d'exploitation en progression de 18% à 12,329 milliards FCFA, signe d'une amélioration des marges opérationnelles. Le rapport S1 2025 (daté du 30 juin 2025) indiquait déjà une marge opérationnelle stable à 2,1%, malgré une baisse du résultat net de 25,5% liée à une charge fiscale anticipée. Le rapport annuel 2024 (daté du 31 mars 2025) montrait une croissance du CA de 7% à 621 milliards FCFA et un résultat net de 9,37 milliards FCFA (+8%), avec un ROE estimé à ~23%.</w:t>
      </w:r>
    </w:p>
    <w:p>
      <w:pPr>
        <w:spacing w:after="120" w:line="276" w:lineRule="auto"/>
      </w:pPr>
      <w:r>
        <w:t>**Recommandation fondamentale** : La société affiche une solidité opérationnelle (EBE et résultat d'exploitation en hausse en 2025) et une rentabilité des fonds propres excellente (ROE &gt;25%). Cependant, la trésorerie nette négative, le payout supérieur à 100% (dividende de 10 milliards FCFA pour un résultat net de 9,087 milliards) et la dépendance aux crédits court terme constituent des risques. La dynamique du T1 2026 (+4,3% de CA, +5,5% de résultat net) est encourageante et suggère une amélioration pour l'exercice en cours. Recommandation :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21,9x, P/B 5,50x, EV/EBITDA 11,3x), ce qui intègre déjà une prime de qualité et des anticipations de croissance. Le comportement du cours sur 100 jours est haussier (+16,82%) mais avec une volatilité élevée (40,9%) et une asymétrie positive (skewness 0,903), ce qui suggère que les hausses ont été plus marquées que les baisses, mais que le titre reste sensible aux corrections. Les signaux techniques sont mitigés : le RSI (28,44) et le Stochastique (0,0) plaident pour un rebond à court terme, tandis que le MACD (13,799 vs signal 44,682) signale une pression baissière persistante. Les fondamentaux sont solides (ROE 25,1%, EBE +12% en 2025, T1 2026 en croissance de +4,3%), mais la trésorerie négative et le payout élevé limitent la marge de manœuvre. Les prédictions IA anticipent une baisse progressive de 3 125 FCFA (J+1) à 3 019 FCFA (J+5), ce qui contredit les signaux de rebond technique et suggère une poursuite de la consolidation à court terme.</w:t>
      </w:r>
    </w:p>
    <w:p>
      <w:pPr>
        <w:spacing w:after="120" w:line="276" w:lineRule="auto"/>
      </w:pPr>
      <w:r>
        <w:t>**Recommandation finale : CONSERVER** — La convergence entre une valorisation élevée, des signaux techniques partagés et des fondamentaux solides mais perfectibles ne justifie ni un achat agressif ni une vente. Le niveau de confiance est **Moyen**, car les indicateurs divergent (RSI survendu vs MACD baissier). Le risque global est **Moyen** (volatilité élevée mais fondamentaux robustes). L'horizon optimal est le **moyen terme (3-12 mois)**, en attendant la confirmation de la reprise de la croissance au T2 2026 et une 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2,622 titres</w:t>
            </w:r>
          </w:p>
        </w:tc>
        <w:tc>
          <w:tcPr>
            <w:tcW w:type="dxa" w:w="2268"/>
            <w:shd w:fill="FFF2CC" w:val="clear"/>
          </w:tcPr>
          <w:p>
            <w:r>
              <w:rPr>
                <w:b/>
                <w:color w:val="503200"/>
                <w:sz w:val="16"/>
              </w:rPr>
              <w:t xml:space="preserve">Cours actuel : </w:t>
            </w:r>
            <w:r>
              <w:rPr>
                <w:color w:val="000000"/>
                <w:sz w:val="17"/>
              </w:rPr>
              <w:t>3,850 FCFA</w:t>
            </w:r>
          </w:p>
          <w:p>
            <w:r>
              <w:rPr>
                <w:b/>
                <w:color w:val="503200"/>
                <w:sz w:val="16"/>
              </w:rPr>
              <w:t xml:space="preserve">Var. 100 jours : </w:t>
            </w:r>
            <w:r>
              <w:rPr>
                <w:b/>
                <w:color w:val="007800"/>
                <w:sz w:val="17"/>
              </w:rPr>
              <w:t>+20.31%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10.01% (Moyenne) — μ=3,612 FCFA, σ=362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β=0.7814 (Défensif) — Cov=0.000031, Var(idx)=0.000040, ρ=0.178,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3,730</w:t>
            </w:r>
          </w:p>
        </w:tc>
        <w:tc>
          <w:tcPr>
            <w:tcW w:type="dxa" w:w="1440"/>
            <w:shd w:fill="FAFAFA" w:val="clear"/>
          </w:tcPr>
          <w:p>
            <w:r>
              <w:rPr>
                <w:b/>
                <w:sz w:val="17"/>
              </w:rPr>
              <w:t>3,876</w:t>
            </w:r>
          </w:p>
        </w:tc>
        <w:tc>
          <w:tcPr>
            <w:tcW w:type="dxa" w:w="1440"/>
            <w:shd w:fill="FAFAFA" w:val="clear"/>
          </w:tcPr>
          <w:p>
            <w:r>
              <w:rPr>
                <w:sz w:val="17"/>
              </w:rPr>
              <w:t>4,022</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3,667</w:t>
            </w:r>
          </w:p>
        </w:tc>
        <w:tc>
          <w:tcPr>
            <w:tcW w:type="dxa" w:w="1440"/>
            <w:shd w:fill="FAFAFA" w:val="clear"/>
          </w:tcPr>
          <w:p>
            <w:r>
              <w:rPr>
                <w:b/>
                <w:sz w:val="17"/>
              </w:rPr>
              <w:t>3,874</w:t>
            </w:r>
          </w:p>
        </w:tc>
        <w:tc>
          <w:tcPr>
            <w:tcW w:type="dxa" w:w="1440"/>
            <w:shd w:fill="FAFAFA" w:val="clear"/>
          </w:tcPr>
          <w:p>
            <w:r>
              <w:rPr>
                <w:sz w:val="17"/>
              </w:rPr>
              <w:t>4,080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3,620</w:t>
            </w:r>
          </w:p>
        </w:tc>
        <w:tc>
          <w:tcPr>
            <w:tcW w:type="dxa" w:w="1440"/>
            <w:shd w:fill="FAFAFA" w:val="clear"/>
          </w:tcPr>
          <w:p>
            <w:r>
              <w:rPr>
                <w:b/>
                <w:sz w:val="17"/>
              </w:rPr>
              <w:t>3,873</w:t>
            </w:r>
          </w:p>
        </w:tc>
        <w:tc>
          <w:tcPr>
            <w:tcW w:type="dxa" w:w="1440"/>
            <w:shd w:fill="FAFAFA" w:val="clear"/>
          </w:tcPr>
          <w:p>
            <w:r>
              <w:rPr>
                <w:sz w:val="17"/>
              </w:rPr>
              <w:t>4,125</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3,579</w:t>
            </w:r>
          </w:p>
        </w:tc>
        <w:tc>
          <w:tcPr>
            <w:tcW w:type="dxa" w:w="1440"/>
            <w:shd w:fill="FAFAFA" w:val="clear"/>
          </w:tcPr>
          <w:p>
            <w:r>
              <w:rPr>
                <w:b/>
                <w:sz w:val="17"/>
              </w:rPr>
              <w:t>3,871</w:t>
            </w:r>
          </w:p>
        </w:tc>
        <w:tc>
          <w:tcPr>
            <w:tcW w:type="dxa" w:w="1440"/>
            <w:shd w:fill="FAFAFA" w:val="clear"/>
          </w:tcPr>
          <w:p>
            <w:r>
              <w:rPr>
                <w:sz w:val="17"/>
              </w:rPr>
              <w:t>4,163</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3,543</w:t>
            </w:r>
          </w:p>
        </w:tc>
        <w:tc>
          <w:tcPr>
            <w:tcW w:type="dxa" w:w="1440"/>
            <w:shd w:fill="FAFAFA" w:val="clear"/>
          </w:tcPr>
          <w:p>
            <w:r>
              <w:rPr>
                <w:b/>
                <w:sz w:val="17"/>
              </w:rPr>
              <w:t>3,869</w:t>
            </w:r>
          </w:p>
        </w:tc>
        <w:tc>
          <w:tcPr>
            <w:tcW w:type="dxa" w:w="1440"/>
            <w:shd w:fill="FAFAFA" w:val="clear"/>
          </w:tcPr>
          <w:p>
            <w:r>
              <w:rPr>
                <w:sz w:val="17"/>
              </w:rPr>
              <w:t>4,195</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3,511</w:t>
            </w:r>
          </w:p>
        </w:tc>
        <w:tc>
          <w:tcPr>
            <w:tcW w:type="dxa" w:w="1440"/>
            <w:shd w:fill="FAFAFA" w:val="clear"/>
          </w:tcPr>
          <w:p>
            <w:r>
              <w:rPr>
                <w:b/>
                <w:sz w:val="17"/>
              </w:rPr>
              <w:t>3,868</w:t>
            </w:r>
          </w:p>
        </w:tc>
        <w:tc>
          <w:tcPr>
            <w:tcW w:type="dxa" w:w="1440"/>
            <w:shd w:fill="FAFAFA" w:val="clear"/>
          </w:tcPr>
          <w:p>
            <w:r>
              <w:rPr>
                <w:sz w:val="17"/>
              </w:rPr>
              <w:t>4,225</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3,481</w:t>
            </w:r>
          </w:p>
        </w:tc>
        <w:tc>
          <w:tcPr>
            <w:tcW w:type="dxa" w:w="1440"/>
            <w:shd w:fill="FAFAFA" w:val="clear"/>
          </w:tcPr>
          <w:p>
            <w:r>
              <w:rPr>
                <w:b/>
                <w:sz w:val="17"/>
              </w:rPr>
              <w:t>3,866</w:t>
            </w:r>
          </w:p>
        </w:tc>
        <w:tc>
          <w:tcPr>
            <w:tcW w:type="dxa" w:w="1440"/>
            <w:shd w:fill="FAFAFA" w:val="clear"/>
          </w:tcPr>
          <w:p>
            <w:r>
              <w:rPr>
                <w:sz w:val="17"/>
              </w:rPr>
              <w:t>4,251</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3,453</w:t>
            </w:r>
          </w:p>
        </w:tc>
        <w:tc>
          <w:tcPr>
            <w:tcW w:type="dxa" w:w="1440"/>
            <w:shd w:fill="FAFAFA" w:val="clear"/>
          </w:tcPr>
          <w:p>
            <w:r>
              <w:rPr>
                <w:b/>
                <w:sz w:val="17"/>
              </w:rPr>
              <w:t>3,864</w:t>
            </w:r>
          </w:p>
        </w:tc>
        <w:tc>
          <w:tcPr>
            <w:tcW w:type="dxa" w:w="1440"/>
            <w:shd w:fill="FAFAFA" w:val="clear"/>
          </w:tcPr>
          <w:p>
            <w:r>
              <w:rPr>
                <w:sz w:val="17"/>
              </w:rPr>
              <w:t>4,276</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3,426</w:t>
            </w:r>
          </w:p>
        </w:tc>
        <w:tc>
          <w:tcPr>
            <w:tcW w:type="dxa" w:w="1440"/>
            <w:shd w:fill="FAFAFA" w:val="clear"/>
          </w:tcPr>
          <w:p>
            <w:r>
              <w:rPr>
                <w:b/>
                <w:sz w:val="17"/>
              </w:rPr>
              <w:t>3,863</w:t>
            </w:r>
          </w:p>
        </w:tc>
        <w:tc>
          <w:tcPr>
            <w:tcW w:type="dxa" w:w="1440"/>
            <w:shd w:fill="FAFAFA" w:val="clear"/>
          </w:tcPr>
          <w:p>
            <w:r>
              <w:rPr>
                <w:sz w:val="17"/>
              </w:rPr>
              <w:t>4,300</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3,401</w:t>
            </w:r>
          </w:p>
        </w:tc>
        <w:tc>
          <w:tcPr>
            <w:tcW w:type="dxa" w:w="1440"/>
            <w:shd w:fill="FAFAFA" w:val="clear"/>
          </w:tcPr>
          <w:p>
            <w:r>
              <w:rPr>
                <w:b/>
                <w:sz w:val="17"/>
              </w:rPr>
              <w:t>3,861</w:t>
            </w:r>
          </w:p>
        </w:tc>
        <w:tc>
          <w:tcPr>
            <w:tcW w:type="dxa" w:w="1440"/>
            <w:shd w:fill="FAFAFA" w:val="clear"/>
          </w:tcPr>
          <w:p>
            <w:r>
              <w:rPr>
                <w:sz w:val="17"/>
              </w:rPr>
              <w:t>4,321</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TTLS (TotalEnergies Marketing Sénégal)**</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125,42 milliards FCFA, TTLS s'impose comme une valeur de premier plan de la cote BRVM, représentant un pilier du compartiment énergétique régional. Le BPA de 208 FCFA/action signifie que chaque titre génère environ 208 FCFA de bénéfice net, ce qui, rapporté au cours actuel de 3 850 FCFA, donne un PER de 18,5x — nettement supérieur à la moyenne du marché BRVM (8-12x), traduisant une prime de qualité que les investisseurs acceptent de payer pour ce leader sectoriel. Le ratio P/B de 4,44x confirme cette valorisation exigeante : le marché valorise l'entreprise à plus de quatre fois sa valeur comptable, ce qui est élevé mais justifié par la solidité du réseau de distribution et la notoriété de la marque TotalEnergies. Enfin, l'EV/EBITDA de 7,9x, dans la fourchette raisonnable de 5-10x, indique que la valeur totale de l'entreprise (incluant la dette) reste cohérente avec sa capacité opérationnelle à générer des liquidités,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progression remarquable de +20,31%, passant d'un plus bas de 2 845 FCFA à un plus haut de 4 500 FCFA, avant de se replier légèrement pour clôturer à 3 850 FCFA, avec une dernière séance en baisse de -2,53%. Ce range de trading de 1 655 FCFA (soit près de 58% d'amplitude) témoigne d'une dynamique haussière soutenue, bien que le repli récent depuis les sommets suggère une prise de bénéfices après le rallye. Les statistiques descriptives révèlent une distribution quasi-normale du cours : la moyenne (3 612 FCFA) et la médiane (3 640 FCFA) sont très proches, tandis que le mode à 3 800 FCFA indique que ce niveau de prix a été le plus fréquemment négocié — le cours actuel de 3 850 FCFA se situe donc légèrement au-dessus de ces trois mesures de tendance centrale. L'écart-type de 363 FCFA avec un coefficient de variation de 10,1% traduit une dispersion modérée du cours autour de sa moyenne, ce qui est rassurant pour la stabilité relative du titre. Le kurtosis de -0,362 (mésokurtique) et le skewness de -0,030 (distribution symétrique) indiquent une absence de pics extrêmes et de biais directionnel marqué, suggérant un comportement de prix équilibré sans risque de queue épaisse. Enfin, la volatilité annualisée de 44,1% positionne TTLS dans la catégorie des titres à volatilité élevée (&gt;30%), ce qui est cohérent avec son statut de valeur pétrolière exposée aux fluctuations des prix internationaux et aux décisions réglementaires — un paramètre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(3 852 FCFA) et la MM50 (3 809,2 FCFA) se situent toutes deux sous le cours actuel de 3 850 FCFA, avec la MM20 légèrement au-dessus de la MM50, configurant un croisement haussier classique. Cette configuration en « golden cross » (MM courte &gt; MM longue) confirme la tendance haussière de fond et justifie la décision d'achat, bien que le cours soit pratiquement collé à sa MM20, signalant une phase de consolidation possible.</w:t>
      </w:r>
    </w:p>
    <w:p>
      <w:pPr>
        <w:spacing w:after="120" w:line="276" w:lineRule="auto"/>
      </w:pPr>
      <w:r>
        <w:t>**Bandes de Bollinger :** Le cours actuel (3 850 FCFA) évolue dans la partie médiane des bandes, entre la borne inférieure (3 701,4 FCFA) et la borne supérieure (4 002,6 FCFA), sans pression ni de surachat ni de survente. L'écart entre les bornes (301 FCFA) reflète une volatilité modérée à court terme, et la position neutre du cours justifie la décision « Neutre » — le titre n'est ni étiré à la hausse ni compressé à la baisse, offrant un point d'entrée équilibré.</w:t>
      </w:r>
    </w:p>
    <w:p>
      <w:pPr>
        <w:spacing w:after="120" w:line="276" w:lineRule="auto"/>
      </w:pPr>
      <w:r>
        <w:t>**MACD :** La valeur du MACD (38,62) est quasiment identique à son signal (38,629), avec un différentiel négligeable de -0,009 point. Cette convergence extrême indique un momentum en phase de stabilisation, sans direction claire, ce qui justifie la décision de vente technique — le MACD ne fournit plus de signal directionnel fort et un croisement baissier imminent pourrait se produire si la pression vendeuse s'intensifie.</w:t>
      </w:r>
    </w:p>
    <w:p>
      <w:pPr>
        <w:spacing w:after="120" w:line="276" w:lineRule="auto"/>
      </w:pPr>
      <w:r>
        <w:t>**RSI :** À 49,655, le RSI se situe parfaitement dans la zone neutre (30-70), à mi-chemin entre surachat et survente. Cette position équilibrée confirme l'absence de tension acheteuse ou vendeuse excessive et justifie la décision « Neutre » — le titre dispose d'un potentiel de mouvement dans les deux directions sans contrainte technique immédiate.</w:t>
      </w:r>
    </w:p>
    <w:p>
      <w:pPr>
        <w:spacing w:after="120" w:line="276" w:lineRule="auto"/>
      </w:pPr>
      <w:r>
        <w:t>**Stochastique :** Le %K (28,571) est inférieur au %D (36,508), et les deux se situent dans la zone basse (proche de 20), ce qui pourrait signaler une condition de survente naissante. Cependant, l'absence de croisement haussier confirmé (%K franchissant %D à la hausse) maintient la décision « Neutre » — une surveillance s'impose, car un croisement imminent pourrait générer un signal d'achat à court terme.</w:t>
      </w:r>
    </w:p>
    <w:p>
      <w:pPr>
        <w:spacing w:after="120" w:line="276" w:lineRule="auto"/>
      </w:pPr>
      <w:r>
        <w:t>**Conclusion technique :** Les indicateurs techniques présentent un tableau mitigé mais globalement constructif. Les moyennes mobiles confirment la tendance haussière de fond (MM20 &gt; MM50, cours au-dessus des deux), tandis que les Bandes de Bollinger, le RSI et le Stochastique affichent une neutralité qui suggère une phase de consolidation saine après le rallye de +20%. Le MACD, en revanche, est le seul indicateur à émettre un signal de vente, mais sa convergence extrême avec le signal le rend peu fiable. La prédominance des signaux neutres et haussiers (MM, Stochastique en zone basse) sur le signal baissier isolé du MACD plaide pour un maintien de la position avec une vigilance accrue sur un éventuel croisement baissier du MACD ou une cassure de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consolidés de l'exercice 2025 (publiés le 31 décembre 2025) établissent un chiffre d'affaires de 455,209 milliards FCFA, en contraction de -6,1% par rapport à 2024 (484,945 milliards FCFA), et un résultat net de 6,779 milliards FCFA, en léger recul de -5,1% (vs 7,140 milliards en 2024). La rentabilité des fonds propres (ROE) demeure excellente à 24,01%, bien au-dessus du seuil de 15%, tandis que le ROA de 3,95% reflète la faible intensité capitalistique du modèle de distribution. En tant qu'entreprise de distribution pétrolière, TTLS affiche une marge nette structurellement faible de 1,49%, typique du secteur, mais compensée par une rotation des actifs élevée (265%) et un BFR négatif de -36,899 milliards FCFA — un atout majeur qui signifie que l'entreprise finance son cycle d'exploitation par ses fournisseurs plutôt que par sa trésorerie. Les délais d'exploitation confirment cette dynamique : le délai fournisseurs (97,76 jours) est plus du double du délai clients (47,43 jours), générant une trésorerie nette positive de 13,941 milliards FCFA. La structure financière reste solide avec une autonomie financière de 16,44% (inférieure au seuil de 30% mais compensée par la qualité de l'actionnaire TotalEnergies à 69,1%) et une capacité de remboursement de 0,94 an (dette financière/CAF), très confortable. Les rapports trimestriels récents confirment la résilience opérationnelle : le T1 2026 (publié le 31 mars 2026) affiche un CA de 99,9 milliards FCFA (-10% vs T1 2025) mais un résultat d'exploitation en hausse de +28% à 2,623 milliards FCFA et un résultat net de 1,585 milliards FCFA (+5%), grâce à l'amélioration des marges sur les lubrifiants — on estime donc que l'exercice 2026 devrait maintenir cette dynamique de rentabilité opérationnelle malgré la pression réglementaire sur les prix à la pompe. Le rapport annuel 2025 (publié le 31 décembre 2025) précise que la baisse du CA est stratégique (arrêt du fuel lourd, -39,5 milliards FCFA de CA en 2024) et non subie, tandis que le T3 2025 (30 septembre 2025) confirmait déjà cette tendance avec un CA de 344,9 milliards FCFA (-7%) et un résultat net de 5,024 milliards FCFA (-14%). La recommandation fondamentale est de **CONSERVER** : la solidité du leader, la générosité de la politique de dividende (7,691 milliards FCFA versés en 2025, soit un rendement estimé à ~6% sur la base du cours actuel) et les perspectives de croissance (Sangomar, GNL, GPL, lubrifiants) compensent la faiblesse structurelle des marges et la dépendance aux décisions réglementaires de l'État sénégalais.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équilibré mais exigeant. Sur le plan de la **valorisation (Partie 0)** , le PER de 18,5x et le P/B de 4,44x indiquent une surévaluation relative par rapport à la moyenne du marché BRVM (PER 8-12x), mais l'EV/EBITDA de 7,9x et le ROE de 24% justifient cette prime par la qualité des fondamentaux. Le **comportement du cours (Partie 1)** est haussier sur 100 jours (+20,31%) avec une volatilité élevée (44,1%) mais une distribution symétrique et sans pics extrêmes (kurtosis -0,362, skewness -0,030), ce qui est rassurant pour la gestion du risque. Les **signaux techniques (Partie 2)** sont majoritairement neutres à haussiers (MM en golden cross, RSI à 49,7, Stochastique en zone basse) avec un seul signal baissier isolé du MACD, plaidant pour un maintien de la position. Les **fondamentaux (Partie 3)** confirment la solidité du leader sénégalais : ROE de 24%, BFR négatif, trésorerie nette positive, et une résilience opérationnelle démontrée au T1 2026 (+28% de résultat d'exploitation malgré -10% de CA). Les **prédictions IA (J+1 à J+10)** anticipent une légère dérive baissière de 3 876 FCFA à 3 869 FCFA, soit une contraction de -0,18% sur 5 séances, ce qui contredit marginalement les signaux haussiers des moyennes mobiles mais s'aligne sur la neutralité du RSI et des Bandes de Bollinger. **Recommandation finale : CONSERVER** — la convergence entre la solidité fondamentale (ROE 24%, dividende ~6%), la tendance haussière de fond (MM20 &gt; MM50) et la neutralité technique (RSI, Bollinger) plaide pour un maintien de la position, tandis que la surévaluation (PER 18,5x) et la prédiction IA légèrement baissière excluent un achat agressif. Le niveau de confiance est **Moyen** (les signaux sont mitigés entre technique et fondamental), le risque global est **Moyen** (volatilité élevée mais distribution symétrique et fondamentaux solides), et l'horizon d'investissement optimal est **long terme (&gt;1 an)** pour capturer la générosité du dividende et la transition énergétique du groupe, avec une surveillance accrue des décisions réglementaires sur les prix à la pompe et de l'évolution des volumes de vente.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51,995 FCFA</w:t>
            </w:r>
          </w:p>
          <w:p>
            <w:r>
              <w:rPr>
                <w:b/>
                <w:color w:val="503200"/>
                <w:sz w:val="16"/>
              </w:rPr>
              <w:t xml:space="preserve">Var. 100 jours : </w:t>
            </w:r>
            <w:r>
              <w:rPr>
                <w:b/>
                <w:color w:val="B40000"/>
                <w:sz w:val="17"/>
              </w:rPr>
              <w:t>-6.32%</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49,025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5.40% (Moyenne) — μ=55,443 FCFA, σ=2,993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β=0.0373 (Défensif) — Cov=0.000002, Var(idx)=0.000041, ρ=0.006,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5872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2026-09-22</w:t>
            </w:r>
          </w:p>
        </w:tc>
        <w:tc>
          <w:tcPr>
            <w:tcW w:type="dxa" w:w="1440"/>
            <w:shd w:fill="FAFAFA" w:val="clear"/>
          </w:tcPr>
          <w:p>
            <w:r>
              <w:rPr>
                <w:sz w:val="17"/>
              </w:rPr>
              <w:t>48,859</w:t>
            </w:r>
          </w:p>
        </w:tc>
        <w:tc>
          <w:tcPr>
            <w:tcW w:type="dxa" w:w="1440"/>
            <w:shd w:fill="FAFAFA" w:val="clear"/>
          </w:tcPr>
          <w:p>
            <w:r>
              <w:rPr>
                <w:b/>
                <w:sz w:val="17"/>
              </w:rPr>
              <w:t>51,934</w:t>
            </w:r>
          </w:p>
        </w:tc>
        <w:tc>
          <w:tcPr>
            <w:tcW w:type="dxa" w:w="1440"/>
            <w:shd w:fill="FAFAFA" w:val="clear"/>
          </w:tcPr>
          <w:p>
            <w:r>
              <w:rPr>
                <w:sz w:val="17"/>
              </w:rPr>
              <w:t>55,009</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2026-09-23</w:t>
            </w:r>
          </w:p>
        </w:tc>
        <w:tc>
          <w:tcPr>
            <w:tcW w:type="dxa" w:w="1440"/>
            <w:shd w:fill="FAFAFA" w:val="clear"/>
          </w:tcPr>
          <w:p>
            <w:r>
              <w:rPr>
                <w:sz w:val="17"/>
              </w:rPr>
              <w:t>47,573</w:t>
            </w:r>
          </w:p>
        </w:tc>
        <w:tc>
          <w:tcPr>
            <w:tcW w:type="dxa" w:w="1440"/>
            <w:shd w:fill="FAFAFA" w:val="clear"/>
          </w:tcPr>
          <w:p>
            <w:r>
              <w:rPr>
                <w:b/>
                <w:sz w:val="17"/>
              </w:rPr>
              <w:t>51,920</w:t>
            </w:r>
          </w:p>
        </w:tc>
        <w:tc>
          <w:tcPr>
            <w:tcW w:type="dxa" w:w="1440"/>
            <w:shd w:fill="FAFAFA" w:val="clear"/>
          </w:tcPr>
          <w:p>
            <w:r>
              <w:rPr>
                <w:sz w:val="17"/>
              </w:rPr>
              <w:t>56,267</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2026-09-24</w:t>
            </w:r>
          </w:p>
        </w:tc>
        <w:tc>
          <w:tcPr>
            <w:tcW w:type="dxa" w:w="1440"/>
            <w:shd w:fill="FAFAFA" w:val="clear"/>
          </w:tcPr>
          <w:p>
            <w:r>
              <w:rPr>
                <w:sz w:val="17"/>
              </w:rPr>
              <w:t>46,571</w:t>
            </w:r>
          </w:p>
        </w:tc>
        <w:tc>
          <w:tcPr>
            <w:tcW w:type="dxa" w:w="1440"/>
            <w:shd w:fill="FAFAFA" w:val="clear"/>
          </w:tcPr>
          <w:p>
            <w:r>
              <w:rPr>
                <w:b/>
                <w:sz w:val="17"/>
              </w:rPr>
              <w:t>51,893</w:t>
            </w:r>
          </w:p>
        </w:tc>
        <w:tc>
          <w:tcPr>
            <w:tcW w:type="dxa" w:w="1440"/>
            <w:shd w:fill="FAFAFA" w:val="clear"/>
          </w:tcPr>
          <w:p>
            <w:r>
              <w:rPr>
                <w:sz w:val="17"/>
              </w:rPr>
              <w:t>57,214</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45,723</w:t>
            </w:r>
          </w:p>
        </w:tc>
        <w:tc>
          <w:tcPr>
            <w:tcW w:type="dxa" w:w="1440"/>
            <w:shd w:fill="FAFAFA" w:val="clear"/>
          </w:tcPr>
          <w:p>
            <w:r>
              <w:rPr>
                <w:b/>
                <w:sz w:val="17"/>
              </w:rPr>
              <w:t>51,864</w:t>
            </w:r>
          </w:p>
        </w:tc>
        <w:tc>
          <w:tcPr>
            <w:tcW w:type="dxa" w:w="1440"/>
            <w:shd w:fill="FAFAFA" w:val="clear"/>
          </w:tcPr>
          <w:p>
            <w:r>
              <w:rPr>
                <w:sz w:val="17"/>
              </w:rPr>
              <w:t>58,005</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2026-09-28</w:t>
            </w:r>
          </w:p>
        </w:tc>
        <w:tc>
          <w:tcPr>
            <w:tcW w:type="dxa" w:w="1440"/>
            <w:shd w:fill="FAFAFA" w:val="clear"/>
          </w:tcPr>
          <w:p>
            <w:r>
              <w:rPr>
                <w:sz w:val="17"/>
              </w:rPr>
              <w:t>44,973</w:t>
            </w:r>
          </w:p>
        </w:tc>
        <w:tc>
          <w:tcPr>
            <w:tcW w:type="dxa" w:w="1440"/>
            <w:shd w:fill="FAFAFA" w:val="clear"/>
          </w:tcPr>
          <w:p>
            <w:r>
              <w:rPr>
                <w:b/>
                <w:sz w:val="17"/>
              </w:rPr>
              <w:t>51,835</w:t>
            </w:r>
          </w:p>
        </w:tc>
        <w:tc>
          <w:tcPr>
            <w:tcW w:type="dxa" w:w="1440"/>
            <w:shd w:fill="FAFAFA" w:val="clear"/>
          </w:tcPr>
          <w:p>
            <w:r>
              <w:rPr>
                <w:sz w:val="17"/>
              </w:rPr>
              <w:t>58,697</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2026-09-29</w:t>
            </w:r>
          </w:p>
        </w:tc>
        <w:tc>
          <w:tcPr>
            <w:tcW w:type="dxa" w:w="1440"/>
            <w:shd w:fill="FAFAFA" w:val="clear"/>
          </w:tcPr>
          <w:p>
            <w:r>
              <w:rPr>
                <w:sz w:val="17"/>
              </w:rPr>
              <w:t>44,293</w:t>
            </w:r>
          </w:p>
        </w:tc>
        <w:tc>
          <w:tcPr>
            <w:tcW w:type="dxa" w:w="1440"/>
            <w:shd w:fill="FAFAFA" w:val="clear"/>
          </w:tcPr>
          <w:p>
            <w:r>
              <w:rPr>
                <w:b/>
                <w:sz w:val="17"/>
              </w:rPr>
              <w:t>51,806</w:t>
            </w:r>
          </w:p>
        </w:tc>
        <w:tc>
          <w:tcPr>
            <w:tcW w:type="dxa" w:w="1440"/>
            <w:shd w:fill="FAFAFA" w:val="clear"/>
          </w:tcPr>
          <w:p>
            <w:r>
              <w:rPr>
                <w:sz w:val="17"/>
              </w:rPr>
              <w:t>59,319</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2026-09-30</w:t>
            </w:r>
          </w:p>
        </w:tc>
        <w:tc>
          <w:tcPr>
            <w:tcW w:type="dxa" w:w="1440"/>
            <w:shd w:fill="FAFAFA" w:val="clear"/>
          </w:tcPr>
          <w:p>
            <w:r>
              <w:rPr>
                <w:sz w:val="17"/>
              </w:rPr>
              <w:t>43,668</w:t>
            </w:r>
          </w:p>
        </w:tc>
        <w:tc>
          <w:tcPr>
            <w:tcW w:type="dxa" w:w="1440"/>
            <w:shd w:fill="FAFAFA" w:val="clear"/>
          </w:tcPr>
          <w:p>
            <w:r>
              <w:rPr>
                <w:b/>
                <w:sz w:val="17"/>
              </w:rPr>
              <w:t>51,779</w:t>
            </w:r>
          </w:p>
        </w:tc>
        <w:tc>
          <w:tcPr>
            <w:tcW w:type="dxa" w:w="1440"/>
            <w:shd w:fill="FAFAFA" w:val="clear"/>
          </w:tcPr>
          <w:p>
            <w:r>
              <w:rPr>
                <w:sz w:val="17"/>
              </w:rPr>
              <w:t>59,889</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2026-10-01</w:t>
            </w:r>
          </w:p>
        </w:tc>
        <w:tc>
          <w:tcPr>
            <w:tcW w:type="dxa" w:w="1440"/>
            <w:shd w:fill="FAFAFA" w:val="clear"/>
          </w:tcPr>
          <w:p>
            <w:r>
              <w:rPr>
                <w:sz w:val="17"/>
              </w:rPr>
              <w:t>43,085</w:t>
            </w:r>
          </w:p>
        </w:tc>
        <w:tc>
          <w:tcPr>
            <w:tcW w:type="dxa" w:w="1440"/>
            <w:shd w:fill="FAFAFA" w:val="clear"/>
          </w:tcPr>
          <w:p>
            <w:r>
              <w:rPr>
                <w:b/>
                <w:sz w:val="17"/>
              </w:rPr>
              <w:t>51,751</w:t>
            </w:r>
          </w:p>
        </w:tc>
        <w:tc>
          <w:tcPr>
            <w:tcW w:type="dxa" w:w="1440"/>
            <w:shd w:fill="FAFAFA" w:val="clear"/>
          </w:tcPr>
          <w:p>
            <w:r>
              <w:rPr>
                <w:sz w:val="17"/>
              </w:rPr>
              <w:t>60,417</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2026-10-02</w:t>
            </w:r>
          </w:p>
        </w:tc>
        <w:tc>
          <w:tcPr>
            <w:tcW w:type="dxa" w:w="1440"/>
            <w:shd w:fill="FAFAFA" w:val="clear"/>
          </w:tcPr>
          <w:p>
            <w:r>
              <w:rPr>
                <w:sz w:val="17"/>
              </w:rPr>
              <w:t>42,537</w:t>
            </w:r>
          </w:p>
        </w:tc>
        <w:tc>
          <w:tcPr>
            <w:tcW w:type="dxa" w:w="1440"/>
            <w:shd w:fill="FAFAFA" w:val="clear"/>
          </w:tcPr>
          <w:p>
            <w:r>
              <w:rPr>
                <w:b/>
                <w:sz w:val="17"/>
              </w:rPr>
              <w:t>51,724</w:t>
            </w:r>
          </w:p>
        </w:tc>
        <w:tc>
          <w:tcPr>
            <w:tcW w:type="dxa" w:w="1440"/>
            <w:shd w:fill="FAFAFA" w:val="clear"/>
          </w:tcPr>
          <w:p>
            <w:r>
              <w:rPr>
                <w:sz w:val="17"/>
              </w:rPr>
              <w:t>60,911</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2026-10-05</w:t>
            </w:r>
          </w:p>
        </w:tc>
        <w:tc>
          <w:tcPr>
            <w:tcW w:type="dxa" w:w="1440"/>
            <w:shd w:fill="FAFAFA" w:val="clear"/>
          </w:tcPr>
          <w:p>
            <w:r>
              <w:rPr>
                <w:sz w:val="17"/>
              </w:rPr>
              <w:t>42,019</w:t>
            </w:r>
          </w:p>
        </w:tc>
        <w:tc>
          <w:tcPr>
            <w:tcW w:type="dxa" w:w="1440"/>
            <w:shd w:fill="FAFAFA" w:val="clear"/>
          </w:tcPr>
          <w:p>
            <w:r>
              <w:rPr>
                <w:b/>
                <w:sz w:val="17"/>
              </w:rPr>
              <w:t>51,698</w:t>
            </w:r>
          </w:p>
        </w:tc>
        <w:tc>
          <w:tcPr>
            <w:tcW w:type="dxa" w:w="1440"/>
            <w:shd w:fill="FAFAFA" w:val="clear"/>
          </w:tcPr>
          <w:p>
            <w:r>
              <w:rPr>
                <w:sz w:val="17"/>
              </w:rPr>
              <w:t>61,377</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s'élève à 477,49 milliards FCFA, un niveau qui place le titre parmi les plus importantes capitalisations de la BRVM, reflétant la notoriété de la marque Unilever et son ancrage dans le secteur des biens de grande consommation en zone UEMOA. Les ratios de valorisation boursière (BPA, PER, P/B, EV/EBITDA) ne sont pas calculables en l'absence de données financières structurées récentes exploitables dans la base, ce qui limite l'appréciation directe du prix payé par les investisseurs par rapport aux bénéfices ou à la valeur comptable. À titre indicatif, avec un résultat net 2023 de 640,3 millions FCFA et un nombre d'actions estimé à environ 9,18 millions (déduit de la capitalisation et du cours), le BPA ressortirait à environ 70 FCFA, impliquant un PER théorique très élevé (&gt;700x), bien au-dessus de la moyenne BRVM (8-12x), signe d'une valorisation déconnectée des bénéfices actuels. Cette situation s'explique par la faiblesse structurelle des résultats et non par une prime de croissance, ce qui invite à la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d'UNLC a enregistré une variation totale de -6,32%, avec une dernière séance en repli de -0,74%, s'établissant à 51 995 FCFA. Le range de trading est large, entre un plus haut de 63 345 FCFA et un plus bas de 49 025 FCFA, soit une amplitude de plus de 14 000 FCFA qui traduit une réelle volatilité intra-période. La tendance générale est baissière, le cours actuel se situant sous sa moyenne (55 443 FCFA) et sous sa médiane (55 500 FCFA), ces deux valeurs étant quasi confondues, ce qui indique une distribution globalement symétrique sur la période. L'écart-type de 3 008 FCFA et le coefficient de variation de 5,4% traduisent une dispersion modérée du cours autour de sa moyenne, tandis que le kurtosis de -0,439 (mésokurtique) suggère une distribution proche de la normale, sans pics extrêmes marqués, et le skewness de 0,235 confirme une légère asymétrie positive mais globalement symétrique. La volatilité annualisée de 60,1% classe le titre dans la catégorie des valeurs à volatilité élevée (&gt;30%), ce qui implique un risque de prix significatif pour l'investisseur. Le volume moyen de 21 titres par jour demeure très faible, signe d'une liquidité réduite qui peut amplifier les mouvements de prix.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53 048,25 FCFA et la MM50 à 53 435,70 FCFA, toutes deux supérieures au cours actuel de 51 995 FCFA. Cette configuration baissière (cours sous les deux moyennes) confirme la pression vendeuse et justifie la décision technique de vente, d'autant que la MM20 est légèrement sous la MM50, signalant un croisement baissier potentiel.</w:t>
      </w:r>
    </w:p>
    <w:p>
      <w:pPr>
        <w:spacing w:after="120" w:line="276" w:lineRule="auto"/>
      </w:pPr>
      <w:r>
        <w:t>**Bandes de Bollinger** : La borne supérieure est à 56 285,67 FCFA et la borne inférieure à 49 810,83 FCFA, avec un cours actuel de 51 995 FCFA positionné dans la moitié basse du canal. Le cours n'est ni en surachat ni en survente, ce qui explique la décision neutre, mais la proximité de la borne inférieure suggère une pression baissière persistante et un risque de test des 49 810 FCFA.</w:t>
      </w:r>
    </w:p>
    <w:p>
      <w:pPr>
        <w:spacing w:after="120" w:line="276" w:lineRule="auto"/>
      </w:pPr>
      <w:r>
        <w:t>**MACD** : La valeur du MACD est de -526,255, sous son signal à -391,009, confirmant une divergence baissière et un momentum négatif. Le MACD évoluant en territoire négatif, la décision de vente est justifiée, bien que l'écart entre les deux lignes se réduise légèrement, ce qui pourrait annoncer un ralentissement de la baisse.</w:t>
      </w:r>
    </w:p>
    <w:p>
      <w:pPr>
        <w:spacing w:after="120" w:line="276" w:lineRule="auto"/>
      </w:pPr>
      <w:r>
        <w:t>**RSI** : À 42,451, le RSI se situe en zone neutre (30-70), sans signal de surachat ni de survente. Cette position médiane indique une absence de pression directionnelle forte, ce qui justifie la décision neutre et suggère que le titre pourrait consolider avant de choisir une direction.</w:t>
      </w:r>
    </w:p>
    <w:p>
      <w:pPr>
        <w:spacing w:after="120" w:line="276" w:lineRule="auto"/>
      </w:pPr>
      <w:r>
        <w:t>**Stochastique** : Le %K est à 55,775 et le %D à 59,863, avec un %K sous le %D, signalant un croisement baissier en zone neutre. La décision neutre reflète l'absence de signal extrême, mais la configuration actuelle penche légèrement en faveur d'une poursuite de la consolidation baissière.</w:t>
      </w:r>
    </w:p>
    <w:p>
      <w:pPr>
        <w:spacing w:after="120" w:line="276" w:lineRule="auto"/>
      </w:pPr>
      <w:r>
        <w:t>**Conclusion technique** : Les indicateurs convergent majoritairement vers un biais baissier (cours sous les MM, MACD négatif, croisement stochastique baissier), tandis que le RSI et les Bandes de Bollinger envoient des signaux neutres. Cette divergence partielle suggère une tendance baissière modérée, sans accélération imminente, mais sans retournement haussier confirmé. La prudence reste de mise tant que le cours n'aura pas reconquis la MM20 (53 048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les plus récentes disponibles pour UNLC portent sur l'exercice clos le 31 décembre 2023, analysé dans un rapport officiel daté du 31 décembre 2024 (⚠️ ancien). En 2023, le chiffre d'affaires s'est établi à 24 336 010 000 FCFA, stable par rapport à 2022, traduisant une absence de croissance organique. Le résultat net est redevenu positif à 640 334 855 FCFA, contre une perte nette de 6 908 362 002 FCFA en 2022, soit une amélioration spectaculaire mais fragile, la marge nette ne ressortant qu'à 2,63%, très en dessous de la moyenne sectorielle FMCG (5-10%). Le résultat d'exploitation est passé de -6 258 millions FCFA en 2022 à +3 340 millions FCFA en 2023, grâce à une réduction des charges et une hausse des produits accessoires, tandis que les frais financiers ont diminué de 566 à 135 millions FCFA. Cependant, les capitaux propres restent négatifs à -10 658 millions FCFA et le report à nouveau négatif de -35 635 millions FCFA, ce qui fragilise structurellement le bilan et exclut toute distribution de dividende en 2023. Les dettes financières ont augmenté à 4 379 millions FCFA (vs 3 827 millions en 2022), et la trésorerie passive de 14 874 millions FCFA dépasse largement la trésorerie active non communiquée, signalant un risque de liquidité. En 2022, le rapport du 31 décembre 2023 (⚠️ ancien) faisait état d'une perte nette de 6 382,6 millions FCFA pour un CA de 36 174,6 millions FCFA (en baisse de 21,5% sur un an), avec une marge nette de -17,6%, conséquence de la cession de l'activité Thé (Lipton) et de perturbations logistiques régionales. En 2021, le rapport du 31 décembre 2022 (⚠️ ancien) indiquait un bénéfice net de 6 090,8 millions FCFA pour un CA de 24 336 millions FCFA, soit une marge nette de 25%, mais ce résultat incluait des produits exceptionnels liés à la cession de Lipton. L'évolution 2021-2023 montre une extrême volatilité des résultats, passant d'un bénéfice exceptionnel à une perte massive puis à un modeste redressement, sans que la rentabilité opérationnelle ne se stabilise durablement. La recommandation fondamentale est de **conserver avec vigilance** : la marque Unilever reste solide et le redressement de 2023 est encourageant, mais les capitaux propres négatifs, l'endettement croissant et l'absence de dividende constituent des risques majeurs qui limitent toute perspective d'achat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très tendue, avec un PER théorique supérieur à 700x, bien au-dessus de la moyenne BRVM (8-12x), ce qui traduit une surévaluation manifeste au regard des bénéfices actuels. Le comportement du cours (Partie 1) est baissier sur 100 jours (-6,32%), avec une volatilité élevée (60,1%) et une distribution symétrique (skewness 0,235) sans pics extrêmes (kurtosis -0,439), ce qui n'offre pas de signal favorable. Les indicateurs techniques (Partie 2) convergent majoritairement vers un biais baissier (cours sous MM20/MM50, MACD négatif, croisement stochastique baissier), malgré un RSI neutre et des Bandes de Bollinger sans signal extrême, ce qui suggère une poursuite de la consolidation baissière. Les fondamentaux (Partie 3) montrent un redressement fragile en 2023 (résultat net de 640,3 millions FCFA, marge nette de 2,63%), mais des capitaux propres négatifs (-10 658 millions FCFA) et un endettement croissant qui maintiennent un risque élevé. Les prédictions IA (J+1 à J+10) anticipent une légère dérive baissière de 51 934 à 51 835 FCFA, confirmant la tendance technique et fondamentale sans signal de retournement. Sur la base de cette synthèse, la recommandation finale est **CONSERVER** (avec vigilance), en raison de la divergence entre une valorisation surévaluée, des signaux techniques baissiers et des fondamentaux encore fragiles, mais tempérée par la solidité de la marque et le redressement opérationnel de 2023. Le niveau de confiance est **Moyen**, le risque global est **Élevé** (volatilité 60,1%, capitaux propres négatifs, liquidité réduite), et l'horizon d'investissement optimal est **long terme (&gt;1 an)**, en attendant une stabilisation durable des capitaux propres et une reprise confirmée de la rentabilité avant d'envisager un renforcement.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13,078 titres</w:t>
            </w:r>
          </w:p>
        </w:tc>
        <w:tc>
          <w:tcPr>
            <w:tcW w:type="dxa" w:w="2268"/>
            <w:shd w:fill="FFF2CC" w:val="clear"/>
          </w:tcPr>
          <w:p>
            <w:r>
              <w:rPr>
                <w:b/>
                <w:color w:val="503200"/>
                <w:sz w:val="16"/>
              </w:rPr>
              <w:t xml:space="preserve">Cours actuel : </w:t>
            </w:r>
            <w:r>
              <w:rPr>
                <w:color w:val="000000"/>
                <w:sz w:val="17"/>
              </w:rPr>
              <w:t>2,330 FCFA</w:t>
            </w:r>
          </w:p>
          <w:p>
            <w:r>
              <w:rPr>
                <w:b/>
                <w:color w:val="503200"/>
                <w:sz w:val="16"/>
              </w:rPr>
              <w:t xml:space="preserve">Var. 100 jours : </w:t>
            </w:r>
            <w:r>
              <w:rPr>
                <w:b/>
                <w:color w:val="007800"/>
                <w:sz w:val="17"/>
              </w:rPr>
              <w:t>+11.48%</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14.51% (Moyenne) — μ=1,966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β=0.0509 (Défensif) — Cov=0.000002, Var(idx)=0.000040, ρ=0.010,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13,078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2026-09-22</w:t>
            </w:r>
          </w:p>
        </w:tc>
        <w:tc>
          <w:tcPr>
            <w:tcW w:type="dxa" w:w="1440"/>
            <w:shd w:fill="FAFAFA" w:val="clear"/>
          </w:tcPr>
          <w:p>
            <w:r>
              <w:rPr>
                <w:sz w:val="17"/>
              </w:rPr>
              <w:t>2,217</w:t>
            </w:r>
          </w:p>
        </w:tc>
        <w:tc>
          <w:tcPr>
            <w:tcW w:type="dxa" w:w="1440"/>
            <w:shd w:fill="FAFAFA" w:val="clear"/>
          </w:tcPr>
          <w:p>
            <w:r>
              <w:rPr>
                <w:b/>
                <w:sz w:val="17"/>
              </w:rPr>
              <w:t>2,310</w:t>
            </w:r>
          </w:p>
        </w:tc>
        <w:tc>
          <w:tcPr>
            <w:tcW w:type="dxa" w:w="1440"/>
            <w:shd w:fill="FAFAFA" w:val="clear"/>
          </w:tcPr>
          <w:p>
            <w:r>
              <w:rPr>
                <w:sz w:val="17"/>
              </w:rPr>
              <w:t>2,404</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2026-09-23</w:t>
            </w:r>
          </w:p>
        </w:tc>
        <w:tc>
          <w:tcPr>
            <w:tcW w:type="dxa" w:w="1440"/>
            <w:shd w:fill="FAFAFA" w:val="clear"/>
          </w:tcPr>
          <w:p>
            <w:r>
              <w:rPr>
                <w:sz w:val="17"/>
              </w:rPr>
              <w:t>2,172</w:t>
            </w:r>
          </w:p>
        </w:tc>
        <w:tc>
          <w:tcPr>
            <w:tcW w:type="dxa" w:w="1440"/>
            <w:shd w:fill="FAFAFA" w:val="clear"/>
          </w:tcPr>
          <w:p>
            <w:r>
              <w:rPr>
                <w:b/>
                <w:sz w:val="17"/>
              </w:rPr>
              <w:t>2,303</w:t>
            </w:r>
          </w:p>
        </w:tc>
        <w:tc>
          <w:tcPr>
            <w:tcW w:type="dxa" w:w="1440"/>
            <w:shd w:fill="FAFAFA" w:val="clear"/>
          </w:tcPr>
          <w:p>
            <w:r>
              <w:rPr>
                <w:sz w:val="17"/>
              </w:rPr>
              <w:t>2,435</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2026-09-24</w:t>
            </w:r>
          </w:p>
        </w:tc>
        <w:tc>
          <w:tcPr>
            <w:tcW w:type="dxa" w:w="1440"/>
            <w:shd w:fill="FAFAFA" w:val="clear"/>
          </w:tcPr>
          <w:p>
            <w:r>
              <w:rPr>
                <w:sz w:val="17"/>
              </w:rPr>
              <w:t>2,134</w:t>
            </w:r>
          </w:p>
        </w:tc>
        <w:tc>
          <w:tcPr>
            <w:tcW w:type="dxa" w:w="1440"/>
            <w:shd w:fill="FAFAFA" w:val="clear"/>
          </w:tcPr>
          <w:p>
            <w:r>
              <w:rPr>
                <w:b/>
                <w:sz w:val="17"/>
              </w:rPr>
              <w:t>2,295</w:t>
            </w:r>
          </w:p>
        </w:tc>
        <w:tc>
          <w:tcPr>
            <w:tcW w:type="dxa" w:w="1440"/>
            <w:shd w:fill="FAFAFA" w:val="clear"/>
          </w:tcPr>
          <w:p>
            <w:r>
              <w:rPr>
                <w:sz w:val="17"/>
              </w:rPr>
              <w:t>2,455</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2026-09-25</w:t>
            </w:r>
          </w:p>
        </w:tc>
        <w:tc>
          <w:tcPr>
            <w:tcW w:type="dxa" w:w="1440"/>
            <w:shd w:fill="FAFAFA" w:val="clear"/>
          </w:tcPr>
          <w:p>
            <w:r>
              <w:rPr>
                <w:sz w:val="17"/>
              </w:rPr>
              <w:t>2,102</w:t>
            </w:r>
          </w:p>
        </w:tc>
        <w:tc>
          <w:tcPr>
            <w:tcW w:type="dxa" w:w="1440"/>
            <w:shd w:fill="FAFAFA" w:val="clear"/>
          </w:tcPr>
          <w:p>
            <w:r>
              <w:rPr>
                <w:b/>
                <w:sz w:val="17"/>
              </w:rPr>
              <w:t>2,286</w:t>
            </w:r>
          </w:p>
        </w:tc>
        <w:tc>
          <w:tcPr>
            <w:tcW w:type="dxa" w:w="1440"/>
            <w:shd w:fill="FAFAFA" w:val="clear"/>
          </w:tcPr>
          <w:p>
            <w:r>
              <w:rPr>
                <w:sz w:val="17"/>
              </w:rPr>
              <w:t>2,471</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2026-09-28</w:t>
            </w:r>
          </w:p>
        </w:tc>
        <w:tc>
          <w:tcPr>
            <w:tcW w:type="dxa" w:w="1440"/>
            <w:shd w:fill="FFDCE0" w:val="clear"/>
          </w:tcPr>
          <w:p>
            <w:r>
              <w:rPr>
                <w:sz w:val="17"/>
              </w:rPr>
              <w:t>2,073</w:t>
            </w:r>
          </w:p>
        </w:tc>
        <w:tc>
          <w:tcPr>
            <w:tcW w:type="dxa" w:w="1440"/>
            <w:shd w:fill="FFDCE0" w:val="clear"/>
          </w:tcPr>
          <w:p>
            <w:r>
              <w:rPr>
                <w:b/>
                <w:sz w:val="17"/>
              </w:rPr>
              <w:t>2,278</w:t>
            </w:r>
          </w:p>
        </w:tc>
        <w:tc>
          <w:tcPr>
            <w:tcW w:type="dxa" w:w="1440"/>
            <w:shd w:fill="FFDCE0" w:val="clear"/>
          </w:tcPr>
          <w:p>
            <w:r>
              <w:rPr>
                <w:sz w:val="17"/>
              </w:rPr>
              <w:t>2,484</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2026-09-29</w:t>
            </w:r>
          </w:p>
        </w:tc>
        <w:tc>
          <w:tcPr>
            <w:tcW w:type="dxa" w:w="1440"/>
            <w:shd w:fill="FFDCE0" w:val="clear"/>
          </w:tcPr>
          <w:p>
            <w:r>
              <w:rPr>
                <w:sz w:val="17"/>
              </w:rPr>
              <w:t>2,046</w:t>
            </w:r>
          </w:p>
        </w:tc>
        <w:tc>
          <w:tcPr>
            <w:tcW w:type="dxa" w:w="1440"/>
            <w:shd w:fill="FFDCE0" w:val="clear"/>
          </w:tcPr>
          <w:p>
            <w:r>
              <w:rPr>
                <w:b/>
                <w:sz w:val="17"/>
              </w:rPr>
              <w:t>2,270</w:t>
            </w:r>
          </w:p>
        </w:tc>
        <w:tc>
          <w:tcPr>
            <w:tcW w:type="dxa" w:w="1440"/>
            <w:shd w:fill="FFDCE0" w:val="clear"/>
          </w:tcPr>
          <w:p>
            <w:r>
              <w:rPr>
                <w:sz w:val="17"/>
              </w:rPr>
              <w:t>2,495</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2026-09-30</w:t>
            </w:r>
          </w:p>
        </w:tc>
        <w:tc>
          <w:tcPr>
            <w:tcW w:type="dxa" w:w="1440"/>
            <w:shd w:fill="FFDCE0" w:val="clear"/>
          </w:tcPr>
          <w:p>
            <w:r>
              <w:rPr>
                <w:sz w:val="17"/>
              </w:rPr>
              <w:t>2,021</w:t>
            </w:r>
          </w:p>
        </w:tc>
        <w:tc>
          <w:tcPr>
            <w:tcW w:type="dxa" w:w="1440"/>
            <w:shd w:fill="FFDCE0" w:val="clear"/>
          </w:tcPr>
          <w:p>
            <w:r>
              <w:rPr>
                <w:b/>
                <w:sz w:val="17"/>
              </w:rPr>
              <w:t>2,263</w:t>
            </w:r>
          </w:p>
        </w:tc>
        <w:tc>
          <w:tcPr>
            <w:tcW w:type="dxa" w:w="1440"/>
            <w:shd w:fill="FFDCE0" w:val="clear"/>
          </w:tcPr>
          <w:p>
            <w:r>
              <w:rPr>
                <w:sz w:val="17"/>
              </w:rPr>
              <w:t>2,505</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2026-10-01</w:t>
            </w:r>
          </w:p>
        </w:tc>
        <w:tc>
          <w:tcPr>
            <w:tcW w:type="dxa" w:w="1440"/>
            <w:shd w:fill="FFDCE0" w:val="clear"/>
          </w:tcPr>
          <w:p>
            <w:r>
              <w:rPr>
                <w:sz w:val="17"/>
              </w:rPr>
              <w:t>1,998</w:t>
            </w:r>
          </w:p>
        </w:tc>
        <w:tc>
          <w:tcPr>
            <w:tcW w:type="dxa" w:w="1440"/>
            <w:shd w:fill="FFDCE0" w:val="clear"/>
          </w:tcPr>
          <w:p>
            <w:r>
              <w:rPr>
                <w:b/>
                <w:sz w:val="17"/>
              </w:rPr>
              <w:t>2,255</w:t>
            </w:r>
          </w:p>
        </w:tc>
        <w:tc>
          <w:tcPr>
            <w:tcW w:type="dxa" w:w="1440"/>
            <w:shd w:fill="FFDCE0" w:val="clear"/>
          </w:tcPr>
          <w:p>
            <w:r>
              <w:rPr>
                <w:sz w:val="17"/>
              </w:rPr>
              <w:t>2,513</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2026-10-02</w:t>
            </w:r>
          </w:p>
        </w:tc>
        <w:tc>
          <w:tcPr>
            <w:tcW w:type="dxa" w:w="1440"/>
            <w:shd w:fill="FFDCE0" w:val="clear"/>
          </w:tcPr>
          <w:p>
            <w:r>
              <w:rPr>
                <w:sz w:val="17"/>
              </w:rPr>
              <w:t>1,975</w:t>
            </w:r>
          </w:p>
        </w:tc>
        <w:tc>
          <w:tcPr>
            <w:tcW w:type="dxa" w:w="1440"/>
            <w:shd w:fill="FFDCE0" w:val="clear"/>
          </w:tcPr>
          <w:p>
            <w:r>
              <w:rPr>
                <w:b/>
                <w:sz w:val="17"/>
              </w:rPr>
              <w:t>2,248</w:t>
            </w:r>
          </w:p>
        </w:tc>
        <w:tc>
          <w:tcPr>
            <w:tcW w:type="dxa" w:w="1440"/>
            <w:shd w:fill="FFDCE0" w:val="clear"/>
          </w:tcPr>
          <w:p>
            <w:r>
              <w:rPr>
                <w:sz w:val="17"/>
              </w:rPr>
              <w:t>2,520</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2026-10-05</w:t>
            </w:r>
          </w:p>
        </w:tc>
        <w:tc>
          <w:tcPr>
            <w:tcW w:type="dxa" w:w="1440"/>
            <w:shd w:fill="FFDCE0" w:val="clear"/>
          </w:tcPr>
          <w:p>
            <w:r>
              <w:rPr>
                <w:sz w:val="17"/>
              </w:rPr>
              <w:t>1,954</w:t>
            </w:r>
          </w:p>
        </w:tc>
        <w:tc>
          <w:tcPr>
            <w:tcW w:type="dxa" w:w="1440"/>
            <w:shd w:fill="FFDCE0" w:val="clear"/>
          </w:tcPr>
          <w:p>
            <w:r>
              <w:rPr>
                <w:b/>
                <w:sz w:val="17"/>
              </w:rPr>
              <w:t>2,241</w:t>
            </w:r>
          </w:p>
        </w:tc>
        <w:tc>
          <w:tcPr>
            <w:tcW w:type="dxa" w:w="1440"/>
            <w:shd w:fill="FFDCE0" w:val="clear"/>
          </w:tcPr>
          <w:p>
            <w:r>
              <w:rPr>
                <w:sz w:val="17"/>
              </w:rPr>
              <w:t>2,527</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 📊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48,35 Mds FCFA, UNIWAX se situe dans la catégorie des valeurs moyennes de la BRVM, ce qui lui confère une liquidité limitée mais un potentiel de revalorisation intéressant pour les investisseurs avertis. Le BPA ressort à -105 FCFA/action, traduisant une société déficitaire sur l'exercice 2024, ce qui rend le PER négatif (-22,1x) et donc non significatif en l'état — les investisseurs ne peuvent se baser sur les bénéfices pour évaluer la société. Le P/B de 3,10x indique que le marché valorise UNIWAX à plus de trois fois sa valeur comptable, ce qui traduit une prime de croissance accordée par le marché, probablement liée aux perspectives de redressement opérationnel et à la restructuration financière en cours. Le ratio EV/EBITDA n'est pas fourni dans les données disponibles, mais au regard de l'EBE négatif de 2024 (-352 M FCFA) et de l'absence de dette financière significative (328 M FCFA), la valeur d'entreprise reste proche de la capitalisation, ce qui suggère une valorisation tendue à court terme mais justifiable si le redressement se confirme.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UNXC affiche une performance remarquable de +11,48%, avec une dernière séance en hausse de +0,43%, portant le cours à 2 330 FCFA. Le titre a évolué dans un range très large, entre un plus bas de 1 250 FCFA et un plus haut de 2 495 FCFA, soit une amplitude de près de 100%, ce qui témoigne d'une forte volatilité et d'un intérêt croissant des investisseurs. La tendance générale est clairement haussière, le cours actuel se situant bien au-dessus de la moyenne des 100 jours (1 966 FCFA) et de la médiane (1 905 FCFA). L'écart entre moyenne et médiane (61 FCFA) est modéré, mais le mode à 1 900 FCFA suggère que le cours a longtemps stagné autour de ce niveau avant de s'envoler récemment. L'écart-type de 287 FCFA avec un coefficient de variation de 14,6% indique une dispersion modérée du cours autour de sa moyenne, tandis que le kurtosis de -0,133 (mésokurtique) et le skewness de 0,097 (distribution symétrique) révèlent un comportement proche d'une distribution normale, sans risque de pics extrêmes marqué. La volatilité annualisée de 48,8% classe le titre dans la catégorie des valeurs très volatiles (&gt;30%), ce qui implique un risque élevé mais aussi des opportunités de trading importantes.</w:t>
      </w:r>
    </w:p>
    <w:p>
      <w:pPr>
        <w:spacing w:after="120" w:line="276" w:lineRule="auto"/>
      </w:pPr>
      <w:r>
        <w:t>---</w:t>
      </w:r>
    </w:p>
    <w:p>
      <w:pPr>
        <w:spacing w:after="120" w:line="276" w:lineRule="auto"/>
      </w:pPr>
      <w:r>
        <w:t>## PARTIE 2 : ANALYSE TECHNIQUE DÉTAILLÉE</w:t>
      </w:r>
    </w:p>
    <w:p>
      <w:pPr>
        <w:spacing w:after="120" w:line="276" w:lineRule="auto"/>
      </w:pPr>
      <w:r>
        <w:t>**Moyennes Mobiles** : La MM20 (2 392,75 FCFA) et la MM50 (2 109,2 FCFA) sont toutes deux inférieures au cours actuel (2 330 FCFA), ce qui confirme une configuration haussière de court et moyen terme. Le croisement haussier de la MM20 au-dessus de la MM50 (golden cross) est un signal d'achat classique, justifiant la décision technique « Achat ». Le cours évoluant au-dessus de ses deux moyennes, la dynamique positive est intacte.</w:t>
      </w:r>
    </w:p>
    <w:p>
      <w:pPr>
        <w:spacing w:after="120" w:line="276" w:lineRule="auto"/>
      </w:pPr>
      <w:r>
        <w:t>**Bandes de Bollinger** : Le cours (2 330 FCFA) se situe dans la partie basse de la bande de Bollinger, entre la borne inférieure (2 290,28 FCFA) et la borne supérieure (2 495,22 FCFA). Cette position proche de la borne basse, sans franchissement, indique une phase de consolidation après le récent rallye, avec une volatilité qui se contracte. La décision « Neutre » reflète l'absence de signal directionnel fort à court terme, le marché attendant un catalyseur pour reprendre sa tendance.</w:t>
      </w:r>
    </w:p>
    <w:p>
      <w:pPr>
        <w:spacing w:after="120" w:line="276" w:lineRule="auto"/>
      </w:pPr>
      <w:r>
        <w:t>**MACD** : La valeur du MACD (52,878) est inférieure à son signal (82,417), générant une divergence baissière et une décision « Vente ». Cet indicateur suggère un essoufflement du momentum haussier à court terme, le MACD ayant probablement atteint un sommet et entamé une phase de correction. Cette configuration appelle à la prudence, même si la tendance de fond reste haussière.</w:t>
      </w:r>
    </w:p>
    <w:p>
      <w:pPr>
        <w:spacing w:after="120" w:line="276" w:lineRule="auto"/>
      </w:pPr>
      <w:r>
        <w:t>**RSI** : Avec une valeur de 26,923, le RSI se situe en zone de survente (&lt;30), ce qui déclenche une décision « Achat ». Cette lecture indique que le titre a été excessivement vendu à court terme et qu'un rebond technique est probable. La divergence entre le RSI (survente) et le MACD (vente) suggère une possible reprise prochaine.</w:t>
      </w:r>
    </w:p>
    <w:p>
      <w:pPr>
        <w:spacing w:after="120" w:line="276" w:lineRule="auto"/>
      </w:pPr>
      <w:r>
        <w:t>**Stochastique** : Le %K (7,692) et le %D (2,564) sont tous deux en zone de survente extrême (&lt;20), avec une décision « Achat ». Le croisement imminent du %K au-dessus du %D pourrait signaler un retournement haussier à très court terme, renforçant le signal du RSI.</w:t>
      </w:r>
    </w:p>
    <w:p>
      <w:pPr>
        <w:spacing w:after="120" w:line="276" w:lineRule="auto"/>
      </w:pPr>
      <w:r>
        <w:t>**Conclusion technique** : Les indicateurs techniques présentent une divergence notable : les moyennes mobiles et le RSI/Stochastique plaident pour un achat (tendance haussière de fond, survente à court terme), tandis que le MACD et les Bandes de Bollinger incitent à la neutralité ou à la prudence. Cette configuration suggère une phase de consolidation avant une reprise potentielle, avec un risque de correction limité grâce à la survente. Le titre reste techniquement bien orienté à moyen terme, mais une confirmation par le MACD serait souhaitable pour valider un nouvel élan haussier.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UNIWAX a réalisé un chiffre d'affaires de 27,333 Mds FCFA, en baisse de 7,93% par rapport à 2023, avec un résultat net déficitaire de -2,189 Mds FCFA, soit une marge nette de -8,01%. Le ROE ressort à -14,04% et le ROA à -6,39%, confirmant la destruction de valeur sur cet exercice. La structure financière reste néanmoins solide avec une autonomie financière de 45,53% (capitaux propres de 15,591 Mds FCFA), une trésorerie nette positive de 2,495 Mds FCFA et un endettement financier très faible (328,66 M FCFA). Le BFR est négatif à -2,149 Mds FCFA (favorable), mais les délais d'exploitation sont préoccupants : 51 jours de délai client, 254,72 jours de durée de stockage et 267,82 jours de délai fournisseurs, traduisant une rotation lente des stocks et une dépendance aux fournisseurs.</w:t>
      </w:r>
    </w:p>
    <w:p>
      <w:pPr>
        <w:spacing w:after="120" w:line="276" w:lineRule="auto"/>
      </w:pPr>
      <w:r>
        <w:t>**Adaptation au secteur ENTREPRISE** : Le coefficient d'exploitation de 106,99% (&gt;100%) indique que les charges d'exploitation dépassent le chiffre d'affaires, expliquant la perte opérationnelle. La marge brute de 32,13% reste correcte, mais insuffisante pour couvrir les charges fixes élevées. Le ratio d'endettement de 119,61% (dettes totales/capitaux propres) est élevé mais soutenable grâce à la faible part de dettes financières. La liquidité générale de 126,23% (&gt;1) est satisfaisante.</w:t>
      </w:r>
    </w:p>
    <w:p>
      <w:pPr>
        <w:spacing w:after="120" w:line="276" w:lineRule="auto"/>
      </w:pPr>
      <w:r>
        <w:t>**Estimations basées sur les rapports trimestriels** : Le rapport du S1 2026 (publié en 2026) indique un CA de 15,752 Mds FCFA (+0,3% vs S1 2025) et un retour à un résultat d'exploitation positif de 771 M FCFA, contre une perte de 314 M FCFA au S1 2025. Le résultat net du S1 2026 s'établit à 771 M FCFA, contre 8,216 Mds FCFA au S1 2025 (ce dernier incluant une plus-value exceptionnelle de cession de terrain de près de 10 Mds FCFA). Le rapport annuel 2025 (publié en 2025) fait état d'un CA de 29,03 Mds FCFA (+6,2%) et d'un EBE redevenu positif à 1,13 Md FCFA, avec une perte nette réduite à -624 M FCFA. Sur la base de ces rapports, on estime que l'exercice 2026 devrait confirmer le redressement opérationnel, avec un résultat d'exploitation positif et une perte nette proche de l'équilibre, voire un retour aux bénéfices si la dynamique commerciale se poursuit.</w:t>
      </w:r>
    </w:p>
    <w:p>
      <w:pPr>
        <w:spacing w:after="120" w:line="276" w:lineRule="auto"/>
      </w:pPr>
      <w:r>
        <w:t>**Évolution temporelle** : Entre 2024 et 2025, la société a réduit sa perte nette de 71% (-2,19 Mds à -624 M FCFA) et est passée d'un EBE négatif à positif. Le rapport du T3 2025 (daté du 30/09/2025) mentionne une absence de perte au T3 seul, signalant une possible rupture vers la rentabilité opérationnelle. Le rapport du S1 2026 confirme cette tendance avec un résultat d'exploitation positif de 771 M FCFA.</w:t>
      </w:r>
    </w:p>
    <w:p>
      <w:pPr>
        <w:spacing w:after="120" w:line="276" w:lineRule="auto"/>
      </w:pPr>
      <w:r>
        <w:t>**Recommandation fondamentale** : La situation financière d'UNIWAX s'améliore nettement, portée par la restructuration financière (cession-bail), la réduction des coûts et la croissance des exportations. Cependant, la rentabilité opérationnelle reste fragile et dépendante d'éléments non récurrents. La solidité du bilan (faible endettement, trésorerie positive) et les perspectives de croissance à l'export (Nigeria, Guinée) sont des atouts, mais les risques liés à la concurrence asiatique, à la volatilité des matières premières et à la durabilité de la reprise opérationnelle persistent. La recommandation fondamentale est **CONSERVER** avec un biais positif, en attendant la confirmation d'une rentabilité durable.</w:t>
      </w:r>
    </w:p>
    <w:p>
      <w:pPr>
        <w:spacing w:after="120" w:line="276" w:lineRule="auto"/>
      </w:pPr>
      <w:r>
        <w:t>---</w:t>
      </w:r>
    </w:p>
    <w:p>
      <w:pPr>
        <w:spacing w:after="120" w:line="276" w:lineRule="auto"/>
      </w:pPr>
      <w:r>
        <w:t>## PARTIE 4 : CONCLUSION D'INVESTISSEMENT</w:t>
      </w:r>
    </w:p>
    <w:p>
      <w:pPr>
        <w:spacing w:after="120" w:line="276" w:lineRule="auto"/>
      </w:pPr>
      <w:r>
        <w:t>La valorisation d'UNIWAX (Partie 0) apparaît tendue avec un P/B de 3,10x et un PER négatif, mais elle intègre les perspectives de redressement et la restructuration financière en cours. Le comportement du cours (Partie 1) est haussier sur 100 jours (+11,48%), avec une volatilité élevée (48,8%) et une distribution symétrique (skewness 0,097, kurtosis -0,133), ce qui est favorable pour les investisseurs recherchant du potentiel de croissance, mais nécessite une tolérance au risque. Les signaux techniques (Partie 2) sont divergents : les moyennes mobiles et le RSI/Stochastique plaident pour un achat, tandis que le MACD et les Bandes de Bollinger incitent à la prudence, suggérant une consolidation avant une reprise. Les fondamentaux (Partie 3) montrent une amélioration réelle : retour à un résultat d'exploitation positif au S1 2026 (771 M FCFA), réduction de la perte nette en 2025 (-624 M FCFA), et perspectives de croissance à l'export. Les prédictions IA (J+1 à J+10) anticipent une légère baisse du cours (2 310 → 2 278 FCFA), ce qui contredit les signaux d'achat techniques à court terme mais s'aligne sur la phase de consolidation attendue.</w:t>
      </w:r>
    </w:p>
    <w:p>
      <w:pPr>
        <w:spacing w:after="120" w:line="276" w:lineRule="auto"/>
      </w:pPr>
      <w:r>
        <w:t>**Recommandation finale** : **CONSERVER** avec un biais positif. La convergence entre l'amélioration fondamentale, la tendance haussière de fond et les perspectives de redressement justifie une position d'attente active. Un passage à l'**ACHAT** serait justifié si le cours franchit la résistance de 2 495 FCFA avec confirmation du MACD, ou si le T4 2026 confirme un résultat net positif. **Niveau de confiance** : Moyen (les signaux techniques divergents et la dépendance aux éléments non récurrents limitent la visibilité). **Niveau de risque** : Élevé (volatilité de 48,8%, concurrence sectorielle, durabilité de la reprise incertaine). **Horizon d'investissement optimal** : Moyen terme (3-12 mois), le temps que la rentabilité opérationnelle se confirme et que le marché intègre pleinement le redressement.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