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01/10/2026 à 11:07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(+69.4%)</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17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548.38 points </w:t>
      </w:r>
      <w:r>
        <w:rPr>
          <w:color w:val="008000"/>
        </w:rPr>
        <w:t>(+0.06%)</w:t>
      </w:r>
      <w:r>
        <w:t xml:space="preserve"> sur la séance. </w:t>
      </w:r>
      <w:r>
        <w:t>La capitalisation globale du marché atteint 21 504,903 milliards FCFA.</w:t>
      </w:r>
    </w:p>
    <w:p/>
    <w:p>
      <w:pPr>
        <w:pStyle w:val="Heading3"/>
      </w:pPr>
      <w:r>
        <w:t>📊 Évolution de l'indice BRVM Composite (100 derniers jours)</w:t>
      </w:r>
    </w:p>
    <w:p>
      <w:r>
        <w:rPr>
          <w:b/>
        </w:rPr>
        <w:t xml:space="preserve">BRVM Composite — </w:t>
      </w:r>
      <w:r>
        <w:t xml:space="preserve">Sur les 100 derniers jours de cotation (2026-05-07 au 2026-09-30), l'indice BRVM Composite a évolué de </w:t>
      </w:r>
      <w:r>
        <w:rPr>
          <w:b/>
          <w:color w:val="008000"/>
        </w:rPr>
        <w:t>+35.92%</w:t>
      </w:r>
      <w:r>
        <w:t>, passant de 403.46 pts à 548.38 pts. Le plus haut atteint est 555.90 pts et le plus bas 403.46 pts. Sur l'ensemble de la période, la moyenne de l'indice s'établit à 480.16 pts, la médiane à 479.69 pts et le mode à 403.46 pts</w:t>
      </w:r>
      <w:r>
        <w:t xml:space="preserve"> (distribution symétrique). </w:t>
      </w:r>
      <w:r>
        <w:t xml:space="preserve">L'écart-type de 46.76 pts (CV=9.7%) traduit une modérée dispersion des cotations. Le kurtosis de -1.22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+38.26%</w:t>
      </w:r>
      <w:r>
        <w:t xml:space="preserve"> sur la période, passant de 15 553,865 Mds FCFA à 21 504,903 Mds FCFA. Le pic de capitalisation observé est de 21 504,903 Mds FCFA et le plancher de 15 553,865 Mds FCFA. La moyenne de la capitalisation sur la période s'établit à 18 524,503 Mds FCFA, la médiane à 18 479,209 Mds FCFA et le mode à 15 553,865 Mds FCFA</w:t>
      </w:r>
      <w:r>
        <w:t xml:space="preserve"> (distribution symétrique). </w:t>
      </w:r>
      <w:r>
        <w:t>L'écart-type de 1 832,553 Mds FCFA (CV=9.9%) reflète une modérée variabilité de la valorisation du marché. Le kurtosis de -1.21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3640 FCFA | </w:t>
      </w:r>
      <w:r>
        <w:rPr>
          <w:b/>
          <w:color w:val="008000"/>
        </w:rPr>
        <w:t>ACHAT</w:t>
      </w:r>
      <w:r>
        <w:t xml:space="preserve"> | Confiance: Élevée | Risque: Faible</w:t>
      </w:r>
    </w:p>
    <w:p>
      <w:pPr>
        <w:pStyle w:val="ListNumber"/>
      </w:pPr>
      <w:r>
        <w:rPr>
          <w:b/>
        </w:rPr>
        <w:t>BBGC - BRIDGE BANK GROUP COTE D'IVOIRE</w:t>
      </w:r>
      <w:r>
        <w:t xml:space="preserve"> | Prix: 9000 FCFA | </w:t>
      </w:r>
      <w:r>
        <w:rPr>
          <w:b/>
          <w:color w:val="008000"/>
        </w:rPr>
        <w:t>ACHAT</w:t>
      </w:r>
      <w:r>
        <w:t xml:space="preserve"> | Confiance: Moyen | Risque: Faible</w:t>
      </w:r>
    </w:p>
    <w:p>
      <w:pPr>
        <w:pStyle w:val="ListNumber"/>
      </w:pPr>
      <w:r>
        <w:rPr>
          <w:b/>
        </w:rPr>
        <w:t>BICB - BIIC BN - Banque internationale pour le commerce du benin</w:t>
      </w:r>
      <w:r>
        <w:t xml:space="preserve"> | Prix: 8910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32605 FCFA | </w:t>
      </w:r>
      <w:r>
        <w:rPr>
          <w:b/>
          <w:color w:val="008000"/>
        </w:rPr>
        <w:t>ACHAT</w:t>
      </w:r>
      <w:r>
        <w:t xml:space="preserve"> | Confiance: Élevée | Risque: Moyen</w:t>
      </w:r>
    </w:p>
    <w:p>
      <w:pPr>
        <w:pStyle w:val="ListNumber"/>
      </w:pPr>
      <w:r>
        <w:rPr>
          <w:b/>
        </w:rPr>
        <w:t>BNBC - BNBC - BERNABE CI</w:t>
      </w:r>
      <w:r>
        <w:t xml:space="preserve"> | Prix: 1875 FCFA | </w:t>
      </w:r>
      <w:r>
        <w:rPr>
          <w:b/>
          <w:color w:val="008000"/>
        </w:rPr>
        <w:t>ACHAT</w:t>
      </w:r>
      <w:r>
        <w:t xml:space="preserve"> | Confiance: Élevée | Risque: Faible</w:t>
      </w:r>
    </w:p>
    <w:p>
      <w:pPr>
        <w:pStyle w:val="ListNumber"/>
      </w:pPr>
      <w:r>
        <w:rPr>
          <w:b/>
        </w:rPr>
        <w:t>BOAB - BANK OF AFRICA BENIN</w:t>
      </w:r>
      <w:r>
        <w:t xml:space="preserve"> | Prix: 9750 FCFA | </w:t>
      </w:r>
      <w:r>
        <w:rPr>
          <w:b/>
          <w:color w:val="008000"/>
        </w:rPr>
        <w:t>ACHAT</w:t>
      </w:r>
      <w:r>
        <w:t xml:space="preserve"> | Confiance: Moyen | Risque: Faible</w:t>
      </w:r>
    </w:p>
    <w:p>
      <w:pPr>
        <w:pStyle w:val="ListNumber"/>
      </w:pPr>
      <w:r>
        <w:rPr>
          <w:b/>
        </w:rPr>
        <w:t>BOABF - BANK OF AFRICA BURKINA FASO</w:t>
      </w:r>
      <w:r>
        <w:t xml:space="preserve"> | Prix: 8200 FCFA | </w:t>
      </w:r>
      <w:r>
        <w:rPr>
          <w:b/>
          <w:color w:val="008000"/>
        </w:rPr>
        <w:t>ACHAT</w:t>
      </w:r>
      <w:r>
        <w:t xml:space="preserve"> | Confiance: Moyen | Risque: Moyen</w:t>
      </w:r>
    </w:p>
    <w:p>
      <w:pPr>
        <w:pStyle w:val="ListNumber"/>
      </w:pPr>
      <w:r>
        <w:rPr>
          <w:b/>
        </w:rPr>
        <w:t>BOAC - BANK OF AFRICA COTE D'IVOIRE</w:t>
      </w:r>
      <w:r>
        <w:t xml:space="preserve"> | Prix: 11500 FCFA | </w:t>
      </w:r>
      <w:r>
        <w:rPr>
          <w:b/>
          <w:color w:val="008000"/>
        </w:rPr>
        <w:t>ACHAT</w:t>
      </w:r>
      <w:r>
        <w:t xml:space="preserve"> | Confiance: Moyen | Risque: Faible</w:t>
      </w:r>
    </w:p>
    <w:p>
      <w:pPr>
        <w:pStyle w:val="ListNumber"/>
      </w:pPr>
      <w:r>
        <w:rPr>
          <w:b/>
        </w:rPr>
        <w:t>BOAM - BANK OF AFRICA MALI</w:t>
      </w:r>
      <w:r>
        <w:t xml:space="preserve"> | Prix: 6145 FCFA | </w:t>
      </w:r>
      <w:r>
        <w:rPr>
          <w:b/>
          <w:color w:val="008000"/>
        </w:rPr>
        <w:t>ACHAT</w:t>
      </w:r>
      <w:r>
        <w:t xml:space="preserve"> | Confiance: Moyen | Risque: Moyen</w:t>
      </w:r>
    </w:p>
    <w:p>
      <w:pPr>
        <w:pStyle w:val="ListNumber"/>
      </w:pPr>
      <w:r>
        <w:rPr>
          <w:b/>
        </w:rPr>
        <w:t>BOAN - BANK OF AFRICA NIGER</w:t>
      </w:r>
      <w:r>
        <w:t xml:space="preserve"> | Prix: 5300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SAFC - SAFCA CI</w:t>
      </w:r>
      <w:r>
        <w:t xml:space="preserve"> | Prix: 4595 FCFA | </w:t>
      </w:r>
      <w:r>
        <w:rPr>
          <w:b/>
          <w:color w:val="C00000"/>
        </w:rPr>
        <w:t>CONSERVER</w:t>
      </w:r>
      <w:r>
        <w:t xml:space="preserve"> | Confiance: Moyen | Risque: Moyen</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69.45%</w:t>
      </w:r>
      <w:r>
        <w:t xml:space="preserve">  |  </w:t>
      </w:r>
      <w:r>
        <w:rPr>
          <w:b/>
        </w:rPr>
        <w:t xml:space="preserve">vs BRVM Composite: </w:t>
      </w:r>
      <w:r>
        <w:rPr>
          <w:b/>
          <w:color w:val="008000"/>
        </w:rPr>
        <w:t>+33.53%  🟢 Surperformance</w:t>
      </w:r>
      <w:r>
        <w:br/>
      </w:r>
      <w:r>
        <w:rPr>
          <w:b/>
        </w:rPr>
        <w:t xml:space="preserve">Sentiment général: </w:t>
      </w:r>
      <w:r>
        <w:t xml:space="preserve">ACHAT  |  </w:t>
      </w:r>
      <w:r>
        <w:rPr>
          <w:b/>
        </w:rPr>
        <w:t xml:space="preserve">Risque moyen: </w:t>
      </w:r>
      <w:r>
        <w:t xml:space="preserve">Moyen  |  </w:t>
      </w:r>
      <w:r>
        <w:rPr>
          <w:b/>
        </w:rPr>
        <w:t xml:space="preserve">Prix moyen: </w:t>
      </w:r>
      <w:r>
        <w:t>9725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39.31%</w:t>
      </w:r>
      <w:r>
        <w:t xml:space="preserve">  |  </w:t>
      </w:r>
      <w:r>
        <w:rPr>
          <w:b/>
        </w:rPr>
        <w:t xml:space="preserve">vs BRVM Composite: </w:t>
      </w:r>
      <w:r>
        <w:rPr>
          <w:b/>
          <w:color w:val="008000"/>
        </w:rPr>
        <w:t>+3.39%  🟢 Surperformance</w:t>
      </w:r>
      <w:r>
        <w:br/>
      </w:r>
      <w:r>
        <w:rPr>
          <w:b/>
        </w:rPr>
        <w:t xml:space="preserve">Sentiment général: </w:t>
      </w:r>
      <w:r>
        <w:t xml:space="preserve">ACHAT  |  </w:t>
      </w:r>
      <w:r>
        <w:rPr>
          <w:b/>
        </w:rPr>
        <w:t xml:space="preserve">Risque moyen: </w:t>
      </w:r>
      <w:r>
        <w:t xml:space="preserve">Moyen  |  </w:t>
      </w:r>
      <w:r>
        <w:rPr>
          <w:b/>
        </w:rPr>
        <w:t xml:space="preserve">Prix moyen: </w:t>
      </w:r>
      <w:r>
        <w:t>13416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35.38%</w:t>
      </w:r>
      <w:r>
        <w:t xml:space="preserve">  |  </w:t>
      </w:r>
      <w:r>
        <w:rPr>
          <w:b/>
        </w:rPr>
        <w:t xml:space="preserve">vs BRVM Composite: </w:t>
      </w:r>
      <w:r>
        <w:rPr>
          <w:b/>
          <w:color w:val="C00000"/>
        </w:rPr>
        <w:t>-0.54%  🔴 Sous-performance</w:t>
      </w:r>
      <w:r>
        <w:br/>
      </w:r>
      <w:r>
        <w:rPr>
          <w:b/>
        </w:rPr>
        <w:t xml:space="preserve">Sentiment général: </w:t>
      </w:r>
      <w:r>
        <w:t xml:space="preserve">ACHAT  |  </w:t>
      </w:r>
      <w:r>
        <w:rPr>
          <w:b/>
        </w:rPr>
        <w:t xml:space="preserve">Risque moyen: </w:t>
      </w:r>
      <w:r>
        <w:t xml:space="preserve">Faible  |  </w:t>
      </w:r>
      <w:r>
        <w:rPr>
          <w:b/>
        </w:rPr>
        <w:t xml:space="preserve">Prix moyen: </w:t>
      </w:r>
      <w:r>
        <w:t>23148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25.54%</w:t>
      </w:r>
      <w:r>
        <w:t xml:space="preserve">  |  </w:t>
      </w:r>
      <w:r>
        <w:rPr>
          <w:b/>
        </w:rPr>
        <w:t xml:space="preserve">vs BRVM Composite: </w:t>
      </w:r>
      <w:r>
        <w:rPr>
          <w:b/>
          <w:color w:val="C00000"/>
        </w:rPr>
        <w:t>-10.38%  🔴 Sous-performance</w:t>
      </w:r>
      <w:r>
        <w:br/>
      </w:r>
      <w:r>
        <w:rPr>
          <w:b/>
        </w:rPr>
        <w:t xml:space="preserve">Sentiment général: </w:t>
      </w:r>
      <w:r>
        <w:t xml:space="preserve">ACHAT  |  </w:t>
      </w:r>
      <w:r>
        <w:rPr>
          <w:b/>
        </w:rPr>
        <w:t xml:space="preserve">Risque moyen: </w:t>
      </w:r>
      <w:r>
        <w:t xml:space="preserve">Faible  |  </w:t>
      </w:r>
      <w:r>
        <w:rPr>
          <w:b/>
        </w:rPr>
        <w:t xml:space="preserve">Prix moyen: </w:t>
      </w:r>
      <w:r>
        <w:t>6425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24.05%</w:t>
      </w:r>
      <w:r>
        <w:t xml:space="preserve">  |  </w:t>
      </w:r>
      <w:r>
        <w:rPr>
          <w:b/>
        </w:rPr>
        <w:t xml:space="preserve">vs BRVM Composite: </w:t>
      </w:r>
      <w:r>
        <w:rPr>
          <w:b/>
          <w:color w:val="C00000"/>
        </w:rPr>
        <w:t>-11.87%  🔴 Sous-performance</w:t>
      </w:r>
      <w:r>
        <w:br/>
      </w:r>
      <w:r>
        <w:rPr>
          <w:b/>
        </w:rPr>
        <w:t xml:space="preserve">Sentiment général: </w:t>
      </w:r>
      <w:r>
        <w:t xml:space="preserve">ACHAT  |  </w:t>
      </w:r>
      <w:r>
        <w:rPr>
          <w:b/>
        </w:rPr>
        <w:t xml:space="preserve">Risque moyen: </w:t>
      </w:r>
      <w:r>
        <w:t xml:space="preserve">Faible  |  </w:t>
      </w:r>
      <w:r>
        <w:rPr>
          <w:b/>
        </w:rPr>
        <w:t xml:space="preserve">Prix moyen: </w:t>
      </w:r>
      <w:r>
        <w:t>9000 FCFA</w:t>
        <w:br/>
      </w:r>
      <w:r>
        <w:rPr>
          <w:b/>
        </w:rPr>
        <w:br/>
        <w:t xml:space="preserve">Sociétés: </w:t>
      </w:r>
      <w:r>
        <w:t>BBGC (BRIDGE BANK GROUP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22.02%</w:t>
      </w:r>
      <w:r>
        <w:t xml:space="preserve">  |  </w:t>
      </w:r>
      <w:r>
        <w:rPr>
          <w:b/>
        </w:rPr>
        <w:t xml:space="preserve">vs BRVM Composite: </w:t>
      </w:r>
      <w:r>
        <w:rPr>
          <w:b/>
          <w:color w:val="C00000"/>
        </w:rPr>
        <w:t>-13.90%  🔴 Sous-performance</w:t>
      </w:r>
      <w:r>
        <w:br/>
      </w:r>
      <w:r>
        <w:rPr>
          <w:b/>
        </w:rPr>
        <w:t xml:space="preserve">Sentiment général: </w:t>
      </w:r>
      <w:r>
        <w:t xml:space="preserve">ACHAT  |  </w:t>
      </w:r>
      <w:r>
        <w:rPr>
          <w:b/>
        </w:rPr>
        <w:t xml:space="preserve">Risque moyen: </w:t>
      </w:r>
      <w:r>
        <w:t xml:space="preserve">Faible  |  </w:t>
      </w:r>
      <w:r>
        <w:rPr>
          <w:b/>
        </w:rPr>
        <w:t xml:space="preserve">Prix moyen: </w:t>
      </w:r>
      <w:r>
        <w:t>17510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20.81%</w:t>
      </w:r>
      <w:r>
        <w:t xml:space="preserve">  |  </w:t>
      </w:r>
      <w:r>
        <w:rPr>
          <w:b/>
        </w:rPr>
        <w:t xml:space="preserve">vs BRVM Composite: </w:t>
      </w:r>
      <w:r>
        <w:rPr>
          <w:b/>
          <w:color w:val="C00000"/>
        </w:rPr>
        <w:t>-15.11%  🔴 Sous-performance</w:t>
      </w:r>
      <w:r>
        <w:br/>
      </w:r>
      <w:r>
        <w:rPr>
          <w:b/>
        </w:rPr>
        <w:t xml:space="preserve">Sentiment général: </w:t>
      </w:r>
      <w:r>
        <w:t xml:space="preserve">ACHAT  |  </w:t>
      </w:r>
      <w:r>
        <w:rPr>
          <w:b/>
        </w:rPr>
        <w:t xml:space="preserve">Risque moyen: </w:t>
      </w:r>
      <w:r>
        <w:t xml:space="preserve">Faible  |  </w:t>
      </w:r>
      <w:r>
        <w:rPr>
          <w:b/>
        </w:rPr>
        <w:t xml:space="preserve">Prix moyen: </w:t>
      </w:r>
      <w:r>
        <w:t>2821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-1.47%</w:t>
      </w:r>
      <w:r>
        <w:t xml:space="preserve">  |  </w:t>
      </w:r>
      <w:r>
        <w:rPr>
          <w:b/>
        </w:rPr>
        <w:t xml:space="preserve">vs BRVM Composite: </w:t>
      </w:r>
      <w:r>
        <w:rPr>
          <w:b/>
          <w:color w:val="C00000"/>
        </w:rPr>
        <w:t>-37.39%  🔴 Sous-performance</w:t>
      </w:r>
      <w:r>
        <w:br/>
      </w:r>
      <w:r>
        <w:rPr>
          <w:b/>
        </w:rPr>
        <w:t xml:space="preserve">Sentiment général: </w:t>
      </w:r>
      <w:r>
        <w:t xml:space="preserve">ACHAT  |  </w:t>
      </w:r>
      <w:r>
        <w:rPr>
          <w:b/>
        </w:rPr>
        <w:t xml:space="preserve">Risque moyen: </w:t>
      </w:r>
      <w:r>
        <w:t xml:space="preserve">Faible  |  </w:t>
      </w:r>
      <w:r>
        <w:rPr>
          <w:b/>
        </w:rPr>
        <w:t xml:space="preserve">Prix moyen: </w:t>
      </w:r>
      <w:r>
        <w:t>2363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BICC, BNBC, NEIC, NSBC, ONTBF, SGBC, SHEC,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BICB, BOAB, BOABF, BOAC, BOAM, BOAN, BOAS, CABC, CBIBF, CIEC, ECOC, ETIT, ORAC, ORGT, SCRC, SDCC, SDSC, SEMC, SMBC, STAC,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CFAC, FTSC, LNBB, NTLC, PALC, PRSC, SIBC, SICC, SIVC, SLBC, SNTS, SOGC, SPHC, STBC, UNLC, UNXC</w:t>
            </w:r>
          </w:p>
        </w:tc>
        <w:tc>
          <w:tcPr>
            <w:tcW w:type="dxa" w:w="2160"/>
            <w:shd w:fill="FFC7CE" w:val="clear"/>
          </w:tcPr>
          <w:p>
            <w:pPr>
              <w:spacing w:before="40" w:after="40"/>
            </w:pPr>
            <w:r/>
            <w:r>
              <w:rPr>
                <w:b w:val="0"/>
                <w:sz w:val="16"/>
              </w:rPr>
              <w:t>SAFC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1953034</w:t>
            </w:r>
          </w:p>
        </w:tc>
        <w:tc>
          <w:tcPr>
            <w:tcW w:type="dxa" w:w="1728"/>
          </w:tcPr>
          <w:p>
            <w:r>
              <w:t>132476180 FCFA</w:t>
            </w:r>
          </w:p>
        </w:tc>
        <w:tc>
          <w:tcPr>
            <w:tcW w:type="dxa" w:w="1728"/>
          </w:tcPr>
          <w:p>
            <w:r>
              <w:t>123.33%</w:t>
            </w:r>
          </w:p>
        </w:tc>
        <w:tc>
          <w:tcPr>
            <w:tcW w:type="dxa" w:w="1728"/>
          </w:tcPr>
          <w:p>
            <w:r>
              <w:t>ACHAT</w:t>
            </w:r>
          </w:p>
        </w:tc>
      </w:tr>
      <w:tr>
        <w:tc>
          <w:tcPr>
            <w:tcW w:type="dxa" w:w="1728"/>
          </w:tcPr>
          <w:p>
            <w:r>
              <w:t>BBGC (BRIDGE BANK GROUP COTE D'IVOIRE)</w:t>
            </w:r>
          </w:p>
        </w:tc>
        <w:tc>
          <w:tcPr>
            <w:tcW w:type="dxa" w:w="1728"/>
          </w:tcPr>
          <w:p>
            <w:r>
              <w:t>43658</w:t>
            </w:r>
          </w:p>
        </w:tc>
        <w:tc>
          <w:tcPr>
            <w:tcW w:type="dxa" w:w="1728"/>
          </w:tcPr>
          <w:p>
            <w:r>
              <w:t>398777224 FCFA</w:t>
            </w:r>
          </w:p>
        </w:tc>
        <w:tc>
          <w:tcPr>
            <w:tcW w:type="dxa" w:w="1728"/>
          </w:tcPr>
          <w:p>
            <w:r>
              <w:t>24.05%</w:t>
            </w:r>
          </w:p>
        </w:tc>
        <w:tc>
          <w:tcPr>
            <w:tcW w:type="dxa" w:w="1728"/>
          </w:tcPr>
          <w:p>
            <w:r>
              <w:t>ACHAT</w:t>
            </w:r>
          </w:p>
        </w:tc>
      </w:tr>
      <w:tr>
        <w:tc>
          <w:tcPr>
            <w:tcW w:type="dxa" w:w="1728"/>
          </w:tcPr>
          <w:p>
            <w:r>
              <w:t>SNTS (SNTS - SONATEL SN)</w:t>
            </w:r>
          </w:p>
        </w:tc>
        <w:tc>
          <w:tcPr>
            <w:tcW w:type="dxa" w:w="1728"/>
          </w:tcPr>
          <w:p>
            <w:r>
              <w:t>23329</w:t>
            </w:r>
          </w:p>
        </w:tc>
        <w:tc>
          <w:tcPr>
            <w:tcW w:type="dxa" w:w="1728"/>
          </w:tcPr>
          <w:p>
            <w:r>
              <w:t>953374706 FCFA</w:t>
            </w:r>
          </w:p>
        </w:tc>
        <w:tc>
          <w:tcPr>
            <w:tcW w:type="dxa" w:w="1728"/>
          </w:tcPr>
          <w:p>
            <w:r>
              <w:t>55.71%</w:t>
            </w:r>
          </w:p>
        </w:tc>
        <w:tc>
          <w:tcPr>
            <w:tcW w:type="dxa" w:w="1728"/>
          </w:tcPr>
          <w:p>
            <w:r>
              <w:t>ACHAT</w:t>
            </w:r>
          </w:p>
        </w:tc>
      </w:tr>
      <w:tr>
        <w:tc>
          <w:tcPr>
            <w:tcW w:type="dxa" w:w="1728"/>
          </w:tcPr>
          <w:p>
            <w:r>
              <w:t>SIBC (SIBC - SOCIETE IVOIRIENNE DE BANQUE)</w:t>
            </w:r>
          </w:p>
        </w:tc>
        <w:tc>
          <w:tcPr>
            <w:tcW w:type="dxa" w:w="1728"/>
          </w:tcPr>
          <w:p>
            <w:r>
              <w:t>15213</w:t>
            </w:r>
          </w:p>
        </w:tc>
        <w:tc>
          <w:tcPr>
            <w:tcW w:type="dxa" w:w="1728"/>
          </w:tcPr>
          <w:p>
            <w:r>
              <w:t>138293262 FCFA</w:t>
            </w:r>
          </w:p>
        </w:tc>
        <w:tc>
          <w:tcPr>
            <w:tcW w:type="dxa" w:w="1728"/>
          </w:tcPr>
          <w:p>
            <w:r>
              <w:t>28.11%</w:t>
            </w:r>
          </w:p>
        </w:tc>
        <w:tc>
          <w:tcPr>
            <w:tcW w:type="dxa" w:w="1728"/>
          </w:tcPr>
          <w:p>
            <w:r>
              <w:t>ACHAT</w:t>
            </w:r>
          </w:p>
        </w:tc>
      </w:tr>
      <w:tr>
        <w:tc>
          <w:tcPr>
            <w:tcW w:type="dxa" w:w="1728"/>
          </w:tcPr>
          <w:p>
            <w:r>
              <w:t>SDSC (SDSC - AFRICA GLOBAL LOGISTICS CI)</w:t>
            </w:r>
          </w:p>
        </w:tc>
        <w:tc>
          <w:tcPr>
            <w:tcW w:type="dxa" w:w="1728"/>
          </w:tcPr>
          <w:p>
            <w:r>
              <w:t>14673</w:t>
            </w:r>
          </w:p>
        </w:tc>
        <w:tc>
          <w:tcPr>
            <w:tcW w:type="dxa" w:w="1728"/>
          </w:tcPr>
          <w:p>
            <w:r>
              <w:t>43132882 FCFA</w:t>
            </w:r>
          </w:p>
        </w:tc>
        <w:tc>
          <w:tcPr>
            <w:tcW w:type="dxa" w:w="1728"/>
          </w:tcPr>
          <w:p>
            <w:r>
              <w:t>67.50%</w:t>
            </w:r>
          </w:p>
        </w:tc>
        <w:tc>
          <w:tcPr>
            <w:tcW w:type="dxa" w:w="1728"/>
          </w:tcPr>
          <w:p>
            <w:r>
              <w:t>ACHAT</w:t>
            </w:r>
          </w:p>
        </w:tc>
      </w:tr>
      <w:tr>
        <w:tc>
          <w:tcPr>
            <w:tcW w:type="dxa" w:w="1728"/>
          </w:tcPr>
          <w:p>
            <w:r>
              <w:t>BOAS (BANK OF AFRICA SENEGAL)</w:t>
            </w:r>
          </w:p>
        </w:tc>
        <w:tc>
          <w:tcPr>
            <w:tcW w:type="dxa" w:w="1728"/>
          </w:tcPr>
          <w:p>
            <w:r>
              <w:t>14556</w:t>
            </w:r>
          </w:p>
        </w:tc>
        <w:tc>
          <w:tcPr>
            <w:tcW w:type="dxa" w:w="1728"/>
          </w:tcPr>
          <w:p>
            <w:r>
              <w:t>118509788 FCFA</w:t>
            </w:r>
          </w:p>
        </w:tc>
        <w:tc>
          <w:tcPr>
            <w:tcW w:type="dxa" w:w="1728"/>
          </w:tcPr>
          <w:p>
            <w:r>
              <w:t>12.11%</w:t>
            </w:r>
          </w:p>
        </w:tc>
        <w:tc>
          <w:tcPr>
            <w:tcW w:type="dxa" w:w="1728"/>
          </w:tcPr>
          <w:p>
            <w:r>
              <w:t>ACHAT</w:t>
            </w:r>
          </w:p>
        </w:tc>
      </w:tr>
      <w:tr>
        <w:tc>
          <w:tcPr>
            <w:tcW w:type="dxa" w:w="1728"/>
          </w:tcPr>
          <w:p>
            <w:r>
              <w:t>UNXC (UNXC - UNIWAX COTE D'IVOIRE)</w:t>
            </w:r>
          </w:p>
        </w:tc>
        <w:tc>
          <w:tcPr>
            <w:tcW w:type="dxa" w:w="1728"/>
          </w:tcPr>
          <w:p>
            <w:r>
              <w:t>12336</w:t>
            </w:r>
          </w:p>
        </w:tc>
        <w:tc>
          <w:tcPr>
            <w:tcW w:type="dxa" w:w="1728"/>
          </w:tcPr>
          <w:p>
            <w:r>
              <w:t>28989748 FCFA</w:t>
            </w:r>
          </w:p>
        </w:tc>
        <w:tc>
          <w:tcPr>
            <w:tcW w:type="dxa" w:w="1728"/>
          </w:tcPr>
          <w:p>
            <w:r>
              <w:t>33.61%</w:t>
            </w:r>
          </w:p>
        </w:tc>
        <w:tc>
          <w:tcPr>
            <w:tcW w:type="dxa" w:w="1728"/>
          </w:tcPr>
          <w:p>
            <w:r>
              <w:t>ACHAT</w:t>
            </w:r>
          </w:p>
        </w:tc>
      </w:tr>
      <w:tr>
        <w:tc>
          <w:tcPr>
            <w:tcW w:type="dxa" w:w="1728"/>
          </w:tcPr>
          <w:p>
            <w:r>
              <w:t>SAFC (SAFCA CI)</w:t>
            </w:r>
          </w:p>
        </w:tc>
        <w:tc>
          <w:tcPr>
            <w:tcW w:type="dxa" w:w="1728"/>
          </w:tcPr>
          <w:p>
            <w:r>
              <w:t>12330</w:t>
            </w:r>
          </w:p>
        </w:tc>
        <w:tc>
          <w:tcPr>
            <w:tcW w:type="dxa" w:w="1728"/>
          </w:tcPr>
          <w:p>
            <w:r>
              <w:t>65138872 FCFA</w:t>
            </w:r>
          </w:p>
        </w:tc>
        <w:tc>
          <w:tcPr>
            <w:tcW w:type="dxa" w:w="1728"/>
          </w:tcPr>
          <w:p>
            <w:r>
              <w:t>31.29%</w:t>
            </w:r>
          </w:p>
        </w:tc>
        <w:tc>
          <w:tcPr>
            <w:tcW w:type="dxa" w:w="1728"/>
          </w:tcPr>
          <w:p>
            <w:r>
              <w:t>CONSERVER</w:t>
            </w:r>
          </w:p>
        </w:tc>
      </w:tr>
      <w:tr>
        <w:tc>
          <w:tcPr>
            <w:tcW w:type="dxa" w:w="1728"/>
          </w:tcPr>
          <w:p>
            <w:r>
              <w:t>BOAC (BANK OF AFRICA COTE D'IVOIRE)</w:t>
            </w:r>
          </w:p>
        </w:tc>
        <w:tc>
          <w:tcPr>
            <w:tcW w:type="dxa" w:w="1728"/>
          </w:tcPr>
          <w:p>
            <w:r>
              <w:t>12076</w:t>
            </w:r>
          </w:p>
        </w:tc>
        <w:tc>
          <w:tcPr>
            <w:tcW w:type="dxa" w:w="1728"/>
          </w:tcPr>
          <w:p>
            <w:r>
              <w:t>142861074 FCFA</w:t>
            </w:r>
          </w:p>
        </w:tc>
        <w:tc>
          <w:tcPr>
            <w:tcW w:type="dxa" w:w="1728"/>
          </w:tcPr>
          <w:p>
            <w:r>
              <w:t>32.95%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ORGT (ORGT - ORAGROUP TOGO)</w:t>
            </w:r>
          </w:p>
        </w:tc>
        <w:tc>
          <w:tcPr>
            <w:tcW w:type="dxa" w:w="1728"/>
          </w:tcPr>
          <w:p>
            <w:r>
              <w:t>3961</w:t>
            </w:r>
          </w:p>
        </w:tc>
        <w:tc>
          <w:tcPr>
            <w:tcW w:type="dxa" w:w="1728"/>
          </w:tcPr>
          <w:p>
            <w:r>
              <w:t>12559595 FCFA</w:t>
            </w:r>
          </w:p>
        </w:tc>
        <w:tc>
          <w:tcPr>
            <w:tcW w:type="dxa" w:w="1728"/>
          </w:tcPr>
          <w:p>
            <w:r>
              <w:t>5.26%</w:t>
            </w:r>
          </w:p>
        </w:tc>
        <w:tc>
          <w:tcPr>
            <w:tcW w:type="dxa" w:w="1728"/>
          </w:tcPr>
          <w:p>
            <w:r>
              <w:t>ACHAT</w:t>
            </w:r>
          </w:p>
        </w:tc>
      </w:tr>
      <w:tr>
        <w:tc>
          <w:tcPr>
            <w:tcW w:type="dxa" w:w="1728"/>
          </w:tcPr>
          <w:p>
            <w:r>
              <w:t>SOGC (SOGC - Société des caoutchoucs de Grand-Béréby)</w:t>
            </w:r>
          </w:p>
        </w:tc>
        <w:tc>
          <w:tcPr>
            <w:tcW w:type="dxa" w:w="1728"/>
          </w:tcPr>
          <w:p>
            <w:r>
              <w:t>3849</w:t>
            </w:r>
          </w:p>
        </w:tc>
        <w:tc>
          <w:tcPr>
            <w:tcW w:type="dxa" w:w="1728"/>
          </w:tcPr>
          <w:p>
            <w:r>
              <w:t>31262353 FCFA</w:t>
            </w:r>
          </w:p>
        </w:tc>
        <w:tc>
          <w:tcPr>
            <w:tcW w:type="dxa" w:w="1728"/>
          </w:tcPr>
          <w:p>
            <w:r>
              <w:t>9.46%</w:t>
            </w:r>
          </w:p>
        </w:tc>
        <w:tc>
          <w:tcPr>
            <w:tcW w:type="dxa" w:w="1728"/>
          </w:tcPr>
          <w:p>
            <w:r>
              <w:t>ACHAT</w:t>
            </w:r>
          </w:p>
        </w:tc>
      </w:tr>
      <w:tr>
        <w:tc>
          <w:tcPr>
            <w:tcW w:type="dxa" w:w="1728"/>
          </w:tcPr>
          <w:p>
            <w:r>
              <w:t>ABJC (ABJC - SERVAIR ABIDJAN CI)</w:t>
            </w:r>
          </w:p>
        </w:tc>
        <w:tc>
          <w:tcPr>
            <w:tcW w:type="dxa" w:w="1728"/>
          </w:tcPr>
          <w:p>
            <w:r>
              <w:t>3830</w:t>
            </w:r>
          </w:p>
        </w:tc>
        <w:tc>
          <w:tcPr>
            <w:tcW w:type="dxa" w:w="1728"/>
          </w:tcPr>
          <w:p>
            <w:r>
              <w:t>14990012 FCFA</w:t>
            </w:r>
          </w:p>
        </w:tc>
        <w:tc>
          <w:tcPr>
            <w:tcW w:type="dxa" w:w="1728"/>
          </w:tcPr>
          <w:p>
            <w:r>
              <w:t>20.53%</w:t>
            </w:r>
          </w:p>
        </w:tc>
        <w:tc>
          <w:tcPr>
            <w:tcW w:type="dxa" w:w="1728"/>
          </w:tcPr>
          <w:p>
            <w:r>
              <w:t>ACHAT</w:t>
            </w:r>
          </w:p>
        </w:tc>
      </w:tr>
      <w:tr>
        <w:tc>
          <w:tcPr>
            <w:tcW w:type="dxa" w:w="1728"/>
          </w:tcPr>
          <w:p>
            <w:r>
              <w:t>BNBC (BNBC - BERNABE CI)</w:t>
            </w:r>
          </w:p>
        </w:tc>
        <w:tc>
          <w:tcPr>
            <w:tcW w:type="dxa" w:w="1728"/>
          </w:tcPr>
          <w:p>
            <w:r>
              <w:t>3802</w:t>
            </w:r>
          </w:p>
        </w:tc>
        <w:tc>
          <w:tcPr>
            <w:tcW w:type="dxa" w:w="1728"/>
          </w:tcPr>
          <w:p>
            <w:r>
              <w:t>8151721 FCFA</w:t>
            </w:r>
          </w:p>
        </w:tc>
        <w:tc>
          <w:tcPr>
            <w:tcW w:type="dxa" w:w="1728"/>
          </w:tcPr>
          <w:p>
            <w:r>
              <w:t>40.45%</w:t>
            </w:r>
          </w:p>
        </w:tc>
        <w:tc>
          <w:tcPr>
            <w:tcW w:type="dxa" w:w="1728"/>
          </w:tcPr>
          <w:p>
            <w:r>
              <w:t>ACHAT</w:t>
            </w:r>
          </w:p>
        </w:tc>
      </w:tr>
      <w:tr>
        <w:tc>
          <w:tcPr>
            <w:tcW w:type="dxa" w:w="1728"/>
          </w:tcPr>
          <w:p>
            <w:r>
              <w:t>ECOC (ECOC - ECOBANK COTE D'IVOIRE)</w:t>
            </w:r>
          </w:p>
        </w:tc>
        <w:tc>
          <w:tcPr>
            <w:tcW w:type="dxa" w:w="1728"/>
          </w:tcPr>
          <w:p>
            <w:r>
              <w:t>3248</w:t>
            </w:r>
          </w:p>
        </w:tc>
        <w:tc>
          <w:tcPr>
            <w:tcW w:type="dxa" w:w="1728"/>
          </w:tcPr>
          <w:p>
            <w:r>
              <w:t>55367077 FCFA</w:t>
            </w:r>
          </w:p>
        </w:tc>
        <w:tc>
          <w:tcPr>
            <w:tcW w:type="dxa" w:w="1728"/>
          </w:tcPr>
          <w:p>
            <w:r>
              <w:t>3.28%</w:t>
            </w:r>
          </w:p>
        </w:tc>
        <w:tc>
          <w:tcPr>
            <w:tcW w:type="dxa" w:w="1728"/>
          </w:tcPr>
          <w:p>
            <w:r>
              <w:t>ACHAT</w:t>
            </w:r>
          </w:p>
        </w:tc>
      </w:tr>
      <w:tr>
        <w:tc>
          <w:tcPr>
            <w:tcW w:type="dxa" w:w="1728"/>
          </w:tcPr>
          <w:p>
            <w:r>
              <w:t>FTSC (FTSC - FILTISAC COTE D'IVOIRE)</w:t>
            </w:r>
          </w:p>
        </w:tc>
        <w:tc>
          <w:tcPr>
            <w:tcW w:type="dxa" w:w="1728"/>
          </w:tcPr>
          <w:p>
            <w:r>
              <w:t>2960</w:t>
            </w:r>
          </w:p>
        </w:tc>
        <w:tc>
          <w:tcPr>
            <w:tcW w:type="dxa" w:w="1728"/>
          </w:tcPr>
          <w:p>
            <w:r>
              <w:t>6136732 FCFA</w:t>
            </w:r>
          </w:p>
        </w:tc>
        <w:tc>
          <w:tcPr>
            <w:tcW w:type="dxa" w:w="1728"/>
          </w:tcPr>
          <w:p>
            <w:r>
              <w:t>-10.23%</w:t>
            </w:r>
          </w:p>
        </w:tc>
        <w:tc>
          <w:tcPr>
            <w:tcW w:type="dxa" w:w="1728"/>
          </w:tcPr>
          <w:p>
            <w:r>
              <w:t>ACHAT</w:t>
            </w:r>
          </w:p>
        </w:tc>
      </w:tr>
      <w:tr>
        <w:tc>
          <w:tcPr>
            <w:tcW w:type="dxa" w:w="1728"/>
          </w:tcPr>
          <w:p>
            <w:r>
              <w:t>CFAC (CFAC - CFAO MOTORS CI)</w:t>
            </w:r>
          </w:p>
        </w:tc>
        <w:tc>
          <w:tcPr>
            <w:tcW w:type="dxa" w:w="1728"/>
          </w:tcPr>
          <w:p>
            <w:r>
              <w:t>2948</w:t>
            </w:r>
          </w:p>
        </w:tc>
        <w:tc>
          <w:tcPr>
            <w:tcW w:type="dxa" w:w="1728"/>
          </w:tcPr>
          <w:p>
            <w:r>
              <w:t>4932825 FCFA</w:t>
            </w:r>
          </w:p>
        </w:tc>
        <w:tc>
          <w:tcPr>
            <w:tcW w:type="dxa" w:w="1728"/>
          </w:tcPr>
          <w:p>
            <w:r>
              <w:t>10.36%</w:t>
            </w:r>
          </w:p>
        </w:tc>
        <w:tc>
          <w:tcPr>
            <w:tcW w:type="dxa" w:w="1728"/>
          </w:tcPr>
          <w:p>
            <w:r>
              <w:t>ACHAT</w:t>
            </w:r>
          </w:p>
        </w:tc>
      </w:tr>
      <w:tr>
        <w:tc>
          <w:tcPr>
            <w:tcW w:type="dxa" w:w="1728"/>
          </w:tcPr>
          <w:p>
            <w:r>
              <w:t>STBC (STBC - SITAB COTE D'IVOIRE)</w:t>
            </w:r>
          </w:p>
        </w:tc>
        <w:tc>
          <w:tcPr>
            <w:tcW w:type="dxa" w:w="1728"/>
          </w:tcPr>
          <w:p>
            <w:r>
              <w:t>2945</w:t>
            </w:r>
          </w:p>
        </w:tc>
        <w:tc>
          <w:tcPr>
            <w:tcW w:type="dxa" w:w="1728"/>
          </w:tcPr>
          <w:p>
            <w:r>
              <w:t>64149070 FCFA</w:t>
            </w:r>
          </w:p>
        </w:tc>
        <w:tc>
          <w:tcPr>
            <w:tcW w:type="dxa" w:w="1728"/>
          </w:tcPr>
          <w:p>
            <w:r>
              <w:t>4.62%</w:t>
            </w:r>
          </w:p>
        </w:tc>
        <w:tc>
          <w:tcPr>
            <w:tcW w:type="dxa" w:w="1728"/>
          </w:tcPr>
          <w:p>
            <w:r>
              <w:t>ACHAT</w:t>
            </w:r>
          </w:p>
        </w:tc>
      </w:tr>
      <w:tr>
        <w:tc>
          <w:tcPr>
            <w:tcW w:type="dxa" w:w="1728"/>
          </w:tcPr>
          <w:p>
            <w:r>
              <w:t>NEIC (NEIC - NEI-CEDA CI)</w:t>
            </w:r>
          </w:p>
        </w:tc>
        <w:tc>
          <w:tcPr>
            <w:tcW w:type="dxa" w:w="1728"/>
          </w:tcPr>
          <w:p>
            <w:r>
              <w:t>2900</w:t>
            </w:r>
          </w:p>
        </w:tc>
        <w:tc>
          <w:tcPr>
            <w:tcW w:type="dxa" w:w="1728"/>
          </w:tcPr>
          <w:p>
            <w:r>
              <w:t>7532383 FCFA</w:t>
            </w:r>
          </w:p>
        </w:tc>
        <w:tc>
          <w:tcPr>
            <w:tcW w:type="dxa" w:w="1728"/>
          </w:tcPr>
          <w:p>
            <w:r>
              <w:t>31.81%</w:t>
            </w:r>
          </w:p>
        </w:tc>
        <w:tc>
          <w:tcPr>
            <w:tcW w:type="dxa" w:w="1728"/>
          </w:tcPr>
          <w:p>
            <w:r>
              <w:t>ACHAT</w:t>
            </w:r>
          </w:p>
        </w:tc>
      </w:tr>
      <w:tr>
        <w:tc>
          <w:tcPr>
            <w:tcW w:type="dxa" w:w="1728"/>
          </w:tcPr>
          <w:p>
            <w:r>
              <w:t>SDCC (SDCC - Société de Distribution d'Eau de Côte d'Ivoire)</w:t>
            </w:r>
          </w:p>
        </w:tc>
        <w:tc>
          <w:tcPr>
            <w:tcW w:type="dxa" w:w="1728"/>
          </w:tcPr>
          <w:p>
            <w:r>
              <w:t>2153</w:t>
            </w:r>
          </w:p>
        </w:tc>
        <w:tc>
          <w:tcPr>
            <w:tcW w:type="dxa" w:w="1728"/>
          </w:tcPr>
          <w:p>
            <w:r>
              <w:t>28354798 FCFA</w:t>
            </w:r>
          </w:p>
        </w:tc>
        <w:tc>
          <w:tcPr>
            <w:tcW w:type="dxa" w:w="1728"/>
          </w:tcPr>
          <w:p>
            <w:r>
              <w:t>46.07%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2. FTSC - FTSC - FILTISAC COTE D'IVOIRE</w:t>
      </w:r>
    </w:p>
    <w:p>
      <w:r>
        <w:rPr>
          <w:b/>
        </w:rPr>
        <w:t xml:space="preserve">Score de divergence: </w:t>
      </w:r>
      <w:r>
        <w:t>5/8</w:t>
        <w:br/>
      </w:r>
      <w:r>
        <w:rPr>
          <w:b/>
        </w:rPr>
        <w:t xml:space="preserve">Description: </w:t>
      </w:r>
      <w:r>
        <w:t>Signaux de vente: MM, MACD | Recommandation finale: ACHAT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4. PALC - PALC - PALM COTE D'IVOIRE</w:t>
      </w:r>
    </w:p>
    <w:p>
      <w:r>
        <w:rPr>
          <w:b/>
        </w:rPr>
        <w:t xml:space="preserve">Score de divergence: </w:t>
      </w:r>
      <w:r>
        <w:t>5/8</w:t>
        <w:br/>
      </w:r>
      <w:r>
        <w:rPr>
          <w:b/>
        </w:rPr>
        <w:t xml:space="preserve">Description: </w:t>
      </w:r>
      <w:r>
        <w:t>Signaux de vente: MM, MACD | Recommandation finale: ACHAT</w:t>
        <w:br/>
      </w:r>
    </w:p>
    <w:p/>
    <w:p>
      <w:pPr>
        <w:pStyle w:val="Heading3"/>
      </w:pPr>
      <w:r>
        <w:t>5.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6. SPHC - SPHC - Société Africaine de Plantation d'Hévéas de Côte d'Ivoire</w:t>
      </w:r>
    </w:p>
    <w:p>
      <w:r>
        <w:rPr>
          <w:b/>
        </w:rPr>
        <w:t xml:space="preserve">Score de divergence: </w:t>
      </w:r>
      <w:r>
        <w:t>5/8</w:t>
        <w:br/>
      </w:r>
      <w:r>
        <w:rPr>
          <w:b/>
        </w:rPr>
        <w:t xml:space="preserve">Description: </w:t>
      </w:r>
      <w:r>
        <w:t>Signaux de vente: MM, MACD | Recommandation finale: ACHAT</w:t>
        <w:br/>
      </w:r>
    </w:p>
    <w:p/>
    <w:p>
      <w:pPr>
        <w:pStyle w:val="Heading3"/>
      </w:pPr>
      <w:r>
        <w:t>7. NTLC - NTLC - NESTLE COTE D'IVOIRE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8. SIBC - SIBC - SOCIETE IVOIRIENNE DE BANQUE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SIVC - SIVC - ERIUM CI (Ex AIR LIQUIDECI)</w:t>
      </w:r>
    </w:p>
    <w:p>
      <w:r>
        <w:rPr>
          <w:b/>
        </w:rPr>
        <w:t xml:space="preserve">Score de divergence: </w:t>
      </w:r>
      <w:r>
        <w:t>4/8</w:t>
        <w:br/>
      </w:r>
      <w:r>
        <w:rPr>
          <w:b/>
        </w:rPr>
        <w:t xml:space="preserve">Description: </w:t>
      </w:r>
      <w:r>
        <w:t>Signaux d'achat: Stochastique | Signaux de vente: MM, MACD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31</w:t>
            </w:r>
          </w:p>
        </w:tc>
        <w:tc>
          <w:tcPr>
            <w:tcW w:type="dxa" w:w="2160"/>
          </w:tcPr>
          <w:p>
            <w:r>
              <w:t>0</w:t>
            </w:r>
          </w:p>
        </w:tc>
      </w:tr>
      <w:tr>
        <w:tc>
          <w:tcPr>
            <w:tcW w:type="dxa" w:w="2160"/>
          </w:tcPr>
          <w:p>
            <w:r>
              <w:t>Risque Moyen</w:t>
            </w:r>
          </w:p>
        </w:tc>
        <w:tc>
          <w:tcPr>
            <w:tcW w:type="dxa" w:w="2160"/>
          </w:tcPr>
          <w:p>
            <w:r>
              <w:t>0</w:t>
            </w:r>
          </w:p>
        </w:tc>
        <w:tc>
          <w:tcPr>
            <w:tcW w:type="dxa" w:w="2160"/>
          </w:tcPr>
          <w:p>
            <w:r>
              <w:t>17</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ORAC (ORAC - ORANGE COTE D'IVOIRE)</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**Inflation zone euro** : envolée généralisée, pression accrue sur la BCE (sentiment négatif).</w:t>
      </w:r>
    </w:p>
    <w:p>
      <w:pPr>
        <w:pStyle w:val="ListBullet"/>
        <w:spacing w:before="20" w:after="20"/>
        <w:ind w:left="360"/>
      </w:pPr>
      <w:r>
        <w:rPr>
          <w:color w:val="008000"/>
          <w:sz w:val="18"/>
        </w:rPr>
        <w:t>**Matières premières** : chute du pétrole, cuivre en légère hausse, rebond de l'or.</w:t>
      </w:r>
    </w:p>
    <w:p>
      <w:pPr>
        <w:pStyle w:val="ListBullet"/>
        <w:spacing w:before="20" w:after="20"/>
        <w:ind w:left="360"/>
      </w:pPr>
      <w:r>
        <w:rPr>
          <w:sz w:val="18"/>
        </w:rPr>
        <w:t>**BCE** : Christine Lagarde exclut une candidature politique, continuité à la tête de l'institution.</w:t>
      </w:r>
    </w:p>
    <w:p>
      <w:pPr>
        <w:pStyle w:val="ListBullet"/>
        <w:spacing w:before="20" w:after="20"/>
        <w:ind w:left="360"/>
      </w:pPr>
      <w:r>
        <w:rPr>
          <w:sz w:val="18"/>
        </w:rPr>
        <w:t>**Afrique/monde** : croissance africaine solide mais freinée par le déficit d'investissement.</w:t>
      </w:r>
    </w:p>
    <w:p>
      <w:pPr>
        <w:pStyle w:val="Heading3"/>
      </w:pPr>
      <w:r>
        <w:rPr>
          <w:color w:val="500050"/>
        </w:rPr>
        <w:t>⚡ Impact estimé sur la BRVM</w:t>
      </w:r>
    </w:p>
    <w:p>
      <w:pPr>
        <w:spacing w:before="20" w:after="40"/>
        <w:ind w:left="280"/>
      </w:pPr>
      <w:r>
        <w:rPr>
          <w:i/>
          <w:sz w:val="18"/>
        </w:rPr>
        <w:t>La hausse de l'inflation euro pousse la BCE à un ton restrictif, renchérissant le coût du capital pour les émetteurs UEMOA indexés sur l'euro. La chute du pétrole pèse sur **TTLS** et **SHEC** (ENERGIE), tandis que le rebond de l'or soutient marginalement les valeurs minières/exportatrices. Le cuivre stable n'affecte pas directement la cote.</w:t>
      </w:r>
    </w:p>
    <w:p>
      <w:pPr>
        <w:pStyle w:val="Heading2"/>
      </w:pPr>
      <w:r>
        <w:rPr>
          <w:color w:val="006E32"/>
        </w:rPr>
        <w:t>🌍 Plan Africain</w:t>
      </w:r>
    </w:p>
    <w:p>
      <w:pPr>
        <w:pStyle w:val="ListBullet"/>
        <w:spacing w:before="20" w:after="20"/>
        <w:ind w:left="360"/>
      </w:pPr>
      <w:r>
        <w:rPr>
          <w:color w:val="008000"/>
          <w:sz w:val="18"/>
        </w:rPr>
        <w:t>Croissance africaine solide mais défi d'investissement persistant (Africanews, positif).</w:t>
      </w:r>
    </w:p>
    <w:p>
      <w:pPr>
        <w:pStyle w:val="ListBullet"/>
        <w:spacing w:before="20" w:after="20"/>
        <w:ind w:left="360"/>
      </w:pPr>
      <w:r>
        <w:rPr>
          <w:sz w:val="18"/>
        </w:rPr>
        <w:t>Dépendance au dollar persistante malgré l'offensive du yuan chinois (négatif).</w:t>
      </w:r>
    </w:p>
    <w:p>
      <w:pPr>
        <w:pStyle w:val="ListBullet"/>
        <w:spacing w:before="20" w:after="20"/>
        <w:ind w:left="360"/>
      </w:pPr>
      <w:r>
        <w:rPr>
          <w:color w:val="008000"/>
          <w:sz w:val="18"/>
        </w:rPr>
        <w:t>Plaidoyer d'Amara pour la transformation économique et l'emploi (positif).</w:t>
      </w:r>
    </w:p>
    <w:p>
      <w:pPr>
        <w:pStyle w:val="Heading3"/>
      </w:pPr>
      <w:r>
        <w:rPr>
          <w:color w:val="500050"/>
        </w:rPr>
        <w:t>⚡ Impact estimé sur la BRVM</w:t>
      </w:r>
    </w:p>
    <w:p>
      <w:pPr>
        <w:spacing w:before="20" w:after="40"/>
        <w:ind w:left="280"/>
      </w:pPr>
      <w:r>
        <w:rPr>
          <w:i/>
          <w:sz w:val="18"/>
        </w:rPr>
        <w:t>Le narratif de croissance soutient les valeurs bancaires panafricaines **SGBC**, **BOAS**, **BOAC**, **ECOC** via le crédit aux entreprises. La dépendance au dollar maintient un risque de change sur les importateurs (**BNBC**, **SCRC**).</w:t>
      </w:r>
    </w:p>
    <w:p>
      <w:pPr>
        <w:pStyle w:val="Heading2"/>
      </w:pPr>
      <w:r>
        <w:rPr>
          <w:color w:val="145A28"/>
        </w:rPr>
        <w:t>🌍 Plan Afrique de l'Ouest</w:t>
      </w:r>
    </w:p>
    <w:p>
      <w:pPr>
        <w:pStyle w:val="ListBullet"/>
        <w:spacing w:before="20" w:after="20"/>
        <w:ind w:left="360"/>
      </w:pPr>
      <w:r>
        <w:rPr>
          <w:color w:val="008000"/>
          <w:sz w:val="18"/>
        </w:rPr>
        <w:t>CEA mobilise les entreprises pour la chaîne de valeur du riz (positif).</w:t>
      </w:r>
    </w:p>
    <w:p>
      <w:pPr>
        <w:pStyle w:val="ListBullet"/>
        <w:spacing w:before="20" w:after="20"/>
        <w:ind w:left="360"/>
      </w:pPr>
      <w:r>
        <w:rPr>
          <w:color w:val="008000"/>
          <w:sz w:val="18"/>
        </w:rPr>
        <w:t>BIDC lance la 2ᵉ édition du Forum d'investissement CEDEAO (positif).</w:t>
      </w:r>
    </w:p>
    <w:p>
      <w:pPr>
        <w:pStyle w:val="ListBullet"/>
        <w:spacing w:before="20" w:after="20"/>
        <w:ind w:left="360"/>
      </w:pPr>
      <w:r>
        <w:rPr>
          <w:sz w:val="18"/>
        </w:rPr>
        <w:t>Appel nigérian à un front régional uni face aux menaces sécuritaires (neutre).</w:t>
      </w:r>
    </w:p>
    <w:p>
      <w:pPr>
        <w:pStyle w:val="Heading3"/>
      </w:pPr>
      <w:r>
        <w:rPr>
          <w:color w:val="500050"/>
        </w:rPr>
        <w:t>⚡ Impact estimé sur la BRVM</w:t>
      </w:r>
    </w:p>
    <w:p>
      <w:pPr>
        <w:spacing w:before="20" w:after="40"/>
        <w:ind w:left="280"/>
      </w:pPr>
      <w:r>
        <w:rPr>
          <w:i/>
          <w:sz w:val="18"/>
        </w:rPr>
        <w:t>La dynamisation de la filière riz bénéficie indirectement à **SCRC** (CONSOMMATION DE BASE) et aux agro-industriels. Le Forum BIDC pourrait catalyser des flux vers les financières **SIBC**, **NSBC**.</w:t>
      </w:r>
    </w:p>
    <w:p>
      <w:pPr>
        <w:pStyle w:val="Heading2"/>
      </w:pPr>
      <w:r>
        <w:rPr>
          <w:color w:val="8C4600"/>
        </w:rPr>
        <w:t>🏦 Plan UEMOA / Zone Franc</w:t>
      </w:r>
    </w:p>
    <w:p>
      <w:pPr>
        <w:pStyle w:val="ListBullet"/>
        <w:spacing w:before="20" w:after="20"/>
        <w:ind w:left="360"/>
      </w:pPr>
      <w:r>
        <w:rPr>
          <w:sz w:val="18"/>
        </w:rPr>
        <w:t>Débat sur le franc CFA : ouvrage plaidant pour une monnaie souveraine au Sénégal (neutre).</w:t>
      </w:r>
    </w:p>
    <w:p>
      <w:pPr>
        <w:pStyle w:val="ListBullet"/>
        <w:spacing w:before="20" w:after="20"/>
        <w:ind w:left="360"/>
      </w:pPr>
      <w:r>
        <w:rPr>
          <w:sz w:val="18"/>
        </w:rPr>
        <w:t>Burkina Faso : instabilité persistante 4 ans après le coup d'État (négatif).</w:t>
      </w:r>
    </w:p>
    <w:p>
      <w:pPr>
        <w:pStyle w:val="ListBullet"/>
        <w:spacing w:before="20" w:after="20"/>
        <w:ind w:left="360"/>
      </w:pPr>
      <w:r>
        <w:rPr>
          <w:sz w:val="18"/>
        </w:rPr>
        <w:t>Mali : plaidoyer pour multilatéralisme réformé (neutre).</w:t>
      </w:r>
    </w:p>
    <w:p>
      <w:pPr>
        <w:pStyle w:val="Heading3"/>
      </w:pPr>
      <w:r>
        <w:rPr>
          <w:color w:val="500050"/>
        </w:rPr>
        <w:t>⚡ Impact estimé sur la BRVM</w:t>
      </w:r>
    </w:p>
    <w:p>
      <w:pPr>
        <w:spacing w:before="20" w:after="40"/>
        <w:ind w:left="280"/>
      </w:pPr>
      <w:r>
        <w:rPr>
          <w:i/>
          <w:sz w:val="18"/>
        </w:rPr>
        <w:t>Le débat CFA introduit une incertitude monétaire de long terme mais reste sans effet immédiat. L'instabilité burkinabè pèse sur les valeurs exposées au Burkina (**ONTBF**, **TTLS** partiellement). Les banques **SGBC**, **BICB** restent les principales expositions souveraines UEMOA.</w:t>
      </w:r>
    </w:p>
    <w:p>
      <w:pPr>
        <w:pStyle w:val="Heading2"/>
      </w:pPr>
      <w:r>
        <w:rPr>
          <w:color w:val="003366"/>
        </w:rPr>
        <w:t>📈 Plan BRVM</w:t>
      </w:r>
    </w:p>
    <w:p>
      <w:pPr>
        <w:pStyle w:val="ListBullet"/>
        <w:spacing w:before="20" w:after="20"/>
        <w:ind w:left="360"/>
      </w:pPr>
      <w:r>
        <w:rPr>
          <w:color w:val="008000"/>
          <w:sz w:val="18"/>
        </w:rPr>
        <w:t>Résultats encourageants des sociétés cotées ivoiriennes (La Tribune, positif).</w:t>
      </w:r>
    </w:p>
    <w:p>
      <w:pPr>
        <w:pStyle w:val="ListBullet"/>
        <w:spacing w:before="20" w:after="20"/>
        <w:ind w:left="360"/>
      </w:pPr>
      <w:r>
        <w:rPr>
          <w:sz w:val="18"/>
        </w:rPr>
        <w:t>Indice BRVM Composite à 548,38 points.</w:t>
      </w:r>
    </w:p>
    <w:p>
      <w:pPr>
        <w:pStyle w:val="Heading3"/>
      </w:pPr>
      <w:r>
        <w:rPr>
          <w:color w:val="500050"/>
        </w:rPr>
        <w:t>⚡ Impact estimé sur la BRVM</w:t>
      </w:r>
    </w:p>
    <w:p>
      <w:pPr>
        <w:spacing w:before="20" w:after="40"/>
        <w:ind w:left="280"/>
      </w:pPr>
      <w:r>
        <w:rPr>
          <w:i/>
          <w:sz w:val="18"/>
        </w:rPr>
        <w:t>**Recommandations** : Conserver **SGBC**, **BICB**, **BOAC** (fondamentaux bancaires solides). Accumuler **SCRC** sur repli (filière riz). Prudence sur **TTLS**/**SHEC** (pétrole bas). **ONTBF**/**SNTS** : stabilité télécoms, conserver. **ECOC**, **SIBC**, **NSBC** : surveiller la liquidité.</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Lagarde exclut la présidentielle française 2027 (neutre).</w:t>
      </w:r>
    </w:p>
    <w:p>
      <w:pPr>
        <w:pStyle w:val="ListBullet"/>
        <w:spacing w:before="20" w:after="20"/>
        <w:ind w:left="360"/>
      </w:pPr>
      <w:r>
        <w:rPr>
          <w:color w:val="C00000"/>
          <w:sz w:val="18"/>
        </w:rPr>
        <w:t>Inflation euro et pression BCE (négatif).</w:t>
      </w:r>
    </w:p>
    <w:p>
      <w:pPr>
        <w:pStyle w:val="ListBullet"/>
        <w:spacing w:before="20" w:after="20"/>
        <w:ind w:left="360"/>
      </w:pPr>
      <w:r>
        <w:rPr>
          <w:sz w:val="18"/>
        </w:rPr>
        <w:t>Matières premières volatiles (neutre).</w:t>
      </w:r>
    </w:p>
    <w:p>
      <w:pPr>
        <w:pStyle w:val="Heading3"/>
      </w:pPr>
      <w:r>
        <w:rPr>
          <w:color w:val="500050"/>
        </w:rPr>
        <w:t>⚡ Impact estimé sur la BRVM</w:t>
      </w:r>
    </w:p>
    <w:p>
      <w:pPr>
        <w:spacing w:before="20" w:after="40"/>
        <w:ind w:left="280"/>
      </w:pPr>
      <w:r>
        <w:rPr>
          <w:i/>
          <w:sz w:val="18"/>
        </w:rPr>
        <w:t>Aucun choc géopolitique majeur identifié. La stabilité institutionnelle BCE rassure les investisseurs internationaux présents sur la BRVM.</w:t>
      </w:r>
    </w:p>
    <w:p>
      <w:pPr>
        <w:pStyle w:val="Heading2"/>
      </w:pPr>
      <w:r>
        <w:rPr>
          <w:color w:val="006E32"/>
        </w:rPr>
        <w:t>🌍 Plan Africain</w:t>
      </w:r>
    </w:p>
    <w:p>
      <w:pPr>
        <w:pStyle w:val="ListBullet"/>
        <w:spacing w:before="20" w:after="20"/>
        <w:ind w:left="360"/>
      </w:pPr>
      <w:r>
        <w:rPr>
          <w:sz w:val="18"/>
        </w:rPr>
        <w:t>Mali revendique son autonomie stratégique à l'ONU (neutre).</w:t>
      </w:r>
    </w:p>
    <w:p>
      <w:pPr>
        <w:pStyle w:val="ListBullet"/>
        <w:spacing w:before="20" w:after="20"/>
        <w:ind w:left="360"/>
      </w:pPr>
      <w:r>
        <w:rPr>
          <w:sz w:val="18"/>
        </w:rPr>
        <w:t>Burkina Faso : instabilité 4 ans après Traoré (négatif).</w:t>
      </w:r>
    </w:p>
    <w:p>
      <w:pPr>
        <w:pStyle w:val="Heading3"/>
      </w:pPr>
      <w:r>
        <w:rPr>
          <w:color w:val="500050"/>
        </w:rPr>
        <w:t>⚡ Impact estimé sur la BRVM</w:t>
      </w:r>
    </w:p>
    <w:p>
      <w:pPr>
        <w:spacing w:before="20" w:after="40"/>
        <w:ind w:left="280"/>
      </w:pPr>
      <w:r>
        <w:rPr>
          <w:i/>
          <w:sz w:val="18"/>
        </w:rPr>
        <w:t>Les transitions politiques sahéliennes entretiennent une prime de risque régionale, limitant les flux de capitaux étrangers vers la BRVM.</w:t>
      </w:r>
    </w:p>
    <w:p>
      <w:pPr>
        <w:pStyle w:val="Heading2"/>
      </w:pPr>
      <w:r>
        <w:rPr>
          <w:color w:val="145A28"/>
        </w:rPr>
        <w:t>🌍 Plan Afrique de l'Ouest</w:t>
      </w:r>
    </w:p>
    <w:p>
      <w:pPr>
        <w:pStyle w:val="ListBullet"/>
        <w:spacing w:before="20" w:after="20"/>
        <w:ind w:left="360"/>
      </w:pPr>
      <w:r>
        <w:rPr>
          <w:sz w:val="18"/>
        </w:rPr>
        <w:t>Nigeria plaide pour un front uni sécuritaire CEDEAO (neutre).</w:t>
      </w:r>
    </w:p>
    <w:p>
      <w:pPr>
        <w:pStyle w:val="ListBullet"/>
        <w:spacing w:before="20" w:after="20"/>
        <w:ind w:left="360"/>
      </w:pPr>
      <w:r>
        <w:rPr>
          <w:color w:val="008000"/>
          <w:sz w:val="18"/>
        </w:rPr>
        <w:t>Coopération régionale renforcée (positif).</w:t>
      </w:r>
    </w:p>
    <w:p>
      <w:pPr>
        <w:pStyle w:val="Heading3"/>
      </w:pPr>
      <w:r>
        <w:rPr>
          <w:color w:val="500050"/>
        </w:rPr>
        <w:t>⚡ Impact estimé sur la BRVM</w:t>
      </w:r>
    </w:p>
    <w:p>
      <w:pPr>
        <w:spacing w:before="20" w:after="40"/>
        <w:ind w:left="280"/>
      </w:pPr>
      <w:r>
        <w:rPr>
          <w:i/>
          <w:sz w:val="18"/>
        </w:rPr>
        <w:t>Risque sécuritaire contenu pour les sociétés cotées, majoritairement ivoiriennes et sénégalaises, peu exposées au Sahel central.</w:t>
      </w:r>
    </w:p>
    <w:p>
      <w:pPr>
        <w:pStyle w:val="Heading2"/>
      </w:pPr>
      <w:r>
        <w:rPr>
          <w:color w:val="8C4600"/>
        </w:rPr>
        <w:t>🏦 Plan UEMOA / Zone Franc</w:t>
      </w:r>
    </w:p>
    <w:p>
      <w:pPr>
        <w:pStyle w:val="ListBullet"/>
        <w:spacing w:before="20" w:after="20"/>
        <w:ind w:left="360"/>
      </w:pPr>
      <w:r>
        <w:rPr>
          <w:sz w:val="18"/>
        </w:rPr>
        <w:t>Burkina Faso : instabilité politique persistante (négatif).</w:t>
      </w:r>
    </w:p>
    <w:p>
      <w:pPr>
        <w:pStyle w:val="ListBullet"/>
        <w:spacing w:before="20" w:after="20"/>
        <w:ind w:left="360"/>
      </w:pPr>
      <w:r>
        <w:rPr>
          <w:sz w:val="18"/>
        </w:rPr>
        <w:t>Sénégal : débat monétaire souverain (neutre).</w:t>
      </w:r>
    </w:p>
    <w:p>
      <w:pPr>
        <w:pStyle w:val="Heading3"/>
      </w:pPr>
      <w:r>
        <w:rPr>
          <w:color w:val="500050"/>
        </w:rPr>
        <w:t>⚡ Impact estimé sur la BRVM</w:t>
      </w:r>
    </w:p>
    <w:p>
      <w:pPr>
        <w:spacing w:before="20" w:after="40"/>
        <w:ind w:left="280"/>
      </w:pPr>
      <w:r>
        <w:rPr>
          <w:i/>
          <w:sz w:val="18"/>
        </w:rPr>
        <w:t>Risque réglementaire limité à court terme. Surveiller toute réforme institutionnelle affectant la BCEAO ou le cadre CFA.</w:t>
      </w:r>
    </w:p>
    <w:p>
      <w:pPr>
        <w:pStyle w:val="Heading2"/>
      </w:pPr>
      <w:r>
        <w:rPr>
          <w:color w:val="003366"/>
        </w:rPr>
        <w:t>📈 Plan BRVM</w:t>
      </w:r>
    </w:p>
    <w:p>
      <w:pPr>
        <w:pStyle w:val="ListBullet"/>
        <w:spacing w:before="20" w:after="20"/>
        <w:ind w:left="360"/>
      </w:pPr>
      <w:r>
        <w:rPr>
          <w:sz w:val="18"/>
        </w:rPr>
        <w:t>Données insuffisantes sur CREPMF, nouvelles cotations ou gouvernance.</w:t>
      </w:r>
    </w:p>
    <w:p>
      <w:pPr>
        <w:pStyle w:val="Heading3"/>
      </w:pPr>
      <w:r>
        <w:rPr>
          <w:color w:val="500050"/>
        </w:rPr>
        <w:t>⚡ Impact estimé sur la BRVM</w:t>
      </w:r>
    </w:p>
    <w:p>
      <w:pPr>
        <w:spacing w:before="20" w:after="40"/>
        <w:ind w:left="280"/>
      </w:pPr>
      <w:r>
        <w:rPr>
          <w:i/>
          <w:sz w:val="18"/>
        </w:rPr>
        <w:t>Pas de catalyseur réglementaire identifié dans les actualités fournies.</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color w:val="C00000"/>
          <w:sz w:val="18"/>
        </w:rPr>
        <w:t>Pétrole en baisse, or en rebond, cuivre stable.</w:t>
      </w:r>
    </w:p>
    <w:p>
      <w:pPr>
        <w:pStyle w:val="ListBullet"/>
        <w:spacing w:before="20" w:after="20"/>
        <w:ind w:left="360"/>
      </w:pPr>
      <w:r>
        <w:rPr>
          <w:color w:val="C00000"/>
          <w:sz w:val="18"/>
        </w:rPr>
        <w:t>Inflation euro sous pression (négatif).</w:t>
      </w:r>
    </w:p>
    <w:p>
      <w:pPr>
        <w:pStyle w:val="Heading3"/>
      </w:pPr>
      <w:r>
        <w:rPr>
          <w:color w:val="500050"/>
        </w:rPr>
        <w:t>⚡ Impact estimé sur la BRVM</w:t>
      </w:r>
    </w:p>
    <w:p>
      <w:pPr>
        <w:spacing w:before="20" w:after="40"/>
        <w:ind w:left="280"/>
      </w:pPr>
      <w:r>
        <w:rPr>
          <w:i/>
          <w:sz w:val="18"/>
        </w:rPr>
        <w:t>Corrélation limitée : la BRVM reste un marché peu corrélé aux cycles mondiaux. Effet indirect via les matières premières (**TTLS**, **SHEC**).</w:t>
      </w:r>
    </w:p>
    <w:p>
      <w:pPr>
        <w:pStyle w:val="Heading2"/>
      </w:pPr>
      <w:r>
        <w:rPr>
          <w:color w:val="006E32"/>
        </w:rPr>
        <w:t>🌍 Plan Africain</w:t>
      </w:r>
    </w:p>
    <w:p>
      <w:pPr>
        <w:pStyle w:val="ListBullet"/>
        <w:spacing w:before="20" w:after="20"/>
        <w:ind w:left="360"/>
      </w:pPr>
      <w:r>
        <w:rPr>
          <w:sz w:val="18"/>
        </w:rPr>
        <w:t>Données insuffisantes sur eurobonds et notations souveraines.</w:t>
      </w:r>
    </w:p>
    <w:p>
      <w:pPr>
        <w:pStyle w:val="Heading3"/>
      </w:pPr>
      <w:r>
        <w:rPr>
          <w:color w:val="500050"/>
        </w:rPr>
        <w:t>⚡ Impact estimé sur la BRVM</w:t>
      </w:r>
    </w:p>
    <w:p>
      <w:pPr>
        <w:spacing w:before="20" w:after="40"/>
        <w:ind w:left="280"/>
      </w:pPr>
      <w:r>
        <w:rPr>
          <w:i/>
          <w:sz w:val="18"/>
        </w:rPr>
        <w:t>Pas d'élément nouveau sur la concurrence obligataire africaine.</w:t>
      </w:r>
    </w:p>
    <w:p>
      <w:pPr>
        <w:pStyle w:val="Heading2"/>
      </w:pPr>
      <w:r>
        <w:rPr>
          <w:color w:val="145A28"/>
        </w:rPr>
        <w:t>🌍 Plan Afrique de l'Ouest</w:t>
      </w:r>
    </w:p>
    <w:p>
      <w:pPr>
        <w:pStyle w:val="ListBullet"/>
        <w:spacing w:before="20" w:after="20"/>
        <w:ind w:left="360"/>
      </w:pPr>
      <w:r>
        <w:rPr>
          <w:color w:val="008000"/>
          <w:sz w:val="18"/>
        </w:rPr>
        <w:t>Forum d'investissement CEDEAO/BIDC (positif).</w:t>
      </w:r>
    </w:p>
    <w:p>
      <w:pPr>
        <w:pStyle w:val="Heading3"/>
      </w:pPr>
      <w:r>
        <w:rPr>
          <w:color w:val="500050"/>
        </w:rPr>
        <w:t>⚡ Impact estimé sur la BRVM</w:t>
      </w:r>
    </w:p>
    <w:p>
      <w:pPr>
        <w:spacing w:before="20" w:after="40"/>
        <w:ind w:left="280"/>
      </w:pPr>
      <w:r>
        <w:rPr>
          <w:i/>
          <w:sz w:val="18"/>
        </w:rPr>
        <w:t>Opportunité de visibilité pour la BRVM comme hub financier régional.</w:t>
      </w:r>
    </w:p>
    <w:p>
      <w:pPr>
        <w:pStyle w:val="Heading2"/>
      </w:pPr>
      <w:r>
        <w:rPr>
          <w:color w:val="8C4600"/>
        </w:rPr>
        <w:t>🏦 Plan UEMOA / Zone Franc</w:t>
      </w:r>
    </w:p>
    <w:p>
      <w:pPr>
        <w:pStyle w:val="ListBullet"/>
        <w:spacing w:before="20" w:after="20"/>
        <w:ind w:left="360"/>
      </w:pPr>
      <w:r>
        <w:rPr>
          <w:sz w:val="18"/>
        </w:rPr>
        <w:t>Données insuffisantes sur le marché des titres publics et taux interbancaires.</w:t>
      </w:r>
    </w:p>
    <w:p>
      <w:pPr>
        <w:pStyle w:val="Heading3"/>
      </w:pPr>
      <w:r>
        <w:rPr>
          <w:color w:val="500050"/>
        </w:rPr>
        <w:t>⚡ Impact estimé sur la BRVM</w:t>
      </w:r>
    </w:p>
    <w:p>
      <w:pPr>
        <w:spacing w:before="20" w:after="40"/>
        <w:ind w:left="280"/>
      </w:pPr>
      <w:r>
        <w:rPr>
          <w:i/>
          <w:sz w:val="18"/>
        </w:rPr>
        <w:t>Arbitrage titres publics/actions non documenté dans les sources.</w:t>
      </w:r>
    </w:p>
    <w:p>
      <w:pPr>
        <w:pStyle w:val="Heading2"/>
      </w:pPr>
      <w:r>
        <w:rPr>
          <w:color w:val="003366"/>
        </w:rPr>
        <w:t>📈 Plan BRVM</w:t>
      </w:r>
    </w:p>
    <w:p>
      <w:pPr>
        <w:pStyle w:val="ListBullet"/>
        <w:spacing w:before="20" w:after="20"/>
        <w:ind w:left="360"/>
      </w:pPr>
      <w:r>
        <w:rPr>
          <w:sz w:val="18"/>
        </w:rPr>
        <w:t>Indice Composite : 548,38 points.</w:t>
      </w:r>
    </w:p>
    <w:p>
      <w:pPr>
        <w:pStyle w:val="ListBullet"/>
        <w:spacing w:before="20" w:after="20"/>
        <w:ind w:left="360"/>
      </w:pPr>
      <w:r>
        <w:rPr>
          <w:color w:val="008000"/>
          <w:sz w:val="18"/>
        </w:rPr>
        <w:t>Résultats ivoiriens encourageants (positif).</w:t>
      </w:r>
    </w:p>
    <w:p>
      <w:pPr>
        <w:pStyle w:val="Heading3"/>
      </w:pPr>
      <w:r>
        <w:rPr>
          <w:color w:val="500050"/>
        </w:rPr>
        <w:t>⚡ Impact estimé sur la BRVM</w:t>
      </w:r>
    </w:p>
    <w:p>
      <w:pPr>
        <w:spacing w:before="20" w:after="40"/>
        <w:ind w:left="280"/>
      </w:pPr>
      <w:r>
        <w:rPr>
          <w:i/>
          <w:sz w:val="18"/>
        </w:rPr>
        <w:t>**Achat** : **SGBC**, **BICB**, **BOAC** (dynamique bénéficiaire). **Conserver** : **SNTS**, **ONTBF**, **ECOC**. **Alléger** : **TTLS**, **SHEC** (pétrole bas). **Surveiller** : **SCRC**, **SIVC**, **CFAC**, **NTLC**, **PALC**, **SOGC**, **ETIT**, **SLBC**, **ABJC**, **NEIC**, **BNBC**, **NSBC**, **SIBC**.</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favorable (croissance africaine, résultats ivoiriens positifs), mais plusieurs facteurs incitent à la prudence : inflation euro persistante, pétrole bas pénalisant **TTLS**/**SHEC**, instabilité sahélienne et débat monétaire CFA. Pour un investisseur BRVM, privilégier les valeurs bancaires (**SGBC**, **BICB**, **BOAC**) et télécoms (**SNTS**, **ONTBF**) à dividendes réguliers, tout en allégeant l'exposition énergie. Conserver une poche de liquidité pour saisir d'éventuels replis sur **SCRC** et les financières secondaires.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 xml:space="preserve">Taux, banques centrales, résultats… la résistance des marchés actions </w:t>
            </w:r>
          </w:p>
        </w:tc>
        <w:tc>
          <w:tcPr>
            <w:tcW w:type="dxa" w:w="1728"/>
          </w:tcPr>
          <w:p>
            <w:r>
              <w:rPr>
                <w:sz w:val="14"/>
              </w:rPr>
              <w:t>Neutre</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2026-09-29</w:t>
            </w:r>
          </w:p>
        </w:tc>
        <w:tc>
          <w:tcPr>
            <w:tcW w:type="dxa" w:w="1728"/>
          </w:tcPr>
          <w:p>
            <w:r>
              <w:rPr>
                <w:sz w:val="14"/>
              </w:rPr>
              <w:t>Gaz, pétrole, métaux : la facture des matières premières repart à la h</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La CEA mobilise les entreprises ouest-africaines pour dynamiser la cha</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lance les activités de la deuxième édition du Forum d’investis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AES-CEDEAO : entre rupture et coopération - Meer | English edition</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Franc CFA : un nouvel ouvrage plaide pour une monnaie souveraine au Sé</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 xml:space="preserve">Où va le Burkina Faso 4 ans après le coup d'État d'Ibrahim Traoré ?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2026-09-29</w:t>
            </w:r>
          </w:p>
        </w:tc>
        <w:tc>
          <w:tcPr>
            <w:tcW w:type="dxa" w:w="1728"/>
          </w:tcPr>
          <w:p>
            <w:r>
              <w:rPr>
                <w:sz w:val="14"/>
              </w:rPr>
              <w:t>En Côte d’Ivoire, le prix d’achat du cacao s’effondre malgré la hausse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cacao prix UEMOA</w:t>
            </w:r>
          </w:p>
        </w:tc>
      </w:tr>
      <w:tr>
        <w:tc>
          <w:tcPr>
            <w:tcW w:type="dxa" w:w="1728"/>
          </w:tcPr>
          <w:p>
            <w:r>
              <w:rPr>
                <w:sz w:val="14"/>
              </w:rPr>
              <w:t>2026-09-30</w:t>
            </w:r>
          </w:p>
        </w:tc>
        <w:tc>
          <w:tcPr>
            <w:tcW w:type="dxa" w:w="1728"/>
          </w:tcPr>
          <w:p>
            <w:r>
              <w:rPr>
                <w:sz w:val="14"/>
              </w:rPr>
              <w:t>BRVM : Sonatel atteint un seuil psychologique à 45 000 FCFA - Sika Fin</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2026-09-29</w:t>
            </w:r>
          </w:p>
        </w:tc>
        <w:tc>
          <w:tcPr>
            <w:tcW w:type="dxa" w:w="1728"/>
          </w:tcPr>
          <w:p>
            <w:r>
              <w:rPr>
                <w:sz w:val="14"/>
              </w:rPr>
              <w:t>CAN 2027 : Patrick Vieira tient enfin sa première victoire avec le Sén</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Franc CFA : un nouvel ouvrage plaide pour une monnaie souveraine au Sé</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 xml:space="preserve">Où va le Burkina Faso 4 ans après le coup d'État d'Ibrahim Traoré ?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Franc CFA : un nouvel ouvrage plaide pour une monnaie souveraine au Sé</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2026-09-30</w:t>
            </w:r>
          </w:p>
        </w:tc>
        <w:tc>
          <w:tcPr>
            <w:tcW w:type="dxa" w:w="1728"/>
          </w:tcPr>
          <w:p>
            <w:r>
              <w:rPr>
                <w:sz w:val="14"/>
              </w:rPr>
              <w:t xml:space="preserve">Où va le Burkina Faso 4 ans après le coup d'État d'Ibrahim Traoré ? -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2026-09-30</w:t>
            </w:r>
          </w:p>
        </w:tc>
        <w:tc>
          <w:tcPr>
            <w:tcW w:type="dxa" w:w="1728"/>
          </w:tcPr>
          <w:p>
            <w:r>
              <w:rPr>
                <w:sz w:val="14"/>
              </w:rPr>
              <w:t>Franc CFA : un nouvel ouvrage plaide pour une monnaie souveraine au Sé</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2026-09-30</w:t>
            </w:r>
          </w:p>
        </w:tc>
        <w:tc>
          <w:tcPr>
            <w:tcW w:type="dxa" w:w="1728"/>
          </w:tcPr>
          <w:p>
            <w:r>
              <w:rPr>
                <w:sz w:val="14"/>
              </w:rPr>
              <w:t>Coopération régionale : le chef d'état-major de l'armée nigériane plai</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2026-09-28</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 xml:space="preserve">Résumé des matières premières : chutes de pétrole, bords de cuivre en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2026-09-30</w:t>
            </w:r>
          </w:p>
        </w:tc>
        <w:tc>
          <w:tcPr>
            <w:tcW w:type="dxa" w:w="1728"/>
          </w:tcPr>
          <w:p>
            <w:r>
              <w:rPr>
                <w:sz w:val="14"/>
              </w:rPr>
              <w:t>Présidentielle 2027 : « Pas du tout une bonne idée »… Christine Lagard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L'inflation s'envole dans toute la zone euro, la pression s'intensifie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2026-09-30</w:t>
            </w:r>
          </w:p>
        </w:tc>
        <w:tc>
          <w:tcPr>
            <w:tcW w:type="dxa" w:w="1728"/>
          </w:tcPr>
          <w:p>
            <w:r>
              <w:rPr>
                <w:sz w:val="14"/>
              </w:rPr>
              <w:t>Franc CFA : un nouvel ouvrage plaide pour une monnaie souveraine au Sé</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économique  (5 alerte(s))</w:t>
      </w:r>
    </w:p>
    <w:p>
      <w:pPr>
        <w:spacing w:before="40" w:after="40"/>
        <w:ind w:left="360"/>
      </w:pPr>
      <w:r>
        <w:rPr>
          <w:color w:val="646464"/>
          <w:sz w:val="17"/>
        </w:rPr>
        <w:t xml:space="preserve">[01/10/2026] 🟢  </w:t>
      </w:r>
      <w:r>
        <w:rPr>
          <w:b/>
          <w:color w:val="008000"/>
          <w:sz w:val="18"/>
        </w:rPr>
        <w:t>Afrique : une croissance solide face au défi de l’investissement [Business Africa] - Africanews</w:t>
      </w:r>
      <w:r>
        <w:rPr>
          <w:color w:val="787878"/>
          <w:sz w:val="15"/>
        </w:rPr>
        <w:t xml:space="preserve">  [économique]</w:t>
      </w:r>
      <w:r>
        <w:rPr>
          <w:color w:val="B47800"/>
          <w:sz w:val="16"/>
        </w:rPr>
        <w:t xml:space="preserve">  ★ 50/10</w:t>
      </w:r>
    </w:p>
    <w:p>
      <w:pPr>
        <w:spacing w:before="0" w:after="20"/>
        <w:ind w:left="600"/>
      </w:pPr>
      <w:r>
        <w:rPr>
          <w:color w:val="323232"/>
          <w:sz w:val="17"/>
        </w:rPr>
        <w:t>L'article d'Africanews évoque une croissance économique solide en Afrique, mais souligne que le principal défi reste l'investissement. Les économies africaines affichent des performances robustes, portées par la consommation et les services. Toutefois, le niveau d'investissement, notamment en infrastructures et dans le secteur privé, demeure insuff</w:t>
      </w:r>
    </w:p>
    <w:p>
      <w:pPr>
        <w:spacing w:before="0" w:after="40"/>
        <w:ind w:left="600"/>
      </w:pPr>
      <w:r>
        <w:rPr>
          <w:color w:val="00643C"/>
          <w:sz w:val="16"/>
        </w:rPr>
        <w:t>Points clés : Croissance économique africaine solide  •  Défi majeur de l'investissement  •  Besoin d'infrastructures et de financement privé  •  Potentiel pour les marchés financiers régionaux comme la BRVM</w:t>
      </w:r>
    </w:p>
    <w:p>
      <w:pPr>
        <w:spacing w:before="0" w:after="60"/>
        <w:ind w:left="600"/>
      </w:pPr>
      <w:r>
        <w:rPr>
          <w:color w:val="0064B4"/>
          <w:sz w:val="15"/>
        </w:rPr>
        <w:t>Source : https://news.google.com/rss/articles/CBMitgFBVV95cUxPODROM3RpY1pSUl9rWVNpd1N0bEd</w:t>
      </w:r>
    </w:p>
    <w:p>
      <w:pPr>
        <w:spacing w:before="40" w:after="40"/>
        <w:ind w:left="360"/>
      </w:pPr>
      <w:r>
        <w:rPr>
          <w:color w:val="646464"/>
          <w:sz w:val="17"/>
        </w:rPr>
        <w:t xml:space="preserve">[30/09/2026] ⚪  </w:t>
      </w:r>
      <w:r>
        <w:rPr>
          <w:b/>
          <w:color w:val="505050"/>
          <w:sz w:val="18"/>
        </w:rPr>
        <w:t>Coopération régionale : le chef d'état-major de l'armée nigériane plaide pour un front uni face aux menaces - Alwihda In</w:t>
      </w:r>
      <w:r>
        <w:rPr>
          <w:color w:val="787878"/>
          <w:sz w:val="15"/>
        </w:rPr>
        <w:t xml:space="preserve">  [économique]</w:t>
      </w:r>
      <w:r>
        <w:rPr>
          <w:color w:val="B47800"/>
          <w:sz w:val="16"/>
        </w:rPr>
        <w:t xml:space="preserve">  ★ 50/10</w:t>
      </w:r>
    </w:p>
    <w:p>
      <w:pPr>
        <w:spacing w:before="0" w:after="20"/>
        <w:ind w:left="600"/>
      </w:pPr>
      <w:r>
        <w:rPr>
          <w:color w:val="323232"/>
          <w:sz w:val="17"/>
        </w:rPr>
        <w:t>Le chef d'état-major de l'armée nigériane a appelé à un front uni des pays de la région face aux menaces sécuritaires communes. Cette déclaration s'inscrit dans un contexte de coopération régionale renforcée en Afrique de l'Ouest. Elle vise à coordonner les efforts militaires contre le terrorisme et l'instabilité. Aucune mesure économique ou financ</w:t>
      </w:r>
    </w:p>
    <w:p>
      <w:pPr>
        <w:spacing w:before="0" w:after="40"/>
        <w:ind w:left="600"/>
      </w:pPr>
      <w:r>
        <w:rPr>
          <w:color w:val="00643C"/>
          <w:sz w:val="16"/>
        </w:rPr>
        <w:t>Points clés : Appel à un front uni régional contre les menaces sécuritaires  •  Initiative portée par le chef d'état-major nigérian  •  Contexte de coopération militaire en Afrique de l'Ouest  •  Pas d'annonce économique ou financière directe</w:t>
      </w:r>
    </w:p>
    <w:p>
      <w:pPr>
        <w:spacing w:before="0" w:after="60"/>
        <w:ind w:left="600"/>
      </w:pPr>
      <w:r>
        <w:rPr>
          <w:color w:val="0064B4"/>
          <w:sz w:val="15"/>
        </w:rPr>
        <w:t>Source : https://news.google.com/rss/articles/CBMizAFBVV95cUxOY1pSZHlReXZFajk1VkM5SHdzRTd</w:t>
      </w:r>
    </w:p>
    <w:p>
      <w:pPr>
        <w:spacing w:before="40" w:after="40"/>
        <w:ind w:left="360"/>
      </w:pPr>
      <w:r>
        <w:rPr>
          <w:color w:val="646464"/>
          <w:sz w:val="17"/>
        </w:rPr>
        <w:t xml:space="preserve">[29/09/2026] 🟢  </w:t>
      </w:r>
      <w:r>
        <w:rPr>
          <w:b/>
          <w:color w:val="008000"/>
          <w:sz w:val="18"/>
        </w:rPr>
        <w:t>La BIDC lance les activités de la deuxième édition du Forum d’investissement de la CEDEAO - APS - Agence de Presse Sénég</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 lancé les activités de la deuxième édition du Forum d'investissement de la CEDEAO. Cet événement vise à promouvoir les opportunités d'investissement dans la région ouest-africaine et à mobiliser des financements pour des projets structurants. Il s'inscrit dans le cadre des efforts</w:t>
      </w:r>
    </w:p>
    <w:p>
      <w:pPr>
        <w:spacing w:before="0" w:after="40"/>
        <w:ind w:left="600"/>
      </w:pPr>
      <w:r>
        <w:rPr>
          <w:color w:val="00643C"/>
          <w:sz w:val="16"/>
        </w:rPr>
        <w:t>Points clés : Lancement de la deuxième édition du Forum d'investissement de la CEDEAO par la BIDC  •  Objectif de promotion des investissements et de mobilisation de financements en Afrique de l'Ouest  •  Renforcement de l'intégration économique régionale</w:t>
      </w:r>
    </w:p>
    <w:p>
      <w:pPr>
        <w:spacing w:before="0" w:after="60"/>
        <w:ind w:left="600"/>
      </w:pPr>
      <w:r>
        <w:rPr>
          <w:color w:val="0064B4"/>
          <w:sz w:val="15"/>
        </w:rPr>
        <w:t>Source : https://news.google.com/rss/articles/CBMipwFBVV95cUxOZHkzakNTM0V1Nnh6YXdjckJIU3R</w:t>
      </w:r>
    </w:p>
    <w:p>
      <w:pPr>
        <w:spacing w:before="40" w:after="40"/>
        <w:ind w:left="360"/>
      </w:pPr>
      <w:r>
        <w:rPr>
          <w:color w:val="646464"/>
          <w:sz w:val="17"/>
        </w:rPr>
        <w:t xml:space="preserve">[29/09/2026] 🟢  </w:t>
      </w:r>
      <w:r>
        <w:rPr>
          <w:b/>
          <w:color w:val="008000"/>
          <w:sz w:val="18"/>
        </w:rPr>
        <w:t>La BIDC valide 400 millions de dollars pour quatre projets ouest-africains - Africtelegraph</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 approuvé un financement de 400 millions de dollars pour quatre projets en Afrique de l'Ouest. Cette enveloppe vise à soutenir des infrastructures et des initiatives de développement régional. L'annonce renforce les perspectives de croissance économique dans la zone UEMOA. Les sect</w:t>
      </w:r>
    </w:p>
    <w:p>
      <w:pPr>
        <w:spacing w:before="0" w:after="40"/>
        <w:ind w:left="600"/>
      </w:pPr>
      <w:r>
        <w:rPr>
          <w:color w:val="00643C"/>
          <w:sz w:val="16"/>
        </w:rPr>
        <w:t>Points clés : La BIDC valide 400 millions USD pour quatre projets ouest-africains  •  Financement destiné à des projets de développement régional  •  Impact potentiel sur les infrastructures et l'économie de la zone UEMOA</w:t>
      </w:r>
    </w:p>
    <w:p>
      <w:pPr>
        <w:spacing w:before="0" w:after="60"/>
        <w:ind w:left="600"/>
      </w:pPr>
      <w:r>
        <w:rPr>
          <w:color w:val="0064B4"/>
          <w:sz w:val="15"/>
        </w:rPr>
        <w:t>Source : https://news.google.com/rss/articles/CBMiqwFBVV95cUxNZXhLSXJJZm5tYmkxRXM3OEFHYkR</w:t>
      </w:r>
    </w:p>
    <w:p>
      <w:pPr>
        <w:spacing w:before="40" w:after="40"/>
        <w:ind w:left="360"/>
      </w:pPr>
      <w:r>
        <w:rPr>
          <w:color w:val="646464"/>
          <w:sz w:val="17"/>
        </w:rPr>
        <w:t xml:space="preserve">[29/09/2026] ⚪  </w:t>
      </w:r>
      <w:r>
        <w:rPr>
          <w:b/>
          <w:color w:val="505050"/>
          <w:sz w:val="18"/>
        </w:rPr>
        <w:t>AES-CEDEAO : entre rupture et coopération - Meer | English edition</w:t>
      </w:r>
      <w:r>
        <w:rPr>
          <w:color w:val="787878"/>
          <w:sz w:val="15"/>
        </w:rPr>
        <w:t xml:space="preserve">  [économique]</w:t>
      </w:r>
      <w:r>
        <w:rPr>
          <w:color w:val="B47800"/>
          <w:sz w:val="16"/>
        </w:rPr>
        <w:t xml:space="preserve">  ★ 50/10</w:t>
      </w:r>
    </w:p>
    <w:p>
      <w:pPr>
        <w:spacing w:before="0" w:after="20"/>
        <w:ind w:left="600"/>
      </w:pPr>
      <w:r>
        <w:rPr>
          <w:color w:val="323232"/>
          <w:sz w:val="17"/>
        </w:rPr>
        <w:t>L'article traite des relations entre l'Alliance des États du Sahel (AES) et la CEDEAO, oscillant entre rupture et coopération. Il analyse les tensions politiques et les dynamiques économiques entre les pays membres de l'AES (Mali, Burkina Faso, Niger) et la CEDEAO. Les enjeux incluent les échanges commerciaux, la libre circulation et les conséquenc</w:t>
      </w:r>
    </w:p>
    <w:p>
      <w:pPr>
        <w:spacing w:before="0" w:after="40"/>
        <w:ind w:left="600"/>
      </w:pPr>
      <w:r>
        <w:rPr>
          <w:color w:val="00643C"/>
          <w:sz w:val="16"/>
        </w:rPr>
        <w:t>Points clés : Relations complexes entre l'AES et la CEDEAO, entre rupture et coopération  •  Enjeux économiques : commerce, libre circulation, intégration régionale  •  Impact potentiel sur la stabilité et les marchés de la zone UEMOA</w:t>
      </w:r>
    </w:p>
    <w:p>
      <w:pPr>
        <w:spacing w:before="0" w:after="60"/>
        <w:ind w:left="600"/>
      </w:pPr>
      <w:r>
        <w:rPr>
          <w:color w:val="0064B4"/>
          <w:sz w:val="15"/>
        </w:rPr>
        <w:t>Source : https://news.google.com/rss/articles/CBMiekFVX3lxTE9fcC0tYXNuYUFZcHEwNFh3eWxjbHF</w:t>
      </w:r>
    </w:p>
    <w:p>
      <w:pPr>
        <w:spacing w:before="120" w:after="40"/>
      </w:pPr>
      <w:r>
        <w:rPr>
          <w:b/>
          <w:color w:val="00467F"/>
          <w:sz w:val="20"/>
        </w:rPr>
        <w:t>🔑 politique_monetaire  (2 alerte(s))</w:t>
      </w:r>
    </w:p>
    <w:p>
      <w:pPr>
        <w:spacing w:before="40" w:after="40"/>
        <w:ind w:left="360"/>
      </w:pPr>
      <w:r>
        <w:rPr>
          <w:color w:val="646464"/>
          <w:sz w:val="17"/>
        </w:rPr>
        <w:t xml:space="preserve">[30/09/2026] ⚪  </w:t>
      </w:r>
      <w:r>
        <w:rPr>
          <w:b/>
          <w:color w:val="505050"/>
          <w:sz w:val="18"/>
        </w:rPr>
        <w:t>Présidentielle 2027 : « Pas du tout une bonne idée »… Christine Lagarde exclut de se présenter - Yahoo Actualités</w:t>
      </w:r>
      <w:r>
        <w:rPr>
          <w:color w:val="787878"/>
          <w:sz w:val="15"/>
        </w:rPr>
        <w:t xml:space="preserve">  [politique_monetaire]</w:t>
      </w:r>
      <w:r>
        <w:rPr>
          <w:color w:val="B47800"/>
          <w:sz w:val="16"/>
        </w:rPr>
        <w:t xml:space="preserve">  ★ 50/10</w:t>
      </w:r>
    </w:p>
    <w:p>
      <w:pPr>
        <w:spacing w:before="0" w:after="20"/>
        <w:ind w:left="600"/>
      </w:pPr>
      <w:r>
        <w:rPr>
          <w:color w:val="323232"/>
          <w:sz w:val="17"/>
        </w:rPr>
        <w:t>Christine Lagarde, présidente de la Banque centrale européenne, a officiellement exclu de se présenter à l'élection présidentielle française de 2027, qualifiant cette idée de « pas du tout une bonne idée ». Cette déclaration met fin aux spéculations sur une éventuelle candidature de l'ancienne directrice du FMI. Son mandat à la BCE court jusqu'en 2</w:t>
      </w:r>
    </w:p>
    <w:p>
      <w:pPr>
        <w:spacing w:before="0" w:after="40"/>
        <w:ind w:left="600"/>
      </w:pPr>
      <w:r>
        <w:rPr>
          <w:color w:val="00643C"/>
          <w:sz w:val="16"/>
        </w:rPr>
        <w:t>Points clés : Christine Lagarde exclut toute candidature à la présidentielle française de 2027  •  Elle qualifie cette idée de « pas du tout une bonne idée »  •  Son mandat à la tête de la BCE court jusqu'en 2027</w:t>
      </w:r>
    </w:p>
    <w:p>
      <w:pPr>
        <w:spacing w:before="0" w:after="60"/>
        <w:ind w:left="600"/>
      </w:pPr>
      <w:r>
        <w:rPr>
          <w:color w:val="0064B4"/>
          <w:sz w:val="15"/>
        </w:rPr>
        <w:t>Source : https://news.google.com/rss/articles/CBMilgFBVV95cUxQb1BNMnEzVVlJZWpZc3BXTXMyQUN</w:t>
      </w:r>
    </w:p>
    <w:p>
      <w:pPr>
        <w:spacing w:before="40" w:after="40"/>
        <w:ind w:left="360"/>
      </w:pPr>
      <w:r>
        <w:rPr>
          <w:color w:val="646464"/>
          <w:sz w:val="17"/>
        </w:rPr>
        <w:t xml:space="preserve">[30/09/2026] 🔴  </w:t>
      </w:r>
      <w:r>
        <w:rPr>
          <w:b/>
          <w:color w:val="C00000"/>
          <w:sz w:val="18"/>
        </w:rPr>
        <w:t>L'inflation s'envole dans toute la zone euro, la pression s'intensifie sur la BCE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L'inflation augmente fortement dans l'ensemble de la zone euro, exerçant une pression accrue sur la Banque centrale européenne (BCE) pour qu'elle resserre sa politique monétaire. Cette dynamique pourrait entraîner une hausse des taux directeurs, affectant les conditions de financement mondiales. Les marchés financiers, y compris ceux des pays afric</w:t>
      </w:r>
    </w:p>
    <w:p>
      <w:pPr>
        <w:spacing w:before="0" w:after="40"/>
        <w:ind w:left="600"/>
      </w:pPr>
      <w:r>
        <w:rPr>
          <w:color w:val="00643C"/>
          <w:sz w:val="16"/>
        </w:rPr>
        <w:t>Points clés : L'inflation s'accélère dans toute la zone euro.  •  La BCE est sous pression pour agir sur les taux d'intérêt.  •  Risque de resserrement monétaire plus rapide que prévu.</w:t>
      </w:r>
    </w:p>
    <w:p>
      <w:pPr>
        <w:spacing w:before="0" w:after="60"/>
        <w:ind w:left="600"/>
      </w:pPr>
      <w:r>
        <w:rPr>
          <w:color w:val="0064B4"/>
          <w:sz w:val="15"/>
        </w:rPr>
        <w:t>Source : https://news.google.com/rss/articles/CBMihwJBVV95cUxQRGZJS2pZX1ZXQ3AxX0RFUGswZl8</w:t>
      </w:r>
    </w:p>
    <w:p>
      <w:pPr>
        <w:spacing w:before="120" w:after="40"/>
      </w:pPr>
      <w:r>
        <w:rPr>
          <w:b/>
          <w:color w:val="00467F"/>
          <w:sz w:val="20"/>
        </w:rPr>
        <w:t>🔑 politique  (7 alerte(s))</w:t>
      </w:r>
    </w:p>
    <w:p>
      <w:pPr>
        <w:spacing w:before="40" w:after="40"/>
        <w:ind w:left="360"/>
      </w:pPr>
      <w:r>
        <w:rPr>
          <w:color w:val="646464"/>
          <w:sz w:val="17"/>
        </w:rPr>
        <w:t xml:space="preserve">[30/09/2026] 🔴  </w:t>
      </w:r>
      <w:r>
        <w:rPr>
          <w:b/>
          <w:color w:val="C00000"/>
          <w:sz w:val="18"/>
        </w:rPr>
        <w:t>Où va le Burkina Faso 4 ans après le coup d'État d'Ibrahim Traoré ? - France 24</w:t>
      </w:r>
      <w:r>
        <w:rPr>
          <w:color w:val="787878"/>
          <w:sz w:val="15"/>
        </w:rPr>
        <w:t xml:space="preserve">  [politique]</w:t>
      </w:r>
      <w:r>
        <w:rPr>
          <w:color w:val="B47800"/>
          <w:sz w:val="16"/>
        </w:rPr>
        <w:t xml:space="preserve">  ★ 50/10</w:t>
      </w:r>
    </w:p>
    <w:p>
      <w:pPr>
        <w:spacing w:before="0" w:after="20"/>
        <w:ind w:left="600"/>
      </w:pPr>
      <w:r>
        <w:rPr>
          <w:color w:val="323232"/>
          <w:sz w:val="17"/>
        </w:rPr>
        <w:t>Quatre ans après le coup d'État ayant porté Ibrahim Traoré au pouvoir au Burkina Faso, le pays reste confronté à une instabilité politique et sécuritaire persistante. Les autorités militaires n'ont pas organisé d'élections et peinent à rétablir le contrôle sur une large partie du territoire, tandis que la pression jihadiste continue. Sur le plan éc</w:t>
      </w:r>
    </w:p>
    <w:p>
      <w:pPr>
        <w:spacing w:before="0" w:after="40"/>
        <w:ind w:left="600"/>
      </w:pPr>
      <w:r>
        <w:rPr>
          <w:color w:val="00643C"/>
          <w:sz w:val="16"/>
        </w:rPr>
        <w:t>Points clés : Quatre ans après le coup d'État, Ibrahim Traoré reste au pouvoir sans calendrier électoral clair  •  Persistance de l'insécurité et des attaques jihadistes dans plusieurs régions  •  Isolement diplomatique partiel et tensions avec la CEDEAO et la France  •  Impact économique négatif lié aux sanctions et à la baisse des investissements</w:t>
      </w:r>
    </w:p>
    <w:p>
      <w:pPr>
        <w:spacing w:before="0" w:after="60"/>
        <w:ind w:left="600"/>
      </w:pPr>
      <w:r>
        <w:rPr>
          <w:color w:val="0064B4"/>
          <w:sz w:val="15"/>
        </w:rPr>
        <w:t>Source : https://news.google.com/rss/articles/CBMizgFBVV95cUxONjhEQlV3cmV3QWNaMWpQdDd0ZEp</w:t>
      </w:r>
    </w:p>
    <w:p>
      <w:pPr>
        <w:spacing w:before="40" w:after="40"/>
        <w:ind w:left="360"/>
      </w:pPr>
      <w:r>
        <w:rPr>
          <w:color w:val="646464"/>
          <w:sz w:val="17"/>
        </w:rPr>
        <w:t xml:space="preserve">[30/09/2026] ⚪  </w:t>
      </w:r>
      <w:r>
        <w:rPr>
          <w:b/>
          <w:color w:val="505050"/>
          <w:sz w:val="18"/>
        </w:rPr>
        <w:t>Franc CFA : un nouvel ouvrage plaide pour une monnaie souveraine au Sénégal - The Conversation</w:t>
      </w:r>
      <w:r>
        <w:rPr>
          <w:color w:val="787878"/>
          <w:sz w:val="15"/>
        </w:rPr>
        <w:t xml:space="preserve">  [politique]</w:t>
      </w:r>
      <w:r>
        <w:rPr>
          <w:color w:val="B47800"/>
          <w:sz w:val="16"/>
        </w:rPr>
        <w:t xml:space="preserve">  ★ 50/10</w:t>
      </w:r>
    </w:p>
    <w:p>
      <w:pPr>
        <w:spacing w:before="0" w:after="20"/>
        <w:ind w:left="600"/>
      </w:pPr>
      <w:r>
        <w:rPr>
          <w:color w:val="323232"/>
          <w:sz w:val="17"/>
        </w:rPr>
        <w:t>Un nouvel ouvrage publié plaide pour l'adoption d'une monnaie souveraine au Sénégal, remettant en question le franc CFA et son ancrage à l'euro. Cette publication s'inscrit dans un débat croissant sur la souveraineté monétaire dans l'UEMOA, porté par des économistes et intellectuels africains. Elle intervient alors que plusieurs pays de la zone che</w:t>
      </w:r>
    </w:p>
    <w:p>
      <w:pPr>
        <w:spacing w:before="0" w:after="40"/>
        <w:ind w:left="600"/>
      </w:pPr>
      <w:r>
        <w:rPr>
          <w:color w:val="00643C"/>
          <w:sz w:val="16"/>
        </w:rPr>
        <w:t>Points clés : Publication d'un ouvrage plaidant pour une monnaie souveraine au Sénégal  •  Remise en cause du franc CFA et de son ancrage à l'euro  •  Débat croissant sur la souveraineté monétaire dans l'UEMOA  •  Sujet sensible touchant aux relations avec la France et à la stabilité macroéconomique</w:t>
      </w:r>
    </w:p>
    <w:p>
      <w:pPr>
        <w:spacing w:before="0" w:after="60"/>
        <w:ind w:left="600"/>
      </w:pPr>
      <w:r>
        <w:rPr>
          <w:color w:val="0064B4"/>
          <w:sz w:val="15"/>
        </w:rPr>
        <w:t>Source : https://news.google.com/rss/articles/CBMirAFBVV95cUxQV3FKVU10c0xpUGw4WFhFSkhrdFN</w:t>
      </w:r>
    </w:p>
    <w:p>
      <w:pPr>
        <w:spacing w:before="40" w:after="40"/>
        <w:ind w:left="360"/>
      </w:pPr>
      <w:r>
        <w:rPr>
          <w:color w:val="646464"/>
          <w:sz w:val="17"/>
        </w:rPr>
        <w:t xml:space="preserve">[30/09/2026] 🔴  </w:t>
      </w:r>
      <w:r>
        <w:rPr>
          <w:b/>
          <w:color w:val="C00000"/>
          <w:sz w:val="18"/>
        </w:rPr>
        <w:t>Burkina Faso : quatre ans de pouvoir pour Ibrahim Traoré - DW.com</w:t>
      </w:r>
      <w:r>
        <w:rPr>
          <w:color w:val="787878"/>
          <w:sz w:val="15"/>
        </w:rPr>
        <w:t xml:space="preserve">  [politique]</w:t>
      </w:r>
      <w:r>
        <w:rPr>
          <w:color w:val="B47800"/>
          <w:sz w:val="16"/>
        </w:rPr>
        <w:t xml:space="preserve">  ★ 50/10</w:t>
      </w:r>
    </w:p>
    <w:p>
      <w:pPr>
        <w:spacing w:before="0" w:after="20"/>
        <w:ind w:left="600"/>
      </w:pPr>
      <w:r>
        <w:rPr>
          <w:color w:val="323232"/>
          <w:sz w:val="17"/>
        </w:rPr>
        <w:t>L'article de DW.com revient sur les quatre années de pouvoir d'Ibrahim Traoré à la tête du Burkina Faso, arrivé au pouvoir par un coup d'État en septembre 2022. Il dresse un bilan politique marqué par une rupture avec la France, un rapprochement avec la Russie et l'Alliance des États du Sahel, ainsi que par la persistance de l'insécurité liée aux g</w:t>
      </w:r>
    </w:p>
    <w:p>
      <w:pPr>
        <w:spacing w:before="0" w:after="40"/>
        <w:ind w:left="600"/>
      </w:pPr>
      <w:r>
        <w:rPr>
          <w:color w:val="00643C"/>
          <w:sz w:val="16"/>
        </w:rPr>
        <w:t>Points clés : Quatre ans de pouvoir d'Ibrahim Traoré depuis le coup d'État de septembre 2022  •  Réorientation diplomatique : rupture avec la France, rapprochement avec la Russie et l'AES  •  Persistance de l'insécurité et des attaques jihadistes dans plusieurs régions  •  Tensions avec la CEDEAO et les partenaires internationaux</w:t>
      </w:r>
    </w:p>
    <w:p>
      <w:pPr>
        <w:spacing w:before="0" w:after="60"/>
        <w:ind w:left="600"/>
      </w:pPr>
      <w:r>
        <w:rPr>
          <w:color w:val="0064B4"/>
          <w:sz w:val="15"/>
        </w:rPr>
        <w:t>Source : https://news.google.com/rss/articles/CBMiiwFBVV95cUxNektqRmVpeXJpT2hHaHBRdnNLX3V</w:t>
      </w:r>
    </w:p>
    <w:p>
      <w:pPr>
        <w:spacing w:before="40" w:after="40"/>
        <w:ind w:left="360"/>
      </w:pPr>
      <w:r>
        <w:rPr>
          <w:color w:val="646464"/>
          <w:sz w:val="17"/>
        </w:rPr>
        <w:t xml:space="preserve">[29/09/2026] ⚪  </w:t>
      </w:r>
      <w:r>
        <w:rPr>
          <w:b/>
          <w:color w:val="505050"/>
          <w:sz w:val="18"/>
        </w:rPr>
        <w:t>Sahara occidental : le Burkina Faso plaide pour une solution « politique négociée » - afrik.com</w:t>
      </w:r>
      <w:r>
        <w:rPr>
          <w:color w:val="787878"/>
          <w:sz w:val="15"/>
        </w:rPr>
        <w:t xml:space="preserve">  [politique]</w:t>
      </w:r>
      <w:r>
        <w:rPr>
          <w:color w:val="B47800"/>
          <w:sz w:val="16"/>
        </w:rPr>
        <w:t xml:space="preserve">  ★ 50/10</w:t>
      </w:r>
    </w:p>
    <w:p>
      <w:pPr>
        <w:spacing w:before="0" w:after="20"/>
        <w:ind w:left="600"/>
      </w:pPr>
      <w:r>
        <w:rPr>
          <w:color w:val="323232"/>
          <w:sz w:val="17"/>
        </w:rPr>
        <w:t>Le Burkina Faso a exprimé sa position sur le conflit du Sahara occidental en plaidant pour une solution politique négociée. Cette prise de position s'inscrit dans le cadre des efforts diplomatiques africains visant à résoudre ce différend de longue date. Le Burkina Faso, membre de l'UEMOA, réaffirme ainsi son engagement pour une résolution pacifiqu</w:t>
      </w:r>
    </w:p>
    <w:p>
      <w:pPr>
        <w:spacing w:before="0" w:after="40"/>
        <w:ind w:left="600"/>
      </w:pPr>
      <w:r>
        <w:rPr>
          <w:color w:val="00643C"/>
          <w:sz w:val="16"/>
        </w:rPr>
        <w:t>Points clés : Le Burkina Faso appelle à une solution politique négociée pour le Sahara occidental  •  Position diplomatique dans le cadre des efforts africains de résolution de conflit  •  Aucune implication économique ou financière directe pour la BRVM</w:t>
      </w:r>
    </w:p>
    <w:p>
      <w:pPr>
        <w:spacing w:before="0" w:after="60"/>
        <w:ind w:left="600"/>
      </w:pPr>
      <w:r>
        <w:rPr>
          <w:color w:val="0064B4"/>
          <w:sz w:val="15"/>
        </w:rPr>
        <w:t>Source : https://news.google.com/rss/articles/CBMioAFBVV95cUxNTFVta2pXVDdfdzQzQ2xjSktqWE0</w:t>
      </w:r>
    </w:p>
    <w:p>
      <w:pPr>
        <w:spacing w:before="40" w:after="40"/>
        <w:ind w:left="360"/>
      </w:pPr>
      <w:r>
        <w:rPr>
          <w:color w:val="646464"/>
          <w:sz w:val="17"/>
        </w:rPr>
        <w:t xml:space="preserve">[29/09/2026] 🟢  </w:t>
      </w:r>
      <w:r>
        <w:rPr>
          <w:b/>
          <w:color w:val="008000"/>
          <w:sz w:val="18"/>
        </w:rPr>
        <w:t>CAN 2027 : Patrick Vieira tient enfin sa première victoire avec le Sénégal - Benin Web TV</w:t>
      </w:r>
      <w:r>
        <w:rPr>
          <w:color w:val="787878"/>
          <w:sz w:val="15"/>
        </w:rPr>
        <w:t xml:space="preserve">  [politique]</w:t>
      </w:r>
      <w:r>
        <w:rPr>
          <w:color w:val="B47800"/>
          <w:sz w:val="16"/>
        </w:rPr>
        <w:t xml:space="preserve">  ★ 50/10</w:t>
      </w:r>
    </w:p>
    <w:p>
      <w:pPr>
        <w:spacing w:before="0" w:after="20"/>
        <w:ind w:left="600"/>
      </w:pPr>
      <w:r>
        <w:rPr>
          <w:color w:val="323232"/>
          <w:sz w:val="17"/>
        </w:rPr>
        <w:t>L'article rapporte que Patrick Vieira a obtenu sa première victoire en tant qu'entraîneur du Sénégal dans le cadre des qualifications pour la CAN 2027. Il s'agit d'une actualité sportive sans lien direct avec les marchés financiers de l'UEMOA. Aucune information économique ou boursière n'est mentionnée.</w:t>
      </w:r>
    </w:p>
    <w:p>
      <w:pPr>
        <w:spacing w:before="0" w:after="40"/>
        <w:ind w:left="600"/>
      </w:pPr>
      <w:r>
        <w:rPr>
          <w:color w:val="00643C"/>
          <w:sz w:val="16"/>
        </w:rPr>
        <w:t>Points clés : Patrick Vieira remporte sa première victoire avec le Sénégal  •  Contexte : qualifications CAN 2027  •  Aucune implication financière ou boursière</w:t>
      </w:r>
    </w:p>
    <w:p>
      <w:pPr>
        <w:spacing w:before="0" w:after="60"/>
        <w:ind w:left="600"/>
      </w:pPr>
      <w:r>
        <w:rPr>
          <w:color w:val="0064B4"/>
          <w:sz w:val="15"/>
        </w:rPr>
        <w:t>Source : https://news.google.com/rss/articles/CBMimwFBVV95cUxOX2hxcU43U2NicjBMOHdOWEN0Q0g</w:t>
      </w:r>
    </w:p>
    <w:p>
      <w:pPr>
        <w:spacing w:before="120" w:after="40"/>
      </w:pPr>
      <w:r>
        <w:rPr>
          <w:b/>
          <w:color w:val="00467F"/>
          <w:sz w:val="20"/>
        </w:rPr>
        <w:t>🔑 marche_financier  (4 alerte(s))</w:t>
      </w:r>
    </w:p>
    <w:p>
      <w:pPr>
        <w:spacing w:before="40" w:after="40"/>
        <w:ind w:left="360"/>
      </w:pPr>
      <w:r>
        <w:rPr>
          <w:color w:val="646464"/>
          <w:sz w:val="17"/>
        </w:rPr>
        <w:t xml:space="preserve">[30/09/2026] 🟢  </w:t>
      </w:r>
      <w:r>
        <w:rPr>
          <w:b/>
          <w:color w:val="008000"/>
          <w:sz w:val="18"/>
        </w:rPr>
        <w:t>BRVM : Sonatel atteint un seuil psychologique à 45 000 FCFA - Sika Finance</w:t>
      </w:r>
      <w:r>
        <w:rPr>
          <w:color w:val="787878"/>
          <w:sz w:val="15"/>
        </w:rPr>
        <w:t xml:space="preserve">  [marche_financier]</w:t>
      </w:r>
      <w:r>
        <w:rPr>
          <w:color w:val="B47800"/>
          <w:sz w:val="16"/>
        </w:rPr>
        <w:t xml:space="preserve">  ★ 50/10</w:t>
      </w:r>
    </w:p>
    <w:p>
      <w:pPr>
        <w:spacing w:before="0" w:after="20"/>
        <w:ind w:left="600"/>
      </w:pPr>
      <w:r>
        <w:rPr>
          <w:color w:val="323232"/>
          <w:sz w:val="17"/>
        </w:rPr>
        <w:t>L'action Sonatel a franchi le seuil psychologique de 45 000 FCFA à la BRVM, marquant une étape importante pour le titre. Cette progression reflète la confiance des investisseurs dans la valeur, portée par ses fondamentaux solides et sa position dominante dans les télécommunications au Sénégal. Le franchissement de ce palier pourrait attirer davanta</w:t>
      </w:r>
    </w:p>
    <w:p>
      <w:pPr>
        <w:spacing w:before="0" w:after="40"/>
        <w:ind w:left="600"/>
      </w:pPr>
      <w:r>
        <w:rPr>
          <w:color w:val="00643C"/>
          <w:sz w:val="16"/>
        </w:rPr>
        <w:t>Points clés : Sonatel atteint 45 000 FCFA, un niveau psychologique clé.  •  Le titre confirme sa dynamique haussière à la BRVM.  •  Seuil susceptible d'attirer de nouveaux investisseurs.</w:t>
      </w:r>
    </w:p>
    <w:p>
      <w:pPr>
        <w:spacing w:before="0" w:after="60"/>
        <w:ind w:left="600"/>
      </w:pPr>
      <w:r>
        <w:rPr>
          <w:color w:val="0064B4"/>
          <w:sz w:val="15"/>
        </w:rPr>
        <w:t>Source : https://news.google.com/rss/articles/CBMioAFBVV95cUxNcG1Dd0tqZVFjTkszeFNoeDF3T3h</w:t>
      </w:r>
    </w:p>
    <w:p>
      <w:pPr>
        <w:spacing w:before="40" w:after="40"/>
        <w:ind w:left="360"/>
      </w:pPr>
      <w:r>
        <w:rPr>
          <w:color w:val="646464"/>
          <w:sz w:val="17"/>
        </w:rPr>
        <w:t xml:space="preserve">[29/09/2026] ⚪  </w:t>
      </w:r>
      <w:r>
        <w:rPr>
          <w:b/>
          <w:color w:val="505050"/>
          <w:sz w:val="18"/>
        </w:rPr>
        <w:t>Taux, banques centrales, résultats… la résistance des marchés actions à l'épreuve de l'incertitude - Les Echos</w:t>
      </w:r>
      <w:r>
        <w:rPr>
          <w:color w:val="787878"/>
          <w:sz w:val="15"/>
        </w:rPr>
        <w:t xml:space="preserve">  [marche_financier]</w:t>
      </w:r>
      <w:r>
        <w:rPr>
          <w:color w:val="B47800"/>
          <w:sz w:val="16"/>
        </w:rPr>
        <w:t xml:space="preserve">  ★ 50/10</w:t>
      </w:r>
    </w:p>
    <w:p>
      <w:pPr>
        <w:spacing w:before="0" w:after="20"/>
        <w:ind w:left="600"/>
      </w:pPr>
      <w:r>
        <w:rPr>
          <w:color w:val="323232"/>
          <w:sz w:val="17"/>
        </w:rPr>
        <w:t>Les marchés actions mondiaux font preuve de résistance malgré un contexte d'incertitude lié aux taux d'intérêt, aux décisions des banques centrales et aux résultats d'entreprises. Les investisseurs évaluent l'impact des politiques monétaires restrictives sur la croissance et les bénéfices. Cette résilience témoigne d'une certaine confiance, mais le</w:t>
      </w:r>
    </w:p>
    <w:p>
      <w:pPr>
        <w:spacing w:before="0" w:after="40"/>
        <w:ind w:left="600"/>
      </w:pPr>
      <w:r>
        <w:rPr>
          <w:color w:val="00643C"/>
          <w:sz w:val="16"/>
        </w:rPr>
        <w:t>Points clés : Incertitude sur l'évolution des taux directeurs des banques centrales  •  Publication de résultats d'entreprises mitigés  •  Résistance des indices actions face aux turbulences  •  Attention portée aux prochaines décisions de politique monétaire</w:t>
      </w:r>
    </w:p>
    <w:p>
      <w:pPr>
        <w:spacing w:before="0" w:after="60"/>
        <w:ind w:left="600"/>
      </w:pPr>
      <w:r>
        <w:rPr>
          <w:color w:val="0064B4"/>
          <w:sz w:val="15"/>
        </w:rPr>
        <w:t>Source : https://news.google.com/rss/articles/CBMi8gFBVV95cUxNLUxwR3lMV1pXaEhpOVE1ejV4Z3h</w:t>
      </w:r>
    </w:p>
    <w:p>
      <w:pPr>
        <w:spacing w:before="40" w:after="40"/>
        <w:ind w:left="360"/>
      </w:pPr>
      <w:r>
        <w:rPr>
          <w:color w:val="646464"/>
          <w:sz w:val="17"/>
        </w:rPr>
        <w:t xml:space="preserve">[29/09/2026] 🔴  </w:t>
      </w:r>
      <w:r>
        <w:rPr>
          <w:b/>
          <w:color w:val="C00000"/>
          <w:sz w:val="18"/>
        </w:rPr>
        <w:t>IPO Dangote : la BVMAC et la BRVM opposent leur veto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La BVMAC (Bourse des Valeurs Mobilières de l'Afrique Centrale) et la BRVM (Bourse Régionale des Valeurs Mobilières de l'UEMOA) auraient opposé leur veto à l'introduction en bourse du groupe Dangote sur leurs marchés respectifs. Cette décision conjointe empêcherait le géant nigérian d'accéder aux investisseurs des deux zones monétaires. Les raisons </w:t>
      </w:r>
    </w:p>
    <w:p>
      <w:pPr>
        <w:spacing w:before="0" w:after="40"/>
        <w:ind w:left="600"/>
      </w:pPr>
      <w:r>
        <w:rPr>
          <w:color w:val="00643C"/>
          <w:sz w:val="16"/>
        </w:rPr>
        <w:t>Points clés : La BVMAC et la BRVM refusent l'IPO de Dangote sur leurs marchés  •  Décision conjointe des deux bourses africaines  •  Le groupe Dangote se voit bloquer l'accès aux investisseurs de la zone UEMOA et CEMAC  •  Les motivations précises du veto ne sont pas explicitées dans l'article</w:t>
      </w:r>
    </w:p>
    <w:p>
      <w:pPr>
        <w:spacing w:before="0" w:after="60"/>
        <w:ind w:left="600"/>
      </w:pPr>
      <w:r>
        <w:rPr>
          <w:color w:val="0064B4"/>
          <w:sz w:val="15"/>
        </w:rPr>
        <w:t>Source : https://news.google.com/rss/articles/CBMiiwFBVV95cUxPc2JkZXF1MFlTQVRvRUxXVE9UR19</w:t>
      </w:r>
    </w:p>
    <w:p>
      <w:pPr>
        <w:spacing w:before="40" w:after="40"/>
        <w:ind w:left="360"/>
      </w:pPr>
      <w:r>
        <w:rPr>
          <w:color w:val="646464"/>
          <w:sz w:val="17"/>
        </w:rPr>
        <w:t xml:space="preserve">[29/09/2026] 🟢  </w:t>
      </w:r>
      <w:r>
        <w:rPr>
          <w:b/>
          <w:color w:val="008000"/>
          <w:sz w:val="18"/>
        </w:rPr>
        <w:t>5ᵉ Conférence internationale de l'ERSUMA : « accompagnement des entreprises par les marchés financiers en Afrique - OHAD</w:t>
      </w:r>
      <w:r>
        <w:rPr>
          <w:color w:val="787878"/>
          <w:sz w:val="15"/>
        </w:rPr>
        <w:t xml:space="preserve">  [marche_financier]</w:t>
      </w:r>
      <w:r>
        <w:rPr>
          <w:color w:val="B47800"/>
          <w:sz w:val="16"/>
        </w:rPr>
        <w:t xml:space="preserve">  ★ 50/10</w:t>
      </w:r>
    </w:p>
    <w:p>
      <w:pPr>
        <w:spacing w:before="0" w:after="20"/>
        <w:ind w:left="600"/>
      </w:pPr>
      <w:r>
        <w:rPr>
          <w:color w:val="323232"/>
          <w:sz w:val="17"/>
        </w:rPr>
        <w:t>L'ERSUMA a organisé sa 5ᵉ conférence internationale consacrée à l'accompagnement des entreprises par les marchés financiers en Afrique. Cet événement, relayé par OHADA.com, s'inscrit dans la zone UEMOA et traite du rôle des marchés de capitaux dans le financement et la croissance des entreprises africaines. Il met en lumière l'importance croissante</w:t>
      </w:r>
    </w:p>
    <w:p>
      <w:pPr>
        <w:spacing w:before="0" w:after="40"/>
        <w:ind w:left="600"/>
      </w:pPr>
      <w:r>
        <w:rPr>
          <w:color w:val="00643C"/>
          <w:sz w:val="16"/>
        </w:rPr>
        <w:t>Points clés : 5ᵉ conférence internationale de l'ERSUMA sur les marchés financiers et l'accompagnement des entreprises  •  Thématique centrée sur le financement des entreprises africaines via les marchés de capitaux  •  Cadre UEMOA et OHADA, en lien avec le développement du marché financier régional</w:t>
      </w:r>
    </w:p>
    <w:p>
      <w:pPr>
        <w:spacing w:before="0" w:after="60"/>
        <w:ind w:left="600"/>
      </w:pPr>
      <w:r>
        <w:rPr>
          <w:color w:val="0064B4"/>
          <w:sz w:val="15"/>
        </w:rPr>
        <w:t>Source : https://news.google.com/rss/articles/CBMi5AFBVV95cUxNQ21VSWxEeTc3dlhfNy1KNVZ4ZG1</w:t>
      </w:r>
    </w:p>
    <w:p>
      <w:pPr>
        <w:spacing w:before="120" w:after="40"/>
      </w:pPr>
      <w:r>
        <w:rPr>
          <w:b/>
          <w:color w:val="00467F"/>
          <w:sz w:val="20"/>
        </w:rPr>
        <w:t>🔑 matieres_premieres  (2 alerte(s))</w:t>
      </w:r>
    </w:p>
    <w:p>
      <w:pPr>
        <w:spacing w:before="40" w:after="40"/>
        <w:ind w:left="360"/>
      </w:pPr>
      <w:r>
        <w:rPr>
          <w:color w:val="646464"/>
          <w:sz w:val="17"/>
        </w:rPr>
        <w:t xml:space="preserve">[30/09/2026] ⚪  </w:t>
      </w:r>
      <w:r>
        <w:rPr>
          <w:b/>
          <w:color w:val="505050"/>
          <w:sz w:val="18"/>
        </w:rPr>
        <w:t>Résumé des matières premières : chutes de pétrole, bords de cuivre en hausse, rebonds d'or - Sunsirs</w:t>
      </w:r>
      <w:r>
        <w:rPr>
          <w:color w:val="787878"/>
          <w:sz w:val="15"/>
        </w:rPr>
        <w:t xml:space="preserve">  [matieres_premieres]</w:t>
      </w:r>
      <w:r>
        <w:rPr>
          <w:color w:val="B47800"/>
          <w:sz w:val="16"/>
        </w:rPr>
        <w:t xml:space="preserve">  ★ 50/10</w:t>
      </w:r>
    </w:p>
    <w:p>
      <w:pPr>
        <w:spacing w:before="0" w:after="20"/>
        <w:ind w:left="600"/>
      </w:pPr>
      <w:r>
        <w:rPr>
          <w:color w:val="323232"/>
          <w:sz w:val="17"/>
        </w:rPr>
        <w:t>Les marchés des matières premières ont connu des évolutions contrastées : le pétrole a chuté, le cuivre a légèrement progressé et l'or a rebondi. Ces mouvements reflètent des dynamiques sectorielles divergentes, avec une pression sur les prix de l'énergie et un soutien sur les métaux précieux et industriels. Pour la BRVM, l'impact est indirect, mai</w:t>
      </w:r>
    </w:p>
    <w:p>
      <w:pPr>
        <w:spacing w:before="0" w:after="40"/>
        <w:ind w:left="600"/>
      </w:pPr>
      <w:r>
        <w:rPr>
          <w:color w:val="00643C"/>
          <w:sz w:val="16"/>
        </w:rPr>
        <w:t>Points clés : Chute des prix du pétrole  •  Légère hausse du cuivre  •  Rebond des prix de l'or</w:t>
      </w:r>
    </w:p>
    <w:p>
      <w:pPr>
        <w:spacing w:before="0" w:after="60"/>
        <w:ind w:left="600"/>
      </w:pPr>
      <w:r>
        <w:rPr>
          <w:color w:val="0064B4"/>
          <w:sz w:val="15"/>
        </w:rPr>
        <w:t>Source : https://news.google.com/rss/articles/CBMiXkFVX3lxTFBDU1k3NjNRaXdRR3lrSDlBUU9uSjd</w:t>
      </w:r>
    </w:p>
    <w:p>
      <w:pPr>
        <w:spacing w:before="40" w:after="40"/>
        <w:ind w:left="360"/>
      </w:pPr>
      <w:r>
        <w:rPr>
          <w:color w:val="646464"/>
          <w:sz w:val="17"/>
        </w:rPr>
        <w:t xml:space="preserve">[29/09/2026] 🔴  </w:t>
      </w:r>
      <w:r>
        <w:rPr>
          <w:b/>
          <w:color w:val="C00000"/>
          <w:sz w:val="18"/>
        </w:rPr>
        <w:t>Gaz, pétrole, métaux : la facture des matières premières repart à la hausse - Gaz d'aujourd'hui</w:t>
      </w:r>
      <w:r>
        <w:rPr>
          <w:color w:val="787878"/>
          <w:sz w:val="15"/>
        </w:rPr>
        <w:t xml:space="preserve">  [matieres_premieres]</w:t>
      </w:r>
      <w:r>
        <w:rPr>
          <w:color w:val="B47800"/>
          <w:sz w:val="16"/>
        </w:rPr>
        <w:t xml:space="preserve">  ★ 50/10</w:t>
      </w:r>
    </w:p>
    <w:p>
      <w:pPr>
        <w:spacing w:before="0" w:after="20"/>
        <w:ind w:left="600"/>
      </w:pPr>
      <w:r>
        <w:rPr>
          <w:color w:val="323232"/>
          <w:sz w:val="17"/>
        </w:rPr>
        <w:t>Les prix des matières premières, notamment le gaz, le pétrole et les métaux, repartent à la hausse selon l'article. Cette tendance haussière pourrait avoir des répercussions sur les coûts de production et l'inflation au niveau mondial. Pour la BRVM, cela pourrait impacter les secteurs liés à l'énergie et aux matières premières, mais aussi les entre</w:t>
      </w:r>
    </w:p>
    <w:p>
      <w:pPr>
        <w:spacing w:before="0" w:after="40"/>
        <w:ind w:left="600"/>
      </w:pPr>
      <w:r>
        <w:rPr>
          <w:color w:val="00643C"/>
          <w:sz w:val="16"/>
        </w:rPr>
        <w:t>Points clés : Hausse des prix du gaz, du pétrole et des métaux  •  Reprise de la facture des matières premières  •  Impact potentiel sur l'inflation et les coûts de production</w:t>
      </w:r>
    </w:p>
    <w:p>
      <w:pPr>
        <w:spacing w:before="0" w:after="60"/>
        <w:ind w:left="600"/>
      </w:pPr>
      <w:r>
        <w:rPr>
          <w:color w:val="0064B4"/>
          <w:sz w:val="15"/>
        </w:rPr>
        <w:t>Source : https://news.google.com/rss/articles/CBMipAFBVV95cUxPLWpZNWREbzY5UnFiWUh0ZzU0a2l</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3,640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2,300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45,000</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2,945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38,990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3,640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1,875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21,500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2,835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2,360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8,145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11,500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9,160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14</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8,910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16,835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16</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3,015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37,500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2,425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32,605</w:t>
            </w:r>
          </w:p>
        </w:tc>
        <w:tc>
          <w:tcPr>
            <w:tcW w:type="dxa" w:w="1080"/>
            <w:shd w:fill="EBF5FB" w:val="clear"/>
          </w:tcPr>
          <w:p>
            <w:r>
              <w:rPr>
                <w:b/>
                <w:sz w:val="16"/>
              </w:rPr>
              <w:t>67/100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9,750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15,000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21,970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6,145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2,000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2,300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8,200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5,300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30,060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3,865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1,975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8,290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1,545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7,995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47,500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SAFC</w:t>
            </w:r>
          </w:p>
        </w:tc>
        <w:tc>
          <w:tcPr>
            <w:tcW w:type="dxa" w:w="1080"/>
            <w:shd w:fill="FEFEFE" w:val="clear"/>
          </w:tcPr>
          <w:p>
            <w:r>
              <w:rPr>
                <w:sz w:val="16"/>
              </w:rPr>
              <w:t>SERVICES FINANCIER</w:t>
            </w:r>
          </w:p>
        </w:tc>
        <w:tc>
          <w:tcPr>
            <w:tcW w:type="dxa" w:w="1080"/>
            <w:shd w:fill="FEFEFE" w:val="clear"/>
          </w:tcPr>
          <w:p>
            <w:r>
              <w:rPr>
                <w:sz w:val="16"/>
              </w:rPr>
              <w:t>4,595</w:t>
            </w:r>
          </w:p>
        </w:tc>
        <w:tc>
          <w:tcPr>
            <w:tcW w:type="dxa" w:w="1080"/>
            <w:shd w:fill="FEFEFE" w:val="clear"/>
          </w:tcPr>
          <w:p>
            <w:r>
              <w:rPr>
                <w:b/>
                <w:sz w:val="16"/>
              </w:rPr>
              <w:t>46/100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3,640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2,300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2,945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38,990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3,640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1,875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2,360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8,145</w:t>
            </w:r>
          </w:p>
        </w:tc>
        <w:tc>
          <w:tcPr>
            <w:tcW w:type="dxa" w:w="1728"/>
            <w:shd w:fill="DEEAF1" w:val="clear"/>
          </w:tcPr>
          <w:p>
            <w:r>
              <w:rPr>
                <w:sz w:val="17"/>
              </w:rPr>
              <w:t>71/100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3,640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2,300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45,000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2,945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38,990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3,640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1,875</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21,500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3,640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2,300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45,000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2,945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38,990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3,640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1,875</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21,500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SNTS — SNTS - SONATEL SN</w:t>
      </w:r>
    </w:p>
    <w:p>
      <w:pPr>
        <w:pStyle w:val="ListBullet"/>
        <w:spacing w:before="20"/>
        <w:ind w:left="400"/>
      </w:pPr>
      <w:r>
        <w:rPr>
          <w:sz w:val="18"/>
        </w:rPr>
        <w:t>🔴 RSI surachat (82.1 &gt; 70) — risque de correction</w:t>
      </w:r>
    </w:p>
    <w:p>
      <w:pPr>
        <w:pStyle w:val="ListBullet"/>
        <w:spacing w:before="20"/>
        <w:ind w:left="400"/>
      </w:pPr>
      <w:r>
        <w:rPr>
          <w:sz w:val="18"/>
        </w:rPr>
        <w:t>⚠️ Cours à 0.0% du plus haut 100j (45,000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survente (28.2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Cours à 1.6% du plus bas 100j (36,900 FCFA)</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Cours à 0.6%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Cours à 2.8% du plus haut 100j (2,495 FCFA)</w:t>
      </w:r>
    </w:p>
    <w:p>
      <w:pPr>
        <w:pStyle w:val="ListBullet"/>
        <w:spacing w:before="20"/>
        <w:ind w:left="400"/>
      </w:pPr>
      <w:r>
        <w:rPr>
          <w:sz w:val="18"/>
        </w:rPr>
        <w:t>🟠 Divergence tech(VENTE) / fond(ACHAT) — recommandation ajustée à ACHAT</w:t>
      </w:r>
    </w:p>
    <w:p>
      <w:pPr>
        <w:spacing w:before="120"/>
      </w:pPr>
      <w:r>
        <w:rPr>
          <w:b/>
          <w:color w:val="0050A0"/>
          <w:sz w:val="20"/>
        </w:rPr>
        <w:t>BBGC — BRIDGE BANK GROUP COTE D'IVOIRE</w:t>
      </w:r>
    </w:p>
    <w:p>
      <w:pPr>
        <w:pStyle w:val="ListBullet"/>
        <w:spacing w:before="20"/>
        <w:ind w:left="400"/>
      </w:pPr>
      <w:r>
        <w:rPr>
          <w:sz w:val="18"/>
        </w:rPr>
        <w:t>⚠️ Cours à 0.0% du plus haut 100j (9,000 FCFA)</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(21.9 &lt; 30) — opportunité potentielle</w:t>
      </w:r>
    </w:p>
    <w:p>
      <w:pPr>
        <w:spacing w:before="120"/>
      </w:pPr>
      <w:r>
        <w:rPr>
          <w:b/>
          <w:color w:val="0050A0"/>
          <w:sz w:val="20"/>
        </w:rPr>
        <w:t>PALC — PALC - PALM COTE D'IVOIRE</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(26.5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31 société(s) (65%)</w:t>
            </w:r>
          </w:p>
        </w:tc>
        <w:tc>
          <w:tcPr>
            <w:tcW w:type="dxa" w:w="1644"/>
            <w:shd w:fill="FFEB9C" w:val="clear"/>
          </w:tcPr>
          <w:p>
            <w:r>
              <w:rPr>
                <w:b/>
                <w:color w:val="825A00"/>
                <w:sz w:val="19"/>
              </w:rPr>
              <w:t>17 société(s) (35%)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18.5/100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SCRC</w:t>
            </w:r>
          </w:p>
        </w:tc>
        <w:tc>
          <w:tcPr>
            <w:tcW w:type="dxa" w:w="2268"/>
            <w:shd w:fill="FFFFFF" w:val="clear"/>
          </w:tcPr>
          <w:p>
            <w:r>
              <w:rPr>
                <w:sz w:val="16"/>
              </w:rPr>
              <w:t>SCRC - SUCRIVOIRE</w:t>
            </w:r>
          </w:p>
        </w:tc>
        <w:tc>
          <w:tcPr>
            <w:tcW w:type="dxa" w:w="1701"/>
            <w:shd w:fill="FFFFFF" w:val="clear"/>
          </w:tcPr>
          <w:p>
            <w:r>
              <w:rPr>
                <w:sz w:val="16"/>
              </w:rPr>
              <w:t>CONSOMMATION DE BA</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SCRC (32.6/100 — Moyen) : </w:t>
      </w:r>
      <w:r>
        <w:rPr>
          <w:sz w:val="17"/>
        </w:rPr>
        <w:t>Volatilité=Élevée | Bêta=Agressif | Liquidité=Excellente | Divergence signaux=taux divergence=40% (Très divergent ❌) | Stabilité=Modérée</w:t>
      </w:r>
    </w:p>
    <w:p>
      <w:pPr>
        <w:pStyle w:val="ListBullet"/>
      </w:pPr>
      <w:r>
        <w:rPr>
          <w:b/>
          <w:color w:val="B40000"/>
          <w:sz w:val="18"/>
        </w:rPr>
        <w:t xml:space="preserve">#4 BOAN (31.3/100 — Moyen) : </w:t>
      </w:r>
      <w:r>
        <w:rPr>
          <w:sz w:val="17"/>
        </w:rPr>
        <w:t>Volatilité=Élevée | Bêta=Agressif | Liquidité=Bonne | Divergence signaux=taux divergence=20% (Mixte ⚠️) | Stabilité=Stable</w:t>
      </w:r>
    </w:p>
    <w:p>
      <w:pPr>
        <w:pStyle w:val="ListBullet"/>
      </w:pPr>
      <w:r>
        <w:rPr>
          <w:b/>
          <w:color w:val="B40000"/>
          <w:sz w:val="18"/>
        </w:rPr>
        <w:t xml:space="preserve">#5 CBIBF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-2.01%  |  Médiane : -2.51%</w:t>
            </w:r>
          </w:p>
        </w:tc>
      </w:tr>
      <w:tr>
        <w:tc>
          <w:tcPr>
            <w:tcW w:type="dxa" w:w="2835"/>
            <w:shd w:fill="DEEAF1" w:val="clear"/>
          </w:tcPr>
          <w:p>
            <w:r>
              <w:rPr>
                <w:b/>
                <w:sz w:val="18"/>
              </w:rPr>
              <w:t>Répartition</w:t>
            </w:r>
          </w:p>
        </w:tc>
        <w:tc>
          <w:tcPr>
            <w:tcW w:type="dxa" w:w="7370"/>
          </w:tcPr>
          <w:p>
            <w:r>
              <w:rPr>
                <w:b/>
                <w:sz w:val="18"/>
              </w:rPr>
              <w:t>📈 9 sociétés en hausse (&gt;+1%)   📉 29 en baisse (&lt;-1%)   ➡️ 7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Légère tendance baissière avec signal mixte : 29 sociétés en baisse vs 9 en hausse. Variation moyenne : -2.01%.</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2,835 FCFA</w:t>
            </w:r>
          </w:p>
        </w:tc>
        <w:tc>
          <w:tcPr>
            <w:tcW w:type="dxa" w:w="1417"/>
            <w:shd w:fill="FFFFFF" w:val="clear"/>
          </w:tcPr>
          <w:p>
            <w:r>
              <w:rPr>
                <w:sz w:val="16"/>
              </w:rPr>
              <w:t>3,294 FCFA</w:t>
            </w:r>
          </w:p>
        </w:tc>
        <w:tc>
          <w:tcPr>
            <w:tcW w:type="dxa" w:w="1134"/>
            <w:shd w:fill="C6EFCE" w:val="clear"/>
          </w:tcPr>
          <w:p>
            <w:r>
              <w:rPr>
                <w:b/>
                <w:color w:val="007800"/>
                <w:sz w:val="16"/>
              </w:rPr>
              <w:t>+16.20%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21,970 FCFA</w:t>
            </w:r>
          </w:p>
        </w:tc>
        <w:tc>
          <w:tcPr>
            <w:tcW w:type="dxa" w:w="1417"/>
            <w:shd w:fill="FFFFFF" w:val="clear"/>
          </w:tcPr>
          <w:p>
            <w:r>
              <w:rPr>
                <w:sz w:val="16"/>
              </w:rPr>
              <w:t>24,506 FCFA</w:t>
            </w:r>
          </w:p>
        </w:tc>
        <w:tc>
          <w:tcPr>
            <w:tcW w:type="dxa" w:w="1134"/>
            <w:shd w:fill="C6EFCE" w:val="clear"/>
          </w:tcPr>
          <w:p>
            <w:r>
              <w:rPr>
                <w:b/>
                <w:color w:val="007800"/>
                <w:sz w:val="16"/>
              </w:rPr>
              <w:t>+11.54%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8,910 FCFA</w:t>
            </w:r>
          </w:p>
        </w:tc>
        <w:tc>
          <w:tcPr>
            <w:tcW w:type="dxa" w:w="1417"/>
            <w:shd w:fill="FFFFFF" w:val="clear"/>
          </w:tcPr>
          <w:p>
            <w:r>
              <w:rPr>
                <w:sz w:val="16"/>
              </w:rPr>
              <w:t>9,354 FCFA</w:t>
            </w:r>
          </w:p>
        </w:tc>
        <w:tc>
          <w:tcPr>
            <w:tcW w:type="dxa" w:w="1134"/>
            <w:shd w:fill="C6EFCE" w:val="clear"/>
          </w:tcPr>
          <w:p>
            <w:r>
              <w:rPr>
                <w:b/>
                <w:color w:val="007800"/>
                <w:sz w:val="16"/>
              </w:rPr>
              <w:t>+4.98%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37,500 FCFA</w:t>
            </w:r>
          </w:p>
        </w:tc>
        <w:tc>
          <w:tcPr>
            <w:tcW w:type="dxa" w:w="1417"/>
            <w:shd w:fill="FFFFFF" w:val="clear"/>
          </w:tcPr>
          <w:p>
            <w:r>
              <w:rPr>
                <w:sz w:val="16"/>
              </w:rPr>
              <w:t>39,224 FCFA</w:t>
            </w:r>
          </w:p>
        </w:tc>
        <w:tc>
          <w:tcPr>
            <w:tcW w:type="dxa" w:w="1134"/>
            <w:shd w:fill="C6EFCE" w:val="clear"/>
          </w:tcPr>
          <w:p>
            <w:r>
              <w:rPr>
                <w:b/>
                <w:color w:val="007800"/>
                <w:sz w:val="16"/>
              </w:rPr>
              <w:t>+4.60%</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C6EFCE" w:val="clear"/>
          </w:tcPr>
          <w:p>
            <w:r>
              <w:rPr>
                <w:sz w:val="16"/>
              </w:rPr>
              <w:t>SIVC — SIVC - ERIUM CI (Ex AIR LIQUIDECI)</w:t>
            </w:r>
          </w:p>
        </w:tc>
        <w:tc>
          <w:tcPr>
            <w:tcW w:type="dxa" w:w="1701"/>
            <w:shd w:fill="FFFFFF" w:val="clear"/>
          </w:tcPr>
          <w:p>
            <w:r>
              <w:rPr>
                <w:sz w:val="16"/>
              </w:rPr>
              <w:t>INDUSTRIELS</w:t>
            </w:r>
          </w:p>
        </w:tc>
        <w:tc>
          <w:tcPr>
            <w:tcW w:type="dxa" w:w="1417"/>
            <w:shd w:fill="FFFFFF" w:val="clear"/>
          </w:tcPr>
          <w:p>
            <w:r>
              <w:rPr>
                <w:sz w:val="16"/>
              </w:rPr>
              <w:t>2,000 FCFA</w:t>
            </w:r>
          </w:p>
        </w:tc>
        <w:tc>
          <w:tcPr>
            <w:tcW w:type="dxa" w:w="1417"/>
            <w:shd w:fill="FFFFFF" w:val="clear"/>
          </w:tcPr>
          <w:p>
            <w:r>
              <w:rPr>
                <w:sz w:val="16"/>
              </w:rPr>
              <w:t>2,082 FCFA</w:t>
            </w:r>
          </w:p>
        </w:tc>
        <w:tc>
          <w:tcPr>
            <w:tcW w:type="dxa" w:w="1134"/>
            <w:shd w:fill="C6EFCE" w:val="clear"/>
          </w:tcPr>
          <w:p>
            <w:r>
              <w:rPr>
                <w:b/>
                <w:color w:val="007800"/>
                <w:sz w:val="16"/>
              </w:rPr>
              <w:t>+4.10%</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significative (+16.2%) — potentiel de revalorisation notable. Trajectoire : 📈 Hausse continue. Cours actuel : 2,835 FCFA → prédit J+10 : 3,294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(+11.5%) — potentiel de revalorisation notable. Trajectoire : 📈 Hausse continue. Cours actuel : 21,970 FCFA → prédit J+10 : 24,506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légère hausse (+5.0%) — progression graduelle attendue. Trajectoire : 📈 Hausse continue. Cours actuel : 8,910 FCFA → prédit J+10 : 9,354 FCFA. ⚠️ Confiance limitée — volatilité élevée ou données insuffisantes. Résultat indicatif uniquement.</w:t>
      </w:r>
    </w:p>
    <w:p>
      <w:pPr>
        <w:pStyle w:val="ListBullet"/>
      </w:pPr>
      <w:r>
        <w:rPr>
          <w:b/>
          <w:color w:val="006400"/>
          <w:sz w:val="18"/>
        </w:rPr>
        <w:t xml:space="preserve">#4 SLBC </w:t>
      </w:r>
      <w:r>
        <w:rPr>
          <w:sz w:val="17"/>
        </w:rPr>
        <w:t>(SLBC - SOLIBRA COTE D'IVOIRE) — légère hausse (+4.6%) — progression graduelle attendue. Trajectoire : 📈 Hausse continue. Cours actuel : 37,500 FCFA → prédit J+10 : 39,224 FCFA. Confiance partielle — les premiers jours sont fiables, les jours lointains moins précis.</w:t>
      </w:r>
    </w:p>
    <w:p>
      <w:pPr>
        <w:pStyle w:val="ListBullet"/>
      </w:pPr>
      <w:r>
        <w:rPr>
          <w:b/>
          <w:color w:val="006400"/>
          <w:sz w:val="18"/>
        </w:rPr>
        <w:t xml:space="preserve">#5 SIVC </w:t>
      </w:r>
      <w:r>
        <w:rPr>
          <w:sz w:val="17"/>
        </w:rPr>
        <w:t>(SIVC - ERIUM CI (Ex AIR LIQUIDECI)) — légère hausse (+4.1%) — progression graduelle attendue. Trajectoire : 📈 Hausse continue. Cours actuel : 2,000 FCFA → prédit J+10 : 2,082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8,145 FCFA</w:t>
            </w:r>
          </w:p>
        </w:tc>
        <w:tc>
          <w:tcPr>
            <w:tcW w:type="dxa" w:w="1417"/>
            <w:shd w:fill="FFFFFF" w:val="clear"/>
          </w:tcPr>
          <w:p>
            <w:r>
              <w:rPr>
                <w:sz w:val="16"/>
              </w:rPr>
              <w:t>7,101 FCFA</w:t>
            </w:r>
          </w:p>
        </w:tc>
        <w:tc>
          <w:tcPr>
            <w:tcW w:type="dxa" w:w="1134"/>
            <w:shd w:fill="FFC7CE" w:val="clear"/>
          </w:tcPr>
          <w:p>
            <w:r>
              <w:rPr>
                <w:b/>
                <w:color w:val="B40000"/>
                <w:sz w:val="16"/>
              </w:rPr>
              <w:t>-12.82%</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ABJC — ABJC - SERVAIR ABIDJAN CI</w:t>
            </w:r>
          </w:p>
        </w:tc>
        <w:tc>
          <w:tcPr>
            <w:tcW w:type="dxa" w:w="1701"/>
            <w:shd w:fill="FFFFFF" w:val="clear"/>
          </w:tcPr>
          <w:p>
            <w:r>
              <w:rPr>
                <w:sz w:val="16"/>
              </w:rPr>
              <w:t>CONSOMMATION DISCRET</w:t>
            </w:r>
          </w:p>
        </w:tc>
        <w:tc>
          <w:tcPr>
            <w:tcW w:type="dxa" w:w="1417"/>
            <w:shd w:fill="FFFFFF" w:val="clear"/>
          </w:tcPr>
          <w:p>
            <w:r>
              <w:rPr>
                <w:sz w:val="16"/>
              </w:rPr>
              <w:t>3,640 FCFA</w:t>
            </w:r>
          </w:p>
        </w:tc>
        <w:tc>
          <w:tcPr>
            <w:tcW w:type="dxa" w:w="1417"/>
            <w:shd w:fill="FFFFFF" w:val="clear"/>
          </w:tcPr>
          <w:p>
            <w:r>
              <w:rPr>
                <w:sz w:val="16"/>
              </w:rPr>
              <w:t>3,260 FCFA</w:t>
            </w:r>
          </w:p>
        </w:tc>
        <w:tc>
          <w:tcPr>
            <w:tcW w:type="dxa" w:w="1134"/>
            <w:shd w:fill="FFC7CE" w:val="clear"/>
          </w:tcPr>
          <w:p>
            <w:r>
              <w:rPr>
                <w:b/>
                <w:color w:val="B40000"/>
                <w:sz w:val="16"/>
              </w:rPr>
              <w:t>-10.44%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21,500 FCFA</w:t>
            </w:r>
          </w:p>
        </w:tc>
        <w:tc>
          <w:tcPr>
            <w:tcW w:type="dxa" w:w="1417"/>
            <w:shd w:fill="FFFFFF" w:val="clear"/>
          </w:tcPr>
          <w:p>
            <w:r>
              <w:rPr>
                <w:sz w:val="16"/>
              </w:rPr>
              <w:t>19,340 FCFA</w:t>
            </w:r>
          </w:p>
        </w:tc>
        <w:tc>
          <w:tcPr>
            <w:tcW w:type="dxa" w:w="1134"/>
            <w:shd w:fill="FFC7CE" w:val="clear"/>
          </w:tcPr>
          <w:p>
            <w:r>
              <w:rPr>
                <w:b/>
                <w:color w:val="B40000"/>
                <w:sz w:val="16"/>
              </w:rPr>
              <w:t>-10.05%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6,145 FCFA</w:t>
            </w:r>
          </w:p>
        </w:tc>
        <w:tc>
          <w:tcPr>
            <w:tcW w:type="dxa" w:w="1417"/>
            <w:shd w:fill="FFFFFF" w:val="clear"/>
          </w:tcPr>
          <w:p>
            <w:r>
              <w:rPr>
                <w:sz w:val="16"/>
              </w:rPr>
              <w:t>5,579 FCFA</w:t>
            </w:r>
          </w:p>
        </w:tc>
        <w:tc>
          <w:tcPr>
            <w:tcW w:type="dxa" w:w="1134"/>
            <w:shd w:fill="FFC7CE" w:val="clear"/>
          </w:tcPr>
          <w:p>
            <w:r>
              <w:rPr>
                <w:b/>
                <w:color w:val="B40000"/>
                <w:sz w:val="16"/>
              </w:rPr>
              <w:t>-9.22%</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UNXC — UNXC - UNIWAX COTE D'IVOIRE</w:t>
            </w:r>
          </w:p>
        </w:tc>
        <w:tc>
          <w:tcPr>
            <w:tcW w:type="dxa" w:w="1701"/>
            <w:shd w:fill="FFFFFF" w:val="clear"/>
          </w:tcPr>
          <w:p>
            <w:r>
              <w:rPr>
                <w:sz w:val="16"/>
              </w:rPr>
              <w:t>CONSOMMATION DISCRET</w:t>
            </w:r>
          </w:p>
        </w:tc>
        <w:tc>
          <w:tcPr>
            <w:tcW w:type="dxa" w:w="1417"/>
            <w:shd w:fill="FFFFFF" w:val="clear"/>
          </w:tcPr>
          <w:p>
            <w:r>
              <w:rPr>
                <w:sz w:val="16"/>
              </w:rPr>
              <w:t>2,425 FCFA</w:t>
            </w:r>
          </w:p>
        </w:tc>
        <w:tc>
          <w:tcPr>
            <w:tcW w:type="dxa" w:w="1417"/>
            <w:shd w:fill="FFFFFF" w:val="clear"/>
          </w:tcPr>
          <w:p>
            <w:r>
              <w:rPr>
                <w:sz w:val="16"/>
              </w:rPr>
              <w:t>2,216 FCFA</w:t>
            </w:r>
          </w:p>
        </w:tc>
        <w:tc>
          <w:tcPr>
            <w:tcW w:type="dxa" w:w="1134"/>
            <w:shd w:fill="FFC7CE" w:val="clear"/>
          </w:tcPr>
          <w:p>
            <w:r>
              <w:rPr>
                <w:b/>
                <w:color w:val="B40000"/>
                <w:sz w:val="16"/>
              </w:rPr>
              <w:t>-8.61%</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(-12.8%) — repli technique attendu. Trajectoire : 📉 Baisse continue. Cours actuel : 8,145 FCFA → prédit J+10 : 7,101 FCFA. Confiance partielle — surveiller l'évolution réelle des premiers jours.</w:t>
      </w:r>
    </w:p>
    <w:p>
      <w:pPr>
        <w:pStyle w:val="ListBullet"/>
      </w:pPr>
      <w:r>
        <w:rPr>
          <w:b/>
          <w:color w:val="B40000"/>
          <w:sz w:val="18"/>
        </w:rPr>
        <w:t xml:space="preserve">#2 ABJC </w:t>
      </w:r>
      <w:r>
        <w:rPr>
          <w:sz w:val="17"/>
        </w:rPr>
        <w:t>(ABJC - SERVAIR ABIDJAN CI) — baisse modérée (-10.4%) — repli technique attendu. Trajectoire : 📉 Baisse continue. Cours actuel : 3,640 FCFA → prédit J+10 : 3,260 FCFA. ⚠️ Confiance limitée — volatilité élevée. Ne pas agir sur ce seul signal.</w:t>
      </w:r>
    </w:p>
    <w:p>
      <w:pPr>
        <w:pStyle w:val="ListBullet"/>
      </w:pPr>
      <w:r>
        <w:rPr>
          <w:b/>
          <w:color w:val="B40000"/>
          <w:sz w:val="18"/>
        </w:rPr>
        <w:t xml:space="preserve">#3 NSBC </w:t>
      </w:r>
      <w:r>
        <w:rPr>
          <w:sz w:val="17"/>
        </w:rPr>
        <w:t>(NSBC - NSIA BANQUE COTE D'IVOIRE) — baisse modérée (-10.0%) — repli technique attendu. Trajectoire : 📉 Baisse continue. Cours actuel : 21,500 FCFA → prédit J+10 : 19,340 FCFA. ⚠️ Confiance limitée — volatilité élevée. Ne pas agir sur ce seul signal.</w:t>
      </w:r>
    </w:p>
    <w:p>
      <w:pPr>
        <w:pStyle w:val="ListBullet"/>
      </w:pPr>
      <w:r>
        <w:rPr>
          <w:b/>
          <w:color w:val="B40000"/>
          <w:sz w:val="18"/>
        </w:rPr>
        <w:t xml:space="preserve">#4 BOAM </w:t>
      </w:r>
      <w:r>
        <w:rPr>
          <w:sz w:val="17"/>
        </w:rPr>
        <w:t>(BANK OF AFRICA MALI) — baisse modérée (-9.2%) — repli technique attendu. Trajectoire : 📉 Baisse continue. Cours actuel : 6,145 FCFA → prédit J+10 : 5,579 FCFA. ⚠️ Confiance limitée — volatilité élevée. Ne pas agir sur ce seul signal.</w:t>
      </w:r>
    </w:p>
    <w:p>
      <w:pPr>
        <w:pStyle w:val="ListBullet"/>
      </w:pPr>
      <w:r>
        <w:rPr>
          <w:b/>
          <w:color w:val="B40000"/>
          <w:sz w:val="18"/>
        </w:rPr>
        <w:t xml:space="preserve">#5 UNXC </w:t>
      </w:r>
      <w:r>
        <w:rPr>
          <w:sz w:val="17"/>
        </w:rPr>
        <w:t>(UNXC - UNIWAX COTE D'IVOIRE) — baisse modérée (-8.6%) — repli technique attendu. Trajectoire : 📉 Baisse continue. Cours actuel : 2,425 FCFA → prédit J+10 : 2,216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2,835</w:t>
            </w:r>
          </w:p>
        </w:tc>
        <w:tc>
          <w:tcPr>
            <w:tcW w:type="dxa" w:w="1417"/>
            <w:shd w:fill="FFFFFF" w:val="clear"/>
          </w:tcPr>
          <w:p>
            <w:r>
              <w:rPr>
                <w:sz w:val="16"/>
              </w:rPr>
              <w:t>3,294</w:t>
            </w:r>
          </w:p>
        </w:tc>
        <w:tc>
          <w:tcPr>
            <w:tcW w:type="dxa" w:w="1134"/>
            <w:shd w:fill="C6EFCE" w:val="clear"/>
          </w:tcPr>
          <w:p>
            <w:r>
              <w:rPr>
                <w:b/>
                <w:color w:val="007800"/>
                <w:sz w:val="16"/>
              </w:rPr>
              <w:t>+16.20%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21,970</w:t>
            </w:r>
          </w:p>
        </w:tc>
        <w:tc>
          <w:tcPr>
            <w:tcW w:type="dxa" w:w="1417"/>
            <w:shd w:fill="FFFFFF" w:val="clear"/>
          </w:tcPr>
          <w:p>
            <w:r>
              <w:rPr>
                <w:sz w:val="16"/>
              </w:rPr>
              <w:t>24,506</w:t>
            </w:r>
          </w:p>
        </w:tc>
        <w:tc>
          <w:tcPr>
            <w:tcW w:type="dxa" w:w="1134"/>
            <w:shd w:fill="C6EFCE" w:val="clear"/>
          </w:tcPr>
          <w:p>
            <w:r>
              <w:rPr>
                <w:b/>
                <w:color w:val="007800"/>
                <w:sz w:val="16"/>
              </w:rPr>
              <w:t>+11.54%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8,910</w:t>
            </w:r>
          </w:p>
        </w:tc>
        <w:tc>
          <w:tcPr>
            <w:tcW w:type="dxa" w:w="1417"/>
            <w:shd w:fill="FFFFFF" w:val="clear"/>
          </w:tcPr>
          <w:p>
            <w:r>
              <w:rPr>
                <w:sz w:val="16"/>
              </w:rPr>
              <w:t>9,354</w:t>
            </w:r>
          </w:p>
        </w:tc>
        <w:tc>
          <w:tcPr>
            <w:tcW w:type="dxa" w:w="1134"/>
            <w:shd w:fill="C6EFCE" w:val="clear"/>
          </w:tcPr>
          <w:p>
            <w:r>
              <w:rPr>
                <w:b/>
                <w:color w:val="007800"/>
                <w:sz w:val="16"/>
              </w:rPr>
              <w:t>+4.98%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37,500</w:t>
            </w:r>
          </w:p>
        </w:tc>
        <w:tc>
          <w:tcPr>
            <w:tcW w:type="dxa" w:w="1417"/>
            <w:shd w:fill="FFFFFF" w:val="clear"/>
          </w:tcPr>
          <w:p>
            <w:r>
              <w:rPr>
                <w:sz w:val="16"/>
              </w:rPr>
              <w:t>39,224</w:t>
            </w:r>
          </w:p>
        </w:tc>
        <w:tc>
          <w:tcPr>
            <w:tcW w:type="dxa" w:w="1134"/>
            <w:shd w:fill="C6EFCE" w:val="clear"/>
          </w:tcPr>
          <w:p>
            <w:r>
              <w:rPr>
                <w:b/>
                <w:color w:val="007800"/>
                <w:sz w:val="16"/>
              </w:rPr>
              <w:t>+4.60%</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2,082</w:t>
            </w:r>
          </w:p>
        </w:tc>
        <w:tc>
          <w:tcPr>
            <w:tcW w:type="dxa" w:w="1134"/>
            <w:shd w:fill="C6EFCE" w:val="clear"/>
          </w:tcPr>
          <w:p>
            <w:r>
              <w:rPr>
                <w:b/>
                <w:color w:val="007800"/>
                <w:sz w:val="16"/>
              </w:rPr>
              <w:t>+4.10%</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5,300</w:t>
            </w:r>
          </w:p>
        </w:tc>
        <w:tc>
          <w:tcPr>
            <w:tcW w:type="dxa" w:w="1417"/>
            <w:shd w:fill="FFFFFF" w:val="clear"/>
          </w:tcPr>
          <w:p>
            <w:r>
              <w:rPr>
                <w:sz w:val="16"/>
              </w:rPr>
              <w:t>5,517</w:t>
            </w:r>
          </w:p>
        </w:tc>
        <w:tc>
          <w:tcPr>
            <w:tcW w:type="dxa" w:w="1134"/>
            <w:shd w:fill="C6EFCE" w:val="clear"/>
          </w:tcPr>
          <w:p>
            <w:r>
              <w:rPr>
                <w:b/>
                <w:color w:val="007800"/>
                <w:sz w:val="16"/>
              </w:rPr>
              <w:t>+4.10%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1,545</w:t>
            </w:r>
          </w:p>
        </w:tc>
        <w:tc>
          <w:tcPr>
            <w:tcW w:type="dxa" w:w="1417"/>
            <w:shd w:fill="FFFFFF" w:val="clear"/>
          </w:tcPr>
          <w:p>
            <w:r>
              <w:rPr>
                <w:sz w:val="16"/>
              </w:rPr>
              <w:t>1,601</w:t>
            </w:r>
          </w:p>
        </w:tc>
        <w:tc>
          <w:tcPr>
            <w:tcW w:type="dxa" w:w="1134"/>
            <w:shd w:fill="C6EFCE" w:val="clear"/>
          </w:tcPr>
          <w:p>
            <w:r>
              <w:rPr>
                <w:b/>
                <w:color w:val="007800"/>
                <w:sz w:val="16"/>
              </w:rPr>
              <w:t>+3.65%</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3,865</w:t>
            </w:r>
          </w:p>
        </w:tc>
        <w:tc>
          <w:tcPr>
            <w:tcW w:type="dxa" w:w="1417"/>
            <w:shd w:fill="FFFFFF" w:val="clear"/>
          </w:tcPr>
          <w:p>
            <w:r>
              <w:rPr>
                <w:sz w:val="16"/>
              </w:rPr>
              <w:t>3,942</w:t>
            </w:r>
          </w:p>
        </w:tc>
        <w:tc>
          <w:tcPr>
            <w:tcW w:type="dxa" w:w="1134"/>
            <w:shd w:fill="C6EFCE" w:val="clear"/>
          </w:tcPr>
          <w:p>
            <w:r>
              <w:rPr>
                <w:b/>
                <w:color w:val="007800"/>
                <w:sz w:val="16"/>
              </w:rPr>
              <w:t>+2.00%</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15,000</w:t>
            </w:r>
          </w:p>
        </w:tc>
        <w:tc>
          <w:tcPr>
            <w:tcW w:type="dxa" w:w="1417"/>
            <w:shd w:fill="FFFFFF" w:val="clear"/>
          </w:tcPr>
          <w:p>
            <w:r>
              <w:rPr>
                <w:sz w:val="16"/>
              </w:rPr>
              <w:t>15,157</w:t>
            </w:r>
          </w:p>
        </w:tc>
        <w:tc>
          <w:tcPr>
            <w:tcW w:type="dxa" w:w="1134"/>
            <w:shd w:fill="C6EFCE" w:val="clear"/>
          </w:tcPr>
          <w:p>
            <w:r>
              <w:rPr>
                <w:b/>
                <w:color w:val="007800"/>
                <w:sz w:val="16"/>
              </w:rPr>
              <w:t>+1.04%</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16,835</w:t>
            </w:r>
          </w:p>
        </w:tc>
        <w:tc>
          <w:tcPr>
            <w:tcW w:type="dxa" w:w="1417"/>
            <w:shd w:fill="FFFFFF" w:val="clear"/>
          </w:tcPr>
          <w:p>
            <w:r>
              <w:rPr>
                <w:sz w:val="16"/>
              </w:rPr>
              <w:t>17,001</w:t>
            </w:r>
          </w:p>
        </w:tc>
        <w:tc>
          <w:tcPr>
            <w:tcW w:type="dxa" w:w="1134"/>
            <w:shd w:fill="FFEB9C" w:val="clear"/>
          </w:tcPr>
          <w:p>
            <w:r>
              <w:rPr>
                <w:b/>
                <w:color w:val="646400"/>
                <w:sz w:val="16"/>
              </w:rPr>
              <w:t>+0.99%</w:t>
            </w:r>
          </w:p>
        </w:tc>
        <w:tc>
          <w:tcPr>
            <w:tcW w:type="dxa" w:w="1134"/>
            <w:shd w:fill="FFEB9C" w:val="clear"/>
          </w:tcPr>
          <w:p>
            <w:r>
              <w:rPr>
                <w:sz w:val="16"/>
              </w:rPr>
              <w:t>Moyenne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11,500</w:t>
            </w:r>
          </w:p>
        </w:tc>
        <w:tc>
          <w:tcPr>
            <w:tcW w:type="dxa" w:w="1417"/>
            <w:shd w:fill="FFFFFF" w:val="clear"/>
          </w:tcPr>
          <w:p>
            <w:r>
              <w:rPr>
                <w:sz w:val="16"/>
              </w:rPr>
              <w:t>11,601</w:t>
            </w:r>
          </w:p>
        </w:tc>
        <w:tc>
          <w:tcPr>
            <w:tcW w:type="dxa" w:w="1134"/>
            <w:shd w:fill="FFEB9C" w:val="clear"/>
          </w:tcPr>
          <w:p>
            <w:r>
              <w:rPr>
                <w:b/>
                <w:color w:val="646400"/>
                <w:sz w:val="16"/>
              </w:rPr>
              <w:t>+0.88%</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47,500</w:t>
            </w:r>
          </w:p>
        </w:tc>
        <w:tc>
          <w:tcPr>
            <w:tcW w:type="dxa" w:w="1417"/>
            <w:shd w:fill="FFFFFF" w:val="clear"/>
          </w:tcPr>
          <w:p>
            <w:r>
              <w:rPr>
                <w:sz w:val="16"/>
              </w:rPr>
              <w:t>47,802</w:t>
            </w:r>
          </w:p>
        </w:tc>
        <w:tc>
          <w:tcPr>
            <w:tcW w:type="dxa" w:w="1134"/>
            <w:shd w:fill="FFEB9C" w:val="clear"/>
          </w:tcPr>
          <w:p>
            <w:r>
              <w:rPr>
                <w:b/>
                <w:color w:val="646400"/>
                <w:sz w:val="16"/>
              </w:rPr>
              <w:t>+0.64%</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2,900</w:t>
            </w:r>
          </w:p>
        </w:tc>
        <w:tc>
          <w:tcPr>
            <w:tcW w:type="dxa" w:w="1417"/>
            <w:shd w:fill="FFFFFF" w:val="clear"/>
          </w:tcPr>
          <w:p>
            <w:r>
              <w:rPr>
                <w:sz w:val="16"/>
              </w:rPr>
              <w:t>2,911</w:t>
            </w:r>
          </w:p>
        </w:tc>
        <w:tc>
          <w:tcPr>
            <w:tcW w:type="dxa" w:w="1134"/>
            <w:shd w:fill="FFEB9C" w:val="clear"/>
          </w:tcPr>
          <w:p>
            <w:r>
              <w:rPr>
                <w:b/>
                <w:color w:val="646400"/>
                <w:sz w:val="16"/>
              </w:rPr>
              <w:t>+0.36%</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13,000</w:t>
            </w:r>
          </w:p>
        </w:tc>
        <w:tc>
          <w:tcPr>
            <w:tcW w:type="dxa" w:w="1417"/>
            <w:shd w:fill="FFFFFF" w:val="clear"/>
          </w:tcPr>
          <w:p>
            <w:r>
              <w:rPr>
                <w:sz w:val="16"/>
              </w:rPr>
              <w:t>13,038</w:t>
            </w:r>
          </w:p>
        </w:tc>
        <w:tc>
          <w:tcPr>
            <w:tcW w:type="dxa" w:w="1134"/>
            <w:shd w:fill="FFEB9C" w:val="clear"/>
          </w:tcPr>
          <w:p>
            <w:r>
              <w:rPr>
                <w:b/>
                <w:color w:val="646400"/>
                <w:sz w:val="16"/>
              </w:rPr>
              <w:t>+0.29%</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1,875</w:t>
            </w:r>
          </w:p>
        </w:tc>
        <w:tc>
          <w:tcPr>
            <w:tcW w:type="dxa" w:w="1417"/>
            <w:shd w:fill="FFFFFF" w:val="clear"/>
          </w:tcPr>
          <w:p>
            <w:r>
              <w:rPr>
                <w:sz w:val="16"/>
              </w:rPr>
              <w:t>1,873</w:t>
            </w:r>
          </w:p>
        </w:tc>
        <w:tc>
          <w:tcPr>
            <w:tcW w:type="dxa" w:w="1134"/>
            <w:shd w:fill="FFEB9C" w:val="clear"/>
          </w:tcPr>
          <w:p>
            <w:r>
              <w:rPr>
                <w:b/>
                <w:color w:val="646400"/>
                <w:sz w:val="16"/>
              </w:rPr>
              <w:t>-0.12%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2,360</w:t>
            </w:r>
          </w:p>
        </w:tc>
        <w:tc>
          <w:tcPr>
            <w:tcW w:type="dxa" w:w="1417"/>
            <w:shd w:fill="FFFFFF" w:val="clear"/>
          </w:tcPr>
          <w:p>
            <w:r>
              <w:rPr>
                <w:sz w:val="16"/>
              </w:rPr>
              <w:t>2,342</w:t>
            </w:r>
          </w:p>
        </w:tc>
        <w:tc>
          <w:tcPr>
            <w:tcW w:type="dxa" w:w="1134"/>
            <w:shd w:fill="FFEB9C" w:val="clear"/>
          </w:tcPr>
          <w:p>
            <w:r>
              <w:rPr>
                <w:b/>
                <w:color w:val="646400"/>
                <w:sz w:val="16"/>
              </w:rPr>
              <w:t>-0.76%</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21,500</w:t>
            </w:r>
          </w:p>
        </w:tc>
        <w:tc>
          <w:tcPr>
            <w:tcW w:type="dxa" w:w="1417"/>
            <w:shd w:fill="FFFFFF" w:val="clear"/>
          </w:tcPr>
          <w:p>
            <w:r>
              <w:rPr>
                <w:sz w:val="16"/>
              </w:rPr>
              <w:t>21,256</w:t>
            </w:r>
          </w:p>
        </w:tc>
        <w:tc>
          <w:tcPr>
            <w:tcW w:type="dxa" w:w="1134"/>
            <w:shd w:fill="FFC7CE" w:val="clear"/>
          </w:tcPr>
          <w:p>
            <w:r>
              <w:rPr>
                <w:b/>
                <w:color w:val="B40000"/>
                <w:sz w:val="16"/>
              </w:rPr>
              <w:t>-1.13%</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4,100</w:t>
            </w:r>
          </w:p>
        </w:tc>
        <w:tc>
          <w:tcPr>
            <w:tcW w:type="dxa" w:w="1417"/>
            <w:shd w:fill="FFFFFF" w:val="clear"/>
          </w:tcPr>
          <w:p>
            <w:r>
              <w:rPr>
                <w:sz w:val="16"/>
              </w:rPr>
              <w:t>4,048</w:t>
            </w:r>
          </w:p>
        </w:tc>
        <w:tc>
          <w:tcPr>
            <w:tcW w:type="dxa" w:w="1134"/>
            <w:shd w:fill="FFC7CE" w:val="clear"/>
          </w:tcPr>
          <w:p>
            <w:r>
              <w:rPr>
                <w:b/>
                <w:color w:val="B40000"/>
                <w:sz w:val="16"/>
              </w:rPr>
              <w:t>-1.28%</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3,640</w:t>
            </w:r>
          </w:p>
        </w:tc>
        <w:tc>
          <w:tcPr>
            <w:tcW w:type="dxa" w:w="1417"/>
            <w:shd w:fill="FFFFFF" w:val="clear"/>
          </w:tcPr>
          <w:p>
            <w:r>
              <w:rPr>
                <w:sz w:val="16"/>
              </w:rPr>
              <w:t>3,585</w:t>
            </w:r>
          </w:p>
        </w:tc>
        <w:tc>
          <w:tcPr>
            <w:tcW w:type="dxa" w:w="1134"/>
            <w:shd w:fill="FFC7CE" w:val="clear"/>
          </w:tcPr>
          <w:p>
            <w:r>
              <w:rPr>
                <w:b/>
                <w:color w:val="B40000"/>
                <w:sz w:val="16"/>
              </w:rPr>
              <w:t>-1.50%</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3,395</w:t>
            </w:r>
          </w:p>
        </w:tc>
        <w:tc>
          <w:tcPr>
            <w:tcW w:type="dxa" w:w="1417"/>
            <w:shd w:fill="FFFFFF" w:val="clear"/>
          </w:tcPr>
          <w:p>
            <w:r>
              <w:rPr>
                <w:sz w:val="16"/>
              </w:rPr>
              <w:t>3,333</w:t>
            </w:r>
          </w:p>
        </w:tc>
        <w:tc>
          <w:tcPr>
            <w:tcW w:type="dxa" w:w="1134"/>
            <w:shd w:fill="FFC7CE" w:val="clear"/>
          </w:tcPr>
          <w:p>
            <w:r>
              <w:rPr>
                <w:b/>
                <w:color w:val="B40000"/>
                <w:sz w:val="16"/>
              </w:rPr>
              <w:t>-1.82%</w:t>
            </w:r>
          </w:p>
        </w:tc>
        <w:tc>
          <w:tcPr>
            <w:tcW w:type="dxa" w:w="1134"/>
            <w:shd w:fill="FFEB9C" w:val="clear"/>
          </w:tcPr>
          <w:p>
            <w:r>
              <w:rPr>
                <w:sz w:val="16"/>
              </w:rPr>
              <w:t>Moyenne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66</w:t>
            </w:r>
          </w:p>
        </w:tc>
        <w:tc>
          <w:tcPr>
            <w:tcW w:type="dxa" w:w="1134"/>
            <w:shd w:fill="FFC7CE" w:val="clear"/>
          </w:tcPr>
          <w:p>
            <w:r>
              <w:rPr>
                <w:b/>
                <w:color w:val="B40000"/>
                <w:sz w:val="16"/>
              </w:rPr>
              <w:t>-2.06%</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2,945</w:t>
            </w:r>
          </w:p>
        </w:tc>
        <w:tc>
          <w:tcPr>
            <w:tcW w:type="dxa" w:w="1417"/>
            <w:shd w:fill="FFFFFF" w:val="clear"/>
          </w:tcPr>
          <w:p>
            <w:r>
              <w:rPr>
                <w:sz w:val="16"/>
              </w:rPr>
              <w:t>2,873</w:t>
            </w:r>
          </w:p>
        </w:tc>
        <w:tc>
          <w:tcPr>
            <w:tcW w:type="dxa" w:w="1134"/>
            <w:shd w:fill="FFC7CE" w:val="clear"/>
          </w:tcPr>
          <w:p>
            <w:r>
              <w:rPr>
                <w:b/>
                <w:color w:val="B40000"/>
                <w:sz w:val="16"/>
              </w:rPr>
              <w:t>-2.44%</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3,015</w:t>
            </w:r>
          </w:p>
        </w:tc>
        <w:tc>
          <w:tcPr>
            <w:tcW w:type="dxa" w:w="1417"/>
            <w:shd w:fill="FFFFFF" w:val="clear"/>
          </w:tcPr>
          <w:p>
            <w:r>
              <w:rPr>
                <w:sz w:val="16"/>
              </w:rPr>
              <w:t>2,939</w:t>
            </w:r>
          </w:p>
        </w:tc>
        <w:tc>
          <w:tcPr>
            <w:tcW w:type="dxa" w:w="1134"/>
            <w:shd w:fill="FFC7CE" w:val="clear"/>
          </w:tcPr>
          <w:p>
            <w:r>
              <w:rPr>
                <w:b/>
                <w:color w:val="B40000"/>
                <w:sz w:val="16"/>
              </w:rPr>
              <w:t>-2.51%</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32,605</w:t>
            </w:r>
          </w:p>
        </w:tc>
        <w:tc>
          <w:tcPr>
            <w:tcW w:type="dxa" w:w="1417"/>
            <w:shd w:fill="FFFFFF" w:val="clear"/>
          </w:tcPr>
          <w:p>
            <w:r>
              <w:rPr>
                <w:sz w:val="16"/>
              </w:rPr>
              <w:t>31,752</w:t>
            </w:r>
          </w:p>
        </w:tc>
        <w:tc>
          <w:tcPr>
            <w:tcW w:type="dxa" w:w="1134"/>
            <w:shd w:fill="FFC7CE" w:val="clear"/>
          </w:tcPr>
          <w:p>
            <w:r>
              <w:rPr>
                <w:b/>
                <w:color w:val="B40000"/>
                <w:sz w:val="16"/>
              </w:rPr>
              <w:t>-2.62%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38,990</w:t>
            </w:r>
          </w:p>
        </w:tc>
        <w:tc>
          <w:tcPr>
            <w:tcW w:type="dxa" w:w="1417"/>
            <w:shd w:fill="FFFFFF" w:val="clear"/>
          </w:tcPr>
          <w:p>
            <w:r>
              <w:rPr>
                <w:sz w:val="16"/>
              </w:rPr>
              <w:t>37,964</w:t>
            </w:r>
          </w:p>
        </w:tc>
        <w:tc>
          <w:tcPr>
            <w:tcW w:type="dxa" w:w="1134"/>
            <w:shd w:fill="FFC7CE" w:val="clear"/>
          </w:tcPr>
          <w:p>
            <w:r>
              <w:rPr>
                <w:b/>
                <w:color w:val="B40000"/>
                <w:sz w:val="16"/>
              </w:rPr>
              <w:t>-2.63%</w:t>
            </w:r>
          </w:p>
        </w:tc>
        <w:tc>
          <w:tcPr>
            <w:tcW w:type="dxa" w:w="1134"/>
            <w:shd w:fill="FFEB9C" w:val="clear"/>
          </w:tcPr>
          <w:p>
            <w:r>
              <w:rPr>
                <w:sz w:val="16"/>
              </w:rPr>
              <w:t>Moyenne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2,300</w:t>
            </w:r>
          </w:p>
        </w:tc>
        <w:tc>
          <w:tcPr>
            <w:tcW w:type="dxa" w:w="1417"/>
            <w:shd w:fill="FFFFFF" w:val="clear"/>
          </w:tcPr>
          <w:p>
            <w:r>
              <w:rPr>
                <w:sz w:val="16"/>
              </w:rPr>
              <w:t>2,232</w:t>
            </w:r>
          </w:p>
        </w:tc>
        <w:tc>
          <w:tcPr>
            <w:tcW w:type="dxa" w:w="1134"/>
            <w:shd w:fill="FFC7CE" w:val="clear"/>
          </w:tcPr>
          <w:p>
            <w:r>
              <w:rPr>
                <w:b/>
                <w:color w:val="B40000"/>
                <w:sz w:val="16"/>
              </w:rPr>
              <w:t>-2.96%</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15,999</w:t>
            </w:r>
          </w:p>
        </w:tc>
        <w:tc>
          <w:tcPr>
            <w:tcW w:type="dxa" w:w="1134"/>
            <w:shd w:fill="FFC7CE" w:val="clear"/>
          </w:tcPr>
          <w:p>
            <w:r>
              <w:rPr>
                <w:b/>
                <w:color w:val="B40000"/>
                <w:sz w:val="16"/>
              </w:rPr>
              <w:t>-3.04%</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3,200</w:t>
            </w:r>
          </w:p>
        </w:tc>
        <w:tc>
          <w:tcPr>
            <w:tcW w:type="dxa" w:w="1417"/>
            <w:shd w:fill="FFFFFF" w:val="clear"/>
          </w:tcPr>
          <w:p>
            <w:r>
              <w:rPr>
                <w:sz w:val="16"/>
              </w:rPr>
              <w:t>3,090</w:t>
            </w:r>
          </w:p>
        </w:tc>
        <w:tc>
          <w:tcPr>
            <w:tcW w:type="dxa" w:w="1134"/>
            <w:shd w:fill="FFC7CE" w:val="clear"/>
          </w:tcPr>
          <w:p>
            <w:r>
              <w:rPr>
                <w:b/>
                <w:color w:val="B40000"/>
                <w:sz w:val="16"/>
              </w:rPr>
              <w:t>-3.45%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45,000</w:t>
            </w:r>
          </w:p>
        </w:tc>
        <w:tc>
          <w:tcPr>
            <w:tcW w:type="dxa" w:w="1417"/>
            <w:shd w:fill="FFFFFF" w:val="clear"/>
          </w:tcPr>
          <w:p>
            <w:r>
              <w:rPr>
                <w:sz w:val="16"/>
              </w:rPr>
              <w:t>43,164</w:t>
            </w:r>
          </w:p>
        </w:tc>
        <w:tc>
          <w:tcPr>
            <w:tcW w:type="dxa" w:w="1134"/>
            <w:shd w:fill="FFC7CE" w:val="clear"/>
          </w:tcPr>
          <w:p>
            <w:r>
              <w:rPr>
                <w:b/>
                <w:color w:val="B40000"/>
                <w:sz w:val="16"/>
              </w:rPr>
              <w:t>-4.08%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8,200</w:t>
            </w:r>
          </w:p>
        </w:tc>
        <w:tc>
          <w:tcPr>
            <w:tcW w:type="dxa" w:w="1417"/>
            <w:shd w:fill="FFFFFF" w:val="clear"/>
          </w:tcPr>
          <w:p>
            <w:r>
              <w:rPr>
                <w:sz w:val="16"/>
              </w:rPr>
              <w:t>7,851</w:t>
            </w:r>
          </w:p>
        </w:tc>
        <w:tc>
          <w:tcPr>
            <w:tcW w:type="dxa" w:w="1134"/>
            <w:shd w:fill="FFC7CE" w:val="clear"/>
          </w:tcPr>
          <w:p>
            <w:r>
              <w:rPr>
                <w:b/>
                <w:color w:val="B40000"/>
                <w:sz w:val="16"/>
              </w:rPr>
              <w:t>-4.26%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30,060</w:t>
            </w:r>
          </w:p>
        </w:tc>
        <w:tc>
          <w:tcPr>
            <w:tcW w:type="dxa" w:w="1417"/>
            <w:shd w:fill="FFFFFF" w:val="clear"/>
          </w:tcPr>
          <w:p>
            <w:r>
              <w:rPr>
                <w:sz w:val="16"/>
              </w:rPr>
              <w:t>28,757</w:t>
            </w:r>
          </w:p>
        </w:tc>
        <w:tc>
          <w:tcPr>
            <w:tcW w:type="dxa" w:w="1134"/>
            <w:shd w:fill="FFC7CE" w:val="clear"/>
          </w:tcPr>
          <w:p>
            <w:r>
              <w:rPr>
                <w:b/>
                <w:color w:val="B40000"/>
                <w:sz w:val="16"/>
              </w:rPr>
              <w:t>-4.33%</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8,100</w:t>
            </w:r>
          </w:p>
        </w:tc>
        <w:tc>
          <w:tcPr>
            <w:tcW w:type="dxa" w:w="1417"/>
            <w:shd w:fill="FFFFFF" w:val="clear"/>
          </w:tcPr>
          <w:p>
            <w:r>
              <w:rPr>
                <w:sz w:val="16"/>
              </w:rPr>
              <w:t>7,738</w:t>
            </w:r>
          </w:p>
        </w:tc>
        <w:tc>
          <w:tcPr>
            <w:tcW w:type="dxa" w:w="1134"/>
            <w:shd w:fill="FFC7CE" w:val="clear"/>
          </w:tcPr>
          <w:p>
            <w:r>
              <w:rPr>
                <w:b/>
                <w:color w:val="B40000"/>
                <w:sz w:val="16"/>
              </w:rPr>
              <w:t>-4.47%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6,450</w:t>
            </w:r>
          </w:p>
        </w:tc>
        <w:tc>
          <w:tcPr>
            <w:tcW w:type="dxa" w:w="1417"/>
            <w:shd w:fill="FFFFFF" w:val="clear"/>
          </w:tcPr>
          <w:p>
            <w:r>
              <w:rPr>
                <w:sz w:val="16"/>
              </w:rPr>
              <w:t>6,132</w:t>
            </w:r>
          </w:p>
        </w:tc>
        <w:tc>
          <w:tcPr>
            <w:tcW w:type="dxa" w:w="1134"/>
            <w:shd w:fill="FFC7CE" w:val="clear"/>
          </w:tcPr>
          <w:p>
            <w:r>
              <w:rPr>
                <w:b/>
                <w:color w:val="B40000"/>
                <w:sz w:val="16"/>
              </w:rPr>
              <w:t>-4.93%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9,750</w:t>
            </w:r>
          </w:p>
        </w:tc>
        <w:tc>
          <w:tcPr>
            <w:tcW w:type="dxa" w:w="1417"/>
            <w:shd w:fill="FFFFFF" w:val="clear"/>
          </w:tcPr>
          <w:p>
            <w:r>
              <w:rPr>
                <w:sz w:val="16"/>
              </w:rPr>
              <w:t>9,216</w:t>
            </w:r>
          </w:p>
        </w:tc>
        <w:tc>
          <w:tcPr>
            <w:tcW w:type="dxa" w:w="1134"/>
            <w:shd w:fill="FFC7CE" w:val="clear"/>
          </w:tcPr>
          <w:p>
            <w:r>
              <w:rPr>
                <w:b/>
                <w:color w:val="B40000"/>
                <w:sz w:val="16"/>
              </w:rPr>
              <w:t>-5.48%</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7,995</w:t>
            </w:r>
          </w:p>
        </w:tc>
        <w:tc>
          <w:tcPr>
            <w:tcW w:type="dxa" w:w="1417"/>
            <w:shd w:fill="FFFFFF" w:val="clear"/>
          </w:tcPr>
          <w:p>
            <w:r>
              <w:rPr>
                <w:sz w:val="16"/>
              </w:rPr>
              <w:t>7,529</w:t>
            </w:r>
          </w:p>
        </w:tc>
        <w:tc>
          <w:tcPr>
            <w:tcW w:type="dxa" w:w="1134"/>
            <w:shd w:fill="FFC7CE" w:val="clear"/>
          </w:tcPr>
          <w:p>
            <w:r>
              <w:rPr>
                <w:b/>
                <w:color w:val="B40000"/>
                <w:sz w:val="16"/>
              </w:rPr>
              <w:t>-5.83%</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8,290</w:t>
            </w:r>
          </w:p>
        </w:tc>
        <w:tc>
          <w:tcPr>
            <w:tcW w:type="dxa" w:w="1417"/>
            <w:shd w:fill="FFFFFF" w:val="clear"/>
          </w:tcPr>
          <w:p>
            <w:r>
              <w:rPr>
                <w:sz w:val="16"/>
              </w:rPr>
              <w:t>7,789</w:t>
            </w:r>
          </w:p>
        </w:tc>
        <w:tc>
          <w:tcPr>
            <w:tcW w:type="dxa" w:w="1134"/>
            <w:shd w:fill="FFC7CE" w:val="clear"/>
          </w:tcPr>
          <w:p>
            <w:r>
              <w:rPr>
                <w:b/>
                <w:color w:val="B40000"/>
                <w:sz w:val="16"/>
              </w:rPr>
              <w:t>-6.05%</w:t>
            </w:r>
          </w:p>
        </w:tc>
        <w:tc>
          <w:tcPr>
            <w:tcW w:type="dxa" w:w="1134"/>
            <w:shd w:fill="FFEB9C" w:val="clear"/>
          </w:tcPr>
          <w:p>
            <w:r>
              <w:rPr>
                <w:sz w:val="16"/>
              </w:rPr>
              <w:t>Moyenne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4,595</w:t>
            </w:r>
          </w:p>
        </w:tc>
        <w:tc>
          <w:tcPr>
            <w:tcW w:type="dxa" w:w="1417"/>
            <w:shd w:fill="FFFFFF" w:val="clear"/>
          </w:tcPr>
          <w:p>
            <w:r>
              <w:rPr>
                <w:sz w:val="16"/>
              </w:rPr>
              <w:t>4,305</w:t>
            </w:r>
          </w:p>
        </w:tc>
        <w:tc>
          <w:tcPr>
            <w:tcW w:type="dxa" w:w="1134"/>
            <w:shd w:fill="FFC7CE" w:val="clear"/>
          </w:tcPr>
          <w:p>
            <w:r>
              <w:rPr>
                <w:b/>
                <w:color w:val="B40000"/>
                <w:sz w:val="16"/>
              </w:rPr>
              <w:t>-6.31%</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1,975</w:t>
            </w:r>
          </w:p>
        </w:tc>
        <w:tc>
          <w:tcPr>
            <w:tcW w:type="dxa" w:w="1417"/>
            <w:shd w:fill="FFFFFF" w:val="clear"/>
          </w:tcPr>
          <w:p>
            <w:r>
              <w:rPr>
                <w:sz w:val="16"/>
              </w:rPr>
              <w:t>1,842</w:t>
            </w:r>
          </w:p>
        </w:tc>
        <w:tc>
          <w:tcPr>
            <w:tcW w:type="dxa" w:w="1134"/>
            <w:shd w:fill="FFC7CE" w:val="clear"/>
          </w:tcPr>
          <w:p>
            <w:r>
              <w:rPr>
                <w:b/>
                <w:color w:val="B40000"/>
                <w:sz w:val="16"/>
              </w:rPr>
              <w:t>-6.71%</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9,160</w:t>
            </w:r>
          </w:p>
        </w:tc>
        <w:tc>
          <w:tcPr>
            <w:tcW w:type="dxa" w:w="1417"/>
            <w:shd w:fill="FFFFFF" w:val="clear"/>
          </w:tcPr>
          <w:p>
            <w:r>
              <w:rPr>
                <w:sz w:val="16"/>
              </w:rPr>
              <w:t>8,543</w:t>
            </w:r>
          </w:p>
        </w:tc>
        <w:tc>
          <w:tcPr>
            <w:tcW w:type="dxa" w:w="1134"/>
            <w:shd w:fill="FFC7CE" w:val="clear"/>
          </w:tcPr>
          <w:p>
            <w:r>
              <w:rPr>
                <w:b/>
                <w:color w:val="B40000"/>
                <w:sz w:val="16"/>
              </w:rPr>
              <w:t>-6.73%</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2,300</w:t>
            </w:r>
          </w:p>
        </w:tc>
        <w:tc>
          <w:tcPr>
            <w:tcW w:type="dxa" w:w="1417"/>
            <w:shd w:fill="FFFFFF" w:val="clear"/>
          </w:tcPr>
          <w:p>
            <w:r>
              <w:rPr>
                <w:sz w:val="16"/>
              </w:rPr>
              <w:t>2,134</w:t>
            </w:r>
          </w:p>
        </w:tc>
        <w:tc>
          <w:tcPr>
            <w:tcW w:type="dxa" w:w="1134"/>
            <w:shd w:fill="FFC7CE" w:val="clear"/>
          </w:tcPr>
          <w:p>
            <w:r>
              <w:rPr>
                <w:b/>
                <w:color w:val="B40000"/>
                <w:sz w:val="16"/>
              </w:rPr>
              <w:t>-7.23%</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2,425</w:t>
            </w:r>
          </w:p>
        </w:tc>
        <w:tc>
          <w:tcPr>
            <w:tcW w:type="dxa" w:w="1417"/>
            <w:shd w:fill="FFFFFF" w:val="clear"/>
          </w:tcPr>
          <w:p>
            <w:r>
              <w:rPr>
                <w:sz w:val="16"/>
              </w:rPr>
              <w:t>2,216</w:t>
            </w:r>
          </w:p>
        </w:tc>
        <w:tc>
          <w:tcPr>
            <w:tcW w:type="dxa" w:w="1134"/>
            <w:shd w:fill="FFC7CE" w:val="clear"/>
          </w:tcPr>
          <w:p>
            <w:r>
              <w:rPr>
                <w:b/>
                <w:color w:val="B40000"/>
                <w:sz w:val="16"/>
              </w:rPr>
              <w:t>-8.61%</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6,145</w:t>
            </w:r>
          </w:p>
        </w:tc>
        <w:tc>
          <w:tcPr>
            <w:tcW w:type="dxa" w:w="1417"/>
            <w:shd w:fill="FFFFFF" w:val="clear"/>
          </w:tcPr>
          <w:p>
            <w:r>
              <w:rPr>
                <w:sz w:val="16"/>
              </w:rPr>
              <w:t>5,579</w:t>
            </w:r>
          </w:p>
        </w:tc>
        <w:tc>
          <w:tcPr>
            <w:tcW w:type="dxa" w:w="1134"/>
            <w:shd w:fill="FFC7CE" w:val="clear"/>
          </w:tcPr>
          <w:p>
            <w:r>
              <w:rPr>
                <w:b/>
                <w:color w:val="B40000"/>
                <w:sz w:val="16"/>
              </w:rPr>
              <w:t>-9.22%</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21,500</w:t>
            </w:r>
          </w:p>
        </w:tc>
        <w:tc>
          <w:tcPr>
            <w:tcW w:type="dxa" w:w="1417"/>
            <w:shd w:fill="FFFFFF" w:val="clear"/>
          </w:tcPr>
          <w:p>
            <w:r>
              <w:rPr>
                <w:sz w:val="16"/>
              </w:rPr>
              <w:t>19,340</w:t>
            </w:r>
          </w:p>
        </w:tc>
        <w:tc>
          <w:tcPr>
            <w:tcW w:type="dxa" w:w="1134"/>
            <w:shd w:fill="FFC7CE" w:val="clear"/>
          </w:tcPr>
          <w:p>
            <w:r>
              <w:rPr>
                <w:b/>
                <w:color w:val="B40000"/>
                <w:sz w:val="16"/>
              </w:rPr>
              <w:t>-10.05%</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3,640</w:t>
            </w:r>
          </w:p>
        </w:tc>
        <w:tc>
          <w:tcPr>
            <w:tcW w:type="dxa" w:w="1417"/>
            <w:shd w:fill="FFFFFF" w:val="clear"/>
          </w:tcPr>
          <w:p>
            <w:r>
              <w:rPr>
                <w:sz w:val="16"/>
              </w:rPr>
              <w:t>3,260</w:t>
            </w:r>
          </w:p>
        </w:tc>
        <w:tc>
          <w:tcPr>
            <w:tcW w:type="dxa" w:w="1134"/>
            <w:shd w:fill="FFC7CE" w:val="clear"/>
          </w:tcPr>
          <w:p>
            <w:r>
              <w:rPr>
                <w:b/>
                <w:color w:val="B40000"/>
                <w:sz w:val="16"/>
              </w:rPr>
              <w:t>-10.44%</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8,145</w:t>
            </w:r>
          </w:p>
        </w:tc>
        <w:tc>
          <w:tcPr>
            <w:tcW w:type="dxa" w:w="1417"/>
            <w:shd w:fill="FFFFFF" w:val="clear"/>
          </w:tcPr>
          <w:p>
            <w:r>
              <w:rPr>
                <w:sz w:val="16"/>
              </w:rPr>
              <w:t>7,101</w:t>
            </w:r>
          </w:p>
        </w:tc>
        <w:tc>
          <w:tcPr>
            <w:tcW w:type="dxa" w:w="1134"/>
            <w:shd w:fill="FFC7CE" w:val="clear"/>
          </w:tcPr>
          <w:p>
            <w:r>
              <w:rPr>
                <w:b/>
                <w:color w:val="B40000"/>
                <w:sz w:val="16"/>
              </w:rPr>
              <w:t>-12.82%</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3,380 titres</w:t>
            </w:r>
          </w:p>
        </w:tc>
        <w:tc>
          <w:tcPr>
            <w:tcW w:type="dxa" w:w="2268"/>
            <w:shd w:fill="FFF2CC" w:val="clear"/>
          </w:tcPr>
          <w:p>
            <w:r>
              <w:rPr>
                <w:b/>
                <w:color w:val="503200"/>
                <w:sz w:val="16"/>
              </w:rPr>
              <w:t xml:space="preserve">Cours actuel : </w:t>
            </w:r>
            <w:r>
              <w:rPr>
                <w:color w:val="000000"/>
                <w:sz w:val="17"/>
              </w:rPr>
              <w:t>3,640 FCFA</w:t>
            </w:r>
          </w:p>
          <w:p>
            <w:r>
              <w:rPr>
                <w:b/>
                <w:color w:val="503200"/>
                <w:sz w:val="16"/>
              </w:rPr>
              <w:t xml:space="preserve">Var. 100 jours : </w:t>
            </w:r>
            <w:r>
              <w:rPr>
                <w:b/>
                <w:color w:val="007800"/>
                <w:sz w:val="17"/>
              </w:rPr>
              <w:t>+20.53%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11.25% (Moyenne) — μ=3,331 FCFA, σ=375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β=0.2746 (Défensif) — Cov=0.000019, Var(idx)=0.000069, ρ=0.085,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3,436</w:t>
            </w:r>
          </w:p>
        </w:tc>
        <w:tc>
          <w:tcPr>
            <w:tcW w:type="dxa" w:w="1440"/>
            <w:shd w:fill="FAFAFA" w:val="clear"/>
          </w:tcPr>
          <w:p>
            <w:r>
              <w:rPr>
                <w:b/>
                <w:sz w:val="17"/>
              </w:rPr>
              <w:t>3,582</w:t>
            </w:r>
          </w:p>
        </w:tc>
        <w:tc>
          <w:tcPr>
            <w:tcW w:type="dxa" w:w="1440"/>
            <w:shd w:fill="FAFAFA" w:val="clear"/>
          </w:tcPr>
          <w:p>
            <w:r>
              <w:rPr>
                <w:sz w:val="17"/>
              </w:rPr>
              <w:t>3,729</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3,338</w:t>
            </w:r>
          </w:p>
        </w:tc>
        <w:tc>
          <w:tcPr>
            <w:tcW w:type="dxa" w:w="1440"/>
            <w:shd w:fill="FFDCE0" w:val="clear"/>
          </w:tcPr>
          <w:p>
            <w:r>
              <w:rPr>
                <w:b/>
                <w:sz w:val="17"/>
              </w:rPr>
              <w:t>3,544</w:t>
            </w:r>
          </w:p>
        </w:tc>
        <w:tc>
          <w:tcPr>
            <w:tcW w:type="dxa" w:w="1440"/>
            <w:shd w:fill="FFDCE0" w:val="clear"/>
          </w:tcPr>
          <w:p>
            <w:r>
              <w:rPr>
                <w:sz w:val="17"/>
              </w:rPr>
              <w:t>3,749</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3,251</w:t>
            </w:r>
          </w:p>
        </w:tc>
        <w:tc>
          <w:tcPr>
            <w:tcW w:type="dxa" w:w="1440"/>
            <w:shd w:fill="FFDCE0" w:val="clear"/>
          </w:tcPr>
          <w:p>
            <w:r>
              <w:rPr>
                <w:b/>
                <w:sz w:val="17"/>
              </w:rPr>
              <w:t>3,499</w:t>
            </w:r>
          </w:p>
        </w:tc>
        <w:tc>
          <w:tcPr>
            <w:tcW w:type="dxa" w:w="1440"/>
            <w:shd w:fill="FFDCE0" w:val="clear"/>
          </w:tcPr>
          <w:p>
            <w:r>
              <w:rPr>
                <w:sz w:val="17"/>
              </w:rPr>
              <w:t>3,748</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3,174</w:t>
            </w:r>
          </w:p>
        </w:tc>
        <w:tc>
          <w:tcPr>
            <w:tcW w:type="dxa" w:w="1440"/>
            <w:shd w:fill="FFDCE0" w:val="clear"/>
          </w:tcPr>
          <w:p>
            <w:r>
              <w:rPr>
                <w:b/>
                <w:sz w:val="17"/>
              </w:rPr>
              <w:t>3,458</w:t>
            </w:r>
          </w:p>
        </w:tc>
        <w:tc>
          <w:tcPr>
            <w:tcW w:type="dxa" w:w="1440"/>
            <w:shd w:fill="FFDCE0" w:val="clear"/>
          </w:tcPr>
          <w:p>
            <w:r>
              <w:rPr>
                <w:sz w:val="17"/>
              </w:rPr>
              <w:t>3,741</w:t>
            </w:r>
          </w:p>
        </w:tc>
        <w:tc>
          <w:tcPr>
            <w:tcW w:type="dxa" w:w="1440"/>
            <w:shd w:fill="FFDCE0" w:val="clear"/>
          </w:tcPr>
          <w:p>
            <w:r>
              <w:rPr>
                <w:b/>
                <w:color w:val="C00000"/>
                <w:sz w:val="17"/>
              </w:rPr>
              <w:t>-5.0%</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3,106</w:t>
            </w:r>
          </w:p>
        </w:tc>
        <w:tc>
          <w:tcPr>
            <w:tcW w:type="dxa" w:w="1440"/>
            <w:shd w:fill="FFDCE0" w:val="clear"/>
          </w:tcPr>
          <w:p>
            <w:r>
              <w:rPr>
                <w:b/>
                <w:sz w:val="17"/>
              </w:rPr>
              <w:t>3,420</w:t>
            </w:r>
          </w:p>
        </w:tc>
        <w:tc>
          <w:tcPr>
            <w:tcW w:type="dxa" w:w="1440"/>
            <w:shd w:fill="FFDCE0" w:val="clear"/>
          </w:tcPr>
          <w:p>
            <w:r>
              <w:rPr>
                <w:sz w:val="17"/>
              </w:rPr>
              <w:t>3,733</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3,044</w:t>
            </w:r>
          </w:p>
        </w:tc>
        <w:tc>
          <w:tcPr>
            <w:tcW w:type="dxa" w:w="1440"/>
            <w:shd w:fill="FFDCE0" w:val="clear"/>
          </w:tcPr>
          <w:p>
            <w:r>
              <w:rPr>
                <w:b/>
                <w:sz w:val="17"/>
              </w:rPr>
              <w:t>3,384</w:t>
            </w:r>
          </w:p>
        </w:tc>
        <w:tc>
          <w:tcPr>
            <w:tcW w:type="dxa" w:w="1440"/>
            <w:shd w:fill="FFDCE0" w:val="clear"/>
          </w:tcPr>
          <w:p>
            <w:r>
              <w:rPr>
                <w:sz w:val="17"/>
              </w:rPr>
              <w:t>3,724</w:t>
            </w:r>
          </w:p>
        </w:tc>
        <w:tc>
          <w:tcPr>
            <w:tcW w:type="dxa" w:w="1440"/>
            <w:shd w:fill="FFDCE0" w:val="clear"/>
          </w:tcPr>
          <w:p>
            <w:r>
              <w:rPr>
                <w:b/>
                <w:color w:val="C00000"/>
                <w:sz w:val="17"/>
              </w:rPr>
              <w:t>-7.0%</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2,987</w:t>
            </w:r>
          </w:p>
        </w:tc>
        <w:tc>
          <w:tcPr>
            <w:tcW w:type="dxa" w:w="1440"/>
            <w:shd w:fill="FFDCE0" w:val="clear"/>
          </w:tcPr>
          <w:p>
            <w:r>
              <w:rPr>
                <w:b/>
                <w:sz w:val="17"/>
              </w:rPr>
              <w:t>3,351</w:t>
            </w:r>
          </w:p>
        </w:tc>
        <w:tc>
          <w:tcPr>
            <w:tcW w:type="dxa" w:w="1440"/>
            <w:shd w:fill="FFDCE0" w:val="clear"/>
          </w:tcPr>
          <w:p>
            <w:r>
              <w:rPr>
                <w:sz w:val="17"/>
              </w:rPr>
              <w:t>3,714</w:t>
            </w:r>
          </w:p>
        </w:tc>
        <w:tc>
          <w:tcPr>
            <w:tcW w:type="dxa" w:w="1440"/>
            <w:shd w:fill="FFDCE0" w:val="clear"/>
          </w:tcPr>
          <w:p>
            <w:r>
              <w:rPr>
                <w:b/>
                <w:color w:val="C00000"/>
                <w:sz w:val="17"/>
              </w:rPr>
              <w:t>-7.9%</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2,934</w:t>
            </w:r>
          </w:p>
        </w:tc>
        <w:tc>
          <w:tcPr>
            <w:tcW w:type="dxa" w:w="1440"/>
            <w:shd w:fill="FFDCE0" w:val="clear"/>
          </w:tcPr>
          <w:p>
            <w:r>
              <w:rPr>
                <w:b/>
                <w:sz w:val="17"/>
              </w:rPr>
              <w:t>3,319</w:t>
            </w:r>
          </w:p>
        </w:tc>
        <w:tc>
          <w:tcPr>
            <w:tcW w:type="dxa" w:w="1440"/>
            <w:shd w:fill="FFDCE0" w:val="clear"/>
          </w:tcPr>
          <w:p>
            <w:r>
              <w:rPr>
                <w:sz w:val="17"/>
              </w:rPr>
              <w:t>3,704</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2,884</w:t>
            </w:r>
          </w:p>
        </w:tc>
        <w:tc>
          <w:tcPr>
            <w:tcW w:type="dxa" w:w="1440"/>
            <w:shd w:fill="FFDCE0" w:val="clear"/>
          </w:tcPr>
          <w:p>
            <w:r>
              <w:rPr>
                <w:b/>
                <w:sz w:val="17"/>
              </w:rPr>
              <w:t>3,289</w:t>
            </w:r>
          </w:p>
        </w:tc>
        <w:tc>
          <w:tcPr>
            <w:tcW w:type="dxa" w:w="1440"/>
            <w:shd w:fill="FFDCE0" w:val="clear"/>
          </w:tcPr>
          <w:p>
            <w:r>
              <w:rPr>
                <w:sz w:val="17"/>
              </w:rPr>
              <w:t>3,693</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2,838</w:t>
            </w:r>
          </w:p>
        </w:tc>
        <w:tc>
          <w:tcPr>
            <w:tcW w:type="dxa" w:w="1440"/>
            <w:shd w:fill="FFDCE0" w:val="clear"/>
          </w:tcPr>
          <w:p>
            <w:r>
              <w:rPr>
                <w:b/>
                <w:sz w:val="17"/>
              </w:rPr>
              <w:t>3,260</w:t>
            </w:r>
          </w:p>
        </w:tc>
        <w:tc>
          <w:tcPr>
            <w:tcW w:type="dxa" w:w="1440"/>
            <w:shd w:fill="FFDCE0" w:val="clear"/>
          </w:tcPr>
          <w:p>
            <w:r>
              <w:rPr>
                <w:sz w:val="17"/>
              </w:rPr>
              <w:t>3,683</w:t>
            </w:r>
          </w:p>
        </w:tc>
        <w:tc>
          <w:tcPr>
            <w:tcW w:type="dxa" w:w="1440"/>
            <w:shd w:fill="FFDCE0" w:val="clear"/>
          </w:tcPr>
          <w:p>
            <w:r>
              <w:rPr>
                <w:b/>
                <w:color w:val="C00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39,72 Mds FCFA, ABJC se positionne comme une valeur de taille moyenne sur le compartiment BRVM, loin des poids lourds bancaires et télécoms mais avec une liquidité correcte (volume moyen de 3 380 titres/jour). Le BPA de 124 FCFA/action signifie que chaque titre génère 124 FCFA de bénéfice net, ce qui, rapporté au cours actuel de 3 640 FCFA, aboutit à un PER de 29,4x — soit près de trois fois la moyenne du marché BRVM (8-12x), signalant que les investisseurs paient une prime très généreuse pour les bénéfices actuels, anticipant une croissance qui tarde toutefois à se matérialiser. Le P/B de 7,70x confirme cette exubérance : le marché valorise l'entreprise à près de huit fois sa valeur comptable, un niveau rarement justifié hors sociétés à très forte rentabilité des capitaux propres (ici ROE de 26,2%, ce qui explique partiellement la prime). Enfin, l'EV/EBITDA de 15,1x traduit une valorisation exigeante de la capacité opérationnelle, d'autant que l'EBITDA stagne ; ces trois ratios convergent vers un constat de surévaluation relative, la prime de croissance étant déjà largement intégrée dans le cours.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ABJC affiche une performance remarquable de +20,53%, bien que la dernière séance (J-1) marque un léger repli de -0,27%, signe d'un essoufflement à court terme. Le titre a évolué dans un range large de 2 800 FCFA (plus bas) à 4 095 FCFA (plus haut), soit une amplitude de près de 46%, avant de se stabiliser à 3 640 FCFA — nettement sous son plus haut, ce qui suggère une phase de correction après un rallye haussier. La tendance générale reste haussière sur la période, mais le repli récent sous la MM20 (3 925 FCFA) indique une perte de momentum. Les statistiques descriptives révèlent une moyenne (3 331 FCFA) supérieure à la médiane (3 205 FCFA), écart caractéristique d'une distribution asymétrique à droite, confirmée par un skewness positif de 0,617 : les journées de forte hausse, plus nombreuses mais moins fréquentes que les journées baissières, tirent la moyenne vers le haut. L'écart-type de 377 FCFA (CV de 11,3%) traduit une dispersion modérée du cours autour de sa moyenne, tandis que le kurtosis de -0,872 (mésokurtique) indique une distribution proche de la normale, sans risque majeur de pics extrêmes. La volatilité annualisée de 43,5% classe ABJC dans la catégorie des titres à volatilité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(3 925,75 FCFA) est nettement supérieure à la MM50 (3 532 FCFA), configuration haussière classique, mais le cours actuel (3 640 FCFA) se situe sous la MM20 tout en restant au-dessus de la MM50 — signal mitigé. La décision « Achat » générée par le croisement MM20 &gt; MM50 reste valide structurellement, mais la cassure récente sous la MM20 invite à la prudence.</w:t>
      </w:r>
    </w:p>
    <w:p>
      <w:pPr>
        <w:spacing w:after="120" w:line="276" w:lineRule="auto"/>
      </w:pPr>
      <w:r>
        <w:t>**Bandes de Bollinger** : Le cours (3 640 FCFA) évolue sous la borne inférieure (3 652,87 FCFA), ce qui est techniquement anormal et signale une pression vendeuse intense ou un début de survente. La borne supérieure à 4 198,64 FCFA confirme un canal large, cohérent avec la volatilité élevée. La décision « Achat » s'explique par le fait que le cours touche une zone de rebond potentiel, mais la sortie par le bas des bandes est un signal de faiblesse à surveiller.</w:t>
      </w:r>
    </w:p>
    <w:p>
      <w:pPr>
        <w:spacing w:after="120" w:line="276" w:lineRule="auto"/>
      </w:pPr>
      <w:r>
        <w:t>**MACD** : La valeur du MACD (35,47) est très inférieure à son signal (105,21), générant une divergence baissière marquée et une décision « Vente ». Le momentum s'affaiblit clairement, le MACD ayant probablement amorcé un croisement baissier sous sa ligne de signal, ce qui contredit les signaux haussiers des moyennes mobiles.</w:t>
      </w:r>
    </w:p>
    <w:p>
      <w:pPr>
        <w:spacing w:after="120" w:line="276" w:lineRule="auto"/>
      </w:pPr>
      <w:r>
        <w:t>**RSI** : À 30,27, le RSI est juste au-dessus du seuil de survente (30), en zone neutre basse. La décision « Neutre » reflète cette position charnière : le titre n'est pas encore survendu, mais s'en approche dangereusement, ce qui pourrait précéder un rebond technique ou une poursuite de la baisse.</w:t>
      </w:r>
    </w:p>
    <w:p>
      <w:pPr>
        <w:spacing w:after="120" w:line="276" w:lineRule="auto"/>
      </w:pPr>
      <w:r>
        <w:t>**Stochastique** : Avec %K et %D tous deux à 0,0, l'indicateur est en zone de survente extrême, ce qui génère paradoxalement une décision « Achat » (signal de rebond potentiel). Un croisement haussier du %K au-dessus du %D est attendu, mais l'absence actuelle de croisement rend le signal fragile.</w:t>
      </w:r>
    </w:p>
    <w:p>
      <w:pPr>
        <w:spacing w:after="120" w:line="276" w:lineRule="auto"/>
      </w:pPr>
      <w:r>
        <w:t>**Conclusion technique** : Les indicateurs sont divergents — les moyennes mobiles et le stochastique plaident pour un achat, tandis que le MACD et les bandes de Bollinger signalent une faiblesse. Le RSI neutre-bas et la sortie par le bas des bandes de Bollinger suggèrent que le titre est en zone de survente technique, propice à un rebond à court terme, mais le momentum baissier du MACD invite à attendre une confirmation avant d'agir. La convergence des signaux est insuffisante pour une décision directionnelle forte.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Servair Abidjan affiche un chiffre d'affaires de 13,298 Mds FCFA, en croissance de 6,67% sur un an, porté par la reprise du trafic aérien et la diversification vers les activités non aériennes (cantines, contrats collectifs). Le résultat net s'établit à 1,351 Mds FCFA, en baisse de 12,1% par rapport à 2024, principalement en raison d'une charge d'impôt en forte hausse (+46,7% à 839,75 M FCFA) ; la marge nette se maintient à 10,16%, un niveau correct mais en repli. La rentabilité des fonds propres (ROE) reste excellente à 26,18% et le ROA à 14,64%, témoignant d'une efficacité opérationnelle solide malgré la pression fiscale. La structure financière est saine : autonomie financière de 55,92%, endettement financier quasi nul (dette financière totale de 65,89 M FCFA seulement, soit 1,28% du bilan), et trésorerie nette de 4,035 Mds FCFA — un matelas confortable. Les délais d'exploitation méritent attention : délai clients de 70,10 jours (risque de trésorerie modéré), délai fournisseurs de 92,11 jours (favorable à la trésorerie) et rotation des stocks de 29,40 jours, cohérents avec l'activité de restauration. Le BFR est positif à 257,45 M FCFA, mais le fonds de roulement de 4,292 Mds FCFA couvre largement les besoins. Les rapports trimestriels récents nuancent toutefois ce tableau : le T1 2026 (publié en 2026) montre une croissance du CA limitée à +1,9% (3,237 Mds FCFA) et une chute du résultat net de -35,6% (222,6 M FCFA), sous l'effet d'ajustements de redevances aéroportuaires et de tensions géopolitiques affectant les compagnies clientes. Le T3 2025 (rapport du 30/09/2025) affichait pourtant un résultat net trimestriel de 1 325 M FCFA (+17,1%), illustrant une volatilité trimestrielle importante. On estime que l'exercice 2026 devrait être marqué par une pression persistante sur les marges, la croissance du CA restant fragile (+1,9% au T1) et la rentabilité nette sous tension, bien que la solidité du bilan (capitaux propres de 5,159 Mds FCFA, trésorerie abondante) offre une capacité de résistance. La recommandation fondamentale est de **conserver** la valeur : la société est financièrement solide et génère des flux de trésorerie positifs, mais la dégradation récente de la rentabilité et la valorisation exigeante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manifestement tendue : PER de 29,4x, P/B de 7,70x et EV/EBITDA de 15,1x intègrent déjà une prime de croissance que les résultats récents ne confirment pas, ce qui constitue un facteur de risque baissier. Le comportement du cours (Partie 1) est haussier sur 100 jours (+20,53%) mais montre des signes d'essoufflement (repli J-1, skewness positif indiquant une distribution asymétrique à droite, volatilité élevée de 43,5%), ce qui invite à la prudence. Les signaux techniques (Partie 2) sont divergents : les moyennes mobiles et le stochastique sont haussiers, mais le MACD est baissier et le cours est sorti par le bas des bandes de Bollinger, créant une incertitude directionnelle. Les fondamentaux (Partie 3) demeurent solides (ROE de 26,18%, trésorerie nette de 4,035 Mds FCFA, endettement quasi nul) mais la rentabilité se dégrade (résultat net -12,1% en 2025, -35,6% au T1 2026), et les perspectives à court terme sont assombries par les ajustements réglementaires et les tensions géopolitiques. Les prédictions IA (J+1 à J+10) anticipent une baisse continue de 3 582 FCFA à 3 420 FCFA, confirmant la pression baissière à court terme et contredisant les signaux haussiers des moyennes mobiles. Sur la base de cette synthèse, la recommandation finale est **CONSERVER**, avec un niveau de confiance **Moyen** et un risque global **Élevé** (volatilité de 43,5%, valorisation exigeante, dégradation des marges). L'horizon d'investissement optimal est le **moyen terme (3-12 mois)**, le temps que la société stabilise sa rentabilité et que la valorisation s'ajuste à des niveaux plus raisonnables ; à court terme, la prudence est de mise face à la divergence des signaux et à la trajectoire baissière anticipée par l'IA.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43,658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+24.05%</w:t>
            </w:r>
          </w:p>
          <w:p>
            <w:r>
              <w:rPr>
                <w:b/>
                <w:color w:val="503200"/>
                <w:sz w:val="16"/>
              </w:rPr>
              <w:t xml:space="preserve">Plus haut 100j : </w:t>
            </w:r>
            <w:r>
              <w:rPr>
                <w:color w:val="000000"/>
                <w:sz w:val="17"/>
              </w:rPr>
              <w:t>9,000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59.1%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8.24% (Moyenne) — μ=8,285 FCFA, σ=683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β≈0.82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β≈0.82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43,658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σ_j=3.72%/j (Modérée) — Vol. annualisée≈59.1%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5760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76050"/>
                    </a:xfrm>
                    <a:prstGeom prst="rect"/>
                  </pic:spPr>
                </pic:pic>
              </a:graphicData>
            </a:graphic>
          </wp:inline>
        </w:drawing>
      </w:r>
    </w:p>
    <w:p/>
    <w:p>
      <w:pPr>
        <w:spacing w:after="120" w:line="276" w:lineRule="auto"/>
      </w:pPr>
      <w:r>
        <w:t># RAPPORT D'ANALYSE FINANCIÈRE —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BBGC s'élève à **450,00 milliards FCFA**, un niveau qui positionne la banque parmi les valeurs les plus importantes de la cote BRVM, ce qui traduit une forte attractivité institutionnelle depuis son introduction. Les ratios de valorisation boursière (BPA, PER, P/B, EV/EBITDA) ne sont pas calculables en l'état, faute de données financières structurées annuelles complètes (résultat net annualisé, capitaux propres, EBITDA) et d'historique de cotation suffisant — le titre étant récemment admis à la cote après son OPV. À titre indicatif, si l'on annualise le résultat net du S1 2026 (15,2 Mds FCFA, soit ~30,4 Mds FCFA en rythme annuel), le BPA ressortirait autour de **608 FCFA** pour 50 millions d'actions, impliquant un PER implicite d'environ **14,8x** au cours de 9 000 FCFA — soit une prime par rapport au PER moyen BRVM (8-12x), justifiée par la croissance exceptionnelle (+46% de résultat net). Cette prime devra toutefois être confirmée par la publication des états financiers annuels et la politique de dividende.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progression remarquable de **+24,05%**, avec un cours actuel de **9 000 FCFA** — soit précisément le plus haut de la période — tandis que la dernière séance (J-1) est restée stable (**+0,00%**), signalant une pause dans le mouvement haussier. Le range de trading s'étend du plus bas de **7 255 FCFA** au plus haut de **9 000 FCFA**, soit une amplitude d'environ 24%, confirmant une tendance nettement haussière portée par le succès de l'OPV et les excellents résultats semestriels. Les statistiques descriptives révèlent une **moyenne de 8 285 FCFA** légèrement inférieure à la **médiane de 8 375 FCFA**, avec un mode à 9 000 FCFA : cet écart modéré suggère une distribution légèrement asymétrique à gauche, cohérente avec le skewness de **-0,301** qualifié de symétrique, indiquant une répartition équilibrée des rendements sans biais marqué. L'**écart-type de 763 FCFA** avec un **coefficient de variation de 9,2%** traduit une dispersion modérée du cours autour de sa moyenne, tandis que le **kurtosis de -1,431** (platykurtique) signale une distribution aplatie avec une faible concentration des valeurs extrêmes — donc un risque de pics brusques limité. Enfin, la **volatilité annualisée de 59,1%** classe le titre dans la catégorie des valeurs à volatilité **élevée** (&gt;30%), ce qui est caractéristique d'une valeur récemment introduite en bourse avec une liquidité encore en construction (volume moyen de 43 658 titres/jour).</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moyennes mobiles à 20 et 50 jours ne sont pas disponibles (valeurs non calculées), ce qui s'explique par l'historique de cotation encore court du titre depuis son introduction. En l'absence de ces références, la décision technique reste indéterminée ; on notera toutefois que le cours actuel (9 000 FCFA) évolue au-dessus de sa moyenne 100 jours (8 285 FCFA), ce qui constitue un signal haussier implicite.</w:t>
      </w:r>
    </w:p>
    <w:p>
      <w:pPr>
        <w:spacing w:after="120" w:line="276" w:lineRule="auto"/>
      </w:pPr>
      <w:r>
        <w:t>**Bandes de Bollinger :** Les bornes supérieure et inférieure ne sont pas calculables (valeurs non disponibles), privant l'analyste d'une lecture directe de la volatilité relative et du positionnement du cours dans son canal. Le cours actuel de 9 000 FCFA coïncide avec le plus haut de la période, suggérant une possible position en haut de bande si celle-ci était calculée — configuration généralement associée à une pression acheteuse soutenue mais exposée à un risque de correction technique.</w:t>
      </w:r>
    </w:p>
    <w:p>
      <w:pPr>
        <w:spacing w:after="120" w:line="276" w:lineRule="auto"/>
      </w:pPr>
      <w:r>
        <w:t>**MACD :** La valeur du MACD et de sa ligne de signal n'est pas disponible, empêchant toute analyse de divergence et de momentum. En l'absence de cet indicateur, on ne peut confirmer ni infirmer la dynamique haussière par le momentum, ce qui invite à la prudence dans l'interprétation technique à court terme.</w:t>
      </w:r>
    </w:p>
    <w:p>
      <w:pPr>
        <w:spacing w:after="120" w:line="276" w:lineRule="auto"/>
      </w:pPr>
      <w:r>
        <w:t>**RSI :** Le RSI n'est pas calculé (valeur non disponible), privant l'analyse du niveau de surachat ou de survente. Compte tenu de la hausse de +24% sur 100 jours et du cours au plus haut, un RSI théoriquement élevé (&gt;70) serait plausible, signalant un risque de surachat — mais cette hypothèse reste non vérifiable en l'état.</w:t>
      </w:r>
    </w:p>
    <w:p>
      <w:pPr>
        <w:spacing w:after="120" w:line="276" w:lineRule="auto"/>
      </w:pPr>
      <w:r>
        <w:t>**Stochastique :** Les valeurs %K et %D ne sont pas disponibles, rendant impossible l'analyse du croisement et du positionnement relatif. L'absence de cet oscillateur limite la détection de retournements potentiels à court terme.</w:t>
      </w:r>
    </w:p>
    <w:p>
      <w:pPr>
        <w:spacing w:after="120" w:line="276" w:lineRule="auto"/>
      </w:pPr>
      <w:r>
        <w:t>**Conclusion technique :** L'analyse technique est fortement contrainte par l'indisponibilité de la quasi-totalité des indicateurs (MM, Bollinger, MACD, RSI, Stochastique), conséquence directe du jeune historique de cotation du titre. Le seul signal exploitable reste la tendance haussière marquée (+24,05%) avec un cours au plus haut (9 000 FCFA), mais l'absence de confirmation par les oscillateurs et le momentum impose une lecture prudente : le titre est en dynamique positive, mais le risque de consolidation à court terme ne peut être écarté faute d'outils de mesure.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annuelles n'étant pas disponibles dans la base, l'analyse s'appuie sur les **rapports officiels du premier semestre 2026 (période close le 30 juin 2026, publiés et analysés le 28 septembre 2026)**. Sur le plan sectoriel bancaire, le **Produit Net Bancaire (PNB)** s'établit à **37,7 milliards FCFA au S1 2026**, en progression de **+25%** par rapport aux 30,2 Mds FCFA du S1 2025, porté par une croissance spectaculaire des **crédits à la clientèle (+28% à 823,9 Mds FCFA)** et des **dépôts clientèle (+46% à 1 318,3 Mds FCFA)**. Le **résultat net bondit de +46% à 15,2 Mds FCFA** (contre 10,4 Mds au S1 2025), avec une **marge nette de 40,3%** (vs 34,4% un an plus tôt) et un **coefficient d'exploitation de 40,3%** (contre 43,3%), nettement inférieur au seuil de 60% — signe d'une efficacité opérationnelle remarquable. Le **coût du risque reste contenu à 4,3 Mds FCFA (+14%)**, progressant moins vite que les crédits (+28%), ce qui témoigne d'un portefeuille de qualité. Le **résultat brut d'exploitation atteint 22,5 Mds FCFA (+31%)** et le **résultat avant impôt 18,2 Mds FCFA**. Sur la base de ce rapport S1 2026, on peut **estimer** que l'exercice 2026 complet devrait afficher un résultat net annuel de l'ordre de **30 à 32 Mds FCFA** si la dynamique se maintient au S2, ce qui conforterait un BPA d'environ 600-640 FCFA. Les perspectives sont renforcées par l'**avis favorable de la Commission Bancaire pour une succursale au Burkina Faso (mai 2026)**, le développement du réseau (Riviera Palmeraie, Bassam, Korhogo) et la stratégie 2026-2030 axée sur les PME et la transformation digitale. La recommandation fondamentale est donc **ACHAT**, avec une réserve liée à l'absence d'information sur la politique de dividende et au risque d'exécution de l'expansion régionale.</w:t>
      </w:r>
    </w:p>
    <w:p>
      <w:pPr>
        <w:spacing w:after="120" w:line="276" w:lineRule="auto"/>
      </w:pPr>
      <w:r>
        <w:t>---</w:t>
      </w:r>
    </w:p>
    <w:p>
      <w:pPr>
        <w:spacing w:after="120" w:line="276" w:lineRule="auto"/>
      </w:pPr>
      <w:r>
        <w:t>## PARTIE 4 : CONCLUSION D'INVESTISSEMENT</w:t>
      </w:r>
    </w:p>
    <w:p>
      <w:pPr>
        <w:spacing w:after="120" w:line="276" w:lineRule="auto"/>
      </w:pPr>
      <w:r>
        <w:t>La **valorisation** (Partie 0) reste difficile à trancher faute de ratios calculables, mais le PER implicite estimé (~14,8x sur base annualisée du S1 2026) suggère une légère surévaluation par rapport à la moyenne BRVM (8-12x), justifiée par la prime de croissance. Le **comportement du cours** (Partie 1) est nettement favorable : +24,05% sur 100 jours, cours au plus haut, distribution symétrique (skewness -0,301) et kurtosis platykurtique (-1,431) limitant le risque de pics extrêmes — mais la volatilité annualisée de 59,1% constitue un point de vigilance. Les **signaux techniques** (Partie 2) sont inexploitables en raison de l'indisponibilité des indicateurs, ce qui empêche toute confirmation ou infirmation de la tendance par le momentum — c'est la principale faiblesse de ce dossier. Les **fondamentaux** (Partie 3) sont en revanche excellents : PNB +25%, résultat net +46%, coefficient d'exploitation de 40,3%, coût du risque maîtrisé, expansion régionale engagée — une dynamique rare sur la BRVM. Les **prédictions IA** ne sont pas disponibles, ce qui prive la synthèse d'un signal de court terme. Sur la base de cette analyse globale, la recommandation finale est **ACHAT**, avec un **niveau de confiance Moyen** (technique indisponible) et un **risque global Moyen à Élevé** (volatilité 59,1%, liquidité en construction, absence de politique de dividende connue). L'**horizon d'investissement optimal est le moyen terme (3-12 mois)**, le temps que la liquidité se développe, que les états financiers annuels 2026 soient publiés et que les indicateurs techniques deviennent exploitables — autant d'éléments qui permettront de valider ou d'ajuster la thèse haussière portée par les fondamentaux.</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514.64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13,754 titres</w:t>
            </w:r>
          </w:p>
        </w:tc>
        <w:tc>
          <w:tcPr>
            <w:tcW w:type="dxa" w:w="2268"/>
            <w:shd w:fill="FFF2CC" w:val="clear"/>
          </w:tcPr>
          <w:p>
            <w:r>
              <w:rPr>
                <w:b/>
                <w:color w:val="503200"/>
                <w:sz w:val="16"/>
              </w:rPr>
              <w:t xml:space="preserve">Cours actuel : </w:t>
            </w:r>
            <w:r>
              <w:rPr>
                <w:color w:val="000000"/>
                <w:sz w:val="17"/>
              </w:rPr>
              <w:t>8,910 FCFA</w:t>
            </w:r>
          </w:p>
          <w:p>
            <w:r>
              <w:rPr>
                <w:b/>
                <w:color w:val="503200"/>
                <w:sz w:val="16"/>
              </w:rPr>
              <w:t xml:space="preserve">Var. 100 jours : </w:t>
            </w:r>
            <w:r>
              <w:rPr>
                <w:b/>
                <w:color w:val="007800"/>
                <w:sz w:val="17"/>
              </w:rPr>
              <w:t>+74.02%</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24.06% (Élevée) — μ=7,210 FCFA, σ=1,735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β=0.8240 (Neutre (suit le marché)) — Cov=0.000057, Var(idx)=0.000069, ρ=0.255,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13,754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8,415</w:t>
            </w:r>
          </w:p>
        </w:tc>
        <w:tc>
          <w:tcPr>
            <w:tcW w:type="dxa" w:w="1440"/>
            <w:shd w:fill="FAFAFA" w:val="clear"/>
          </w:tcPr>
          <w:p>
            <w:r>
              <w:rPr>
                <w:b/>
                <w:sz w:val="17"/>
              </w:rPr>
              <w:t>8,956</w:t>
            </w:r>
          </w:p>
        </w:tc>
        <w:tc>
          <w:tcPr>
            <w:tcW w:type="dxa" w:w="1440"/>
            <w:shd w:fill="FAFAFA" w:val="clear"/>
          </w:tcPr>
          <w:p>
            <w:r>
              <w:rPr>
                <w:sz w:val="17"/>
              </w:rPr>
              <w:t>9,498</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8,247</w:t>
            </w:r>
          </w:p>
        </w:tc>
        <w:tc>
          <w:tcPr>
            <w:tcW w:type="dxa" w:w="1440"/>
            <w:shd w:fill="FAFAFA" w:val="clear"/>
          </w:tcPr>
          <w:p>
            <w:r>
              <w:rPr>
                <w:b/>
                <w:sz w:val="17"/>
              </w:rPr>
              <w:t>9,018</w:t>
            </w:r>
          </w:p>
        </w:tc>
        <w:tc>
          <w:tcPr>
            <w:tcW w:type="dxa" w:w="1440"/>
            <w:shd w:fill="FAFAFA" w:val="clear"/>
          </w:tcPr>
          <w:p>
            <w:r>
              <w:rPr>
                <w:sz w:val="17"/>
              </w:rPr>
              <w:t>9,789</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8,130</w:t>
            </w:r>
          </w:p>
        </w:tc>
        <w:tc>
          <w:tcPr>
            <w:tcW w:type="dxa" w:w="1440"/>
            <w:shd w:fill="FAFAFA" w:val="clear"/>
          </w:tcPr>
          <w:p>
            <w:r>
              <w:rPr>
                <w:b/>
                <w:sz w:val="17"/>
              </w:rPr>
              <w:t>9,080</w:t>
            </w:r>
          </w:p>
        </w:tc>
        <w:tc>
          <w:tcPr>
            <w:tcW w:type="dxa" w:w="1440"/>
            <w:shd w:fill="FAFAFA" w:val="clear"/>
          </w:tcPr>
          <w:p>
            <w:r>
              <w:rPr>
                <w:sz w:val="17"/>
              </w:rPr>
              <w:t>10,031</w:t>
            </w:r>
          </w:p>
        </w:tc>
        <w:tc>
          <w:tcPr>
            <w:tcW w:type="dxa" w:w="1440"/>
            <w:shd w:fill="FAFAFA" w:val="clear"/>
          </w:tcPr>
          <w:p>
            <w:r>
              <w:rPr>
                <w:b/>
                <w:color w:val="008000"/>
                <w:sz w:val="17"/>
              </w:rPr>
              <w:t>+1.9%</w:t>
            </w:r>
          </w:p>
        </w:tc>
      </w:tr>
      <w:tr>
        <w:tc>
          <w:tcPr>
            <w:tcW w:type="dxa" w:w="1440"/>
            <w:shd w:fill="C6EFCE" w:val="clear"/>
          </w:tcPr>
          <w:p>
            <w:r>
              <w:rPr>
                <w:sz w:val="17"/>
              </w:rPr>
              <w:t>J+4  ⭐</w:t>
            </w:r>
          </w:p>
        </w:tc>
        <w:tc>
          <w:tcPr>
            <w:tcW w:type="dxa" w:w="1440"/>
            <w:shd w:fill="C6EFCE" w:val="clear"/>
          </w:tcPr>
          <w:p>
            <w:r>
              <w:rPr>
                <w:sz w:val="17"/>
              </w:rPr>
              <w:t>2026-10-06</w:t>
            </w:r>
          </w:p>
        </w:tc>
        <w:tc>
          <w:tcPr>
            <w:tcW w:type="dxa" w:w="1440"/>
            <w:shd w:fill="C6EFCE" w:val="clear"/>
          </w:tcPr>
          <w:p>
            <w:r>
              <w:rPr>
                <w:sz w:val="17"/>
              </w:rPr>
              <w:t>8,032</w:t>
            </w:r>
          </w:p>
        </w:tc>
        <w:tc>
          <w:tcPr>
            <w:tcW w:type="dxa" w:w="1440"/>
            <w:shd w:fill="C6EFCE" w:val="clear"/>
          </w:tcPr>
          <w:p>
            <w:r>
              <w:rPr>
                <w:b/>
                <w:sz w:val="17"/>
              </w:rPr>
              <w:t>9,137</w:t>
            </w:r>
          </w:p>
        </w:tc>
        <w:tc>
          <w:tcPr>
            <w:tcW w:type="dxa" w:w="1440"/>
            <w:shd w:fill="C6EFCE" w:val="clear"/>
          </w:tcPr>
          <w:p>
            <w:r>
              <w:rPr>
                <w:sz w:val="17"/>
              </w:rPr>
              <w:t>10,241</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2026-10-07</w:t>
            </w:r>
          </w:p>
        </w:tc>
        <w:tc>
          <w:tcPr>
            <w:tcW w:type="dxa" w:w="1440"/>
            <w:shd w:fill="C6EFCE" w:val="clear"/>
          </w:tcPr>
          <w:p>
            <w:r>
              <w:rPr>
                <w:sz w:val="17"/>
              </w:rPr>
              <w:t>7,945</w:t>
            </w:r>
          </w:p>
        </w:tc>
        <w:tc>
          <w:tcPr>
            <w:tcW w:type="dxa" w:w="1440"/>
            <w:shd w:fill="C6EFCE" w:val="clear"/>
          </w:tcPr>
          <w:p>
            <w:r>
              <w:rPr>
                <w:b/>
                <w:sz w:val="17"/>
              </w:rPr>
              <w:t>9,187</w:t>
            </w:r>
          </w:p>
        </w:tc>
        <w:tc>
          <w:tcPr>
            <w:tcW w:type="dxa" w:w="1440"/>
            <w:shd w:fill="C6EFCE" w:val="clear"/>
          </w:tcPr>
          <w:p>
            <w:r>
              <w:rPr>
                <w:sz w:val="17"/>
              </w:rPr>
              <w:t>10,428</w:t>
            </w:r>
          </w:p>
        </w:tc>
        <w:tc>
          <w:tcPr>
            <w:tcW w:type="dxa" w:w="1440"/>
            <w:shd w:fill="C6EFCE" w:val="clear"/>
          </w:tcPr>
          <w:p>
            <w:r>
              <w:rPr>
                <w:b/>
                <w:color w:val="008000"/>
                <w:sz w:val="17"/>
              </w:rPr>
              <w:t>+3.1%</w:t>
            </w:r>
          </w:p>
        </w:tc>
      </w:tr>
      <w:tr>
        <w:tc>
          <w:tcPr>
            <w:tcW w:type="dxa" w:w="1440"/>
            <w:shd w:fill="C6EFCE" w:val="clear"/>
          </w:tcPr>
          <w:p>
            <w:r>
              <w:rPr>
                <w:sz w:val="17"/>
              </w:rPr>
              <w:t>J+6  ⭐</w:t>
            </w:r>
          </w:p>
        </w:tc>
        <w:tc>
          <w:tcPr>
            <w:tcW w:type="dxa" w:w="1440"/>
            <w:shd w:fill="C6EFCE" w:val="clear"/>
          </w:tcPr>
          <w:p>
            <w:r>
              <w:rPr>
                <w:sz w:val="17"/>
              </w:rPr>
              <w:t>2026-10-08</w:t>
            </w:r>
          </w:p>
        </w:tc>
        <w:tc>
          <w:tcPr>
            <w:tcW w:type="dxa" w:w="1440"/>
            <w:shd w:fill="C6EFCE" w:val="clear"/>
          </w:tcPr>
          <w:p>
            <w:r>
              <w:rPr>
                <w:sz w:val="17"/>
              </w:rPr>
              <w:t>7,864</w:t>
            </w:r>
          </w:p>
        </w:tc>
        <w:tc>
          <w:tcPr>
            <w:tcW w:type="dxa" w:w="1440"/>
            <w:shd w:fill="C6EFCE" w:val="clear"/>
          </w:tcPr>
          <w:p>
            <w:r>
              <w:rPr>
                <w:b/>
                <w:sz w:val="17"/>
              </w:rPr>
              <w:t>9,231</w:t>
            </w:r>
          </w:p>
        </w:tc>
        <w:tc>
          <w:tcPr>
            <w:tcW w:type="dxa" w:w="1440"/>
            <w:shd w:fill="C6EFCE" w:val="clear"/>
          </w:tcPr>
          <w:p>
            <w:r>
              <w:rPr>
                <w:sz w:val="17"/>
              </w:rPr>
              <w:t>10,597</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2026-10-09</w:t>
            </w:r>
          </w:p>
        </w:tc>
        <w:tc>
          <w:tcPr>
            <w:tcW w:type="dxa" w:w="1440"/>
            <w:shd w:fill="C6EFCE" w:val="clear"/>
          </w:tcPr>
          <w:p>
            <w:r>
              <w:rPr>
                <w:sz w:val="17"/>
              </w:rPr>
              <w:t>7,786</w:t>
            </w:r>
          </w:p>
        </w:tc>
        <w:tc>
          <w:tcPr>
            <w:tcW w:type="dxa" w:w="1440"/>
            <w:shd w:fill="C6EFCE" w:val="clear"/>
          </w:tcPr>
          <w:p>
            <w:r>
              <w:rPr>
                <w:b/>
                <w:sz w:val="17"/>
              </w:rPr>
              <w:t>9,269</w:t>
            </w:r>
          </w:p>
        </w:tc>
        <w:tc>
          <w:tcPr>
            <w:tcW w:type="dxa" w:w="1440"/>
            <w:shd w:fill="C6EFCE" w:val="clear"/>
          </w:tcPr>
          <w:p>
            <w:r>
              <w:rPr>
                <w:sz w:val="17"/>
              </w:rPr>
              <w:t>10,751</w:t>
            </w:r>
          </w:p>
        </w:tc>
        <w:tc>
          <w:tcPr>
            <w:tcW w:type="dxa" w:w="1440"/>
            <w:shd w:fill="C6EFCE" w:val="clear"/>
          </w:tcPr>
          <w:p>
            <w:r>
              <w:rPr>
                <w:b/>
                <w:color w:val="008000"/>
                <w:sz w:val="17"/>
              </w:rPr>
              <w:t>+4.0%</w:t>
            </w:r>
          </w:p>
        </w:tc>
      </w:tr>
      <w:tr>
        <w:tc>
          <w:tcPr>
            <w:tcW w:type="dxa" w:w="1440"/>
            <w:shd w:fill="C6EFCE" w:val="clear"/>
          </w:tcPr>
          <w:p>
            <w:r>
              <w:rPr>
                <w:sz w:val="17"/>
              </w:rPr>
              <w:t>J+8  ⭐</w:t>
            </w:r>
          </w:p>
        </w:tc>
        <w:tc>
          <w:tcPr>
            <w:tcW w:type="dxa" w:w="1440"/>
            <w:shd w:fill="C6EFCE" w:val="clear"/>
          </w:tcPr>
          <w:p>
            <w:r>
              <w:rPr>
                <w:sz w:val="17"/>
              </w:rPr>
              <w:t>2026-10-12</w:t>
            </w:r>
          </w:p>
        </w:tc>
        <w:tc>
          <w:tcPr>
            <w:tcW w:type="dxa" w:w="1440"/>
            <w:shd w:fill="C6EFCE" w:val="clear"/>
          </w:tcPr>
          <w:p>
            <w:r>
              <w:rPr>
                <w:sz w:val="17"/>
              </w:rPr>
              <w:t>7,711</w:t>
            </w:r>
          </w:p>
        </w:tc>
        <w:tc>
          <w:tcPr>
            <w:tcW w:type="dxa" w:w="1440"/>
            <w:shd w:fill="C6EFCE" w:val="clear"/>
          </w:tcPr>
          <w:p>
            <w:r>
              <w:rPr>
                <w:b/>
                <w:sz w:val="17"/>
              </w:rPr>
              <w:t>9,301</w:t>
            </w:r>
          </w:p>
        </w:tc>
        <w:tc>
          <w:tcPr>
            <w:tcW w:type="dxa" w:w="1440"/>
            <w:shd w:fill="C6EFCE" w:val="clear"/>
          </w:tcPr>
          <w:p>
            <w:r>
              <w:rPr>
                <w:sz w:val="17"/>
              </w:rPr>
              <w:t>10,892</w:t>
            </w:r>
          </w:p>
        </w:tc>
        <w:tc>
          <w:tcPr>
            <w:tcW w:type="dxa" w:w="1440"/>
            <w:shd w:fill="C6EFCE" w:val="clear"/>
          </w:tcPr>
          <w:p>
            <w:r>
              <w:rPr>
                <w:b/>
                <w:color w:val="008000"/>
                <w:sz w:val="17"/>
              </w:rPr>
              <w:t>+4.4%</w:t>
            </w:r>
          </w:p>
        </w:tc>
      </w:tr>
      <w:tr>
        <w:tc>
          <w:tcPr>
            <w:tcW w:type="dxa" w:w="1440"/>
            <w:shd w:fill="C6EFCE" w:val="clear"/>
          </w:tcPr>
          <w:p>
            <w:r>
              <w:rPr>
                <w:sz w:val="17"/>
              </w:rPr>
              <w:t>J+9  ⭐</w:t>
            </w:r>
          </w:p>
        </w:tc>
        <w:tc>
          <w:tcPr>
            <w:tcW w:type="dxa" w:w="1440"/>
            <w:shd w:fill="C6EFCE" w:val="clear"/>
          </w:tcPr>
          <w:p>
            <w:r>
              <w:rPr>
                <w:sz w:val="17"/>
              </w:rPr>
              <w:t>2026-10-13</w:t>
            </w:r>
          </w:p>
        </w:tc>
        <w:tc>
          <w:tcPr>
            <w:tcW w:type="dxa" w:w="1440"/>
            <w:shd w:fill="C6EFCE" w:val="clear"/>
          </w:tcPr>
          <w:p>
            <w:r>
              <w:rPr>
                <w:sz w:val="17"/>
              </w:rPr>
              <w:t>7,638</w:t>
            </w:r>
          </w:p>
        </w:tc>
        <w:tc>
          <w:tcPr>
            <w:tcW w:type="dxa" w:w="1440"/>
            <w:shd w:fill="C6EFCE" w:val="clear"/>
          </w:tcPr>
          <w:p>
            <w:r>
              <w:rPr>
                <w:b/>
                <w:sz w:val="17"/>
              </w:rPr>
              <w:t>9,329</w:t>
            </w:r>
          </w:p>
        </w:tc>
        <w:tc>
          <w:tcPr>
            <w:tcW w:type="dxa" w:w="1440"/>
            <w:shd w:fill="C6EFCE" w:val="clear"/>
          </w:tcPr>
          <w:p>
            <w:r>
              <w:rPr>
                <w:sz w:val="17"/>
              </w:rPr>
              <w:t>11,021</w:t>
            </w:r>
          </w:p>
        </w:tc>
        <w:tc>
          <w:tcPr>
            <w:tcW w:type="dxa" w:w="1440"/>
            <w:shd w:fill="C6EFCE" w:val="clear"/>
          </w:tcPr>
          <w:p>
            <w:r>
              <w:rPr>
                <w:b/>
                <w:color w:val="008000"/>
                <w:sz w:val="17"/>
              </w:rPr>
              <w:t>+4.7%</w:t>
            </w:r>
          </w:p>
        </w:tc>
      </w:tr>
      <w:tr>
        <w:tc>
          <w:tcPr>
            <w:tcW w:type="dxa" w:w="1440"/>
            <w:shd w:fill="C6EFCE" w:val="clear"/>
          </w:tcPr>
          <w:p>
            <w:r>
              <w:rPr>
                <w:sz w:val="17"/>
              </w:rPr>
              <w:t>J+10  ⭐</w:t>
            </w:r>
          </w:p>
        </w:tc>
        <w:tc>
          <w:tcPr>
            <w:tcW w:type="dxa" w:w="1440"/>
            <w:shd w:fill="C6EFCE" w:val="clear"/>
          </w:tcPr>
          <w:p>
            <w:r>
              <w:rPr>
                <w:sz w:val="17"/>
              </w:rPr>
              <w:t>2026-10-14</w:t>
            </w:r>
          </w:p>
        </w:tc>
        <w:tc>
          <w:tcPr>
            <w:tcW w:type="dxa" w:w="1440"/>
            <w:shd w:fill="C6EFCE" w:val="clear"/>
          </w:tcPr>
          <w:p>
            <w:r>
              <w:rPr>
                <w:sz w:val="17"/>
              </w:rPr>
              <w:t>7,566</w:t>
            </w:r>
          </w:p>
        </w:tc>
        <w:tc>
          <w:tcPr>
            <w:tcW w:type="dxa" w:w="1440"/>
            <w:shd w:fill="C6EFCE" w:val="clear"/>
          </w:tcPr>
          <w:p>
            <w:r>
              <w:rPr>
                <w:b/>
                <w:sz w:val="17"/>
              </w:rPr>
              <w:t>9,354</w:t>
            </w:r>
          </w:p>
        </w:tc>
        <w:tc>
          <w:tcPr>
            <w:tcW w:type="dxa" w:w="1440"/>
            <w:shd w:fill="C6EFCE" w:val="clear"/>
          </w:tcPr>
          <w:p>
            <w:r>
              <w:rPr>
                <w:sz w:val="17"/>
              </w:rPr>
              <w:t>11,141</w:t>
            </w:r>
          </w:p>
        </w:tc>
        <w:tc>
          <w:tcPr>
            <w:tcW w:type="dxa" w:w="1440"/>
            <w:shd w:fill="C6EFCE" w:val="clear"/>
          </w:tcPr>
          <w:p>
            <w:r>
              <w:rPr>
                <w:b/>
                <w:color w:val="008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*Date d'analyse : Octobre 2026 | Analyste : Marchés Actions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514,64 milliards FCFA, la BICB s'impose comme l'une des toutes premières capitalisations de la BRVM, ce qui lui confère une liquidité relative et une visibilité institutionnelle notables au sein de la cote régionale. Le BPA de 627 FCFA par action signifie que chaque titre génère près de 627 FCFA de bénéfice net, un niveau élevé qui traduit la forte rentabilité intrinsèque de la banque. Le PER de 14,2x se situe au-dessus de la moyenne historique de la BRVM (8-12x), signalant que le marché intègre déjà une prime de qualité et de croissance, sans pour autant basculer dans une zone de surévaluation manifeste. Le P/B de 3,81x indique que les investisseurs paient près de quatre fois la valeur comptable des fonds propres, une prime de croissance cohérente avec un ROE de 26,8%, mais qui laisse peu de marge de sécurité en cas de déception. Enfin, l'EV/EBITDA de 24,7x apparaît très exigeant (seuil d'alerte &gt;15x), reflétant une valorisation qui anticipe une poursuite soutenue de la dynamique bénéficiaire ; toute normalisation du coût du risque ou ralentissement de la croissance exposerait le titre à une correction.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BICB a enregistré une progression spectaculaire de +74,02%, avec une dernière séance en hausse de +4,09%, portant le cours à 8 910 FCFA. Le range de trading est particulièrement large, oscillant entre un plus bas de 5 105 FCFA et un plus haut de 10 790 FCFA, soit un écart de plus de 111%, ce qui témoigne d'une tendance haussière puissante mais ponctuée de corrections violentes. La moyenne de 7 210 FCFA se situe nettement au-dessus de la médiane de 6 572 FCFA, confirmant une asymétrie positive (skewness de 0,516) : les journées de forte hausse, bien que moins nombreuses, tirent la moyenne vers le haut, tandis que la majorité des séances se déroulent sous cette moyenne. L'écart-type de 1 743 FCFA, couplé à un coefficient de variation de 24,2%, indique une dispersion importante du cours autour de sa tendance, ce qui est cohérent avec un titre en phase de découverte de prix. Le kurtosis de -0,985 (mésokurtique) suggère une distribution proche de la normale, donc un risque de pics extrêmes modéré, sans "queues épaisses" marquées. Enfin, la volatilité annualisée de 42,4% classe le titre dans la catégorie des valeurs à volatilité élevée (&gt;30%), ce qui implique un risque de drawdown significatif et justifie une gestion prudente de la taille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9 741,25 FCFA et la MM50 à 8 712,40 FCFA, toutes deux supérieures au cours actuel de 8 910 FCFA pour la MM20, mais la MM50 reste en-dessous. Le croisement haussier MM20 &gt; MM50 confirme la tendance de fond positive, mais le repli du cours sous la MM20 signale une consolidation à court terme. La décision "Achat" reflète la prééminence de la tendance moyen terme sur la faiblesse récente.</w:t>
      </w:r>
    </w:p>
    <w:p>
      <w:pPr>
        <w:spacing w:after="120" w:line="276" w:lineRule="auto"/>
      </w:pPr>
      <w:r>
        <w:t>**Bandes de Bollinger** : La borne supérieure se situe à 11 552,47 FCFA et la borne inférieure à 7 930,03 FCFA, avec un cours actuel de 8 910 FCFA positionné dans la moitié basse du canal. Cette position suggère que le titre a purgé une partie de sa surchauffe sans casser le support inférieur, ce qui est plutôt sain. La décision "Neutre" traduit l'absence de signal directionnel fort, le cours évoluant dans une zone médiane.</w:t>
      </w:r>
    </w:p>
    <w:p>
      <w:pPr>
        <w:spacing w:after="120" w:line="276" w:lineRule="auto"/>
      </w:pPr>
      <w:r>
        <w:t>**MACD** : La valeur du MACD (-74,674) est nettement inférieure à son signal (176,805), générant une divergence baissière marquée. Cet écart important indique que le momentum de court terme s'est retourné à la baisse, probablement en phase de consolidation après le rallye. La décision "Vente" est cohérente avec cette perte de dynamique, bien qu'elle doive être pondérée par la tendance de fond haussière.</w:t>
      </w:r>
    </w:p>
    <w:p>
      <w:pPr>
        <w:spacing w:after="120" w:line="276" w:lineRule="auto"/>
      </w:pPr>
      <w:r>
        <w:t>**RSI** : À 33,753, le RSI se situe dans la zone neutre basse, proche du seuil de survente (30). Cela signifie que le titre n'est ni suracheté ni franchement survendu, mais que la pression vendeuse récente a ramené l'indicateur près d'une zone où un rebond technique devient probable. La décision "Neutre" est appropriée, le RSI n'ayant pas encore atteint un niveau extrême.</w:t>
      </w:r>
    </w:p>
    <w:p>
      <w:pPr>
        <w:spacing w:after="120" w:line="276" w:lineRule="auto"/>
      </w:pPr>
      <w:r>
        <w:t>**Stochastique** : Le %K (37,643) est supérieur au %D (28,137), avec un croisement haussier en formation dans la zone basse. Cette configuration est généralement un signal d'achat précoce, suggérant que la pression baissière s'essouffle. La décision "Neutre" reflète la prudence, le signal n'étant pas encore confirmé par une remontée franche au-dessus de 50.</w:t>
      </w:r>
    </w:p>
    <w:p>
      <w:pPr>
        <w:spacing w:after="120" w:line="276" w:lineRule="auto"/>
      </w:pPr>
      <w:r>
        <w:t>**Conclusion technique** : Les indicateurs présentent un tableau mitigé. La tendance de fond reste haussière (MM50 ascendante, cours au-dessus de la MM50), mais le momentum de court terme est négatif (MACD baissier, cours sous la MM20). Le RSI et le stochastique suggèrent cependant qu'une phase de rebond technique pourrait s'amorcer. La convergence de ces signaux plaide pour une consolidation avant une reprise, avec un support clé à surveiller autour de 7 930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la BICB a réalisé un Produit Net Bancaire (PNB) de 52,805 milliards FCFA, en croissance de 16,49% sur un an, porté par une marge d'intérêt nette de 40,813 milliards FCFA et des commissions nettes de 10,587 milliards FCFA. Le résultat net s'établit à 36,237 milliards FCFA, soit une marge nette exceptionnelle de 68,62%, bien que cette performance intègre un coût du risque négatif (reprises de provisions) qui ne se reproduira pas. Le ROE de 26,82% et le ROA de 1,96% confirment une rentabilité très solide, tandis que le coefficient d'exploitation de 31,12% classe la banque parmi les plus efficaces de la zone UEMOA (seuil d'excellence &lt;50%). Le ratio crédits nets/dépôts de 97,5% signale une transformation tendue, et le ratio de solvabilité de 19,64% offre une marge confortable au-dessus du minimum réglementaire de 11,5%.</w:t>
      </w:r>
    </w:p>
    <w:p>
      <w:pPr>
        <w:spacing w:after="120" w:line="276" w:lineRule="auto"/>
      </w:pPr>
      <w:r>
        <w:t>**Adaptation au secteur bancaire** : Le coût du risque de 9,61% (provisions/charges financières) reste un point de vigilance, bien qu'en amélioration par rapport aux exercices précédents. Les dépôts clientèle (1 181,045 milliards FCFA) couvrent largement les créances clientèle (1 151,536 milliards FCFA), mais la tension sur la liquidité (ratio de liquidité immédiate de 127,5%) et la dépendance aux dettes interbancaires (465,174 milliards FCFA) constituent des risques à surveiller.</w:t>
      </w:r>
    </w:p>
    <w:p>
      <w:pPr>
        <w:spacing w:after="120" w:line="276" w:lineRule="auto"/>
      </w:pPr>
      <w:r>
        <w:t>**Estimations basées sur les rapports trimestriels** : Le rapport S1 2026 (publié le 22/09/2026) indique un PNB de 31,882 milliards FCFA (+19% sur un an) et un résultat net de 18,368 milliards FCFA (+11%), avec un RBE en bond de 31% à 22,910 milliards FCFA. Le rapport T1 2026 (publié en 2026) fait état d'un PNB de 14,6 milliards FCFA (+35%) et d'un résultat net de 8,0 milliards FCFA (+48%), confirmant une accélération de la dynamique commerciale. Sur la base de ces tendances, on estime que l'exercice 2026 devrait afficher un PNB annuel compris entre 60 et 63 milliards FCFA, et un résultat net de l'ordre de 38 à 40 milliards FCFA, soit une croissance de 5 à 10% par rapport à 2025. Le rapport des commissaires aux comptes (publié le 22/06/2026) souligne une opinion sans réserve sur les comptes 2025, mais identifie le risque de crédit (encours de 1 461 milliards FCFA) et les faiblesses du système d'information comme points d'audit critiques.</w:t>
      </w:r>
    </w:p>
    <w:p>
      <w:pPr>
        <w:spacing w:after="120" w:line="276" w:lineRule="auto"/>
      </w:pPr>
      <w:r>
        <w:t>**Évolution et recommandation fondamentale** : La BICB affiche une solidité financière incontestable (capitaux propres de 135,118 milliards FCFA, ROE &gt;26%), une position de leader au Bénin et une dynamique commerciale robuste. Cependant, la normalisation du coût du risque (retour à une charge de 3,6 milliards FCFA au S1 2026 contre un produit de 2,4 milliards FCFA au S1 2025) et la tension sur la liquidité (ratio crédits/dépôts de 97,5%) invitent à la prudence. La recommandation fondamentale est **CONSERVER**, avec un biais positif pour les investisseurs déjà positionnés, en attendant la confirmation d'une maîtrise durable du risque de crédit.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 le PER de 14,2x et le P/B de 3,81x indiquent une prime de qualité déjà intégrée, tandis que l'EV/EBITDA de 24,7x laisse peu de marge d'erreur, suggérant une valorisation tendue mais justifiée par les fondamentaux. **Comportement du cours** : la tendance haussière de +74% sur 100 jours est impressionnante, mais la volatilité élevée (42,4%) et l'asymétrie positive (skewness de 0,516) impliquent un risque de correction brutale, comme en témoigne le repli depuis le plus haut de 10 790 FCFA. **Signaux techniques** : la divergence entre la tendance de fond (MM50 haussière) et le momentum de court terme (MACD baissier) plaide pour une consolidation, avec un potentiel rebond technique soutenu par le RSI (33,75) et le stochastique (croisement haussier en zone basse). **Fondamentaux** : la BICB affiche une rentabilité exceptionnelle (ROE de 26,8%, coefficient d'exploitation de 31,1%) et une croissance solide (PNB +16,5% en 2025, +19% au S1 2026), mais la normalisation du coût du risque et la tension sur la liquidité constituent des défis à moyen terme. **Prédictions IA** : la trajectoire projetée (8 956 FCFA à J+1, 9 187 FCFA à J+10) confirme une reprise progressive, cohérente avec les signaux techniques de rebond.</w:t>
      </w:r>
    </w:p>
    <w:p>
      <w:pPr>
        <w:spacing w:after="120" w:line="276" w:lineRule="auto"/>
      </w:pPr>
      <w:r>
        <w:t>**Recommandation finale** : **CONSERVER** avec un biais positif. La convergence entre la valorisation tendue, la consolidation technique en cours et les fondamentaux solides mais exposés à des risques de crédit et de liquidité justifie une position attentiste. Un **ACHAT** serait prématuré tant que le MACD ne s'est pas retourné à la hausse et que le cours n'a pas reconquis la MM20 (9 741 FCFA). **Niveau de confiance** : Moyen (les signaux techniques sont mitigés et les fondamentaux dépendent de la normalisation du coût du risque). **Niveau de risque** : Élevé (volatilité de 42,4%, valorisation exigeante, tension sur la liquidité). **Horizon d'investissement** : Moyen terme (3-12 mois), en surveillant les prochains rapports trimestriels (T3 2026) pour confirmer la maîtrise du risque de crédit et la stabilisation de la marge nette.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543.42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679 titres</w:t>
            </w:r>
          </w:p>
        </w:tc>
        <w:tc>
          <w:tcPr>
            <w:tcW w:type="dxa" w:w="2268"/>
            <w:shd w:fill="FFF2CC" w:val="clear"/>
          </w:tcPr>
          <w:p>
            <w:r>
              <w:rPr>
                <w:b/>
                <w:color w:val="503200"/>
                <w:sz w:val="16"/>
              </w:rPr>
              <w:t xml:space="preserve">Cours actuel : </w:t>
            </w:r>
            <w:r>
              <w:rPr>
                <w:color w:val="000000"/>
                <w:sz w:val="17"/>
              </w:rPr>
              <w:t>32,605 FCFA</w:t>
            </w:r>
          </w:p>
          <w:p>
            <w:r>
              <w:rPr>
                <w:b/>
                <w:color w:val="503200"/>
                <w:sz w:val="16"/>
              </w:rPr>
              <w:t xml:space="preserve">Var. 100 jours : </w:t>
            </w:r>
            <w:r>
              <w:rPr>
                <w:b/>
                <w:color w:val="007800"/>
                <w:sz w:val="17"/>
              </w:rPr>
              <w:t>+29.38%</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25,200 FCFA</w:t>
            </w:r>
          </w:p>
          <w:p>
            <w:r>
              <w:rPr>
                <w:b/>
                <w:color w:val="503200"/>
                <w:sz w:val="16"/>
              </w:rPr>
              <w:t xml:space="preserve">Volatilité ann. : </w:t>
            </w:r>
            <w:r>
              <w:rPr>
                <w:color w:val="000000"/>
                <w:sz w:val="17"/>
              </w:rPr>
              <w:t>34.2%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20.5/100 → Moyen</w:t>
      </w:r>
    </w:p>
    <w:p>
      <w:pPr>
        <w:spacing w:before="40" w:after="80"/>
      </w:pPr>
      <w:r>
        <w:rPr>
          <w:rFonts w:ascii="Courier New" w:hAnsi="Courier New"/>
          <w:color w:val="825A00"/>
          <w:sz w:val="18"/>
        </w:rPr>
        <w:t>████░░░░░░░░░░░░░░░░  20.5/100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μ=29,174 FCFA, σ=1,890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β=0.8503 (Neutre (suit le marché)) — Cov=0.000059, Var(idx)=0.000069, ρ=0.365,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679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σ_j=2.16%/j (Stable) — Vol. annualisée≈34.2%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31,011</w:t>
            </w:r>
          </w:p>
        </w:tc>
        <w:tc>
          <w:tcPr>
            <w:tcW w:type="dxa" w:w="1440"/>
            <w:shd w:fill="FAFAFA" w:val="clear"/>
          </w:tcPr>
          <w:p>
            <w:r>
              <w:rPr>
                <w:b/>
                <w:sz w:val="17"/>
              </w:rPr>
              <w:t>32,710</w:t>
            </w:r>
          </w:p>
        </w:tc>
        <w:tc>
          <w:tcPr>
            <w:tcW w:type="dxa" w:w="1440"/>
            <w:shd w:fill="FAFAFA" w:val="clear"/>
          </w:tcPr>
          <w:p>
            <w:r>
              <w:rPr>
                <w:sz w:val="17"/>
              </w:rPr>
              <w:t>34,409</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30,091</w:t>
            </w:r>
          </w:p>
        </w:tc>
        <w:tc>
          <w:tcPr>
            <w:tcW w:type="dxa" w:w="1440"/>
            <w:shd w:fill="FAFAFA" w:val="clear"/>
          </w:tcPr>
          <w:p>
            <w:r>
              <w:rPr>
                <w:b/>
                <w:sz w:val="17"/>
              </w:rPr>
              <w:t>32,477</w:t>
            </w:r>
          </w:p>
        </w:tc>
        <w:tc>
          <w:tcPr>
            <w:tcW w:type="dxa" w:w="1440"/>
            <w:shd w:fill="FAFAFA" w:val="clear"/>
          </w:tcPr>
          <w:p>
            <w:r>
              <w:rPr>
                <w:sz w:val="17"/>
              </w:rPr>
              <w:t>34,863</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29,414</w:t>
            </w:r>
          </w:p>
        </w:tc>
        <w:tc>
          <w:tcPr>
            <w:tcW w:type="dxa" w:w="1440"/>
            <w:shd w:fill="FAFAFA" w:val="clear"/>
          </w:tcPr>
          <w:p>
            <w:r>
              <w:rPr>
                <w:b/>
                <w:sz w:val="17"/>
              </w:rPr>
              <w:t>32,322</w:t>
            </w:r>
          </w:p>
        </w:tc>
        <w:tc>
          <w:tcPr>
            <w:tcW w:type="dxa" w:w="1440"/>
            <w:shd w:fill="FAFAFA" w:val="clear"/>
          </w:tcPr>
          <w:p>
            <w:r>
              <w:rPr>
                <w:sz w:val="17"/>
              </w:rPr>
              <w:t>35,230</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28,875</w:t>
            </w:r>
          </w:p>
        </w:tc>
        <w:tc>
          <w:tcPr>
            <w:tcW w:type="dxa" w:w="1440"/>
            <w:shd w:fill="FAFAFA" w:val="clear"/>
          </w:tcPr>
          <w:p>
            <w:r>
              <w:rPr>
                <w:b/>
                <w:sz w:val="17"/>
              </w:rPr>
              <w:t>32,222</w:t>
            </w:r>
          </w:p>
        </w:tc>
        <w:tc>
          <w:tcPr>
            <w:tcW w:type="dxa" w:w="1440"/>
            <w:shd w:fill="FAFAFA" w:val="clear"/>
          </w:tcPr>
          <w:p>
            <w:r>
              <w:rPr>
                <w:sz w:val="17"/>
              </w:rPr>
              <w:t>35,570</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28,405</w:t>
            </w:r>
          </w:p>
        </w:tc>
        <w:tc>
          <w:tcPr>
            <w:tcW w:type="dxa" w:w="1440"/>
            <w:shd w:fill="FAFAFA" w:val="clear"/>
          </w:tcPr>
          <w:p>
            <w:r>
              <w:rPr>
                <w:b/>
                <w:sz w:val="17"/>
              </w:rPr>
              <w:t>32,138</w:t>
            </w:r>
          </w:p>
        </w:tc>
        <w:tc>
          <w:tcPr>
            <w:tcW w:type="dxa" w:w="1440"/>
            <w:shd w:fill="FAFAFA" w:val="clear"/>
          </w:tcPr>
          <w:p>
            <w:r>
              <w:rPr>
                <w:sz w:val="17"/>
              </w:rPr>
              <w:t>35,872</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27,977</w:t>
            </w:r>
          </w:p>
        </w:tc>
        <w:tc>
          <w:tcPr>
            <w:tcW w:type="dxa" w:w="1440"/>
            <w:shd w:fill="FAFAFA" w:val="clear"/>
          </w:tcPr>
          <w:p>
            <w:r>
              <w:rPr>
                <w:b/>
                <w:sz w:val="17"/>
              </w:rPr>
              <w:t>32,056</w:t>
            </w:r>
          </w:p>
        </w:tc>
        <w:tc>
          <w:tcPr>
            <w:tcW w:type="dxa" w:w="1440"/>
            <w:shd w:fill="FAFAFA" w:val="clear"/>
          </w:tcPr>
          <w:p>
            <w:r>
              <w:rPr>
                <w:sz w:val="17"/>
              </w:rPr>
              <w:t>36,135</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27,581</w:t>
            </w:r>
          </w:p>
        </w:tc>
        <w:tc>
          <w:tcPr>
            <w:tcW w:type="dxa" w:w="1440"/>
            <w:shd w:fill="FAFAFA" w:val="clear"/>
          </w:tcPr>
          <w:p>
            <w:r>
              <w:rPr>
                <w:b/>
                <w:sz w:val="17"/>
              </w:rPr>
              <w:t>31,976</w:t>
            </w:r>
          </w:p>
        </w:tc>
        <w:tc>
          <w:tcPr>
            <w:tcW w:type="dxa" w:w="1440"/>
            <w:shd w:fill="FAFAFA" w:val="clear"/>
          </w:tcPr>
          <w:p>
            <w:r>
              <w:rPr>
                <w:sz w:val="17"/>
              </w:rPr>
              <w:t>36,371</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27,211</w:t>
            </w:r>
          </w:p>
        </w:tc>
        <w:tc>
          <w:tcPr>
            <w:tcW w:type="dxa" w:w="1440"/>
            <w:shd w:fill="FFDCE0" w:val="clear"/>
          </w:tcPr>
          <w:p>
            <w:r>
              <w:rPr>
                <w:b/>
                <w:sz w:val="17"/>
              </w:rPr>
              <w:t>31,898</w:t>
            </w:r>
          </w:p>
        </w:tc>
        <w:tc>
          <w:tcPr>
            <w:tcW w:type="dxa" w:w="1440"/>
            <w:shd w:fill="FFDCE0" w:val="clear"/>
          </w:tcPr>
          <w:p>
            <w:r>
              <w:rPr>
                <w:sz w:val="17"/>
              </w:rPr>
              <w:t>36,585</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26,864</w:t>
            </w:r>
          </w:p>
        </w:tc>
        <w:tc>
          <w:tcPr>
            <w:tcW w:type="dxa" w:w="1440"/>
            <w:shd w:fill="FFDCE0" w:val="clear"/>
          </w:tcPr>
          <w:p>
            <w:r>
              <w:rPr>
                <w:b/>
                <w:sz w:val="17"/>
              </w:rPr>
              <w:t>31,824</w:t>
            </w:r>
          </w:p>
        </w:tc>
        <w:tc>
          <w:tcPr>
            <w:tcW w:type="dxa" w:w="1440"/>
            <w:shd w:fill="FFDCE0" w:val="clear"/>
          </w:tcPr>
          <w:p>
            <w:r>
              <w:rPr>
                <w:sz w:val="17"/>
              </w:rPr>
              <w:t>36,783</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26,536</w:t>
            </w:r>
          </w:p>
        </w:tc>
        <w:tc>
          <w:tcPr>
            <w:tcW w:type="dxa" w:w="1440"/>
            <w:shd w:fill="FFDCE0" w:val="clear"/>
          </w:tcPr>
          <w:p>
            <w:r>
              <w:rPr>
                <w:b/>
                <w:sz w:val="17"/>
              </w:rPr>
              <w:t>31,752</w:t>
            </w:r>
          </w:p>
        </w:tc>
        <w:tc>
          <w:tcPr>
            <w:tcW w:type="dxa" w:w="1440"/>
            <w:shd w:fill="FFDCE0" w:val="clear"/>
          </w:tcPr>
          <w:p>
            <w:r>
              <w:rPr>
                <w:sz w:val="17"/>
              </w:rPr>
              <w:t>36,968</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ACTION BICC (BICICI)**</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543,42 milliards FCFA, la BICICI s'impose comme l'une des capitalisations les plus importantes de la cote BRVM, ce qui témoigne de sa stature de valeur de premier plan dans le compartiment bancaire ouest-africain. Le Bénéfice Par Action (BPA) s'établit à 2 191 FCFA, ce qui signifie que chaque titre détenu génère près de 2 200 FCFA de bénéfice net, un niveau de rentabilité par action particulièrement élevé. Le PER de 14,9x indique que les investisseurs paient environ 15 fois les bénéfices annuels, un niveau modéré en absolu mais légèrement supérieur à la moyenne historique de la BRVM (8-12x), ce qui suggère que le marché intègre déjà une prime de qualité pour cette valeur bancaire. Le ratio P/B de 4,51x traduit une valorisation nettement supérieure à la valeur comptable (plus de 4 fois les fonds propres), signe d'une forte confiance du marché dans la capacité bénéficiaire future de la banque, mais aussi d'une exigence de rendement élevée. Enfin, l'EV/EBITDA de 10,8x, situé dans la fourchette haute (10-15x), confirme que la valeur d'entreprise intègre une prime significative par rapport à la capacité opérationnelle, cohérente avec la qualité des marges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remarquable de +29,38%, passant d'un plus bas de 25 200 FCFA à un plus haut de 34 895 FCFA, pour un cours actuel de 32 605 FCFA. Toutefois, la dernière séance (J-1) a été marquée par un repli significatif de -6,56%, signalant une prise de bénéfices après le rallye haussier. Le range de trading de près de 9 700 FCFA (soit environ 38% d'amplitude) témoigne d'une tendance globalement haussière mais avec des phases de correction. Les statistiques descriptives révèlent une moyenne de 29 174 FCFA légèrement supérieure à la médiane de 28 900 FCFA, avec un mode à 29 000 FCFA, ce qui indique une distribution asymétrique positivement (skewness de 0,933), confirmant que le cours a passé plus de journées sous sa moyenne que au-dessus, mais avec des pics haussiers marqués. L'écart-type de 1 899 FCFA et le coefficient de variation de 6,5% traduisent une dispersion modérée du cours autour de sa moyenne, tandis que le kurtosis de 0,771 (mésokurtique) suggère une distribution proche de la normale, sans risque extrême de pics de volatilité. La volatilité annualisée de 34,2% positionne le titre dans la catégorie des valeurs à volatilité élevée (&gt;30%), ce qui est cohérent avec le secteur bancaire et implique un risque de marché non négligeable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(32 337,75 FCFA) et la MM50 (30 330,70 FCFA) se situent toutes deux sous le cours actuel (32 605 FCFA), avec une MM20 supérieure à la MM50, configuration typique d'une tendance haussière de court et moyen terme. Le cours évoluant au-dessus de ses deux moyennes mobiles, la décision technique est à l'**Achat**, confirmant la dynamique positive.</w:t>
      </w:r>
    </w:p>
    <w:p>
      <w:pPr>
        <w:spacing w:after="120" w:line="276" w:lineRule="auto"/>
      </w:pPr>
      <w:r>
        <w:t>**Bandes de Bollinger** : Le cours actuel (32 605 FCFA) se situe entre la borne inférieure (29 793,72 FCFA) et la borne supérieure (34 881,78 FCFA), plus proche de la borne haute, ce qui indique une pression acheteuse modérée sans surachat. La décision est **Neutre**, car le cours n'a pas franchi les bornes extrêmes, laissant place à une possible consolidation.</w:t>
      </w:r>
    </w:p>
    <w:p>
      <w:pPr>
        <w:spacing w:after="120" w:line="276" w:lineRule="auto"/>
      </w:pPr>
      <w:r>
        <w:t>**MACD** : La valeur du MACD (588,75) est supérieure à son signal (532,67), avec un histogramme positif, ce qui confirme un momentum haussier en cours. La décision est à l'**Achat**, bien que l'écart entre les deux lignes reste modéré, suggérant une dynamique positive mais sans accélération forte.</w:t>
      </w:r>
    </w:p>
    <w:p>
      <w:pPr>
        <w:spacing w:after="120" w:line="276" w:lineRule="auto"/>
      </w:pPr>
      <w:r>
        <w:t>**RSI** : À 50,02, le RSI se situe exactement dans la zone neutre (30-70), indiquant un équilibre parfait entre acheteurs et vendeurs, sans surachat ni survente. La décision est **Neutre**, ce qui signifie que le titre n'est ni dans une zone de surchauffe ni de faiblesse excessive.</w:t>
      </w:r>
    </w:p>
    <w:p>
      <w:pPr>
        <w:spacing w:after="120" w:line="276" w:lineRule="auto"/>
      </w:pPr>
      <w:r>
        <w:t>**Stochastique** : Le %K (55,53) est inférieur au %D (73,43), avec un croisement potentiellement baissier en formation, ce qui suggère un essoufflement de la dynamique haussière à court terme. La décision est **Neutre**, en ligne avec le RSI, confirmant une phase de consolidation possible.</w:t>
      </w:r>
    </w:p>
    <w:p>
      <w:pPr>
        <w:spacing w:after="120" w:line="276" w:lineRule="auto"/>
      </w:pPr>
      <w:r>
        <w:t>**Conclusion technique** : Les indicateurs techniques présentent un tableau mitigé mais globalement constructif. Les moyennes mobiles et le MACD confirment une tendance haussière de fond, tandis que le RSI, les Bandes de Bollinger et le Stochastique signalent une phase de neutralité, voire de consolidation à court terme. La divergence entre le Stochastique (croisement baissier) et le MACD (haussier) suggère une possible correction avant une reprise, ce qui est cohérent avec le repli de -6,56% enregistré lors de la dernière séance.</w:t>
      </w:r>
    </w:p>
    <w:p>
      <w:pPr>
        <w:spacing w:after="120" w:line="276" w:lineRule="auto"/>
      </w:pPr>
      <w:r>
        <w:t>---</w:t>
      </w:r>
    </w:p>
    <w:p>
      <w:pPr>
        <w:spacing w:after="120" w:line="276" w:lineRule="auto"/>
      </w:pPr>
      <w:r>
        <w:t>### PARTIE 3 : ANALYSE FONDAMENTALE</w:t>
      </w:r>
    </w:p>
    <w:p>
      <w:pPr>
        <w:spacing w:after="120" w:line="276" w:lineRule="auto"/>
      </w:pPr>
      <w:r>
        <w:t>Les données financières structurées de l'exercice 2025 (base brvm_donnees_financieres) révèlent une banque en excellente santé financière. Le Produit Net Bancaire (PNB), équivalent du chiffre d'affaires pour une banque, s'établit à 79,563 milliards FCFA, en croissance de +16,90% par rapport à l'exercice précédent, porté par une marge d'intermédiation solide (intérêts perçus de 62,121 Mds FCFA contre 12,334 Mds FCFA d'intérêts versés) et des commissions nettes de 26,333 Mds FCFA. Le résultat net atteint 36,520 milliards FCFA, soit une marge nette exceptionnelle de 45,90%, et un ROE de 30,29% (largement supérieur au seuil de 15% considéré comme excellent), tandis que le ROA de 3,24% reflète une bonne efficacité dans l'utilisation des actifs. Le coefficient d'exploitation de 50,83% (charges générales de 34,248 Mds FCFA rapportées au PNB) situe la banque dans la catégorie des établissements très efficaces (&lt;60%), confirmant une maîtrise rigoureuse des coûts. Le coût du risque, mesuré par le ratio provisions/charges financières de -12,15%, indique un portefeuille de crédits globalement sain, bien que la baisse des encours de crédits nets (-4,47% au T1 2026 selon le rapport du 31 mars 2026) mérite une surveillance. La structure financière est solide avec une autonomie financière de 10,71% (capitaux propres de 120,570 Mds FCFA pour un total bilan de 1 126,270 Mds FCFA), une capacité de remboursement de 0,40 an (dettes financières/CAF) et une couverture des intérêts de 329,33%, témoignant d'une excellente solvabilité.</w:t>
      </w:r>
    </w:p>
    <w:p>
      <w:pPr>
        <w:spacing w:after="120" w:line="276" w:lineRule="auto"/>
      </w:pPr>
      <w:r>
        <w:t>Les rapports trimestriels récents confirment cette dynamique. Selon le rapport du **31 mars 2026**, le PNB du T1 2026 s'élève à 21 214 millions FCFA (+17,01% sur un an), le résultat net bondit de +29,66% à 10 387 millions FCFA, et la marge nette s'améliore à 49,0% (contre 44,2% au T1 2025). Le rapport du **30 septembre 2025** (T3 2025 cumulé) affichait déjà un PNB de 58 119 millions FCFA (+16,4%) et un résultat net de 27 402 millions FCFA (+50,8%), avec une marge nette de 47,1%. Sur la base de ces tendances, on estime que l'exercice 2026 devrait enregistrer un PNB supérieur à 85 milliards FCFA et un résultat net dépassant 40 milliards FCFA, confirmant la trajectoire de croissance rentable de la banque. Le principal point de vigilance reste la contraction des crédits nets (-4,47% au T1 2026), compensée par une forte collecte de dépôts (+14,46% à 996 392 millions FCFA), ce qui pourrait à terme peser sur la marge d'intermédiation si la tendance se prolonge. Néanmoins, la solidité du bilan, la qualité du portefeuille et l'excellence opérationnelle justifient une recommandation fondamentale positive, avec un risque modéré lié à l'environnement macroéconomique et à la dépendance aux taux d'intérêt.</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globalement favorable pour l'action BICC. La valorisation (Partie 0) apparaît modérée avec un PER de 14,9x, mais le P/B de 4,51x et l'EV/EBITDA de 10,8x indiquent que le marché intègre déjà une prime de qualité, limitant le potentiel de revalorisation à court terme. Le comportement du cours (Partie 1) est haussier sur 100 jours (+29,38%) mais la correction de -6,56% en J-1 et la volatilité élevée (34,2%) suggèrent une phase de consolidation, avec une distribution asymétrique positivement (skewness de 0,933) qui indique que les hausses ont été plus fréquentes que les baisses malgré la correction récente. Les signaux techniques (Partie 2) sont mitigés : les moyennes mobiles et le MACD confirment la tendance haussière, mais le RSI neutre (50,02) et le croisement baissier du Stochastique (%K &lt; %D) plaident pour une pause, voire une correction à court terme. Les fondamentaux (Partie 3) restent excellents avec un ROE de 30,29%, une marge nette de 45,90% et une croissance du résultat net de +29,66% au T1 2026, bien que la baisse des crédits nets constitue un point de vigilance. Les prédictions IA (J+1 à J+10) anticipent une légère baisse du cours de 32 710 FCFA à 32 138 FCFA, confirmant la phase de consolidation technique sans remettre en cause la tendance de fond.</w:t>
      </w:r>
    </w:p>
    <w:p>
      <w:pPr>
        <w:spacing w:after="120" w:line="276" w:lineRule="auto"/>
      </w:pPr>
      <w:r>
        <w:t>Sur la base de cette synthèse, la recommandation finale est **ACHAT**, avec un niveau de confiance **Moyen** et un risque global **Moyen**. La convergence entre des fondamentaux solides (croissance à deux chiffres, rentabilité exceptionnelle) et une technique en phase de consolidation suggère que les investisseurs peuvent profiter de la correction actuelle pour se positionner, mais avec prudence en raison de la volatilité élevée et de la prime de valorisation déjà intégrée. L'horizon d'investissement optimal est le **moyen terme (3-12 mois)**, le temps que la consolidation technique s'achève et que les prochains résultats trimestriels confirment la trajectoire de croissance, avec un objectif de cours potentiel autour de 34 500-35 000 FCFA si les fondamentaux restent solides.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12.42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2,965 titres</w:t>
            </w:r>
          </w:p>
        </w:tc>
        <w:tc>
          <w:tcPr>
            <w:tcW w:type="dxa" w:w="2268"/>
            <w:shd w:fill="FFF2CC" w:val="clear"/>
          </w:tcPr>
          <w:p>
            <w:r>
              <w:rPr>
                <w:b/>
                <w:color w:val="503200"/>
                <w:sz w:val="16"/>
              </w:rPr>
              <w:t xml:space="preserve">Cours actuel : </w:t>
            </w:r>
            <w:r>
              <w:rPr>
                <w:color w:val="000000"/>
                <w:sz w:val="17"/>
              </w:rPr>
              <w:t>1,875 FCFA</w:t>
            </w:r>
          </w:p>
          <w:p>
            <w:r>
              <w:rPr>
                <w:b/>
                <w:color w:val="503200"/>
                <w:sz w:val="16"/>
              </w:rPr>
              <w:t xml:space="preserve">Var. 100 jours : </w:t>
            </w:r>
            <w:r>
              <w:rPr>
                <w:b/>
                <w:color w:val="007800"/>
                <w:sz w:val="17"/>
              </w:rPr>
              <w:t>+40.45%</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11.54% (Moyenne) — μ=1,902 FCFA, σ=219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β=0.3142 (Défensif) — Cov=0.000022, Var(idx)=0.000069, ρ=0.078,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1,774</w:t>
            </w:r>
          </w:p>
        </w:tc>
        <w:tc>
          <w:tcPr>
            <w:tcW w:type="dxa" w:w="1440"/>
            <w:shd w:fill="FAFAFA" w:val="clear"/>
          </w:tcPr>
          <w:p>
            <w:r>
              <w:rPr>
                <w:b/>
                <w:sz w:val="17"/>
              </w:rPr>
              <w:t>1,894</w:t>
            </w:r>
          </w:p>
        </w:tc>
        <w:tc>
          <w:tcPr>
            <w:tcW w:type="dxa" w:w="1440"/>
            <w:shd w:fill="FAFAFA" w:val="clear"/>
          </w:tcPr>
          <w:p>
            <w:r>
              <w:rPr>
                <w:sz w:val="17"/>
              </w:rPr>
              <w:t>2,015</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1,711</w:t>
            </w:r>
          </w:p>
        </w:tc>
        <w:tc>
          <w:tcPr>
            <w:tcW w:type="dxa" w:w="1440"/>
            <w:shd w:fill="FAFAFA" w:val="clear"/>
          </w:tcPr>
          <w:p>
            <w:r>
              <w:rPr>
                <w:b/>
                <w:sz w:val="17"/>
              </w:rPr>
              <w:t>1,880</w:t>
            </w:r>
          </w:p>
        </w:tc>
        <w:tc>
          <w:tcPr>
            <w:tcW w:type="dxa" w:w="1440"/>
            <w:shd w:fill="FAFAFA" w:val="clear"/>
          </w:tcPr>
          <w:p>
            <w:r>
              <w:rPr>
                <w:sz w:val="17"/>
              </w:rPr>
              <w:t>2,049</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1,672</w:t>
            </w:r>
          </w:p>
        </w:tc>
        <w:tc>
          <w:tcPr>
            <w:tcW w:type="dxa" w:w="1440"/>
            <w:shd w:fill="FAFAFA" w:val="clear"/>
          </w:tcPr>
          <w:p>
            <w:r>
              <w:rPr>
                <w:b/>
                <w:sz w:val="17"/>
              </w:rPr>
              <w:t>1,880</w:t>
            </w:r>
          </w:p>
        </w:tc>
        <w:tc>
          <w:tcPr>
            <w:tcW w:type="dxa" w:w="1440"/>
            <w:shd w:fill="FAFAFA" w:val="clear"/>
          </w:tcPr>
          <w:p>
            <w:r>
              <w:rPr>
                <w:sz w:val="17"/>
              </w:rPr>
              <w:t>2,087</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1,641</w:t>
            </w:r>
          </w:p>
        </w:tc>
        <w:tc>
          <w:tcPr>
            <w:tcW w:type="dxa" w:w="1440"/>
            <w:shd w:fill="FAFAFA" w:val="clear"/>
          </w:tcPr>
          <w:p>
            <w:r>
              <w:rPr>
                <w:b/>
                <w:sz w:val="17"/>
              </w:rPr>
              <w:t>1,880</w:t>
            </w:r>
          </w:p>
        </w:tc>
        <w:tc>
          <w:tcPr>
            <w:tcW w:type="dxa" w:w="1440"/>
            <w:shd w:fill="FAFAFA" w:val="clear"/>
          </w:tcPr>
          <w:p>
            <w:r>
              <w:rPr>
                <w:sz w:val="17"/>
              </w:rPr>
              <w:t>2,119</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1,612</w:t>
            </w:r>
          </w:p>
        </w:tc>
        <w:tc>
          <w:tcPr>
            <w:tcW w:type="dxa" w:w="1440"/>
            <w:shd w:fill="FAFAFA" w:val="clear"/>
          </w:tcPr>
          <w:p>
            <w:r>
              <w:rPr>
                <w:b/>
                <w:sz w:val="17"/>
              </w:rPr>
              <w:t>1,880</w:t>
            </w:r>
          </w:p>
        </w:tc>
        <w:tc>
          <w:tcPr>
            <w:tcW w:type="dxa" w:w="1440"/>
            <w:shd w:fill="FAFAFA" w:val="clear"/>
          </w:tcPr>
          <w:p>
            <w:r>
              <w:rPr>
                <w:sz w:val="17"/>
              </w:rPr>
              <w:t>2,147</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1,586</w:t>
            </w:r>
          </w:p>
        </w:tc>
        <w:tc>
          <w:tcPr>
            <w:tcW w:type="dxa" w:w="1440"/>
            <w:shd w:fill="FAFAFA" w:val="clear"/>
          </w:tcPr>
          <w:p>
            <w:r>
              <w:rPr>
                <w:b/>
                <w:sz w:val="17"/>
              </w:rPr>
              <w:t>1,879</w:t>
            </w:r>
          </w:p>
        </w:tc>
        <w:tc>
          <w:tcPr>
            <w:tcW w:type="dxa" w:w="1440"/>
            <w:shd w:fill="FAFAFA" w:val="clear"/>
          </w:tcPr>
          <w:p>
            <w:r>
              <w:rPr>
                <w:sz w:val="17"/>
              </w:rPr>
              <w:t>2,171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1,561</w:t>
            </w:r>
          </w:p>
        </w:tc>
        <w:tc>
          <w:tcPr>
            <w:tcW w:type="dxa" w:w="1440"/>
            <w:shd w:fill="FAFAFA" w:val="clear"/>
          </w:tcPr>
          <w:p>
            <w:r>
              <w:rPr>
                <w:b/>
                <w:sz w:val="17"/>
              </w:rPr>
              <w:t>1,877</w:t>
            </w:r>
          </w:p>
        </w:tc>
        <w:tc>
          <w:tcPr>
            <w:tcW w:type="dxa" w:w="1440"/>
            <w:shd w:fill="FAFAFA" w:val="clear"/>
          </w:tcPr>
          <w:p>
            <w:r>
              <w:rPr>
                <w:sz w:val="17"/>
              </w:rPr>
              <w:t>2,193</w:t>
            </w:r>
          </w:p>
        </w:tc>
        <w:tc>
          <w:tcPr>
            <w:tcW w:type="dxa" w:w="1440"/>
            <w:shd w:fill="FAFAFA" w:val="clear"/>
          </w:tcPr>
          <w:p>
            <w:r>
              <w:rPr>
                <w:b/>
                <w:color w:val="008000"/>
                <w:sz w:val="17"/>
              </w:rPr>
              <w:t>+0.1%</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1,538</w:t>
            </w:r>
          </w:p>
        </w:tc>
        <w:tc>
          <w:tcPr>
            <w:tcW w:type="dxa" w:w="1440"/>
            <w:shd w:fill="FAFAFA" w:val="clear"/>
          </w:tcPr>
          <w:p>
            <w:r>
              <w:rPr>
                <w:b/>
                <w:sz w:val="17"/>
              </w:rPr>
              <w:t>1,876</w:t>
            </w:r>
          </w:p>
        </w:tc>
        <w:tc>
          <w:tcPr>
            <w:tcW w:type="dxa" w:w="1440"/>
            <w:shd w:fill="FAFAFA" w:val="clear"/>
          </w:tcPr>
          <w:p>
            <w:r>
              <w:rPr>
                <w:sz w:val="17"/>
              </w:rPr>
              <w:t>2,213</w:t>
            </w:r>
          </w:p>
        </w:tc>
        <w:tc>
          <w:tcPr>
            <w:tcW w:type="dxa" w:w="1440"/>
            <w:shd w:fill="FAFAFA" w:val="clear"/>
          </w:tcPr>
          <w:p>
            <w:r>
              <w:rPr>
                <w:b/>
                <w:color w:val="008000"/>
                <w:sz w:val="17"/>
              </w:rPr>
              <w:t>+0.0%</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1,517</w:t>
            </w:r>
          </w:p>
        </w:tc>
        <w:tc>
          <w:tcPr>
            <w:tcW w:type="dxa" w:w="1440"/>
            <w:shd w:fill="FAFAFA" w:val="clear"/>
          </w:tcPr>
          <w:p>
            <w:r>
              <w:rPr>
                <w:b/>
                <w:sz w:val="17"/>
              </w:rPr>
              <w:t>1,874</w:t>
            </w:r>
          </w:p>
        </w:tc>
        <w:tc>
          <w:tcPr>
            <w:tcW w:type="dxa" w:w="1440"/>
            <w:shd w:fill="FAFAFA" w:val="clear"/>
          </w:tcPr>
          <w:p>
            <w:r>
              <w:rPr>
                <w:sz w:val="17"/>
              </w:rPr>
              <w:t>2,232</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1,496</w:t>
            </w:r>
          </w:p>
        </w:tc>
        <w:tc>
          <w:tcPr>
            <w:tcW w:type="dxa" w:w="1440"/>
            <w:shd w:fill="FAFAFA" w:val="clear"/>
          </w:tcPr>
          <w:p>
            <w:r>
              <w:rPr>
                <w:b/>
                <w:sz w:val="17"/>
              </w:rPr>
              <w:t>1,873</w:t>
            </w:r>
          </w:p>
        </w:tc>
        <w:tc>
          <w:tcPr>
            <w:tcW w:type="dxa" w:w="1440"/>
            <w:shd w:fill="FAFAFA" w:val="clear"/>
          </w:tcPr>
          <w:p>
            <w:r>
              <w:rPr>
                <w:sz w:val="17"/>
              </w:rPr>
              <w:t>2,249</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Secteur : Distribution de matériaux de construction et équipements*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12,42 Mds FCFA, BNBC se situe dans la catégorie des petites capitalisations de la BRVM, ce qui implique une liquidité limitée et une sensibilité accrue aux mouvements de faible volume. Le BPA de 3 FCFA par action traduit une rentabilité unitaire quasi nulle, cohérente avec un résultat net 2025 de seulement 22,3 M FCFA pour un chiffre d'affaires de 42,45 Mds FCFA. Le PER de 556,5x est aberrant au regard de la moyenne BRVM (8-12x) : les investisseurs paient environ 556 fois les bénéfices annuels, ce qui signale soit une anticipation de retournement majeur, soit une décorrélation totale entre le cours et les fondamentaux. À l'inverse, le P/B de 0,70x indique que le marché valorise l'action à 30% en dessous de sa valeur comptable (capitaux propres de 17,77 Mds FCFA), ce qui constitue une opportunité théorique de décote sur actifs nets. Enfin, l'EV/EBITDA de 23,8x, très supérieur au seuil de 15x, confirme que la valeur d'entreprise intègre une prime spéculative que la capacité opérationnelle actuelle (EBE de 2,009 Mds FCFA) ne justifie pas pleinement.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 enregistré une progression spectaculaire de +40,45%, portant le cours à 1 875 FCFA, malgré un repli de -5,78% lors de la dernière séance (J-1), signe d'une prise de profit ou d'un essoufflement de la dynamique haussière. Le range de trading est très large, avec un plus haut à 2 400 FCFA et un plus bas à 1 300 FCFA, soit une amplitude de 84,6% qui témoigne d'une forte volatilité directionnelle. La tendance générale reste haussière sur la période, mais le cours actuel (1 875 FCFA) se situe désormais sous la moyenne (1 902 FCFA) et la médiane (1 962 FCFA), indiquant une distribution asymétrique avec une concentration de séances au-dessus de la moyenne — confirmée par un skewness négatif de -0,537. L'écart-type de 221 FCFA (CV de 11,6%) traduit une dispersion modérée en pourcentage, mais la volatilité annualisée de 53,4% classe le titre dans la catégorie des valeurs à volatilité élevée (&gt;30%), ce qui implique un risque de perte en capital significatif. Le kurtosis de 0,234 (mésokurtique) suggère une distribution proche de la normale, sans risque extrême de pics, mais le volume moyen de 2 965 titres/jour reste faible, exposant le titre à des mouvements erratiques sur de faibles volumes.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(2 060,75 FCFA) et la MM50 (2 034,30 FCFA) sont toutes deux supérieures au cours actuel (1 875 FCFA), ce qui place le titre en position baissière à court et moyen terme. La décision affichée "Achat" contredit cette configuration, probablement basée sur un croisement haussier antérieur ou une anticipation de rebond technique. La position du cours sous les deux moyennes suggère une pression vendeuse persistante.</w:t>
      </w:r>
    </w:p>
    <w:p>
      <w:pPr>
        <w:spacing w:after="120" w:line="276" w:lineRule="auto"/>
      </w:pPr>
      <w:r>
        <w:t>**Bandes de Bollinger** : Le cours (1 875 FCFA) évolue dans la partie basse de la bande, entre la borne inférieure (1 810,59 FCFA) et la borne supérieure (2 310,91 FCFA), sans atteindre la zone de survente extrême. La décision "Neutre" reflète cette position médiane-basse, avec une volatilité contenue mais un potentiel de rebond vers la borne médiane (2 060 FCFA) si un catalyseur positif survient.</w:t>
      </w:r>
    </w:p>
    <w:p>
      <w:pPr>
        <w:spacing w:after="120" w:line="276" w:lineRule="auto"/>
      </w:pPr>
      <w:r>
        <w:t>**MACD** : La valeur du MACD (-41,724) est inférieure à son signal (-18,807), confirmant un momentum baissier avec une divergence négative persistante. La décision "Vente" est cohérente avec cette configuration, qui indique que la pression vendeuse reste dominante malgré la progression sur 100 jours.</w:t>
      </w:r>
    </w:p>
    <w:p>
      <w:pPr>
        <w:spacing w:after="120" w:line="276" w:lineRule="auto"/>
      </w:pPr>
      <w:r>
        <w:t>**RSI** : À 32,941, le RSI se situe juste au-dessus du seuil de survente (30), ce qui indique une faiblesse relative sans capitulation totale. La décision "Neutre" est appropriée, car le titre n'est ni suracheté ni en survente extrême, laissant place à une possible stabilisation ou à une nouvelle jambe baissière.</w:t>
      </w:r>
    </w:p>
    <w:p>
      <w:pPr>
        <w:spacing w:after="120" w:line="276" w:lineRule="auto"/>
      </w:pPr>
      <w:r>
        <w:t>**Stochastique** : Le %K à 0,0 et le %D à 16,872 montrent un croisement baissier avec un %K au plus bas, signalant une pression vendeuse intense à très court terme. La décision "Achat" est contre-intuitive et suggère une anticipation de rebond technique après une chute excessive, mais le signal reste fragile sans confirmation.</w:t>
      </w:r>
    </w:p>
    <w:p>
      <w:pPr>
        <w:spacing w:after="120" w:line="276" w:lineRule="auto"/>
      </w:pPr>
      <w:r>
        <w:t>**Conclusion technique** : Les indicateurs sont majoritairement baissiers (MACD, position sous les MM, Stochastique bas), avec un RSI proche de la survente et des Bandes de Bollinger en zone basse. La divergence entre les décisions "Achat" (MM, Stochastique) et "Vente" (MACD) reflète une indécision du marché, mais la tendance court terme reste baissière. Un rebond technique est possible vers 2 000-2 060 FCFA, mais il nécessiterait une confirmation par le volume et le MACD.</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BNBC a réalisé un chiffre d'affaires de 42,454 Mds FCFA, en baisse de -6,31% par rapport à 2024 (45,312 Mds FCFA), confirmant une contraction de l'activité commerciale. Le résultat net s'établit à 22,318 M FCFA, en amélioration par rapport aux 7,313 M FCFA de 2024, mais la marge nette reste quasi nulle à 0,0526%, et le ROE est de seulement 0,1256% (très loin du seuil de 15% considéré comme excellent). Le ROA de 0,0454% traduit une rentabilité des actifs insignifiante. En tant qu'entreprise non bancaire, les indicateurs clés sont préoccupants : le BFR est de 29,373 Mds FCFA (positif, donc défavorable), le délai client est élevé à 104,40 jours (risque de trésorerie), le délai fournisseur de 116,09 jours (bon pour la trésorerie) et la durée de stockage de 339,23 jours (immobilisation de capital excessive). La trésorerie nette est fortement négative à -16,689 Mds FCFA, et le ratio d'endettement de 105,48% (dettes totales/capitaux propres) indique une structure financière fragile, bien que l'autonomie financière de 36,16% reste supérieure au seuil de 30%. Le rapport du T1 2026 (publié le 31 mars 2026) fait état d'un chiffre d'affaires stable à 11,194 Mds FCFA (-0,12%) mais d'un résultat net positif de 65,566 M FCFA contre une perte de 16,147 M FCFA au T1 2025, soit une amélioration spectaculaire de +506% — cette performance est toutefois à nuancer, car elle résulte de l'intégration de la division Équipement (en phase de démarrage) et de la non-reconduction d'affaires exceptionnelles. Le rapport annuel 2025 (publié le 31 décembre 2026) confirme l'absence de dividende (0 FCFA) pour la troisième année consécutive, et le rapport du T3 2025 (30 septembre 2025) mentionnait déjà une perte nette de -157,03 M FCFA sur 9 mois, avec un objectif d'équilibre annuel très ambitieux. Sur la base du T1 2026, on peut estimer que l'exercice 2026 devrait bénéficier d'un effet de base favorable (perte au T1 2025) et d'une montée en puissance progressive des nouvelles divisions, mais la rentabilité structurelle reste anémique et la trésorerie négative constitue un risque majeur. La recommandation fondamentale est donc **VENTE** pour un investisseur averse au risque, ou **CONSERVER** avec une surveillance étroite pour un investisseur spéculatif, en attendant la confirmation d'un retournement durable de la rentabilité et de la génération de cash-flows.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BNBC présente un paradoxe : un PER de 556,5x et un EV/EBITDA de 23,8x signalent une surévaluation manifeste par rapport aux bénéfices et à la capacité opérationnelle, tandis que le P/B de 0,70x suggère une décote sur actifs nets — cette divergence reflète l'anticipation par le marché d'un retournement bénéficiaire que les fondamentaux actuels ne confirment pas encore. Le comportement du cours sur 100 jours (+40,45%) est haussier mais la récente baisse de -5,78% et la position sous les moyennes mobiles (MM20 et MM50) indiquent un essoufflement, avec une volatilité annualisée élevée de 53,4% et un skewness négatif qui prévient d'une asymétrie défavorable. Les signaux techniques sont majoritairement baissiers (MACD en vente, Stochastique bas, cours sous les MM), malgré un RSI proche de la survente et des décisions "Achat" isolées sur les MM et le Stochastique — la convergence n'est pas au rendez-vous, ce qui plaide pour une prudence accrue. Les fondamentaux restent fragiles : chiffre d'affaires en baisse de -6,31% en 2025, marge nette de 0,0526%, trésorerie nette de -16,689 Mds FCFA, et absence de dividende, même si le T1 2026 montre une amélioration spectaculaire du résultat net (+506%) qui pourrait marquer un point d'inflexion. Les prédictions IA pour les 10 prochains jours (1894, 1880, 1880, 1880, 1880 FCFA) anticipent une stabilisation autour de 1 880 FCFA, ce qui contredit la dynamique haussière passée mais confirme la pression baissière actuelle. Sur la base de cette synthèse, la recommandation finale est **CONSERVER** avec un niveau de confiance **Moyen** et un risque global **Élevé** : la divergence entre la surévaluation (PER/EV-EBITDA) et la décote comptable (P/B), couplée à des signaux techniques mitigés et à des fondamentaux en amélioration mais fragiles, ne justifie ni un achat agressif ni une vente panique. L'horizon d'investissement optimal est **moyen terme (3-12 mois)**, en surveillant les prochains trimestres pour confirmer la trajectoire de redressement du résultat net et la réduction de la trésorerie négative — un passage à **ACHAT** serait justifié si le T2 2026 confirme la rentabilité positive et si le cours se stabilise au-dessus de 2 000 FCFA, tandis qu'une **VENTE** serait recommandée en cas de nouvelle dégradation des marges ou de franchissement à la baisse du support de 1 810 FCFA (borne inférieure de Bollinger).</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395.47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5,617 titres</w:t>
            </w:r>
          </w:p>
        </w:tc>
        <w:tc>
          <w:tcPr>
            <w:tcW w:type="dxa" w:w="2268"/>
            <w:shd w:fill="FFF2CC" w:val="clear"/>
          </w:tcPr>
          <w:p>
            <w:r>
              <w:rPr>
                <w:b/>
                <w:color w:val="503200"/>
                <w:sz w:val="16"/>
              </w:rPr>
              <w:t xml:space="preserve">Cours actuel : </w:t>
            </w:r>
            <w:r>
              <w:rPr>
                <w:color w:val="000000"/>
                <w:sz w:val="17"/>
              </w:rPr>
              <w:t>9,750 FCFA</w:t>
            </w:r>
          </w:p>
          <w:p>
            <w:r>
              <w:rPr>
                <w:b/>
                <w:color w:val="503200"/>
                <w:sz w:val="16"/>
              </w:rPr>
              <w:t xml:space="preserve">Var. 100 jours : </w:t>
            </w:r>
            <w:r>
              <w:rPr>
                <w:b/>
                <w:color w:val="007800"/>
                <w:sz w:val="17"/>
              </w:rPr>
              <w:t>+4.84%</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μ=9,175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β=0.5402 (Défensif) — Cov=0.000037, Var(idx)=0.000069, ρ=0.262,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σ_j=1.77%/j (Stable) — Vol. annualisée≈28.1%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2026-10-01</w:t>
            </w:r>
          </w:p>
        </w:tc>
        <w:tc>
          <w:tcPr>
            <w:tcW w:type="dxa" w:w="1440"/>
            <w:shd w:fill="FFDCE0" w:val="clear"/>
          </w:tcPr>
          <w:p>
            <w:r>
              <w:rPr>
                <w:sz w:val="17"/>
              </w:rPr>
              <w:t>9,124</w:t>
            </w:r>
          </w:p>
        </w:tc>
        <w:tc>
          <w:tcPr>
            <w:tcW w:type="dxa" w:w="1440"/>
            <w:shd w:fill="FFDCE0" w:val="clear"/>
          </w:tcPr>
          <w:p>
            <w:r>
              <w:rPr>
                <w:b/>
                <w:sz w:val="17"/>
              </w:rPr>
              <w:t>9,504</w:t>
            </w:r>
          </w:p>
        </w:tc>
        <w:tc>
          <w:tcPr>
            <w:tcW w:type="dxa" w:w="1440"/>
            <w:shd w:fill="FFDCE0" w:val="clear"/>
          </w:tcPr>
          <w:p>
            <w:r>
              <w:rPr>
                <w:sz w:val="17"/>
              </w:rPr>
              <w:t>9,883</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8,911</w:t>
            </w:r>
          </w:p>
        </w:tc>
        <w:tc>
          <w:tcPr>
            <w:tcW w:type="dxa" w:w="1440"/>
            <w:shd w:fill="FFDCE0" w:val="clear"/>
          </w:tcPr>
          <w:p>
            <w:r>
              <w:rPr>
                <w:b/>
                <w:sz w:val="17"/>
              </w:rPr>
              <w:t>9,444</w:t>
            </w:r>
          </w:p>
        </w:tc>
        <w:tc>
          <w:tcPr>
            <w:tcW w:type="dxa" w:w="1440"/>
            <w:shd w:fill="FFDCE0" w:val="clear"/>
          </w:tcPr>
          <w:p>
            <w:r>
              <w:rPr>
                <w:sz w:val="17"/>
              </w:rPr>
              <w:t>9,977</w:t>
            </w:r>
          </w:p>
        </w:tc>
        <w:tc>
          <w:tcPr>
            <w:tcW w:type="dxa" w:w="1440"/>
            <w:shd w:fill="FFDCE0" w:val="clear"/>
          </w:tcPr>
          <w:p>
            <w:r>
              <w:rPr>
                <w:b/>
                <w:color w:val="C00000"/>
                <w:sz w:val="17"/>
              </w:rPr>
              <w:t>-3.1%</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8,735</w:t>
            </w:r>
          </w:p>
        </w:tc>
        <w:tc>
          <w:tcPr>
            <w:tcW w:type="dxa" w:w="1440"/>
            <w:shd w:fill="FFDCE0" w:val="clear"/>
          </w:tcPr>
          <w:p>
            <w:r>
              <w:rPr>
                <w:b/>
                <w:sz w:val="17"/>
              </w:rPr>
              <w:t>9,384</w:t>
            </w:r>
          </w:p>
        </w:tc>
        <w:tc>
          <w:tcPr>
            <w:tcW w:type="dxa" w:w="1440"/>
            <w:shd w:fill="FFDCE0" w:val="clear"/>
          </w:tcPr>
          <w:p>
            <w:r>
              <w:rPr>
                <w:sz w:val="17"/>
              </w:rPr>
              <w:t>10,033</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8,603</w:t>
            </w:r>
          </w:p>
        </w:tc>
        <w:tc>
          <w:tcPr>
            <w:tcW w:type="dxa" w:w="1440"/>
            <w:shd w:fill="FFDCE0" w:val="clear"/>
          </w:tcPr>
          <w:p>
            <w:r>
              <w:rPr>
                <w:b/>
                <w:sz w:val="17"/>
              </w:rPr>
              <w:t>9,349</w:t>
            </w:r>
          </w:p>
        </w:tc>
        <w:tc>
          <w:tcPr>
            <w:tcW w:type="dxa" w:w="1440"/>
            <w:shd w:fill="FFDCE0" w:val="clear"/>
          </w:tcPr>
          <w:p>
            <w:r>
              <w:rPr>
                <w:sz w:val="17"/>
              </w:rPr>
              <w:t>10,095</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8,490</w:t>
            </w:r>
          </w:p>
        </w:tc>
        <w:tc>
          <w:tcPr>
            <w:tcW w:type="dxa" w:w="1440"/>
            <w:shd w:fill="FFDCE0" w:val="clear"/>
          </w:tcPr>
          <w:p>
            <w:r>
              <w:rPr>
                <w:b/>
                <w:sz w:val="17"/>
              </w:rPr>
              <w:t>9,322</w:t>
            </w:r>
          </w:p>
        </w:tc>
        <w:tc>
          <w:tcPr>
            <w:tcW w:type="dxa" w:w="1440"/>
            <w:shd w:fill="FFDCE0" w:val="clear"/>
          </w:tcPr>
          <w:p>
            <w:r>
              <w:rPr>
                <w:sz w:val="17"/>
              </w:rPr>
              <w:t>10,154</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8,389</w:t>
            </w:r>
          </w:p>
        </w:tc>
        <w:tc>
          <w:tcPr>
            <w:tcW w:type="dxa" w:w="1440"/>
            <w:shd w:fill="FFDCE0" w:val="clear"/>
          </w:tcPr>
          <w:p>
            <w:r>
              <w:rPr>
                <w:b/>
                <w:sz w:val="17"/>
              </w:rPr>
              <w:t>9,298</w:t>
            </w:r>
          </w:p>
        </w:tc>
        <w:tc>
          <w:tcPr>
            <w:tcW w:type="dxa" w:w="1440"/>
            <w:shd w:fill="FFDCE0" w:val="clear"/>
          </w:tcPr>
          <w:p>
            <w:r>
              <w:rPr>
                <w:sz w:val="17"/>
              </w:rPr>
              <w:t>10,207</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8,296</w:t>
            </w:r>
          </w:p>
        </w:tc>
        <w:tc>
          <w:tcPr>
            <w:tcW w:type="dxa" w:w="1440"/>
            <w:shd w:fill="FFDCE0" w:val="clear"/>
          </w:tcPr>
          <w:p>
            <w:r>
              <w:rPr>
                <w:b/>
                <w:sz w:val="17"/>
              </w:rPr>
              <w:t>9,276</w:t>
            </w:r>
          </w:p>
        </w:tc>
        <w:tc>
          <w:tcPr>
            <w:tcW w:type="dxa" w:w="1440"/>
            <w:shd w:fill="FFDCE0" w:val="clear"/>
          </w:tcPr>
          <w:p>
            <w:r>
              <w:rPr>
                <w:sz w:val="17"/>
              </w:rPr>
              <w:t>10,255</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8,210</w:t>
            </w:r>
          </w:p>
        </w:tc>
        <w:tc>
          <w:tcPr>
            <w:tcW w:type="dxa" w:w="1440"/>
            <w:shd w:fill="FFDCE0" w:val="clear"/>
          </w:tcPr>
          <w:p>
            <w:r>
              <w:rPr>
                <w:b/>
                <w:sz w:val="17"/>
              </w:rPr>
              <w:t>9,254</w:t>
            </w:r>
          </w:p>
        </w:tc>
        <w:tc>
          <w:tcPr>
            <w:tcW w:type="dxa" w:w="1440"/>
            <w:shd w:fill="FFDCE0" w:val="clear"/>
          </w:tcPr>
          <w:p>
            <w:r>
              <w:rPr>
                <w:sz w:val="17"/>
              </w:rPr>
              <w:t>10,299</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8,129</w:t>
            </w:r>
          </w:p>
        </w:tc>
        <w:tc>
          <w:tcPr>
            <w:tcW w:type="dxa" w:w="1440"/>
            <w:shd w:fill="FFDCE0" w:val="clear"/>
          </w:tcPr>
          <w:p>
            <w:r>
              <w:rPr>
                <w:b/>
                <w:sz w:val="17"/>
              </w:rPr>
              <w:t>9,234</w:t>
            </w:r>
          </w:p>
        </w:tc>
        <w:tc>
          <w:tcPr>
            <w:tcW w:type="dxa" w:w="1440"/>
            <w:shd w:fill="FFDCE0" w:val="clear"/>
          </w:tcPr>
          <w:p>
            <w:r>
              <w:rPr>
                <w:sz w:val="17"/>
              </w:rPr>
              <w:t>10,340</w:t>
            </w:r>
          </w:p>
        </w:tc>
        <w:tc>
          <w:tcPr>
            <w:tcW w:type="dxa" w:w="1440"/>
            <w:shd w:fill="FFDCE0" w:val="clear"/>
          </w:tcPr>
          <w:p>
            <w:r>
              <w:rPr>
                <w:b/>
                <w:color w:val="C00000"/>
                <w:sz w:val="17"/>
              </w:rPr>
              <w:t>-5.3%</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8,052</w:t>
            </w:r>
          </w:p>
        </w:tc>
        <w:tc>
          <w:tcPr>
            <w:tcW w:type="dxa" w:w="1440"/>
            <w:shd w:fill="FFDCE0" w:val="clear"/>
          </w:tcPr>
          <w:p>
            <w:r>
              <w:rPr>
                <w:b/>
                <w:sz w:val="17"/>
              </w:rPr>
              <w:t>9,216</w:t>
            </w:r>
          </w:p>
        </w:tc>
        <w:tc>
          <w:tcPr>
            <w:tcW w:type="dxa" w:w="1440"/>
            <w:shd w:fill="FFDCE0" w:val="clear"/>
          </w:tcPr>
          <w:p>
            <w:r>
              <w:rPr>
                <w:sz w:val="17"/>
              </w:rPr>
              <w:t>10,379</w:t>
            </w:r>
          </w:p>
        </w:tc>
        <w:tc>
          <w:tcPr>
            <w:tcW w:type="dxa" w:w="1440"/>
            <w:shd w:fill="FFDCE0" w:val="clear"/>
          </w:tcPr>
          <w:p>
            <w:r>
              <w:rPr>
                <w:b/>
                <w:color w:val="C00000"/>
                <w:sz w:val="17"/>
              </w:rPr>
              <w:t>-5.5%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BANK OF AFRICA BÉNIN (BOAB)**</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395,47 milliards FCFA, BOAB s'impose comme l'une des valeurs bancaires de premier plan de la cote BRVM, reflétant la solidité de son bilan de 964,663 milliards FCFA. Le BPA de 496 FCFA par action signifie que chaque titre génère près de 500 FCFA de bénéfice net, un niveau appréciable qui, rapporté au cours actuel de 9 750 FCFA, donne un PER de 19,7x — soit nettement au-dessus de la moyenne du marché BRVM (8-12x), ce qui traduit une prime de qualité et de liquidité accordée par les investisseurs. Le P/B de 3,37x confirme cette appréciation : le marché valorise BOAB à plus de trois fois sa valeur comptable (117,507 milliards FCFA de capitaux propres), une prime de croissance justifiée par un ROE de 17,1%. En revanche, l'EV/EBITDA de 20,1x apparaît très exigeant (&gt;15x), signalant que la valeur d'entreprise intègre déjà des anticipations de performance élevées ; cette cherté relative invite à la prudence sur le potentiel d'appréciation à court terme, même si la qualité des fondamentaux soutient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BOAB affiche une progression totale de +4,84%, avec une accélération marquée lors de la dernière séance (+3,72% en J-1), signe d'un regain d'intérêt acheteur à court terme. Le titre a évolué dans un range de 1 830 FCFA, entre un plus bas de 8 520 FCFA et un plus haut de 10 350 FCFA, le cours actuel de 9 750 FCFA se situant dans la partie supérieure de cette fourchette, ce qui témoigne d'une tendance générale haussière mais avec des phases de consolidation. Les statistiques descriptives révèlent une moyenne de 9 175 FCFA supérieure à la médiane de 8 950 FCFA, confirmant une asymétrie positive (skewness de 0,928) : le cours a passé plus de journées sous sa moyenne, mais les pics haussiers ont tiré la moyenne vers le haut. L'écart-type de 557 FCFA (CV de 6,1%) indique une dispersion modérée autour de la moyenne, tandis que le kurtosis de -0,554 (mésokurtique) suggère une distribution proche de la normale, sans risque excessif de pics extrêmes. La volatilité annualisée de 28,1% positionne le titre dans la catégorie modérée (15-30%), ce qui est cohérent avec un profil bancaire stable mais sensible aux annonces de résultats.</w:t>
      </w:r>
    </w:p>
    <w:p>
      <w:pPr>
        <w:spacing w:after="120" w:line="276" w:lineRule="auto"/>
      </w:pPr>
      <w:r>
        <w:t>---</w:t>
      </w:r>
    </w:p>
    <w:p>
      <w:pPr>
        <w:spacing w:after="120" w:line="276" w:lineRule="auto"/>
      </w:pPr>
      <w:r>
        <w:t>### PARTIE 2 : ANALYSE TECHNIQUE DÉTAILLÉE</w:t>
      </w:r>
    </w:p>
    <w:p>
      <w:pPr>
        <w:spacing w:after="120" w:line="276" w:lineRule="auto"/>
      </w:pPr>
      <w:r>
        <w:t>**Moyennes Mobiles** : La MM20 (9 776,75 FCFA) et la MM50 (9 390,60 FCFA) encadrent le cours actuel de 9 750 FCFA, qui se situe légèrement sous la MM20 mais nettement au-dessus de la MM50. Cette configuration — MM20 &gt; MM50 et cours proche de la MM20 — traduit une dynamique haussière de moyen terme, bien que le titre marque une pause à court terme. La décision technique est à l'**Achat**, portée par le croisement haussier des moyennes et le soutien de la MM50.</w:t>
      </w:r>
    </w:p>
    <w:p>
      <w:pPr>
        <w:spacing w:after="120" w:line="276" w:lineRule="auto"/>
      </w:pPr>
      <w:r>
        <w:t>**Bandes de Bollinger** : Le cours (9 750 FCFA) évolue dans la partie médiane des bandes, entre la borne inférieure (8 726,62 FCFA) et la borne supérieure (10 826,88 FCFA), sans atteindre les extrêmes. Cette position centrale, couplée à une largeur de bande modérée, indique une volatilité contenue et l'absence de signal de surachat ou de survente. La décision est **Neutre**, le marché attendant un catalyseur pour choisir une direction.</w:t>
      </w:r>
    </w:p>
    <w:p>
      <w:pPr>
        <w:spacing w:after="120" w:line="276" w:lineRule="auto"/>
      </w:pPr>
      <w:r>
        <w:t>**MACD** : La valeur du MACD (-93,307) est inférieure à son signal (-22,372), générant un histogramme négatif qui traduit un momentum baissier à court terme. Cette divergence négative, bien que modérée, suggère que la récente hausse du cours pourrait manquer de conviction. La décision est à la **Vente**, appelant à la prudence sur les positions court terme.</w:t>
      </w:r>
    </w:p>
    <w:p>
      <w:pPr>
        <w:spacing w:after="120" w:line="276" w:lineRule="auto"/>
      </w:pPr>
      <w:r>
        <w:t>**RSI** : À 44,891, le RSI se situe dans la zone neutre (30-70), sans signal de surachat (&gt;70) ni de survente (&lt;30). Cette valeur médiane indique un équilibre entre acheteurs et vendeurs, sans pression directionnelle forte. La décision est **Neutre**, le titre n'offrant pas d'opportunité technique immédiate.</w:t>
      </w:r>
    </w:p>
    <w:p>
      <w:pPr>
        <w:spacing w:after="120" w:line="276" w:lineRule="auto"/>
      </w:pPr>
      <w:r>
        <w:t>**Stochastique** : Le %K (68,085) est supérieur au %D (47,991), avec un croisement haussier récent qui suggère une reprise du momentum acheteur à court terme. Cependant, le %K approche de la zone de surachat (80), ce qui limite le potentiel de hausse immédiat. La décision est **Neutre**, le signal haussier étant contrebalancé par le risque de retournement.</w:t>
      </w:r>
    </w:p>
    <w:p>
      <w:pPr>
        <w:spacing w:after="120" w:line="276" w:lineRule="auto"/>
      </w:pPr>
      <w:r>
        <w:t>**Conclusion technique** : Les indicateurs techniques présentent un tableau mitigé. Les moyennes mobiles et le stochastique plaident pour une poursuite de la tendance haussière de moyen terme, tandis que le MACD et la position neutre du RSI/Bollinger invitent à la prudence à court terme. La convergence partielle des signaux — achat sur les MM, vente sur le MACD, neutre ailleurs — suggère une phase de consolidation avant une éventuelle reprise. Un investisseur avisé attendra une confirmation du MACD ou une cassure de la MM20 pour renforcer une position acheteuse.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BOAB affiche un Produit Net Bancaire (PNB) de 51,274 milliards FCFA, en croissance de 10,20% sur un an, porté par des intérêts et produits assimilés de 55,728 milliards FCFA et des commissions de 12,339 milliards FCFA. Le résultat net s'établit à 20,107 milliards FCFA, dégageant une marge nette élevée de 39,22% et un ROE de 17,11% — un niveau excellent (&gt;15%) qui témoigne de la rentabilité des fonds propres (117,507 milliards FCFA). Le ROA de 2,08% reste modeste, reflet de la nature bancaire à fort levier, mais le coefficient d'exploitation de 49,53% (&lt;50%) confirme une efficacité opérationnelle remarquable, avec des charges générales de 22,704 milliards FCFA bien maîtrisées. Le coût du risque, à 22,50% des charges financières (4,686 milliards FCFA de provisions), demeure un point de vigilance, signalant un portefeuille de crédits (391,724 milliards FCFA) exposé à un risque de crédit significatif, bien que couvert par des dépôts clientèle de 711,642 milliards FCFA (ratio dépôts/crédits de 182%, gage de liquidité).</w:t>
      </w:r>
    </w:p>
    <w:p>
      <w:pPr>
        <w:spacing w:after="120" w:line="276" w:lineRule="auto"/>
      </w:pPr>
      <w:r>
        <w:t>**Estimations basées sur les rapports trimestriels** : Le rapport du T1 2026 (publié en 2026) indique un PNB de 12,329 milliards FCFA (+11% en glissement annuel), tiré par des commissions en hausse de 18,9% et une marge nette bancaire en progression de 8,5%. Le résultat net du T1 2026 atteint 4,502 milliards FCFA (+1%), tandis que les dépôts clientèle progressent de 3,5% à 753,7 milliards FCFA sur l'année glissante. Sur cette base, on peut estimer que l'exercice 2026 devrait enregistrer un PNB annuel d'environ 54-55 milliards FCFA (si la dynamique se maintient) et un résultat net de l'ordre de 20,5-21 milliards FCFA, soit une légère croissance par rapport à 2025. Le rapport du T3 2025 (daté du 30 septembre 2025) confirmait déjà cette tendance avec un PNB trimestriel de 37,065 milliards FCFA (+9%) et un résultat net de 15,880 milliards FCFA (+13%), malgré une contraction des crédits (-10%) et des dépôts (-5%) — une stratégie assumée de rentabilité sur un bilan en repli. Le rapport du S1 2025 (30 juin 2025) soulignait un ROE de 20,3% et un coefficient d'exploitation de 46,1%, confirmant l'excellence opérationnelle.</w:t>
      </w:r>
    </w:p>
    <w:p>
      <w:pPr>
        <w:spacing w:after="120" w:line="276" w:lineRule="auto"/>
      </w:pPr>
      <w:r>
        <w:t>**Évolution pluriannuelle** : Les états financiers 2024 (rapport du 31 décembre 2024) faisaient état d'un résultat net de 19,647 milliards FCFA, en baisse de 8,7% sur un an, et d'un ROE de 16,7%, avant une reprise en 2025 (20,107 milliards FCFA, ROE 17,1%). Cette trajectoire montre une capacité de rebond après une année 2024 difficile, portée par une augmentation de capital (capital souscrit passé de 20,3 à 40,6 milliards FCFA) qui a renforcé les fonds propres.</w:t>
      </w:r>
    </w:p>
    <w:p>
      <w:pPr>
        <w:spacing w:after="120" w:line="276" w:lineRule="auto"/>
      </w:pPr>
      <w:r>
        <w:t>**Recommandation fondamentale** : BOAB présente des fondamentaux solides — rentabilité élevée (ROE &gt;17%), efficacité opérationnelle (coefficient &lt;50%), base de dépôts importante et liquidité confortable. Les risques résident dans le coût du risque élevé (22,5%) et la contraction des crédits, qui pourraient limiter la croissance future. La dynamique du T1 2026 (+11% de PNB) est encourageante, mais la faible progression du résultat net (+1%) suggère une pression sur les coûts. La recommandation fondamentale est **CONSERVER**, avec un biais positif pour les investisseurs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**Valorisation (Partie 0)** : le PER de 19,7x et le P/B de 3,37x indiquent une surévaluation relative par rapport à la moyenne du marché BRVM (PER 8-12x), bien que justifiée par la qualité des fondamentaux ; l'EV/EBITDA de 20,1x confirme cette cherté. **Comportement du cours (Partie 1)** : la tendance haussière (+4,84% sur 100 jours) avec une volatilité modérée (28,1%) et une asymétrie positive (skewness 0,928) est favorable, mais le kurtosis mésokurtique n'écarte pas les risques de correction. **Signaux techniques (Partie 2)** : la divergence entre les moyennes mobiles (achat) et le MACD (vente) crée une incertitude à court terme, le RSI et le stochastique restant neutres. **Fondamentaux (Partie 3)** : la solidité financière (ROE 17,1%, coefficient d'exploitation 49,5%) et les estimations du T1 2026 (PNB +11%) soutiennent une perspective positive, malgré un coût du risque élevé et une croissance du résultat net limitée (+1%). **Prédictions IA (J+1 à J+10)** : la trajectoire baissière anticipée (9 504 FCFA à 9 322 FCFA, soit -4,4% sur 10 jours) contredit les signaux haussiers des moyennes mobiles et du stochastique, mais s'aligne sur le MACD baissier et la valorisation tendue.</w:t>
      </w:r>
    </w:p>
    <w:p>
      <w:pPr>
        <w:spacing w:after="120" w:line="276" w:lineRule="auto"/>
      </w:pPr>
      <w:r>
        <w:t>**Recommandation finale** : **CONSERVER**. La convergence entre une valorisation exigeante, un MACD baissier et des prédictions IA négatives invite à la prudence à court terme, tandis que les fondamentaux solides et la dynamique du T1 2026 justifient de ne pas vendre. Le niveau de confiance est **Moyen**, en raison de la divergence des signaux techniques et de la dépendance aux prochains résultats trimestriels. Le risque global est **Moyen** (volatilité modérée, coût du risque élevé, mais liquidité et rentabilité solides). L'horizon d'investissement optimal est le **moyen terme (3-12 mois)**, le temps que la consolidation technique s'achève et que les fondamentaux confirment leur trajectoire haussière.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6,442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+51.85%</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18.14% (Élevée) — μ=6,814 FCFA, σ=1,236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β=0.7342 (Défensif) — Cov=0.000051, Var(idx)=0.000069, ρ=0.271,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7,704</w:t>
            </w:r>
          </w:p>
        </w:tc>
        <w:tc>
          <w:tcPr>
            <w:tcW w:type="dxa" w:w="1440"/>
            <w:shd w:fill="FAFAFA" w:val="clear"/>
          </w:tcPr>
          <w:p>
            <w:r>
              <w:rPr>
                <w:b/>
                <w:sz w:val="17"/>
              </w:rPr>
              <w:t>8,104</w:t>
            </w:r>
          </w:p>
        </w:tc>
        <w:tc>
          <w:tcPr>
            <w:tcW w:type="dxa" w:w="1440"/>
            <w:shd w:fill="FAFAFA" w:val="clear"/>
          </w:tcPr>
          <w:p>
            <w:r>
              <w:rPr>
                <w:sz w:val="17"/>
              </w:rPr>
              <w:t>8,503</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7,485</w:t>
            </w:r>
          </w:p>
        </w:tc>
        <w:tc>
          <w:tcPr>
            <w:tcW w:type="dxa" w:w="1440"/>
            <w:shd w:fill="FAFAFA" w:val="clear"/>
          </w:tcPr>
          <w:p>
            <w:r>
              <w:rPr>
                <w:b/>
                <w:sz w:val="17"/>
              </w:rPr>
              <w:t>8,045</w:t>
            </w:r>
          </w:p>
        </w:tc>
        <w:tc>
          <w:tcPr>
            <w:tcW w:type="dxa" w:w="1440"/>
            <w:shd w:fill="FAFAFA" w:val="clear"/>
          </w:tcPr>
          <w:p>
            <w:r>
              <w:rPr>
                <w:sz w:val="17"/>
              </w:rPr>
              <w:t>8,606</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7,319</w:t>
            </w:r>
          </w:p>
        </w:tc>
        <w:tc>
          <w:tcPr>
            <w:tcW w:type="dxa" w:w="1440"/>
            <w:shd w:fill="FFDCE0" w:val="clear"/>
          </w:tcPr>
          <w:p>
            <w:r>
              <w:rPr>
                <w:b/>
                <w:sz w:val="17"/>
              </w:rPr>
              <w:t>8,003</w:t>
            </w:r>
          </w:p>
        </w:tc>
        <w:tc>
          <w:tcPr>
            <w:tcW w:type="dxa" w:w="1440"/>
            <w:shd w:fill="FFDCE0" w:val="clear"/>
          </w:tcPr>
          <w:p>
            <w:r>
              <w:rPr>
                <w:sz w:val="17"/>
              </w:rPr>
              <w:t>8,686</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7,186</w:t>
            </w:r>
          </w:p>
        </w:tc>
        <w:tc>
          <w:tcPr>
            <w:tcW w:type="dxa" w:w="1440"/>
            <w:shd w:fill="FFDCE0" w:val="clear"/>
          </w:tcPr>
          <w:p>
            <w:r>
              <w:rPr>
                <w:b/>
                <w:sz w:val="17"/>
              </w:rPr>
              <w:t>7,972</w:t>
            </w:r>
          </w:p>
        </w:tc>
        <w:tc>
          <w:tcPr>
            <w:tcW w:type="dxa" w:w="1440"/>
            <w:shd w:fill="FFDCE0" w:val="clear"/>
          </w:tcPr>
          <w:p>
            <w:r>
              <w:rPr>
                <w:sz w:val="17"/>
              </w:rPr>
              <w:t>8,758</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7,072</w:t>
            </w:r>
          </w:p>
        </w:tc>
        <w:tc>
          <w:tcPr>
            <w:tcW w:type="dxa" w:w="1440"/>
            <w:shd w:fill="FFDCE0" w:val="clear"/>
          </w:tcPr>
          <w:p>
            <w:r>
              <w:rPr>
                <w:b/>
                <w:sz w:val="17"/>
              </w:rPr>
              <w:t>7,948</w:t>
            </w:r>
          </w:p>
        </w:tc>
        <w:tc>
          <w:tcPr>
            <w:tcW w:type="dxa" w:w="1440"/>
            <w:shd w:fill="FFDCE0" w:val="clear"/>
          </w:tcPr>
          <w:p>
            <w:r>
              <w:rPr>
                <w:sz w:val="17"/>
              </w:rPr>
              <w:t>8,824</w:t>
            </w:r>
          </w:p>
        </w:tc>
        <w:tc>
          <w:tcPr>
            <w:tcW w:type="dxa" w:w="1440"/>
            <w:shd w:fill="FFDCE0" w:val="clear"/>
          </w:tcPr>
          <w:p>
            <w:r>
              <w:rPr>
                <w:b/>
                <w:color w:val="C00000"/>
                <w:sz w:val="17"/>
              </w:rPr>
              <w:t>-3.1%</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6,969</w:t>
            </w:r>
          </w:p>
        </w:tc>
        <w:tc>
          <w:tcPr>
            <w:tcW w:type="dxa" w:w="1440"/>
            <w:shd w:fill="FFDCE0" w:val="clear"/>
          </w:tcPr>
          <w:p>
            <w:r>
              <w:rPr>
                <w:b/>
                <w:sz w:val="17"/>
              </w:rPr>
              <w:t>7,926</w:t>
            </w:r>
          </w:p>
        </w:tc>
        <w:tc>
          <w:tcPr>
            <w:tcW w:type="dxa" w:w="1440"/>
            <w:shd w:fill="FFDCE0" w:val="clear"/>
          </w:tcPr>
          <w:p>
            <w:r>
              <w:rPr>
                <w:sz w:val="17"/>
              </w:rPr>
              <w:t>8,883</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6,875</w:t>
            </w:r>
          </w:p>
        </w:tc>
        <w:tc>
          <w:tcPr>
            <w:tcW w:type="dxa" w:w="1440"/>
            <w:shd w:fill="FFDCE0" w:val="clear"/>
          </w:tcPr>
          <w:p>
            <w:r>
              <w:rPr>
                <w:b/>
                <w:sz w:val="17"/>
              </w:rPr>
              <w:t>7,907</w:t>
            </w:r>
          </w:p>
        </w:tc>
        <w:tc>
          <w:tcPr>
            <w:tcW w:type="dxa" w:w="1440"/>
            <w:shd w:fill="FFDCE0" w:val="clear"/>
          </w:tcPr>
          <w:p>
            <w:r>
              <w:rPr>
                <w:sz w:val="17"/>
              </w:rPr>
              <w:t>8,938</w:t>
            </w:r>
          </w:p>
        </w:tc>
        <w:tc>
          <w:tcPr>
            <w:tcW w:type="dxa" w:w="1440"/>
            <w:shd w:fill="FFDCE0" w:val="clear"/>
          </w:tcPr>
          <w:p>
            <w:r>
              <w:rPr>
                <w:b/>
                <w:color w:val="C00000"/>
                <w:sz w:val="17"/>
              </w:rPr>
              <w:t>-3.6%</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6,788</w:t>
            </w:r>
          </w:p>
        </w:tc>
        <w:tc>
          <w:tcPr>
            <w:tcW w:type="dxa" w:w="1440"/>
            <w:shd w:fill="FFDCE0" w:val="clear"/>
          </w:tcPr>
          <w:p>
            <w:r>
              <w:rPr>
                <w:b/>
                <w:sz w:val="17"/>
              </w:rPr>
              <w:t>7,887</w:t>
            </w:r>
          </w:p>
        </w:tc>
        <w:tc>
          <w:tcPr>
            <w:tcW w:type="dxa" w:w="1440"/>
            <w:shd w:fill="FFDCE0" w:val="clear"/>
          </w:tcPr>
          <w:p>
            <w:r>
              <w:rPr>
                <w:sz w:val="17"/>
              </w:rPr>
              <w:t>8,987</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6,705</w:t>
            </w:r>
          </w:p>
        </w:tc>
        <w:tc>
          <w:tcPr>
            <w:tcW w:type="dxa" w:w="1440"/>
            <w:shd w:fill="FFDCE0" w:val="clear"/>
          </w:tcPr>
          <w:p>
            <w:r>
              <w:rPr>
                <w:b/>
                <w:sz w:val="17"/>
              </w:rPr>
              <w:t>7,869</w:t>
            </w:r>
          </w:p>
        </w:tc>
        <w:tc>
          <w:tcPr>
            <w:tcW w:type="dxa" w:w="1440"/>
            <w:shd w:fill="FFDCE0" w:val="clear"/>
          </w:tcPr>
          <w:p>
            <w:r>
              <w:rPr>
                <w:sz w:val="17"/>
              </w:rPr>
              <w:t>9,033</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6,627</w:t>
            </w:r>
          </w:p>
        </w:tc>
        <w:tc>
          <w:tcPr>
            <w:tcW w:type="dxa" w:w="1440"/>
            <w:shd w:fill="FFDCE0" w:val="clear"/>
          </w:tcPr>
          <w:p>
            <w:r>
              <w:rPr>
                <w:b/>
                <w:sz w:val="17"/>
              </w:rPr>
              <w:t>7,851</w:t>
            </w:r>
          </w:p>
        </w:tc>
        <w:tc>
          <w:tcPr>
            <w:tcW w:type="dxa" w:w="1440"/>
            <w:shd w:fill="FFDCE0" w:val="clear"/>
          </w:tcPr>
          <w:p>
            <w:r>
              <w:rPr>
                <w:sz w:val="17"/>
              </w:rPr>
              <w:t>9,075</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BANK OF AFRICA BURKINA FASO (BOABF)**</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360,80 milliards FCFA, BOABF se positionne parmi les valeurs bancaires de premier plan de la cote BRVM, ce qui témoigne de la solidité de son assise institutionnelle au sein de l'Union Économique et Monétaire Ouest-Africaine. Le BPA de 438 FCFA par action signifie que chaque titre génère près de 438 FCFA de bénéfice net, un niveau de rentabilité par action appréciable pour le secteur. Le PER de 18,7x situe le titre nettement au-dessus de la moyenne du marché BRVM (généralement comprise entre 8 et 12x), ce qui indique que les investisseurs acceptent de payer une prime significative pour les bénéfices de la banque, probablement en anticipation d'une amélioration de la rentabilité. Le P/B de 2,85x traduit une valorisation supérieure à la valeur comptable, cohérente avec la prime de croissance accordée aux banques bien capitalisées et rentables. Enfin, l'EV/EBITDA de 8,4x, dans la fourchette raisonnable de 5-10x, suggère que la valeur totale de l'entreprise reste proportionnée à sa capacité opérationnelle,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enregistré une progression spectaculaire de +51,85%, avec une dernière séance quasi stable (+0,12%), portant le cours actuel à 8 200 FCFA. Le range de trading est particulièrement large, le titre ayant oscillé entre un plus bas de 5 300 FCFA et un plus haut de 9 090 FCFA, soit un écart de près de 72% entre les deux extrêmes — signe d'une forte dynamique haussière entrecoupée de corrections. La tendance générale est donc clairement haussière, soutenue par un intérêt marqué des investisseurs pour le titre. Les statistiques descriptives révèlent une moyenne de 6 814 FCFA inférieure à la médiane de 7 100 FCFA, ce qui indique une distribution légèrement asymétrique avec une concentration des cours vers le haut de la fourchette en fin de période. L'écart-type de 1 242 FCFA (CV de 18,2%) traduit une dispersion modérée du cours autour de sa moyenne, tandis que le kurtosis négatif (-1,194, distribution platykurtique) signale une distribution aplatie avec un risque de pics extrêmes relativement faible. Le skewness positif (0,378) confirme une asymétrie légèrement favorable aux hausses. Enfin, la volatilité annualisée de 35,5% classe le titre dans la catégorie des valeurs à volatilité élevée (&gt;30%), ce qui implique un risque de fluctuation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(8 357,25 FCFA) et la MM50 (7 888,50 FCFA) se situent toutes deux au-dessus du cours actuel (8 200 FCFA), ce qui place le titre en dessous de ses moyennes court et moyen terme. Cette configuration suggère une pression baissière récente, bien que la décision affichée soit "Achat", probablement en raison de la tendance haussière de fond sur 100 jours. Le croisement potentiel de la MM20 au-dessus de la MM50 reste un signal positif à surveiller.</w:t>
      </w:r>
    </w:p>
    <w:p>
      <w:pPr>
        <w:spacing w:after="120" w:line="276" w:lineRule="auto"/>
      </w:pPr>
      <w:r>
        <w:t>**Bandes de Bollinger** : Le cours actuel (8 200 FCFA) se situe dans la partie inférieure de la bande de Bollinger, entre la borne inférieure (7 279,51 FCFA) et la borne supérieure (9 434,99 FCFA). Cette position médiane-basse indique que le titre n'est ni suracheté ni survendu, mais qu'il évolue dans un canal de volatilité normale. La décision "Neutre" reflète l'absence de signal directionnel fort, le cours se maintenant à distance des deux extrêmes.</w:t>
      </w:r>
    </w:p>
    <w:p>
      <w:pPr>
        <w:spacing w:after="120" w:line="276" w:lineRule="auto"/>
      </w:pPr>
      <w:r>
        <w:t>**MACD** : La valeur du MACD (2,564) est très inférieure à son signal (54,743), générant une divergence baissière marquée. Cet écart important indique un essoufflement du momentum haussier et un risque de correction à court terme. La décision "Vente" confirme cette lecture baissière, le MACD ayant probablement franchi son signal à la baisse récemment.</w:t>
      </w:r>
    </w:p>
    <w:p>
      <w:pPr>
        <w:spacing w:after="120" w:line="276" w:lineRule="auto"/>
      </w:pPr>
      <w:r>
        <w:t>**RSI** : Avec une valeur de 34,799, le RSI se situe dans la zone neutre basse, proche du seuil de survente (30). Cela signifie que le titre n'est pas encore techniquement survendu, mais qu'il s'approche d'une zone où une reprise technique pourrait se matérialiser. La décision "Neutre" est cohérente avec cette position intermédiaire, sans signal extrême.</w:t>
      </w:r>
    </w:p>
    <w:p>
      <w:pPr>
        <w:spacing w:after="120" w:line="276" w:lineRule="auto"/>
      </w:pPr>
      <w:r>
        <w:t>**Stochastique** : Le %K (50,314) et le %D (52,09) évoluent tous deux en zone neutre, avec un %K légèrement inférieur au %D. Cette configuration suggère l'absence de croisement significatif et un momentum équilibré. La décision "Neutre" reflète cette absence de signal directionnel clair, le stochastique n'indiquant ni surachat ni survente.</w:t>
      </w:r>
    </w:p>
    <w:p>
      <w:pPr>
        <w:spacing w:after="120" w:line="276" w:lineRule="auto"/>
      </w:pPr>
      <w:r>
        <w:t>**Conclusion technique** : Les indicateurs techniques présentent une image mitigée. Si la tendance de fond reste haussière (MM20 &gt; MM50, décision "Achat" sur les moyennes mobiles), le MACD affiche une divergence baissière préoccupante et le RSI s'approche de la zone de survente. Les Bandes de Bollinger et le Stochastique restent neutres, sans signal fort. Cette configuration suggère une phase de consolidation ou de correction à court terme, avec un potentiel de rebond technique si le RSI franchit le seuil de 30.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BOABF a réalisé un Produit Net Bancaire (PNB) de 57 820 millions FCFA, quasi stable par rapport à 2024 (+0,6%), avec un résultat net de 19 252 millions FCFA, en recul de -14,1% sur un an. Cette baisse de rentabilité s'explique principalement par un coût du risque qui a quasiment doublé, passant de -4 303 à -8 355 millions FCFA, reflétant une dégradation de la qualité du portefeuille de crédits. Le ROE s'établit à 15,22%, un niveau qui reste excellent (&gt;15%) malgré la pression, et le ROA à 1,68%, confirmant la rentabilité des actifs. Le coefficient d'exploitation de 47,19% est excellent (&lt;50%), témoignant d'une grande efficacité opérationnelle. Le ratio dépôts/crédits (877 822 / 474 064 = 1,85x) indique une surliquidité, la banque collectant près de deux fois plus de dépôts qu'elle n'accorde de crédits, ce qui limite le rendement des actifs mais renforce la solidité du bilan. Le coût du risque/charges financières de 33,92% reste élevé, signalant un risque de crédit significatif.</w:t>
      </w:r>
    </w:p>
    <w:p>
      <w:pPr>
        <w:spacing w:after="120" w:line="276" w:lineRule="auto"/>
      </w:pPr>
      <w:r>
        <w:t>**Estimations basées sur les rapports trimestriels** : Le rapport du T1 2026 (publié le 31/03/2026) montre un PNB de 12 694 millions FCFA, en baisse de -10,75% sur un an, et un résultat net de 4 520 millions FCFA (-12,99%). Le rapport du S1 2026 (publié le 30/06/2026) indique un PNB de 27 539 millions FCFA (-5,2%) mais un résultat net de 10 770 millions FCFA (+31,0%), porté par une amélioration spectaculaire du coût du risque (-65,2% à -2 396 millions). Sur la base de ces tendances, on peut estimer que l'exercice 2026 devrait bénéficier d'une normalisation du coût du risque, avec un résultat net potentiellement en hausse de 15-20% par rapport à 2025, malgré un PNB toujours sous pression. Le rapport du S1 2026 souligne cependant que cette amélioration de la rentabilité est davantage due à une base de comparaison favorable qu'à une réelle accélération commerciale, la direction mettant en avant la hausse des dépôts (+7,4%) et des crédits (+1,3%) sans mentionner le repli du PNB.</w:t>
      </w:r>
    </w:p>
    <w:p>
      <w:pPr>
        <w:spacing w:after="120" w:line="276" w:lineRule="auto"/>
      </w:pPr>
      <w:r>
        <w:t>**Recommandation fondamentale** : La solidité financière de BOABF reste avérée (ROE &gt;15%, coefficient d'exploitation &lt;50%, surliquidité), mais les défis structurels persistent : stagnation du PNB, coût du risque élevé et dépendance à un environnement économique et sécuritaire difficile au Burkina Faso. La recommandation des analystes est "CONSERVER", avec un risque modéré et des perspectives à moyen terme dépendantes de la capacité de la banque à redresser sa dynamique commerciale.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 PER de 18,7x et le P/B de 2,85x indiquent une prime significative par rapport au marché BRVM, suggérant que le titre intègre déjà une bonne partie des anticipations de reprise. Le **comportement du cours (Partie 1)** est haussier sur 100 jours (+51,85%) mais avec une volatilité élevée (35,5%) et une distribution platykurtique, ce qui implique un risque de corrections brutales. Les **signaux techniques (Partie 2)** sont mitigés : la tendance de fond reste positive (MM20 &gt; MM50), mais le MACD affiche une divergence baissière et le RSI s'approche de la survente, plaidant pour une consolidation à court terme. Les **fondamentaux (Partie 3)** révèlent une banque solide mais confrontée à une stagnation de son PNB et à un coût du risque élevé, avec une amélioration attendue en 2026 grâce à la normalisation des provisions. Les **prédictions IA (J+1 à J+10)** anticipent une trajectoire baissière progressive, de 8 104 FCFA à 7 948 FCFA, ce qui contredit la tendance haussière de fond mais confirme les signaux techniques baissiers à court terme.</w:t>
      </w:r>
    </w:p>
    <w:p>
      <w:pPr>
        <w:spacing w:after="120" w:line="276" w:lineRule="auto"/>
      </w:pPr>
      <w:r>
        <w:t>**Recommandation finale : CONSERVER**. La convergence entre une valorisation exigeante, des signaux techniques mitigés et des fondamentaux en amélioration mais fragiles justifie une position attentiste. Le niveau de confiance est **Moyen**, car si la solidité financière de la banque est indéniable, les incertitudes sur la croissance du PNB et l'environnement sécuritaire au Burkina Faso pèsent sur les perspectives. Le niveau de risque global est **Moyen à Élevé**, compte tenu de la volatilité du titre et des défis structurels. L'horizon d'investissement optimal est le **moyen terme (3-12 mois)**, le temps que la normalisation du coût du risque se confirme et que la dynamique commerciale se redresse, avec un potentiel de revalorisation si les résultats 2026 dépassent les attentes.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10,872 titres</w:t>
            </w:r>
          </w:p>
        </w:tc>
        <w:tc>
          <w:tcPr>
            <w:tcW w:type="dxa" w:w="2268"/>
            <w:shd w:fill="FFF2CC" w:val="clear"/>
          </w:tcPr>
          <w:p>
            <w:r>
              <w:rPr>
                <w:b/>
                <w:color w:val="503200"/>
                <w:sz w:val="16"/>
              </w:rPr>
              <w:t xml:space="preserve">Cours actuel : </w:t>
            </w:r>
            <w:r>
              <w:rPr>
                <w:color w:val="000000"/>
                <w:sz w:val="17"/>
              </w:rPr>
              <w:t>11,500 FCFA</w:t>
            </w:r>
          </w:p>
          <w:p>
            <w:r>
              <w:rPr>
                <w:b/>
                <w:color w:val="503200"/>
                <w:sz w:val="16"/>
              </w:rPr>
              <w:t xml:space="preserve">Var. 100 jours : </w:t>
            </w:r>
            <w:r>
              <w:rPr>
                <w:b/>
                <w:color w:val="007800"/>
                <w:sz w:val="17"/>
              </w:rPr>
              <w:t>+32.95%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14.98% (Moyenne) — μ=10,502 FCFA, σ=1,573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β=0.7513 (Défensif) — Cov=0.000052, Var(idx)=0.000069, ρ=0.353,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10,872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11,201</w:t>
            </w:r>
          </w:p>
        </w:tc>
        <w:tc>
          <w:tcPr>
            <w:tcW w:type="dxa" w:w="1440"/>
            <w:shd w:fill="FAFAFA" w:val="clear"/>
          </w:tcPr>
          <w:p>
            <w:r>
              <w:rPr>
                <w:b/>
                <w:sz w:val="17"/>
              </w:rPr>
              <w:t>11,538</w:t>
            </w:r>
          </w:p>
        </w:tc>
        <w:tc>
          <w:tcPr>
            <w:tcW w:type="dxa" w:w="1440"/>
            <w:shd w:fill="FAFAFA" w:val="clear"/>
          </w:tcPr>
          <w:p>
            <w:r>
              <w:rPr>
                <w:sz w:val="17"/>
              </w:rPr>
              <w:t>11,874</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11,063</w:t>
            </w:r>
          </w:p>
        </w:tc>
        <w:tc>
          <w:tcPr>
            <w:tcW w:type="dxa" w:w="1440"/>
            <w:shd w:fill="FAFAFA" w:val="clear"/>
          </w:tcPr>
          <w:p>
            <w:r>
              <w:rPr>
                <w:b/>
                <w:sz w:val="17"/>
              </w:rPr>
              <w:t>11,538</w:t>
            </w:r>
          </w:p>
        </w:tc>
        <w:tc>
          <w:tcPr>
            <w:tcW w:type="dxa" w:w="1440"/>
            <w:shd w:fill="FAFAFA" w:val="clear"/>
          </w:tcPr>
          <w:p>
            <w:r>
              <w:rPr>
                <w:sz w:val="17"/>
              </w:rPr>
              <w:t>12,014</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10,963</w:t>
            </w:r>
          </w:p>
        </w:tc>
        <w:tc>
          <w:tcPr>
            <w:tcW w:type="dxa" w:w="1440"/>
            <w:shd w:fill="FAFAFA" w:val="clear"/>
          </w:tcPr>
          <w:p>
            <w:r>
              <w:rPr>
                <w:b/>
                <w:sz w:val="17"/>
              </w:rPr>
              <w:t>11,546</w:t>
            </w:r>
          </w:p>
        </w:tc>
        <w:tc>
          <w:tcPr>
            <w:tcW w:type="dxa" w:w="1440"/>
            <w:shd w:fill="FAFAFA" w:val="clear"/>
          </w:tcPr>
          <w:p>
            <w:r>
              <w:rPr>
                <w:sz w:val="17"/>
              </w:rPr>
              <w:t>12,130</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2026-10-06</w:t>
            </w:r>
          </w:p>
        </w:tc>
        <w:tc>
          <w:tcPr>
            <w:tcW w:type="dxa" w:w="1440"/>
            <w:shd w:fill="FAFAFA" w:val="clear"/>
          </w:tcPr>
          <w:p>
            <w:r>
              <w:rPr>
                <w:sz w:val="17"/>
              </w:rPr>
              <w:t>10,881</w:t>
            </w:r>
          </w:p>
        </w:tc>
        <w:tc>
          <w:tcPr>
            <w:tcW w:type="dxa" w:w="1440"/>
            <w:shd w:fill="FAFAFA" w:val="clear"/>
          </w:tcPr>
          <w:p>
            <w:r>
              <w:rPr>
                <w:b/>
                <w:sz w:val="17"/>
              </w:rPr>
              <w:t>11,555</w:t>
            </w:r>
          </w:p>
        </w:tc>
        <w:tc>
          <w:tcPr>
            <w:tcW w:type="dxa" w:w="1440"/>
            <w:shd w:fill="FAFAFA" w:val="clear"/>
          </w:tcPr>
          <w:p>
            <w:r>
              <w:rPr>
                <w:sz w:val="17"/>
              </w:rPr>
              <w:t>12,229</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2026-10-07</w:t>
            </w:r>
          </w:p>
        </w:tc>
        <w:tc>
          <w:tcPr>
            <w:tcW w:type="dxa" w:w="1440"/>
            <w:shd w:fill="FAFAFA" w:val="clear"/>
          </w:tcPr>
          <w:p>
            <w:r>
              <w:rPr>
                <w:sz w:val="17"/>
              </w:rPr>
              <w:t>10,810</w:t>
            </w:r>
          </w:p>
        </w:tc>
        <w:tc>
          <w:tcPr>
            <w:tcW w:type="dxa" w:w="1440"/>
            <w:shd w:fill="FAFAFA" w:val="clear"/>
          </w:tcPr>
          <w:p>
            <w:r>
              <w:rPr>
                <w:b/>
                <w:sz w:val="17"/>
              </w:rPr>
              <w:t>11,564</w:t>
            </w:r>
          </w:p>
        </w:tc>
        <w:tc>
          <w:tcPr>
            <w:tcW w:type="dxa" w:w="1440"/>
            <w:shd w:fill="FAFAFA" w:val="clear"/>
          </w:tcPr>
          <w:p>
            <w:r>
              <w:rPr>
                <w:sz w:val="17"/>
              </w:rPr>
              <w:t>12,317</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2026-10-08</w:t>
            </w:r>
          </w:p>
        </w:tc>
        <w:tc>
          <w:tcPr>
            <w:tcW w:type="dxa" w:w="1440"/>
            <w:shd w:fill="FAFAFA" w:val="clear"/>
          </w:tcPr>
          <w:p>
            <w:r>
              <w:rPr>
                <w:sz w:val="17"/>
              </w:rPr>
              <w:t>10,745</w:t>
            </w:r>
          </w:p>
        </w:tc>
        <w:tc>
          <w:tcPr>
            <w:tcW w:type="dxa" w:w="1440"/>
            <w:shd w:fill="FAFAFA" w:val="clear"/>
          </w:tcPr>
          <w:p>
            <w:r>
              <w:rPr>
                <w:b/>
                <w:sz w:val="17"/>
              </w:rPr>
              <w:t>11,572</w:t>
            </w:r>
          </w:p>
        </w:tc>
        <w:tc>
          <w:tcPr>
            <w:tcW w:type="dxa" w:w="1440"/>
            <w:shd w:fill="FAFAFA" w:val="clear"/>
          </w:tcPr>
          <w:p>
            <w:r>
              <w:rPr>
                <w:sz w:val="17"/>
              </w:rPr>
              <w:t>12,398</w:t>
            </w:r>
          </w:p>
        </w:tc>
        <w:tc>
          <w:tcPr>
            <w:tcW w:type="dxa" w:w="1440"/>
            <w:shd w:fill="FAFAFA" w:val="clear"/>
          </w:tcPr>
          <w:p>
            <w:r>
              <w:rPr>
                <w:b/>
                <w:color w:val="008000"/>
                <w:sz w:val="17"/>
              </w:rPr>
              <w:t>+0.6%</w:t>
            </w:r>
          </w:p>
        </w:tc>
      </w:tr>
      <w:tr>
        <w:tc>
          <w:tcPr>
            <w:tcW w:type="dxa" w:w="1440"/>
            <w:shd w:fill="FAFAFA" w:val="clear"/>
          </w:tcPr>
          <w:p>
            <w:r>
              <w:rPr>
                <w:sz w:val="17"/>
              </w:rPr>
              <w:t>J+7  Moyenne</w:t>
            </w:r>
          </w:p>
        </w:tc>
        <w:tc>
          <w:tcPr>
            <w:tcW w:type="dxa" w:w="1440"/>
            <w:shd w:fill="FAFAFA" w:val="clear"/>
          </w:tcPr>
          <w:p>
            <w:r>
              <w:rPr>
                <w:sz w:val="17"/>
              </w:rPr>
              <w:t>2026-10-09</w:t>
            </w:r>
          </w:p>
        </w:tc>
        <w:tc>
          <w:tcPr>
            <w:tcW w:type="dxa" w:w="1440"/>
            <w:shd w:fill="FAFAFA" w:val="clear"/>
          </w:tcPr>
          <w:p>
            <w:r>
              <w:rPr>
                <w:sz w:val="17"/>
              </w:rPr>
              <w:t>10,686</w:t>
            </w:r>
          </w:p>
        </w:tc>
        <w:tc>
          <w:tcPr>
            <w:tcW w:type="dxa" w:w="1440"/>
            <w:shd w:fill="FAFAFA" w:val="clear"/>
          </w:tcPr>
          <w:p>
            <w:r>
              <w:rPr>
                <w:b/>
                <w:sz w:val="17"/>
              </w:rPr>
              <w:t>11,580</w:t>
            </w:r>
          </w:p>
        </w:tc>
        <w:tc>
          <w:tcPr>
            <w:tcW w:type="dxa" w:w="1440"/>
            <w:shd w:fill="FAFAFA" w:val="clear"/>
          </w:tcPr>
          <w:p>
            <w:r>
              <w:rPr>
                <w:sz w:val="17"/>
              </w:rPr>
              <w:t>12,473</w:t>
            </w:r>
          </w:p>
        </w:tc>
        <w:tc>
          <w:tcPr>
            <w:tcW w:type="dxa" w:w="1440"/>
            <w:shd w:fill="FAFAFA" w:val="clear"/>
          </w:tcPr>
          <w:p>
            <w:r>
              <w:rPr>
                <w:b/>
                <w:color w:val="008000"/>
                <w:sz w:val="17"/>
              </w:rPr>
              <w:t>+0.7%</w:t>
            </w:r>
          </w:p>
        </w:tc>
      </w:tr>
      <w:tr>
        <w:tc>
          <w:tcPr>
            <w:tcW w:type="dxa" w:w="1440"/>
            <w:shd w:fill="FAFAFA" w:val="clear"/>
          </w:tcPr>
          <w:p>
            <w:r>
              <w:rPr>
                <w:sz w:val="17"/>
              </w:rPr>
              <w:t>J+8  Moyenne</w:t>
            </w:r>
          </w:p>
        </w:tc>
        <w:tc>
          <w:tcPr>
            <w:tcW w:type="dxa" w:w="1440"/>
            <w:shd w:fill="FAFAFA" w:val="clear"/>
          </w:tcPr>
          <w:p>
            <w:r>
              <w:rPr>
                <w:sz w:val="17"/>
              </w:rPr>
              <w:t>2026-10-12</w:t>
            </w:r>
          </w:p>
        </w:tc>
        <w:tc>
          <w:tcPr>
            <w:tcW w:type="dxa" w:w="1440"/>
            <w:shd w:fill="FAFAFA" w:val="clear"/>
          </w:tcPr>
          <w:p>
            <w:r>
              <w:rPr>
                <w:sz w:val="17"/>
              </w:rPr>
              <w:t>10,631</w:t>
            </w:r>
          </w:p>
        </w:tc>
        <w:tc>
          <w:tcPr>
            <w:tcW w:type="dxa" w:w="1440"/>
            <w:shd w:fill="FAFAFA" w:val="clear"/>
          </w:tcPr>
          <w:p>
            <w:r>
              <w:rPr>
                <w:b/>
                <w:sz w:val="17"/>
              </w:rPr>
              <w:t>11,587</w:t>
            </w:r>
          </w:p>
        </w:tc>
        <w:tc>
          <w:tcPr>
            <w:tcW w:type="dxa" w:w="1440"/>
            <w:shd w:fill="FAFAFA" w:val="clear"/>
          </w:tcPr>
          <w:p>
            <w:r>
              <w:rPr>
                <w:sz w:val="17"/>
              </w:rPr>
              <w:t>12,542</w:t>
            </w:r>
          </w:p>
        </w:tc>
        <w:tc>
          <w:tcPr>
            <w:tcW w:type="dxa" w:w="1440"/>
            <w:shd w:fill="FAFAFA" w:val="clear"/>
          </w:tcPr>
          <w:p>
            <w:r>
              <w:rPr>
                <w:b/>
                <w:color w:val="008000"/>
                <w:sz w:val="17"/>
              </w:rPr>
              <w:t>+0.8%</w:t>
            </w:r>
          </w:p>
        </w:tc>
      </w:tr>
      <w:tr>
        <w:tc>
          <w:tcPr>
            <w:tcW w:type="dxa" w:w="1440"/>
            <w:shd w:fill="FAFAFA" w:val="clear"/>
          </w:tcPr>
          <w:p>
            <w:r>
              <w:rPr>
                <w:sz w:val="17"/>
              </w:rPr>
              <w:t>J+9  Moyenne</w:t>
            </w:r>
          </w:p>
        </w:tc>
        <w:tc>
          <w:tcPr>
            <w:tcW w:type="dxa" w:w="1440"/>
            <w:shd w:fill="FAFAFA" w:val="clear"/>
          </w:tcPr>
          <w:p>
            <w:r>
              <w:rPr>
                <w:sz w:val="17"/>
              </w:rPr>
              <w:t>2026-10-13</w:t>
            </w:r>
          </w:p>
        </w:tc>
        <w:tc>
          <w:tcPr>
            <w:tcW w:type="dxa" w:w="1440"/>
            <w:shd w:fill="FAFAFA" w:val="clear"/>
          </w:tcPr>
          <w:p>
            <w:r>
              <w:rPr>
                <w:sz w:val="17"/>
              </w:rPr>
              <w:t>10,580</w:t>
            </w:r>
          </w:p>
        </w:tc>
        <w:tc>
          <w:tcPr>
            <w:tcW w:type="dxa" w:w="1440"/>
            <w:shd w:fill="FAFAFA" w:val="clear"/>
          </w:tcPr>
          <w:p>
            <w:r>
              <w:rPr>
                <w:b/>
                <w:sz w:val="17"/>
              </w:rPr>
              <w:t>11,594</w:t>
            </w:r>
          </w:p>
        </w:tc>
        <w:tc>
          <w:tcPr>
            <w:tcW w:type="dxa" w:w="1440"/>
            <w:shd w:fill="FAFAFA" w:val="clear"/>
          </w:tcPr>
          <w:p>
            <w:r>
              <w:rPr>
                <w:sz w:val="17"/>
              </w:rPr>
              <w:t>12,608</w:t>
            </w:r>
          </w:p>
        </w:tc>
        <w:tc>
          <w:tcPr>
            <w:tcW w:type="dxa" w:w="1440"/>
            <w:shd w:fill="FAFAFA" w:val="clear"/>
          </w:tcPr>
          <w:p>
            <w:r>
              <w:rPr>
                <w:b/>
                <w:color w:val="008000"/>
                <w:sz w:val="17"/>
              </w:rPr>
              <w:t>+0.8%</w:t>
            </w:r>
          </w:p>
        </w:tc>
      </w:tr>
      <w:tr>
        <w:tc>
          <w:tcPr>
            <w:tcW w:type="dxa" w:w="1440"/>
            <w:shd w:fill="FAFAFA" w:val="clear"/>
          </w:tcPr>
          <w:p>
            <w:r>
              <w:rPr>
                <w:sz w:val="17"/>
              </w:rPr>
              <w:t>J+10  Moyenne</w:t>
            </w:r>
          </w:p>
        </w:tc>
        <w:tc>
          <w:tcPr>
            <w:tcW w:type="dxa" w:w="1440"/>
            <w:shd w:fill="FAFAFA" w:val="clear"/>
          </w:tcPr>
          <w:p>
            <w:r>
              <w:rPr>
                <w:sz w:val="17"/>
              </w:rPr>
              <w:t>2026-10-14</w:t>
            </w:r>
          </w:p>
        </w:tc>
        <w:tc>
          <w:tcPr>
            <w:tcW w:type="dxa" w:w="1440"/>
            <w:shd w:fill="FAFAFA" w:val="clear"/>
          </w:tcPr>
          <w:p>
            <w:r>
              <w:rPr>
                <w:sz w:val="17"/>
              </w:rPr>
              <w:t>10,531</w:t>
            </w:r>
          </w:p>
        </w:tc>
        <w:tc>
          <w:tcPr>
            <w:tcW w:type="dxa" w:w="1440"/>
            <w:shd w:fill="FAFAFA" w:val="clear"/>
          </w:tcPr>
          <w:p>
            <w:r>
              <w:rPr>
                <w:b/>
                <w:sz w:val="17"/>
              </w:rPr>
              <w:t>11,601</w:t>
            </w:r>
          </w:p>
        </w:tc>
        <w:tc>
          <w:tcPr>
            <w:tcW w:type="dxa" w:w="1440"/>
            <w:shd w:fill="FAFAFA" w:val="clear"/>
          </w:tcPr>
          <w:p>
            <w:r>
              <w:rPr>
                <w:sz w:val="17"/>
              </w:rPr>
              <w:t>12,670</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 RAPPORT D'ANALYSE FINANCIÈRE — BOAC (Bank of Africa Côte d'Ivoire)</w:t>
        <w:br/>
        <w:t>### BRVM | Secteur : Banque | Cours actuel : 11 500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460,00 Mds FCFA, BOAC s'impose comme l'une des valeurs bancaires de référence de la cote BRVM, portée par un BPA de 888 FCFA/action qui matérialise la richesse générée pour chaque titre détenu. Le PER de 12,9x se situe légèrement au-dessus de la moyenne BRVM (~8-12x), traduisant une prime modérée mais justifiée par la qualité des fondamentaux, tandis que le P/B de 3,61x — dans la fourchette 2-4x — confirme que le marché accorde une prime de croissance à la banque plutôt qu'une valorisation patrimoniale. En revanche, l'EV/EBITDA de 26,5x apparaît très exigeant (&gt;15x), signalant que la valeur d'entreprise intègre déjà une bonne part des anticipations de rentabilité future ; ce ratio doit toutefois être nuancé pour une banque, où l'EBITDA est moins pertinent que le PNB comme mesure de performance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affiche une progression remarquable de **+32,95%**, malgré un léger repli de **-0,86%** lors de la dernière séance, ce qui porte le cours à 11 500 FCFA. Le range de trading est particulièrement large, avec un plus haut à 13 450 FCFA et un plus bas à 8 585 FCFA, soit une amplitude de près de 57% qui témoigne d'une forte dynamique haussière entrecoupée de corrections. La tendance générale demeure clairement haussière, soutenue par un volume moyen quotidien de 10 872 titres, signe d'une liquidité correcte pour le marché BRVM. Les statistiques descriptives révèlent une moyenne (10 502 FCFA) supérieure à la médiane (9 832 FCFA), écart qui traduit une asymétrie positive — les pics de cours tirent la moyenne vers le haut — confirmée par un skewness de 0,339 indiquant une distribution quasi symétrique mais légèrement étirée vers la droite. L'écart-type de 1 581 FCFA (CV = 15,1%) reflète une dispersion modérée du cours autour de sa moyenne, tandis que le kurtosis négatif (-1,455, distribution platykurtique) indique une faible concentration des valeurs extrêmes, donc un risque de pics brusques limité. Avec une volatilité annualisée de 27,8%, le titre se positionne dans la catégorie **modérée** (15-30%), ce qui reste raisonnable pour une valeur bancaire de croissance sur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(11 965,5 FCFA) et la MM50 (11 919,4 FCFA) évoluent toutes deux au-dessus du cours actuel (11 500 FCFA), ce qui place le titre en position de repli sous ses moyennes de court et moyen terme. Toutefois, la proximité des deux moyennes (écart de seulement 46 FCFA) et leur orientation haussière justifient la décision **Achat**, interprétée comme une opportunité de rebond sur support dynamique.</w:t>
      </w:r>
    </w:p>
    <w:p>
      <w:pPr>
        <w:spacing w:after="120" w:line="276" w:lineRule="auto"/>
      </w:pPr>
      <w:r>
        <w:t>**Bandes de Bollinger** — Le cours (11 500 FCFA) se situe dans la partie basse de la bande, entre la borne inférieure (10 953,8 FCFA) et la borne supérieure (12 977,2 FCFA), sans atteindre les extrêmes. Cette position médiane-basse, combinée à un écart de bandes relativement large, traduit une volatilité encore présente mais sans signal de rupture ; la décision **Neutre** reflète cette absence de signal directionnel fort.</w:t>
      </w:r>
    </w:p>
    <w:p>
      <w:pPr>
        <w:spacing w:after="120" w:line="276" w:lineRule="auto"/>
      </w:pPr>
      <w:r>
        <w:t>**MACD** — La valeur du MACD (-182,495) est nettement inférieure à son signal (-100,166), confirmant un momentum baissier de court terme avec une divergence négative persistante. La décision **Vente** signale que la pression vendeuse domine encore, bien que l'écart entre les deux lignes commence à se stabiliser, ce qui pourrait annoncer un retournement progressif.</w:t>
      </w:r>
    </w:p>
    <w:p>
      <w:pPr>
        <w:spacing w:after="120" w:line="276" w:lineRule="auto"/>
      </w:pPr>
      <w:r>
        <w:t>**RSI** — À 33,271, le RSI se situe dans la zone neutre basse, proche du seuil de survente (30) sans l'atteindre. La décision **Neutre** indique que le titre n'est ni survendu ni suracheté, mais la proximité du seuil de 30 suggère un potentiel de rebond technique à court terme.</w:t>
      </w:r>
    </w:p>
    <w:p>
      <w:pPr>
        <w:spacing w:after="120" w:line="276" w:lineRule="auto"/>
      </w:pPr>
      <w:r>
        <w:t>**Stochastique** — Le %K (43,75) est légèrement inférieur au %D (45,016), avec un croisement baissier de faible amplitude qui n'a pas encore généré de signal franc. La décision **Neutre** confirme l'absence de momentum directionnel clair, le titre évoluant dans une zone d'indécision.</w:t>
      </w:r>
    </w:p>
    <w:p>
      <w:pPr>
        <w:spacing w:after="120" w:line="276" w:lineRule="auto"/>
      </w:pPr>
      <w:r>
        <w:t>**Conclusion technique** — Les indicateurs présentent un tableau mitigé : les moyennes mobiles restent haussières et plaident pour un achat sur repli, mais le MACD en territoire négatif et le RSI proche de la survente créent une divergence baissière de court terme. Les Bandes de Bollinger et le Stochastique en position neutre confirment cette indécision. Le signal global est donc **neutre à légèrement baissier à court terme**, avec un potentiel de rebond si le RSI franchit à la hausse le seuil de 35 et si le MACD amorce un croisement positif.</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BOAC affiche un Produit Net Bancaire (PNB) de **73 545 Mds FCFA** en 2025, en légère hausse de +1,1% par rapport à 2024 (72 724 Mds FCFA), avec un résultat net de **35 540 Mds FCFA** en progression de +10,9% sur un an (contre 32 045 Mds FCFA en 2024). La rentabilité des fonds propres (ROE) atteint **27,91%**, un niveau exceptionnel (&gt;15% = excellent), tandis que le ROA de 3,22% confirme une bonne efficacité dans l'utilisation des actifs. Le coefficient d'exploitation de **36,70%** place la banque parmi les établissements les plus efficaces du secteur (&lt;60% = efficace, &lt;50% = excellente), et la marge nette de 48,32% témoigne d'une remarquable capacité à transformer le PNB en bénéfice. Le coût du risque, à 6,67% des charges financières, reste contenu mais mérite une surveillance, d'autant que les créances en souffrance ont augmenté de +52,1% sur l'année (taux de sinistralité de 8,59%, taux de provisionnement de 65,76%). La structure bilancielle est solide avec des dépôts clientèle de **850 548 Mds FCFA** (principale ressource) face à des créances clientèle de 430 433 Mds FCFA, soit un ratio de transformation de 50,6% qui laisse une marge de croissance significative sur le crédit.</w:t>
      </w:r>
    </w:p>
    <w:p>
      <w:pPr>
        <w:spacing w:after="120" w:line="276" w:lineRule="auto"/>
      </w:pPr>
      <w:r>
        <w:t>**Estimations basées sur les rapports trimestriels** — Le rapport du **T1 2026 (daté du 31/03/2026)** indique un PNB de 18 960 Mds FCFA (+3,09% sur un an) et un résultat net de 10 801 Mds FCFA (+0,91%), avec un coefficient d'exploitation stable à 35,68%. Point d'alerte : le coût net du risque bondit de +314,75% (-652 vs -157 Mds FCFA), une dégradation marquée mais sur des montants encore modestes. Les dépôts clientèle bondissent de +21,44% (923 307 Mds FCFA), tandis que les crédits nets restent quasi stables (-0,29% à 442 169 Mds FCFA). Sur cette base, on peut estimer que l'exercice 2026 devrait maintenir une croissance modérée du PNB (+2 à +3%) et un résultat net stable à légèrement croissant, sous réserve que la dégradation du coût du risque ne s'amplifie pas. Le rapport annuel **2025 (daté du 31/12/2025)** confirme la solidité du modèle avec un dividende de 684 FCFA/action au titre de 2024 (taux de distribution ~65%) et des capitaux propres en hausse à 127 340 Mds FCFA.</w:t>
      </w:r>
    </w:p>
    <w:p>
      <w:pPr>
        <w:spacing w:after="120" w:line="276" w:lineRule="auto"/>
      </w:pPr>
      <w:r>
        <w:t>**Recommandation fondamentale** — La banque présente un profil de qualité : rentabilité élevée (ROE 27,9%), efficacité opérationnelle excellente (coefficient 36,7%), structure bilancielle solide (solvabilité générale de 113,05%, autonomie financière de 11,54% — perfectible mais normale pour une banque) et dividende attractif. Les risques identifiés — hausse des créances en souffrance (+52,1%), bond du coût du risque au T1 2026 (+314,75%) et dépendance à la conjoncture ivoirienne — doivent être surveillés, mais ne remettent pas en cause la solidité fondamentale. La recommandation fondamentale est **ACHAT**, avec un biais positif tant que le coût du risque reste maîtrisé.</w:t>
      </w:r>
    </w:p>
    <w:p>
      <w:pPr>
        <w:spacing w:after="120" w:line="276" w:lineRule="auto"/>
      </w:pPr>
      <w:r>
        <w:t>---</w:t>
      </w:r>
    </w:p>
    <w:p>
      <w:pPr>
        <w:spacing w:after="120" w:line="276" w:lineRule="auto"/>
      </w:pPr>
      <w:r>
        <w:t>## PARTIE 4 : CONCLUSION D'INVESTISSEMENT</w:t>
      </w:r>
    </w:p>
    <w:p>
      <w:pPr>
        <w:spacing w:after="120" w:line="276" w:lineRule="auto"/>
      </w:pPr>
      <w:r>
        <w:t>La valorisation de BOAC (PER 12,9x, P/B 3,61x, EV/EBITDA 26,5x) indique une **juste valorisation à légèrement surévaluée**, le marché intégrant déjà la qualité des fondamentaux et la prime de croissance. Le comportement du cours sur 100 jours est nettement haussier (+32,95%) avec une volatilité modérée (27,8%) et une distribution platykurtique (kurtosis -1,455) qui limite le risque de pics extrêmes, mais la récente correction (-0,86% J-1) et la position du titre sous ses moyennes mobiles suggèrent une consolidation en cours. Les signaux techniques sont **mitigés** : les MM20/MM50 restent haussières (Achat) mais le MACD est baissier (Vente) et le RSI proche de la survente (Neutre), créant une divergence qui appelle à la prudence à court terme. Les fondamentaux demeurent **solides** : ROE de 27,91%, coefficient d'exploitation de 36,70%, résultat net 2025 de 35 540 Mds FCFA (+10,9%), et les estimations issues du T1 2026 tablent sur une stabilité de la performance, malgré un coût du risque en forte hausse. Les prédictions IA (J+1 à J+10 : 11 538 → 11 564 FCFA) anticipent une **stabilisation légèrement haussière** du cours, en ligne avec les supports techniques et les fondamentaux, sans confirmer un rebond franc.</w:t>
      </w:r>
    </w:p>
    <w:p>
      <w:pPr>
        <w:spacing w:after="120" w:line="276" w:lineRule="auto"/>
      </w:pPr>
      <w:r>
        <w:t>**Recommandation finale : CONSERVER** — La convergence entre une valorisation juste, des fondamentaux solides mais un momentum technique baissier à court terme, et des prédictions IA de stabilisation, plaide pour une position d'attente. Le niveau de confiance est **Moyen** (divergence entre technique et fondamental), le risque global est **Moyen** (volatilité modérée, coût du risque en hausse), et l'horizon d'investissement optimal est le **moyen terme (3-12 mois)**, le temps que la consolidation technique s'achève et que la tendance haussière de fond reprenne, portée par la qualité des fondamentaux et le dividende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6,393 titres</w:t>
            </w:r>
          </w:p>
        </w:tc>
        <w:tc>
          <w:tcPr>
            <w:tcW w:type="dxa" w:w="2268"/>
            <w:shd w:fill="FFF2CC" w:val="clear"/>
          </w:tcPr>
          <w:p>
            <w:r>
              <w:rPr>
                <w:b/>
                <w:color w:val="503200"/>
                <w:sz w:val="16"/>
              </w:rPr>
              <w:t xml:space="preserve">Cours actuel : </w:t>
            </w:r>
            <w:r>
              <w:rPr>
                <w:color w:val="000000"/>
                <w:sz w:val="17"/>
              </w:rPr>
              <w:t>6,145 FCFA</w:t>
            </w:r>
          </w:p>
          <w:p>
            <w:r>
              <w:rPr>
                <w:b/>
                <w:color w:val="503200"/>
                <w:sz w:val="16"/>
              </w:rPr>
              <w:t xml:space="preserve">Var. 100 jours : </w:t>
            </w:r>
            <w:r>
              <w:rPr>
                <w:b/>
                <w:color w:val="007800"/>
                <w:sz w:val="17"/>
              </w:rPr>
              <w:t>+31.02%</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14.05% (Moyenne) — μ=5,574 FCFA, σ=783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β=1.4689 (Agressif) — Cov=0.000102, Var(idx)=0.000069, ρ=0.447,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6,393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5,801</w:t>
            </w:r>
          </w:p>
        </w:tc>
        <w:tc>
          <w:tcPr>
            <w:tcW w:type="dxa" w:w="1440"/>
            <w:shd w:fill="FAFAFA" w:val="clear"/>
          </w:tcPr>
          <w:p>
            <w:r>
              <w:rPr>
                <w:b/>
                <w:sz w:val="17"/>
              </w:rPr>
              <w:t>6,159</w:t>
            </w:r>
          </w:p>
        </w:tc>
        <w:tc>
          <w:tcPr>
            <w:tcW w:type="dxa" w:w="1440"/>
            <w:shd w:fill="FAFAFA" w:val="clear"/>
          </w:tcPr>
          <w:p>
            <w:r>
              <w:rPr>
                <w:sz w:val="17"/>
              </w:rPr>
              <w:t>6,516</w:t>
            </w:r>
          </w:p>
        </w:tc>
        <w:tc>
          <w:tcPr>
            <w:tcW w:type="dxa" w:w="1440"/>
            <w:shd w:fill="FAFAFA" w:val="clear"/>
          </w:tcPr>
          <w:p>
            <w:r>
              <w:rPr>
                <w:b/>
                <w:color w:val="008000"/>
                <w:sz w:val="17"/>
              </w:rPr>
              <w:t>+0.2%</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5,590</w:t>
            </w:r>
          </w:p>
        </w:tc>
        <w:tc>
          <w:tcPr>
            <w:tcW w:type="dxa" w:w="1440"/>
            <w:shd w:fill="FAFAFA" w:val="clear"/>
          </w:tcPr>
          <w:p>
            <w:r>
              <w:rPr>
                <w:b/>
                <w:sz w:val="17"/>
              </w:rPr>
              <w:t>6,090</w:t>
            </w:r>
          </w:p>
        </w:tc>
        <w:tc>
          <w:tcPr>
            <w:tcW w:type="dxa" w:w="1440"/>
            <w:shd w:fill="FAFAFA" w:val="clear"/>
          </w:tcPr>
          <w:p>
            <w:r>
              <w:rPr>
                <w:sz w:val="17"/>
              </w:rPr>
              <w:t>6,590</w:t>
            </w:r>
          </w:p>
        </w:tc>
        <w:tc>
          <w:tcPr>
            <w:tcW w:type="dxa" w:w="1440"/>
            <w:shd w:fill="FAFAFA" w:val="clear"/>
          </w:tcPr>
          <w:p>
            <w:r>
              <w:rPr>
                <w:b/>
                <w:color w:val="C00000"/>
                <w:sz w:val="17"/>
              </w:rPr>
              <w:t>-0.9%</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5,397</w:t>
            </w:r>
          </w:p>
        </w:tc>
        <w:tc>
          <w:tcPr>
            <w:tcW w:type="dxa" w:w="1440"/>
            <w:shd w:fill="FFDCE0" w:val="clear"/>
          </w:tcPr>
          <w:p>
            <w:r>
              <w:rPr>
                <w:b/>
                <w:sz w:val="17"/>
              </w:rPr>
              <w:t>6,000</w:t>
            </w:r>
          </w:p>
        </w:tc>
        <w:tc>
          <w:tcPr>
            <w:tcW w:type="dxa" w:w="1440"/>
            <w:shd w:fill="FFDCE0" w:val="clear"/>
          </w:tcPr>
          <w:p>
            <w:r>
              <w:rPr>
                <w:sz w:val="17"/>
              </w:rPr>
              <w:t>6,603</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5,231</w:t>
            </w:r>
          </w:p>
        </w:tc>
        <w:tc>
          <w:tcPr>
            <w:tcW w:type="dxa" w:w="1440"/>
            <w:shd w:fill="FFDCE0" w:val="clear"/>
          </w:tcPr>
          <w:p>
            <w:r>
              <w:rPr>
                <w:b/>
                <w:sz w:val="17"/>
              </w:rPr>
              <w:t>5,918</w:t>
            </w:r>
          </w:p>
        </w:tc>
        <w:tc>
          <w:tcPr>
            <w:tcW w:type="dxa" w:w="1440"/>
            <w:shd w:fill="FFDCE0" w:val="clear"/>
          </w:tcPr>
          <w:p>
            <w:r>
              <w:rPr>
                <w:sz w:val="17"/>
              </w:rPr>
              <w:t>6,605</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5,089</w:t>
            </w:r>
          </w:p>
        </w:tc>
        <w:tc>
          <w:tcPr>
            <w:tcW w:type="dxa" w:w="1440"/>
            <w:shd w:fill="FFDCE0" w:val="clear"/>
          </w:tcPr>
          <w:p>
            <w:r>
              <w:rPr>
                <w:b/>
                <w:sz w:val="17"/>
              </w:rPr>
              <w:t>5,848</w:t>
            </w:r>
          </w:p>
        </w:tc>
        <w:tc>
          <w:tcPr>
            <w:tcW w:type="dxa" w:w="1440"/>
            <w:shd w:fill="FFDCE0" w:val="clear"/>
          </w:tcPr>
          <w:p>
            <w:r>
              <w:rPr>
                <w:sz w:val="17"/>
              </w:rPr>
              <w:t>6,607</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4,964</w:t>
            </w:r>
          </w:p>
        </w:tc>
        <w:tc>
          <w:tcPr>
            <w:tcW w:type="dxa" w:w="1440"/>
            <w:shd w:fill="FFDCE0" w:val="clear"/>
          </w:tcPr>
          <w:p>
            <w:r>
              <w:rPr>
                <w:b/>
                <w:sz w:val="17"/>
              </w:rPr>
              <w:t>5,787</w:t>
            </w:r>
          </w:p>
        </w:tc>
        <w:tc>
          <w:tcPr>
            <w:tcW w:type="dxa" w:w="1440"/>
            <w:shd w:fill="FFDCE0" w:val="clear"/>
          </w:tcPr>
          <w:p>
            <w:r>
              <w:rPr>
                <w:sz w:val="17"/>
              </w:rPr>
              <w:t>6,609</w:t>
            </w:r>
          </w:p>
        </w:tc>
        <w:tc>
          <w:tcPr>
            <w:tcW w:type="dxa" w:w="1440"/>
            <w:shd w:fill="FFDCE0" w:val="clear"/>
          </w:tcPr>
          <w:p>
            <w:r>
              <w:rPr>
                <w:b/>
                <w:color w:val="C00000"/>
                <w:sz w:val="17"/>
              </w:rPr>
              <w:t>-5.8%</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4,850</w:t>
            </w:r>
          </w:p>
        </w:tc>
        <w:tc>
          <w:tcPr>
            <w:tcW w:type="dxa" w:w="1440"/>
            <w:shd w:fill="FFDCE0" w:val="clear"/>
          </w:tcPr>
          <w:p>
            <w:r>
              <w:rPr>
                <w:b/>
                <w:sz w:val="17"/>
              </w:rPr>
              <w:t>5,730</w:t>
            </w:r>
          </w:p>
        </w:tc>
        <w:tc>
          <w:tcPr>
            <w:tcW w:type="dxa" w:w="1440"/>
            <w:shd w:fill="FFDCE0" w:val="clear"/>
          </w:tcPr>
          <w:p>
            <w:r>
              <w:rPr>
                <w:sz w:val="17"/>
              </w:rPr>
              <w:t>6,610</w:t>
            </w:r>
          </w:p>
        </w:tc>
        <w:tc>
          <w:tcPr>
            <w:tcW w:type="dxa" w:w="1440"/>
            <w:shd w:fill="FFDCE0" w:val="clear"/>
          </w:tcPr>
          <w:p>
            <w:r>
              <w:rPr>
                <w:b/>
                <w:color w:val="C00000"/>
                <w:sz w:val="17"/>
              </w:rPr>
              <w:t>-6.8%</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4,745</w:t>
            </w:r>
          </w:p>
        </w:tc>
        <w:tc>
          <w:tcPr>
            <w:tcW w:type="dxa" w:w="1440"/>
            <w:shd w:fill="FFDCE0" w:val="clear"/>
          </w:tcPr>
          <w:p>
            <w:r>
              <w:rPr>
                <w:b/>
                <w:sz w:val="17"/>
              </w:rPr>
              <w:t>5,677</w:t>
            </w:r>
          </w:p>
        </w:tc>
        <w:tc>
          <w:tcPr>
            <w:tcW w:type="dxa" w:w="1440"/>
            <w:shd w:fill="FFDCE0" w:val="clear"/>
          </w:tcPr>
          <w:p>
            <w:r>
              <w:rPr>
                <w:sz w:val="17"/>
              </w:rPr>
              <w:t>6,609</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4,647</w:t>
            </w:r>
          </w:p>
        </w:tc>
        <w:tc>
          <w:tcPr>
            <w:tcW w:type="dxa" w:w="1440"/>
            <w:shd w:fill="FFDCE0" w:val="clear"/>
          </w:tcPr>
          <w:p>
            <w:r>
              <w:rPr>
                <w:b/>
                <w:sz w:val="17"/>
              </w:rPr>
              <w:t>5,627</w:t>
            </w:r>
          </w:p>
        </w:tc>
        <w:tc>
          <w:tcPr>
            <w:tcW w:type="dxa" w:w="1440"/>
            <w:shd w:fill="FFDCE0" w:val="clear"/>
          </w:tcPr>
          <w:p>
            <w:r>
              <w:rPr>
                <w:sz w:val="17"/>
              </w:rPr>
              <w:t>6,606</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4,555</w:t>
            </w:r>
          </w:p>
        </w:tc>
        <w:tc>
          <w:tcPr>
            <w:tcW w:type="dxa" w:w="1440"/>
            <w:shd w:fill="FFDCE0" w:val="clear"/>
          </w:tcPr>
          <w:p>
            <w:r>
              <w:rPr>
                <w:b/>
                <w:sz w:val="17"/>
              </w:rPr>
              <w:t>5,579</w:t>
            </w:r>
          </w:p>
        </w:tc>
        <w:tc>
          <w:tcPr>
            <w:tcW w:type="dxa" w:w="1440"/>
            <w:shd w:fill="FFDCE0" w:val="clear"/>
          </w:tcPr>
          <w:p>
            <w:r>
              <w:rPr>
                <w:sz w:val="17"/>
              </w:rPr>
              <w:t>6,603</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168,68 milliards FCFA, BOA Mali se positionne comme une valeur bancaire de taille intermédiaire sur la BRVM, représentant un poids significatif dans l'indice sectoriel bancaire régional. Le BPA de 404 FCFA/action indique que chaque titre génère près de 404 FCFA de bénéfice net, ce qui, rapporté au cours actuel de 6 145 FCFA, confère un PER de 15,2x — un niveau modéré mais légèrement supérieur à la moyenne du marché BRVM (8-12x), traduisant une prime de qualité accordée par les investisseurs. Le ratio P/B de 3,39x montre que le marché valorise la banque à plus de trois fois sa valeur comptable, ce qui est cohérent avec un ROE élevé (22,24%) et une prime de croissance justifiée. Enfin, l'EV/EBITDA de 7,8x, situé dans la fourchette raisonnable de 5-10x, suggère que la valeur totale de l'entreprise reste proportionnée à sa capacité opérationnelle de génération de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remarquable de +31,02%, avec une dernière séance en hausse de +2,50%, confirmant une dynamique haussière soutenue. Le titre a évolué dans un range de trading large, oscillant entre un plus bas de 4 425 FCFA et un plus haut de 7 195 FCFA, soit un écart de plus de 62%, ce qui témoigne d'une forte amplitude de négociation. Le cours actuel de 6 145 FCFA se situe au-dessus de la moyenne (5 574 FCFA) et de la médiane (5 598 FCFA), ces deux valeurs étant très proches, ce qui indique une distribution globalement symétrique du cours sur la période. L'écart-type de 787 FCFA avec un coefficient de variation de 14,1% reflète une dispersion modérée autour de la moyenne, tandis que le kurtosis négatif (-1,029, distribution platykurtique) suggère une faible concentration des variations et un risque de pics extrêmes limité. Le skewness de 0,326, proche de zéro, confirme cette symétrie avec une très légère inclinaison positive. La volatilité annualisée de 43,5% classe le titre dans la catégorie des valeurs à volatilité élevée (&gt;30%), ce qui est typique des petites et moyennes capitalisations bancaires de la BRVM et implique un risque de marché non négligeable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6 541 FCFA et la MM50 à 6 216,5 FCFA, toutes deux supérieures au cours actuel de 6 145 FCFA. Cette configuration indique que le titre évolue en dessous de ses moyennes à court et moyen terme, ce qui traduit une pression baissière récente. Toutefois, la décision technique reste à l'« Achat », probablement en raison de la tendance haussière de fond sur 100 jours et de la proximité du cours avec ces supports dynamiques.</w:t>
      </w:r>
    </w:p>
    <w:p>
      <w:pPr>
        <w:spacing w:after="120" w:line="276" w:lineRule="auto"/>
      </w:pPr>
      <w:r>
        <w:t>**Bandes de Bollinger** : La borne supérieure se situe à 7 549,34 FCFA et la borne inférieure à 5 532,66 FCFA, avec un cours actuel de 6 145 FCFA positionné dans la moitié inférieure de ce canal. Cette position suggère que le titre n'est ni en zone de surachat ni en zone de survente, mais plutôt dans une phase de consolidation. La décision « Neutre » reflète cette absence de signal directionnel fort, la volatilité restant contenue dans les bandes.</w:t>
      </w:r>
    </w:p>
    <w:p>
      <w:pPr>
        <w:spacing w:after="120" w:line="276" w:lineRule="auto"/>
      </w:pPr>
      <w:r>
        <w:t>**MACD** : La valeur du MACD est négative à -80,118, tandis que sa ligne de signal est positive à 17,421, générant une divergence baissière significative. Cet écart indique un momentum négatif persistant, avec une pression vendeuse qui domine. La décision « Vente » confirme que la dynamique à court terme reste défavorable, malgré la performance globale positive sur 100 jours.</w:t>
      </w:r>
    </w:p>
    <w:p>
      <w:pPr>
        <w:spacing w:after="120" w:line="276" w:lineRule="auto"/>
      </w:pPr>
      <w:r>
        <w:t>**RSI** : À 32,441, le RSI se situe dans la zone neutre basse, proche du seuil de survente (30), sans toutefois l'atteindre. Cette valeur suggère que le titre n'est pas encore techniquement survendu, mais qu'il s'approche d'une zone où un rebond technique pourrait se produire. La décision « Neutre » est cohérente avec cette position ambiguë.</w:t>
      </w:r>
    </w:p>
    <w:p>
      <w:pPr>
        <w:spacing w:after="120" w:line="276" w:lineRule="auto"/>
      </w:pPr>
      <w:r>
        <w:t>**Stochastique** : Le %K à 40,179 et le %D à 38,514 sont tous deux dans la zone médiane, avec un léger croisement haussier (%K &gt; %D). Cette configuration indique une absence de signal fort, mais une légère amélioration du momentum à très court terme. La décision « Neutre » reflète cette incertitude.</w:t>
      </w:r>
    </w:p>
    <w:p>
      <w:pPr>
        <w:spacing w:after="120" w:line="276" w:lineRule="auto"/>
      </w:pPr>
      <w:r>
        <w:t>**Conclusion technique** : Les indicateurs techniques présentent un tableau mitigé. Si les moyennes mobiles et le MACD penchent vers une pression baissière à court terme, le RSI et le stochastique suggèrent une possible stabilisation, voire un rebond technique. La divergence entre la tendance haussière de fond (100 jours) et les signaux baissiers récents (MACD, position sous les MM) indique une phase de correction ou de consolidation, avec un potentiel de rebond si le cours parvient à se maintenir au-dessus de 5 500 FCFA (borne inférieure de Bollinger).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 Mali affiche des fondamentaux solides, avec un Produit Net Bancaire (PNB) de 37,996 milliards FCFA, un résultat net de 11,081 milliards FCFA, un ROE exceptionnel de 22,24% et un ROA de 1,87%. Le coefficient d'exploitation de 63,14% reste légèrement supérieur au seuil de 60% considéré comme optimal pour une banque efficace, mais demeure acceptable dans le contexte bancaire ouest-africain. Le coût du risque, mesuré à 43,39% des charges financières, est élevé et signale un risque de crédit significatif, bien que les rapports trimestriels récents montrent une amélioration. La structure financière révèle une autonomie financière faible (8,39%), typique des banques, mais une solvabilité générale satisfaisante (109,16%) et une capacité de remboursement de 1,79 an, rassurante. Les dépôts clientèle (502,89 milliards FCFA) couvrent largement les créances clientèle (253,65 milliards FCFA), avec un ratio de transformation de 50,4%, indiquant une gestion prudente des liquidités. Les rapports trimestriels de 2026 confirment cette dynamique : au T1 2026 (rapport du 31/03/2026), le PNB a progressé de +22,97% à 10,322 milliards FCFA, et au S1 2026 (rapport du 30/06/2026), il a atteint 21,987 milliards FCFA (+17,5% sur un an). Sur la base de ces tendances, on estime que l'exercice 2026 devrait enregistrer un PNB annuel compris entre 42 et 44 milliards FCFA, avec un résultat net potentiellement supérieur à 12 milliards FCFA si la maîtrise du coût du risque se poursuit. Les rapports antérieurs (S1 2025, T3 2025) montrent une résilience remarquable dans un contexte sécuritaire et macroéconomique difficile, avec une progression du résultat net de +28,8% au S1 2025 et de +26,2% sur 9 mois en 2025. La recommandation fondamentale est donc positive : la banque est solide, rentable et en croissance, mais les risques liés à l'environnement malien (insécurité, inflation) et au coût du risque élevé justifient une surveillance attentive.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BOAM (Partie 0) apparaît raisonnable mais non sous-évaluée : le PER de 15,2x est supérieur à la moyenne du marché, le P/B de 3,39x intègre une prime de croissance, et l'EV/EBITDA de 7,8x reste dans les normes. Le comportement du cours (Partie 1) est haussier sur 100 jours (+31,02%), avec une volatilité élevée (43,5%) et une distribution symétrique (skewness 0,326) mais plate (kurtosis -1,029), ce qui limite le risque de pics extrêmes. Les signaux techniques (Partie 2) sont mitigés : si la tendance de fond est positive, le MACD baissier et la position sous les moyennes mobiles suggèrent une correction en cours, tandis que le RSI et le stochastique indiquent une possible stabilisation. Les fondamentaux (Partie 3) sont solides, avec un ROE de 22,24%, une croissance du PNB de +17,5% au S1 2026 et une résilience confirmée par les rapports trimestriels. Les prédictions IA (J+1 à J+10) anticipent une baisse progressive du cours de 6 159 FCFA à 5 848 FCFA, ce qui contredit la tendance haussière de fond mais s'aligne sur les signaux techniques baissiers à court terme. Sur la base de cette synthèse, la recommandation finale est **CONSERVER**, avec un niveau de confiance **Moyen** et un risque global **Élevé** (en raison de la volatilité et des risques macroéconomiques). L'horizon d'investissement optimal est le **moyen terme (3-12 mois)**, en attendant une confirmation de la reprise technique et une clarification des perspectives bénéficiaires pour 2026. Les investisseurs déjà positionnés peuvent conserver leurs titres, tandis que les nouveaux entrants devraient attendre une correction vers 5 500-5 800 FCFA pour améliorer leur point d'entrée.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110.24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9,041 titres</w:t>
            </w:r>
          </w:p>
        </w:tc>
        <w:tc>
          <w:tcPr>
            <w:tcW w:type="dxa" w:w="2268"/>
            <w:shd w:fill="FFF2CC" w:val="clear"/>
          </w:tcPr>
          <w:p>
            <w:r>
              <w:rPr>
                <w:b/>
                <w:color w:val="503200"/>
                <w:sz w:val="16"/>
              </w:rPr>
              <w:t xml:space="preserve">Cours actuel : </w:t>
            </w:r>
            <w:r>
              <w:rPr>
                <w:color w:val="000000"/>
                <w:sz w:val="17"/>
              </w:rPr>
              <w:t>5,300 FCFA</w:t>
            </w:r>
          </w:p>
          <w:p>
            <w:r>
              <w:rPr>
                <w:b/>
                <w:color w:val="503200"/>
                <w:sz w:val="16"/>
              </w:rPr>
              <w:t xml:space="preserve">Var. 100 jours : </w:t>
            </w:r>
            <w:r>
              <w:rPr>
                <w:b/>
                <w:color w:val="007800"/>
                <w:sz w:val="17"/>
              </w:rPr>
              <w:t>+51.43%</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16.24% (Élevée) — μ=4,637 FCFA, σ=753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β=1.3029 (Agressif) — Cov=0.000090, Var(idx)=0.000069, ρ=0.442,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9,041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5,094</w:t>
            </w:r>
          </w:p>
        </w:tc>
        <w:tc>
          <w:tcPr>
            <w:tcW w:type="dxa" w:w="1440"/>
            <w:shd w:fill="FAFAFA" w:val="clear"/>
          </w:tcPr>
          <w:p>
            <w:r>
              <w:rPr>
                <w:b/>
                <w:sz w:val="17"/>
              </w:rPr>
              <w:t>5,373</w:t>
            </w:r>
          </w:p>
        </w:tc>
        <w:tc>
          <w:tcPr>
            <w:tcW w:type="dxa" w:w="1440"/>
            <w:shd w:fill="FAFAFA" w:val="clear"/>
          </w:tcPr>
          <w:p>
            <w:r>
              <w:rPr>
                <w:sz w:val="17"/>
              </w:rPr>
              <w:t>5,653</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4,986</w:t>
            </w:r>
          </w:p>
        </w:tc>
        <w:tc>
          <w:tcPr>
            <w:tcW w:type="dxa" w:w="1440"/>
            <w:shd w:fill="FAFAFA" w:val="clear"/>
          </w:tcPr>
          <w:p>
            <w:r>
              <w:rPr>
                <w:b/>
                <w:sz w:val="17"/>
              </w:rPr>
              <w:t>5,382</w:t>
            </w:r>
          </w:p>
        </w:tc>
        <w:tc>
          <w:tcPr>
            <w:tcW w:type="dxa" w:w="1440"/>
            <w:shd w:fill="FAFAFA" w:val="clear"/>
          </w:tcPr>
          <w:p>
            <w:r>
              <w:rPr>
                <w:sz w:val="17"/>
              </w:rPr>
              <w:t>5,778</w:t>
            </w:r>
          </w:p>
        </w:tc>
        <w:tc>
          <w:tcPr>
            <w:tcW w:type="dxa" w:w="1440"/>
            <w:shd w:fill="FAFAFA" w:val="clear"/>
          </w:tcPr>
          <w:p>
            <w:r>
              <w:rPr>
                <w:b/>
                <w:color w:val="008000"/>
                <w:sz w:val="17"/>
              </w:rPr>
              <w:t>+1.5%</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4,911</w:t>
            </w:r>
          </w:p>
        </w:tc>
        <w:tc>
          <w:tcPr>
            <w:tcW w:type="dxa" w:w="1440"/>
            <w:shd w:fill="FAFAFA" w:val="clear"/>
          </w:tcPr>
          <w:p>
            <w:r>
              <w:rPr>
                <w:b/>
                <w:sz w:val="17"/>
              </w:rPr>
              <w:t>5,398</w:t>
            </w:r>
          </w:p>
        </w:tc>
        <w:tc>
          <w:tcPr>
            <w:tcW w:type="dxa" w:w="1440"/>
            <w:shd w:fill="FAFAFA" w:val="clear"/>
          </w:tcPr>
          <w:p>
            <w:r>
              <w:rPr>
                <w:sz w:val="17"/>
              </w:rPr>
              <w:t>5,884</w:t>
            </w:r>
          </w:p>
        </w:tc>
        <w:tc>
          <w:tcPr>
            <w:tcW w:type="dxa" w:w="1440"/>
            <w:shd w:fill="FAFAFA" w:val="clear"/>
          </w:tcPr>
          <w:p>
            <w:r>
              <w:rPr>
                <w:b/>
                <w:color w:val="008000"/>
                <w:sz w:val="17"/>
              </w:rPr>
              <w:t>+1.8%</w:t>
            </w:r>
          </w:p>
        </w:tc>
      </w:tr>
      <w:tr>
        <w:tc>
          <w:tcPr>
            <w:tcW w:type="dxa" w:w="1440"/>
            <w:shd w:fill="C6EFCE" w:val="clear"/>
          </w:tcPr>
          <w:p>
            <w:r>
              <w:rPr>
                <w:sz w:val="17"/>
              </w:rPr>
              <w:t>J+4  ⭐</w:t>
            </w:r>
          </w:p>
        </w:tc>
        <w:tc>
          <w:tcPr>
            <w:tcW w:type="dxa" w:w="1440"/>
            <w:shd w:fill="C6EFCE" w:val="clear"/>
          </w:tcPr>
          <w:p>
            <w:r>
              <w:rPr>
                <w:sz w:val="17"/>
              </w:rPr>
              <w:t>2026-10-06</w:t>
            </w:r>
          </w:p>
        </w:tc>
        <w:tc>
          <w:tcPr>
            <w:tcW w:type="dxa" w:w="1440"/>
            <w:shd w:fill="C6EFCE" w:val="clear"/>
          </w:tcPr>
          <w:p>
            <w:r>
              <w:rPr>
                <w:sz w:val="17"/>
              </w:rPr>
              <w:t>4,852</w:t>
            </w:r>
          </w:p>
        </w:tc>
        <w:tc>
          <w:tcPr>
            <w:tcW w:type="dxa" w:w="1440"/>
            <w:shd w:fill="C6EFCE" w:val="clear"/>
          </w:tcPr>
          <w:p>
            <w:r>
              <w:rPr>
                <w:b/>
                <w:sz w:val="17"/>
              </w:rPr>
              <w:t>5,415</w:t>
            </w:r>
          </w:p>
        </w:tc>
        <w:tc>
          <w:tcPr>
            <w:tcW w:type="dxa" w:w="1440"/>
            <w:shd w:fill="C6EFCE" w:val="clear"/>
          </w:tcPr>
          <w:p>
            <w:r>
              <w:rPr>
                <w:sz w:val="17"/>
              </w:rPr>
              <w:t>5,978</w:t>
            </w:r>
          </w:p>
        </w:tc>
        <w:tc>
          <w:tcPr>
            <w:tcW w:type="dxa" w:w="1440"/>
            <w:shd w:fill="C6EFCE" w:val="clear"/>
          </w:tcPr>
          <w:p>
            <w:r>
              <w:rPr>
                <w:b/>
                <w:color w:val="008000"/>
                <w:sz w:val="17"/>
              </w:rPr>
              <w:t>+2.2%</w:t>
            </w:r>
          </w:p>
        </w:tc>
      </w:tr>
      <w:tr>
        <w:tc>
          <w:tcPr>
            <w:tcW w:type="dxa" w:w="1440"/>
            <w:shd w:fill="C6EFCE" w:val="clear"/>
          </w:tcPr>
          <w:p>
            <w:r>
              <w:rPr>
                <w:sz w:val="17"/>
              </w:rPr>
              <w:t>J+5  ⭐</w:t>
            </w:r>
          </w:p>
        </w:tc>
        <w:tc>
          <w:tcPr>
            <w:tcW w:type="dxa" w:w="1440"/>
            <w:shd w:fill="C6EFCE" w:val="clear"/>
          </w:tcPr>
          <w:p>
            <w:r>
              <w:rPr>
                <w:sz w:val="17"/>
              </w:rPr>
              <w:t>2026-10-07</w:t>
            </w:r>
          </w:p>
        </w:tc>
        <w:tc>
          <w:tcPr>
            <w:tcW w:type="dxa" w:w="1440"/>
            <w:shd w:fill="C6EFCE" w:val="clear"/>
          </w:tcPr>
          <w:p>
            <w:r>
              <w:rPr>
                <w:sz w:val="17"/>
              </w:rPr>
              <w:t>4,801</w:t>
            </w:r>
          </w:p>
        </w:tc>
        <w:tc>
          <w:tcPr>
            <w:tcW w:type="dxa" w:w="1440"/>
            <w:shd w:fill="C6EFCE" w:val="clear"/>
          </w:tcPr>
          <w:p>
            <w:r>
              <w:rPr>
                <w:b/>
                <w:sz w:val="17"/>
              </w:rPr>
              <w:t>5,433</w:t>
            </w:r>
          </w:p>
        </w:tc>
        <w:tc>
          <w:tcPr>
            <w:tcW w:type="dxa" w:w="1440"/>
            <w:shd w:fill="C6EFCE" w:val="clear"/>
          </w:tcPr>
          <w:p>
            <w:r>
              <w:rPr>
                <w:sz w:val="17"/>
              </w:rPr>
              <w:t>6,064</w:t>
            </w:r>
          </w:p>
        </w:tc>
        <w:tc>
          <w:tcPr>
            <w:tcW w:type="dxa" w:w="1440"/>
            <w:shd w:fill="C6EFCE" w:val="clear"/>
          </w:tcPr>
          <w:p>
            <w:r>
              <w:rPr>
                <w:b/>
                <w:color w:val="008000"/>
                <w:sz w:val="17"/>
              </w:rPr>
              <w:t>+2.5%</w:t>
            </w:r>
          </w:p>
        </w:tc>
      </w:tr>
      <w:tr>
        <w:tc>
          <w:tcPr>
            <w:tcW w:type="dxa" w:w="1440"/>
            <w:shd w:fill="C6EFCE" w:val="clear"/>
          </w:tcPr>
          <w:p>
            <w:r>
              <w:rPr>
                <w:sz w:val="17"/>
              </w:rPr>
              <w:t>J+6  ⭐</w:t>
            </w:r>
          </w:p>
        </w:tc>
        <w:tc>
          <w:tcPr>
            <w:tcW w:type="dxa" w:w="1440"/>
            <w:shd w:fill="C6EFCE" w:val="clear"/>
          </w:tcPr>
          <w:p>
            <w:r>
              <w:rPr>
                <w:sz w:val="17"/>
              </w:rPr>
              <w:t>2026-10-08</w:t>
            </w:r>
          </w:p>
        </w:tc>
        <w:tc>
          <w:tcPr>
            <w:tcW w:type="dxa" w:w="1440"/>
            <w:shd w:fill="C6EFCE" w:val="clear"/>
          </w:tcPr>
          <w:p>
            <w:r>
              <w:rPr>
                <w:sz w:val="17"/>
              </w:rPr>
              <w:t>4,756</w:t>
            </w:r>
          </w:p>
        </w:tc>
        <w:tc>
          <w:tcPr>
            <w:tcW w:type="dxa" w:w="1440"/>
            <w:shd w:fill="C6EFCE" w:val="clear"/>
          </w:tcPr>
          <w:p>
            <w:r>
              <w:rPr>
                <w:b/>
                <w:sz w:val="17"/>
              </w:rPr>
              <w:t>5,450</w:t>
            </w:r>
          </w:p>
        </w:tc>
        <w:tc>
          <w:tcPr>
            <w:tcW w:type="dxa" w:w="1440"/>
            <w:shd w:fill="C6EFCE" w:val="clear"/>
          </w:tcPr>
          <w:p>
            <w:r>
              <w:rPr>
                <w:sz w:val="17"/>
              </w:rPr>
              <w:t>6,144</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2026-10-09</w:t>
            </w:r>
          </w:p>
        </w:tc>
        <w:tc>
          <w:tcPr>
            <w:tcW w:type="dxa" w:w="1440"/>
            <w:shd w:fill="C6EFCE" w:val="clear"/>
          </w:tcPr>
          <w:p>
            <w:r>
              <w:rPr>
                <w:sz w:val="17"/>
              </w:rPr>
              <w:t>4,715</w:t>
            </w:r>
          </w:p>
        </w:tc>
        <w:tc>
          <w:tcPr>
            <w:tcW w:type="dxa" w:w="1440"/>
            <w:shd w:fill="C6EFCE" w:val="clear"/>
          </w:tcPr>
          <w:p>
            <w:r>
              <w:rPr>
                <w:b/>
                <w:sz w:val="17"/>
              </w:rPr>
              <w:t>5,467</w:t>
            </w:r>
          </w:p>
        </w:tc>
        <w:tc>
          <w:tcPr>
            <w:tcW w:type="dxa" w:w="1440"/>
            <w:shd w:fill="C6EFCE" w:val="clear"/>
          </w:tcPr>
          <w:p>
            <w:r>
              <w:rPr>
                <w:sz w:val="17"/>
              </w:rPr>
              <w:t>6,219</w:t>
            </w:r>
          </w:p>
        </w:tc>
        <w:tc>
          <w:tcPr>
            <w:tcW w:type="dxa" w:w="1440"/>
            <w:shd w:fill="C6EFCE" w:val="clear"/>
          </w:tcPr>
          <w:p>
            <w:r>
              <w:rPr>
                <w:b/>
                <w:color w:val="008000"/>
                <w:sz w:val="17"/>
              </w:rPr>
              <w:t>+3.2%</w:t>
            </w:r>
          </w:p>
        </w:tc>
      </w:tr>
      <w:tr>
        <w:tc>
          <w:tcPr>
            <w:tcW w:type="dxa" w:w="1440"/>
            <w:shd w:fill="C6EFCE" w:val="clear"/>
          </w:tcPr>
          <w:p>
            <w:r>
              <w:rPr>
                <w:sz w:val="17"/>
              </w:rPr>
              <w:t>J+8  ⭐</w:t>
            </w:r>
          </w:p>
        </w:tc>
        <w:tc>
          <w:tcPr>
            <w:tcW w:type="dxa" w:w="1440"/>
            <w:shd w:fill="C6EFCE" w:val="clear"/>
          </w:tcPr>
          <w:p>
            <w:r>
              <w:rPr>
                <w:sz w:val="17"/>
              </w:rPr>
              <w:t>2026-10-12</w:t>
            </w:r>
          </w:p>
        </w:tc>
        <w:tc>
          <w:tcPr>
            <w:tcW w:type="dxa" w:w="1440"/>
            <w:shd w:fill="C6EFCE" w:val="clear"/>
          </w:tcPr>
          <w:p>
            <w:r>
              <w:rPr>
                <w:sz w:val="17"/>
              </w:rPr>
              <w:t>4,678</w:t>
            </w:r>
          </w:p>
        </w:tc>
        <w:tc>
          <w:tcPr>
            <w:tcW w:type="dxa" w:w="1440"/>
            <w:shd w:fill="C6EFCE" w:val="clear"/>
          </w:tcPr>
          <w:p>
            <w:r>
              <w:rPr>
                <w:b/>
                <w:sz w:val="17"/>
              </w:rPr>
              <w:t>5,484</w:t>
            </w:r>
          </w:p>
        </w:tc>
        <w:tc>
          <w:tcPr>
            <w:tcW w:type="dxa" w:w="1440"/>
            <w:shd w:fill="C6EFCE" w:val="clear"/>
          </w:tcPr>
          <w:p>
            <w:r>
              <w:rPr>
                <w:sz w:val="17"/>
              </w:rPr>
              <w:t>6,291</w:t>
            </w:r>
          </w:p>
        </w:tc>
        <w:tc>
          <w:tcPr>
            <w:tcW w:type="dxa" w:w="1440"/>
            <w:shd w:fill="C6EFCE" w:val="clear"/>
          </w:tcPr>
          <w:p>
            <w:r>
              <w:rPr>
                <w:b/>
                <w:color w:val="008000"/>
                <w:sz w:val="17"/>
              </w:rPr>
              <w:t>+3.5%</w:t>
            </w:r>
          </w:p>
        </w:tc>
      </w:tr>
      <w:tr>
        <w:tc>
          <w:tcPr>
            <w:tcW w:type="dxa" w:w="1440"/>
            <w:shd w:fill="C6EFCE" w:val="clear"/>
          </w:tcPr>
          <w:p>
            <w:r>
              <w:rPr>
                <w:sz w:val="17"/>
              </w:rPr>
              <w:t>J+9  ⭐</w:t>
            </w:r>
          </w:p>
        </w:tc>
        <w:tc>
          <w:tcPr>
            <w:tcW w:type="dxa" w:w="1440"/>
            <w:shd w:fill="C6EFCE" w:val="clear"/>
          </w:tcPr>
          <w:p>
            <w:r>
              <w:rPr>
                <w:sz w:val="17"/>
              </w:rPr>
              <w:t>2026-10-13</w:t>
            </w:r>
          </w:p>
        </w:tc>
        <w:tc>
          <w:tcPr>
            <w:tcW w:type="dxa" w:w="1440"/>
            <w:shd w:fill="C6EFCE" w:val="clear"/>
          </w:tcPr>
          <w:p>
            <w:r>
              <w:rPr>
                <w:sz w:val="17"/>
              </w:rPr>
              <w:t>4,643</w:t>
            </w:r>
          </w:p>
        </w:tc>
        <w:tc>
          <w:tcPr>
            <w:tcW w:type="dxa" w:w="1440"/>
            <w:shd w:fill="C6EFCE" w:val="clear"/>
          </w:tcPr>
          <w:p>
            <w:r>
              <w:rPr>
                <w:b/>
                <w:sz w:val="17"/>
              </w:rPr>
              <w:t>5,501</w:t>
            </w:r>
          </w:p>
        </w:tc>
        <w:tc>
          <w:tcPr>
            <w:tcW w:type="dxa" w:w="1440"/>
            <w:shd w:fill="C6EFCE" w:val="clear"/>
          </w:tcPr>
          <w:p>
            <w:r>
              <w:rPr>
                <w:sz w:val="17"/>
              </w:rPr>
              <w:t>6,359</w:t>
            </w:r>
          </w:p>
        </w:tc>
        <w:tc>
          <w:tcPr>
            <w:tcW w:type="dxa" w:w="1440"/>
            <w:shd w:fill="C6EFCE" w:val="clear"/>
          </w:tcPr>
          <w:p>
            <w:r>
              <w:rPr>
                <w:b/>
                <w:color w:val="008000"/>
                <w:sz w:val="17"/>
              </w:rPr>
              <w:t>+3.8%</w:t>
            </w:r>
          </w:p>
        </w:tc>
      </w:tr>
      <w:tr>
        <w:tc>
          <w:tcPr>
            <w:tcW w:type="dxa" w:w="1440"/>
            <w:shd w:fill="C6EFCE" w:val="clear"/>
          </w:tcPr>
          <w:p>
            <w:r>
              <w:rPr>
                <w:sz w:val="17"/>
              </w:rPr>
              <w:t>J+10  ⭐</w:t>
            </w:r>
          </w:p>
        </w:tc>
        <w:tc>
          <w:tcPr>
            <w:tcW w:type="dxa" w:w="1440"/>
            <w:shd w:fill="C6EFCE" w:val="clear"/>
          </w:tcPr>
          <w:p>
            <w:r>
              <w:rPr>
                <w:sz w:val="17"/>
              </w:rPr>
              <w:t>2026-10-14</w:t>
            </w:r>
          </w:p>
        </w:tc>
        <w:tc>
          <w:tcPr>
            <w:tcW w:type="dxa" w:w="1440"/>
            <w:shd w:fill="C6EFCE" w:val="clear"/>
          </w:tcPr>
          <w:p>
            <w:r>
              <w:rPr>
                <w:sz w:val="17"/>
              </w:rPr>
              <w:t>4,610</w:t>
            </w:r>
          </w:p>
        </w:tc>
        <w:tc>
          <w:tcPr>
            <w:tcW w:type="dxa" w:w="1440"/>
            <w:shd w:fill="C6EFCE" w:val="clear"/>
          </w:tcPr>
          <w:p>
            <w:r>
              <w:rPr>
                <w:b/>
                <w:sz w:val="17"/>
              </w:rPr>
              <w:t>5,517</w:t>
            </w:r>
          </w:p>
        </w:tc>
        <w:tc>
          <w:tcPr>
            <w:tcW w:type="dxa" w:w="1440"/>
            <w:shd w:fill="C6EFCE" w:val="clear"/>
          </w:tcPr>
          <w:p>
            <w:r>
              <w:rPr>
                <w:sz w:val="17"/>
              </w:rPr>
              <w:t>6,425</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110,24 milliards FCFA, BOAN se positionne comme une valeur de taille moyenne sur le compartiment bancaire de la BRVM. Le BPA de 20 FCFA/action ressort extrêmement faible, conséquence directe de l'effondrement du résultat net 2025 à 409 millions FCFA. Le PER de 269,5x traduit une valorisation totalement déconnectée des bénéfices actuels — très au-dessus de la moyenne BRVM (~8-12x) — ce qui signifie que le marché price déjà une reprise spectaculaire des profits (le budget 2026 vise un résultat avant impôt de 7,28 Mds FCFA, soit +515%). Le P/B de 3,06x indique que le marché valorise la banque à plus de trois fois ses fonds propres comptables (36,06 Mds FCFA), soit une prime de croissance significative. Enfin, l'EV/EBITDA de 40,3x (très supérieur au seuil de 15x) confirme que la valeur d'entreprise intègre des anticipations de redressement opérationnel très ambitieuses, laissant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BOAN affiche une progression spectaculaire de +51,43%, portant le cours à 5 300 FCFA, malgré un léger repli de -0,93% lors de la dernière séance. Le titre a évolué dans un range très large de 3 395 FCFA (plus bas) à 5 645 FCFA (plus haut), soit une amplitude de plus de 66%, témoignant d'une tendance nettement haussière portée par les anticipations de redressement post-sanctions. Les statistiques descriptives révèlent une moyenne de 4 637 FCFA inférieure à la médiane de 5 088 FCFA, signe que le cours a passé la majorité de la période au-dessus de sa moyenne, avec des pointes baissières ponctuelles tirant la moyenne vers le bas. L'écart-type de 757 FCFA (CV = 16,3%) indique une dispersion modérée autour de la moyenne. Le kurtosis de -1,594 (distribution platykurtique) signale une faible concentration des variations extrêmes — le risque de pics brutaux est limité. Le skewness de -0,306, proche de zéro, confirme une distribution quasi symétrique, sans biais directionnel marqué. La volatilité annualisée de 40,4% classe le titre dans la catégorie **élevée** (&gt;30%), ce qui est cohérent avec un contexte de redressement incertain et un flottant relativement étroit.</w:t>
      </w:r>
    </w:p>
    <w:p>
      <w:pPr>
        <w:spacing w:after="120" w:line="276" w:lineRule="auto"/>
      </w:pPr>
      <w:r>
        <w:t>---</w:t>
      </w:r>
    </w:p>
    <w:p>
      <w:pPr>
        <w:spacing w:after="120" w:line="276" w:lineRule="auto"/>
      </w:pPr>
      <w:r>
        <w:t>### PARTIE 2 : ANALYSE TECHNIQUE DÉTAILLÉE</w:t>
      </w:r>
    </w:p>
    <w:p>
      <w:pPr>
        <w:spacing w:after="120" w:line="276" w:lineRule="auto"/>
      </w:pPr>
      <w:r>
        <w:t>**Moyennes Mobiles** : La MM20 (5 304,5 FCFA) et la MM50 (5 280,0 FCFA) encadrent le cours actuel (5 300 FCFA) de très près, avec la MM20 légèrement au-dessus de la MM50 — configuration haussière classique. Le cours évoluant au contact de ces deux supports dynamiques, la décision technique est à l'**Achat**, bien que la proximité immédiate des moyennes suggère une phase de consolidation plutôt qu'un élan directionnel fort.</w:t>
      </w:r>
    </w:p>
    <w:p>
      <w:pPr>
        <w:spacing w:after="120" w:line="276" w:lineRule="auto"/>
      </w:pPr>
      <w:r>
        <w:t>**Bandes de Bollinger** : Le cours (5 300 FCFA) se situe à mi-chemin entre la borne inférieure (4 758,3 FCFA) et la borne supérieure (5 850,7 FCFA), dans la partie médiane du canal. L'absence de contact avec les bornes traduit une volatilité contenue et une absence de signal extrême, justifiant la décision **Neutre**. Un franchissement de la borne supérieure serait nécessaire pour confirmer une accélération haussière.</w:t>
      </w:r>
    </w:p>
    <w:p>
      <w:pPr>
        <w:spacing w:after="120" w:line="276" w:lineRule="auto"/>
      </w:pPr>
      <w:r>
        <w:t>**MACD** : La valeur du MACD (-22,839) est inférieure à son signal (-19,656), générant un croisement baissier et une décision de **Vente**. Ce signal négatif indique un essoufflement du momentum haussier malgré la tendance de fond positive, suggérant une possible correction à court terme ou une consolidation avant reprise.</w:t>
      </w:r>
    </w:p>
    <w:p>
      <w:pPr>
        <w:spacing w:after="120" w:line="276" w:lineRule="auto"/>
      </w:pPr>
      <w:r>
        <w:t>**RSI** : À 45,788, le RSI se situe dans la zone neutre (30-70), sans signal de surachat ni de survente. Cette position médiane confirme l'absence de pression acheteuse ou vendeuse dominante, justifiant la décision **Neutre** et laissant la porte ouverte à une reprise comme à une correction.</w:t>
      </w:r>
    </w:p>
    <w:p>
      <w:pPr>
        <w:spacing w:after="120" w:line="276" w:lineRule="auto"/>
      </w:pPr>
      <w:r>
        <w:t>**Stochastique** : Le %K (71,77) est inférieur au %D (80,064), avec un croisement en zone haute (proche de la surachat à 80). Ce positionnement suggère un essoufflement de la dynamique haussière à court terme, bien que la décision reste **Neutre** en l'absence de franchissement décisif des seuils.</w:t>
      </w:r>
    </w:p>
    <w:p>
      <w:pPr>
        <w:spacing w:after="120" w:line="276" w:lineRule="auto"/>
      </w:pPr>
      <w:r>
        <w:t>**Conclusion technique** : Les indicateurs présentent un tableau mitigé — les moyennes mobiles soutiennent une tendance haussière de fond, mais le MACD baissier et le stochastique en zone haute signalent un essoufflement du momentum. Le RSI neutre et les Bandes de Bollinger sans signal extrême confirment une phase de consolidation. La convergence partielle des signaux plaide pour une **prudence à court terme**, avec un biais haussier conditionné à un franchissement des 5 400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BOAN a enregistré un Produit Net Bancaire (PNB) de 21 125 millions FCFA, en léger repli de -1,2% sur un an, dans un secteur bancaire nigérien en contraction. Le résultat net s'est effondré à 409 millions FCFA (contre 5 002 millions en 2024), soit une chute de -91,8%, principalement due à une provision exceptionnelle de 4,8 milliards FCFA liée au taux de sinistralité sectoriel de 24%. Les ratios de rentabilité sont très dégradés : ROE de 1,13% (très loin du seuil de 15% considéré comme excellent) et ROA de 0,14%. Le coefficient d'exploitation s'établit à 74,37%, bien au-dessus du seuil de 60% (banque efficace), reflétant une pression sur les coûts. Le coût du risque/charges financières atteint 67,30%, signalant un portefeuille de crédits à risque élevé. La structure financière reste solide avec un ratio de solvabilité de 14,06% (conforme aux exigences UEMOA ≥10%) et un coefficient de liquidité de 123,95%, mais l'autonomie financière (12,36%) est faible et le ratio d'endettement (178,61%) élevé. Les dépôts clientèle (183,28 Mds FCFA) couvrent largement les créances clientèle (128,45 Mds FCFA), avec un ratio de transformation de 70,1%.</w:t>
      </w:r>
    </w:p>
    <w:p>
      <w:pPr>
        <w:spacing w:after="120" w:line="276" w:lineRule="auto"/>
      </w:pPr>
      <w:r>
        <w:t>**Estimations basées sur les rapports trimestriels** : Le rapport du T1 2026 (publié le 31 mars 2026, analysé le 05/09/2026) confirme un **redressement net** : PNB en hausse de +7,9% à 5 170 millions FCFA, résultat net en progression de +28,9% à 1 467,3 millions FCFA, et coefficient d'exploitation ramené à 56,2% (contre 66,8% un an plus tôt). Le coût du risque se dégrade toutefois (+104,3% à -673,1 millions FCFA), reflétant un effort d'assainissement assumé. Sur la base de ce T1, on peut **estimer** que l'exercice 2026 devrait afficher un PNB en croissance de +6 à +8% (budget : 22 327 millions FCFA, +6,4%) et un résultat net en forte reprise, potentiellement entre 4 et 6 milliards FCFA si la trajectoire trimestrielle se confirme. Le rapport du S2 2025 (publié le 31/12/2025, analysé le 05/09/2026) souligne la résilience des dépôts (+4,0% à 189,9 Mds FCFA) et la réduction volontaire des crédits (-20,9%), stratégie prudente de gestion des risques.</w:t>
      </w:r>
    </w:p>
    <w:p>
      <w:pPr>
        <w:spacing w:after="120" w:line="276" w:lineRule="auto"/>
      </w:pPr>
      <w:r>
        <w:t>**Recommandation fondamentale** : La banque traverse une phase de redressement crédible, soutenue par le groupe Bank of Africa, avec des perspectives 2026 ambitieuses (budget : résultat avant impôt de 7,28 Mds FCFA, +515%). Les risques restent élevés (créances douteuses à 24%, instabilité politique, dépendance au pétrole), mais la trajectoire T1 2026 est encourageante. **Positionnement : CONSERVER avec biais positif**, en attendant confirmation sur 1 à 2 trimestres supplémentaires.</w:t>
      </w:r>
    </w:p>
    <w:p>
      <w:pPr>
        <w:spacing w:after="120" w:line="276" w:lineRule="auto"/>
      </w:pPr>
      <w:r>
        <w:t>---</w:t>
      </w:r>
    </w:p>
    <w:p>
      <w:pPr>
        <w:spacing w:after="120" w:line="276" w:lineRule="auto"/>
      </w:pPr>
      <w:r>
        <w:t>### PARTIE 4 : CONCLUSION D'INVESTISSEMENT</w:t>
      </w:r>
    </w:p>
    <w:p>
      <w:pPr>
        <w:spacing w:after="120" w:line="276" w:lineRule="auto"/>
      </w:pPr>
      <w:r>
        <w:t>La valorisation (Partie 0) est extrêmement exigeante : PER de 269,5x, P/B de 3,06x et EV/EBITDA de 40,3x intègrent déjà une reprise spectaculaire des bénéfices, laissant peu de marge d'erreur. Le comportement du cours (Partie 1) est haussier (+51,43% sur 100 jours) avec une volatilité élevée (40,4%) et une distribution symétrique (skewness -0,306) sans risque de pics extrêmes (kurtosis -1,594), ce qui est plutôt rassurant. Les signaux techniques (Partie 2) sont mitigés : les moyennes mobiles soutiennent la tendance, mais le MACD baissier et le stochastique en zone haute signalent un essoufflement à court terme, plaidant pour une consolidation. Les fondamentaux (Partie 3) montrent une nette amélioration au T1 2026 (résultat net +28,9%, coefficient d'exploitation à 56,2%), mais les risques structurels (créances douteuses, instabilité politique) restent préoccupants. Les prédictions IA (J+1 à J+10) anticipent une trajectoire haussière modérée (5 373 → 5 433 FCFA, soit +2,5% sur 10 jours), confirmant la tendance de fond mais sans emballement. **En synthèse**, la convergence entre le redressement fondamental, la tendance haussière du cours et les prédictions positives soutient un **ACHAT MODÉRÉ**, mais la valorisation tendue et les risques élevés imposent une **confiance moyenne** et un **risque global élevé**. L'horizon optimal est le **moyen terme (3-12 mois)**, le temps que la reprise se confirme sur plusieurs trimestres et que la valorisation se normalise. **Recommandation finale : CONSERVER / ACHAT MODÉRÉ — Confiance : Moyenne — Risque : Élevé — Horizon : Moyen terme (3-12 mois).**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11,388 titres</w:t>
            </w:r>
          </w:p>
        </w:tc>
        <w:tc>
          <w:tcPr>
            <w:tcW w:type="dxa" w:w="2268"/>
            <w:shd w:fill="FFF2CC" w:val="clear"/>
          </w:tcPr>
          <w:p>
            <w:r>
              <w:rPr>
                <w:b/>
                <w:color w:val="503200"/>
                <w:sz w:val="16"/>
              </w:rPr>
              <w:t xml:space="preserve">Cours actuel : </w:t>
            </w:r>
            <w:r>
              <w:rPr>
                <w:color w:val="000000"/>
                <w:sz w:val="17"/>
              </w:rPr>
              <w:t>8,145 FCFA</w:t>
            </w:r>
          </w:p>
          <w:p>
            <w:r>
              <w:rPr>
                <w:b/>
                <w:color w:val="503200"/>
                <w:sz w:val="16"/>
              </w:rPr>
              <w:t xml:space="preserve">Var. 100 jours : </w:t>
            </w:r>
            <w:r>
              <w:rPr>
                <w:b/>
                <w:color w:val="007800"/>
                <w:sz w:val="17"/>
              </w:rPr>
              <w:t>+12.11%</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μ=7,720 FCFA, σ=365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β=0.6152 (Défensif) — Cov=0.000043, Var(idx)=0.000069, ρ=0.300,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11,388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σ_j=1.68%/j (Stable) — Vol. annualisée≈26.7%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2026-10-01</w:t>
            </w:r>
          </w:p>
        </w:tc>
        <w:tc>
          <w:tcPr>
            <w:tcW w:type="dxa" w:w="1440"/>
            <w:shd w:fill="FFDCE0" w:val="clear"/>
          </w:tcPr>
          <w:p>
            <w:r>
              <w:rPr>
                <w:sz w:val="17"/>
              </w:rPr>
              <w:t>7,713</w:t>
            </w:r>
          </w:p>
        </w:tc>
        <w:tc>
          <w:tcPr>
            <w:tcW w:type="dxa" w:w="1440"/>
            <w:shd w:fill="FFDCE0" w:val="clear"/>
          </w:tcPr>
          <w:p>
            <w:r>
              <w:rPr>
                <w:b/>
                <w:sz w:val="17"/>
              </w:rPr>
              <w:t>7,954</w:t>
            </w:r>
          </w:p>
        </w:tc>
        <w:tc>
          <w:tcPr>
            <w:tcW w:type="dxa" w:w="1440"/>
            <w:shd w:fill="FFDCE0" w:val="clear"/>
          </w:tcPr>
          <w:p>
            <w:r>
              <w:rPr>
                <w:sz w:val="17"/>
              </w:rPr>
              <w:t>8,195</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2026-10-02</w:t>
            </w:r>
          </w:p>
        </w:tc>
        <w:tc>
          <w:tcPr>
            <w:tcW w:type="dxa" w:w="1440"/>
            <w:shd w:fill="FFDCE0" w:val="clear"/>
          </w:tcPr>
          <w:p>
            <w:r>
              <w:rPr>
                <w:sz w:val="17"/>
              </w:rPr>
              <w:t>7,500</w:t>
            </w:r>
          </w:p>
        </w:tc>
        <w:tc>
          <w:tcPr>
            <w:tcW w:type="dxa" w:w="1440"/>
            <w:shd w:fill="FFDCE0" w:val="clear"/>
          </w:tcPr>
          <w:p>
            <w:r>
              <w:rPr>
                <w:b/>
                <w:sz w:val="17"/>
              </w:rPr>
              <w:t>7,835</w:t>
            </w:r>
          </w:p>
        </w:tc>
        <w:tc>
          <w:tcPr>
            <w:tcW w:type="dxa" w:w="1440"/>
            <w:shd w:fill="FFDCE0" w:val="clear"/>
          </w:tcPr>
          <w:p>
            <w:r>
              <w:rPr>
                <w:sz w:val="17"/>
              </w:rPr>
              <w:t>8,171</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2026-10-05</w:t>
            </w:r>
          </w:p>
        </w:tc>
        <w:tc>
          <w:tcPr>
            <w:tcW w:type="dxa" w:w="1440"/>
            <w:shd w:fill="FFDCE0" w:val="clear"/>
          </w:tcPr>
          <w:p>
            <w:r>
              <w:rPr>
                <w:sz w:val="17"/>
              </w:rPr>
              <w:t>7,317</w:t>
            </w:r>
          </w:p>
        </w:tc>
        <w:tc>
          <w:tcPr>
            <w:tcW w:type="dxa" w:w="1440"/>
            <w:shd w:fill="FFDCE0" w:val="clear"/>
          </w:tcPr>
          <w:p>
            <w:r>
              <w:rPr>
                <w:b/>
                <w:sz w:val="17"/>
              </w:rPr>
              <w:t>7,722</w:t>
            </w:r>
          </w:p>
        </w:tc>
        <w:tc>
          <w:tcPr>
            <w:tcW w:type="dxa" w:w="1440"/>
            <w:shd w:fill="FFDCE0" w:val="clear"/>
          </w:tcPr>
          <w:p>
            <w:r>
              <w:rPr>
                <w:sz w:val="17"/>
              </w:rPr>
              <w:t>8,127</w:t>
            </w:r>
          </w:p>
        </w:tc>
        <w:tc>
          <w:tcPr>
            <w:tcW w:type="dxa" w:w="1440"/>
            <w:shd w:fill="FFDCE0" w:val="clear"/>
          </w:tcPr>
          <w:p>
            <w:r>
              <w:rPr>
                <w:b/>
                <w:color w:val="C00000"/>
                <w:sz w:val="17"/>
              </w:rPr>
              <w:t>-5.2%</w:t>
            </w:r>
          </w:p>
        </w:tc>
      </w:tr>
      <w:tr>
        <w:tc>
          <w:tcPr>
            <w:tcW w:type="dxa" w:w="1440"/>
            <w:shd w:fill="FFDCE0" w:val="clear"/>
          </w:tcPr>
          <w:p>
            <w:r>
              <w:rPr>
                <w:sz w:val="17"/>
              </w:rPr>
              <w:t>J+4  Moyenne</w:t>
            </w:r>
          </w:p>
        </w:tc>
        <w:tc>
          <w:tcPr>
            <w:tcW w:type="dxa" w:w="1440"/>
            <w:shd w:fill="FFDCE0" w:val="clear"/>
          </w:tcPr>
          <w:p>
            <w:r>
              <w:rPr>
                <w:sz w:val="17"/>
              </w:rPr>
              <w:t>2026-10-06</w:t>
            </w:r>
          </w:p>
        </w:tc>
        <w:tc>
          <w:tcPr>
            <w:tcW w:type="dxa" w:w="1440"/>
            <w:shd w:fill="FFDCE0" w:val="clear"/>
          </w:tcPr>
          <w:p>
            <w:r>
              <w:rPr>
                <w:sz w:val="17"/>
              </w:rPr>
              <w:t>7,157</w:t>
            </w:r>
          </w:p>
        </w:tc>
        <w:tc>
          <w:tcPr>
            <w:tcW w:type="dxa" w:w="1440"/>
            <w:shd w:fill="FFDCE0" w:val="clear"/>
          </w:tcPr>
          <w:p>
            <w:r>
              <w:rPr>
                <w:b/>
                <w:sz w:val="17"/>
              </w:rPr>
              <w:t>7,619</w:t>
            </w:r>
          </w:p>
        </w:tc>
        <w:tc>
          <w:tcPr>
            <w:tcW w:type="dxa" w:w="1440"/>
            <w:shd w:fill="FFDCE0" w:val="clear"/>
          </w:tcPr>
          <w:p>
            <w:r>
              <w:rPr>
                <w:sz w:val="17"/>
              </w:rPr>
              <w:t>8,080</w:t>
            </w:r>
          </w:p>
        </w:tc>
        <w:tc>
          <w:tcPr>
            <w:tcW w:type="dxa" w:w="1440"/>
            <w:shd w:fill="FFDCE0" w:val="clear"/>
          </w:tcPr>
          <w:p>
            <w:r>
              <w:rPr>
                <w:b/>
                <w:color w:val="C00000"/>
                <w:sz w:val="17"/>
              </w:rPr>
              <w:t>-6.5%</w:t>
            </w:r>
          </w:p>
        </w:tc>
      </w:tr>
      <w:tr>
        <w:tc>
          <w:tcPr>
            <w:tcW w:type="dxa" w:w="1440"/>
            <w:shd w:fill="FFDCE0" w:val="clear"/>
          </w:tcPr>
          <w:p>
            <w:r>
              <w:rPr>
                <w:sz w:val="17"/>
              </w:rPr>
              <w:t>J+5  Moyenne</w:t>
            </w:r>
          </w:p>
        </w:tc>
        <w:tc>
          <w:tcPr>
            <w:tcW w:type="dxa" w:w="1440"/>
            <w:shd w:fill="FFDCE0" w:val="clear"/>
          </w:tcPr>
          <w:p>
            <w:r>
              <w:rPr>
                <w:sz w:val="17"/>
              </w:rPr>
              <w:t>2026-10-07</w:t>
            </w:r>
          </w:p>
        </w:tc>
        <w:tc>
          <w:tcPr>
            <w:tcW w:type="dxa" w:w="1440"/>
            <w:shd w:fill="FFDCE0" w:val="clear"/>
          </w:tcPr>
          <w:p>
            <w:r>
              <w:rPr>
                <w:sz w:val="17"/>
              </w:rPr>
              <w:t>7,012</w:t>
            </w:r>
          </w:p>
        </w:tc>
        <w:tc>
          <w:tcPr>
            <w:tcW w:type="dxa" w:w="1440"/>
            <w:shd w:fill="FFDCE0" w:val="clear"/>
          </w:tcPr>
          <w:p>
            <w:r>
              <w:rPr>
                <w:b/>
                <w:sz w:val="17"/>
              </w:rPr>
              <w:t>7,522</w:t>
            </w:r>
          </w:p>
        </w:tc>
        <w:tc>
          <w:tcPr>
            <w:tcW w:type="dxa" w:w="1440"/>
            <w:shd w:fill="FFDCE0" w:val="clear"/>
          </w:tcPr>
          <w:p>
            <w:r>
              <w:rPr>
                <w:sz w:val="17"/>
              </w:rPr>
              <w:t>8,031</w:t>
            </w:r>
          </w:p>
        </w:tc>
        <w:tc>
          <w:tcPr>
            <w:tcW w:type="dxa" w:w="1440"/>
            <w:shd w:fill="FFDCE0" w:val="clear"/>
          </w:tcPr>
          <w:p>
            <w:r>
              <w:rPr>
                <w:b/>
                <w:color w:val="C00000"/>
                <w:sz w:val="17"/>
              </w:rPr>
              <w:t>-7.6%</w:t>
            </w:r>
          </w:p>
        </w:tc>
      </w:tr>
      <w:tr>
        <w:tc>
          <w:tcPr>
            <w:tcW w:type="dxa" w:w="1440"/>
            <w:shd w:fill="FFDCE0" w:val="clear"/>
          </w:tcPr>
          <w:p>
            <w:r>
              <w:rPr>
                <w:sz w:val="17"/>
              </w:rPr>
              <w:t>J+6  Moyenne</w:t>
            </w:r>
          </w:p>
        </w:tc>
        <w:tc>
          <w:tcPr>
            <w:tcW w:type="dxa" w:w="1440"/>
            <w:shd w:fill="FFDCE0" w:val="clear"/>
          </w:tcPr>
          <w:p>
            <w:r>
              <w:rPr>
                <w:sz w:val="17"/>
              </w:rPr>
              <w:t>2026-10-08</w:t>
            </w:r>
          </w:p>
        </w:tc>
        <w:tc>
          <w:tcPr>
            <w:tcW w:type="dxa" w:w="1440"/>
            <w:shd w:fill="FFDCE0" w:val="clear"/>
          </w:tcPr>
          <w:p>
            <w:r>
              <w:rPr>
                <w:sz w:val="17"/>
              </w:rPr>
              <w:t>6,878</w:t>
            </w:r>
          </w:p>
        </w:tc>
        <w:tc>
          <w:tcPr>
            <w:tcW w:type="dxa" w:w="1440"/>
            <w:shd w:fill="FFDCE0" w:val="clear"/>
          </w:tcPr>
          <w:p>
            <w:r>
              <w:rPr>
                <w:b/>
                <w:sz w:val="17"/>
              </w:rPr>
              <w:t>7,430</w:t>
            </w:r>
          </w:p>
        </w:tc>
        <w:tc>
          <w:tcPr>
            <w:tcW w:type="dxa" w:w="1440"/>
            <w:shd w:fill="FFDCE0" w:val="clear"/>
          </w:tcPr>
          <w:p>
            <w:r>
              <w:rPr>
                <w:sz w:val="17"/>
              </w:rPr>
              <w:t>7,981</w:t>
            </w:r>
          </w:p>
        </w:tc>
        <w:tc>
          <w:tcPr>
            <w:tcW w:type="dxa" w:w="1440"/>
            <w:shd w:fill="FFDCE0" w:val="clear"/>
          </w:tcPr>
          <w:p>
            <w:r>
              <w:rPr>
                <w:b/>
                <w:color w:val="C00000"/>
                <w:sz w:val="17"/>
              </w:rPr>
              <w:t>-8.8%</w:t>
            </w:r>
          </w:p>
        </w:tc>
      </w:tr>
      <w:tr>
        <w:tc>
          <w:tcPr>
            <w:tcW w:type="dxa" w:w="1440"/>
            <w:shd w:fill="FFDCE0" w:val="clear"/>
          </w:tcPr>
          <w:p>
            <w:r>
              <w:rPr>
                <w:sz w:val="17"/>
              </w:rPr>
              <w:t>J+7  Moyenne</w:t>
            </w:r>
          </w:p>
        </w:tc>
        <w:tc>
          <w:tcPr>
            <w:tcW w:type="dxa" w:w="1440"/>
            <w:shd w:fill="FFDCE0" w:val="clear"/>
          </w:tcPr>
          <w:p>
            <w:r>
              <w:rPr>
                <w:sz w:val="17"/>
              </w:rPr>
              <w:t>2026-10-09</w:t>
            </w:r>
          </w:p>
        </w:tc>
        <w:tc>
          <w:tcPr>
            <w:tcW w:type="dxa" w:w="1440"/>
            <w:shd w:fill="FFDCE0" w:val="clear"/>
          </w:tcPr>
          <w:p>
            <w:r>
              <w:rPr>
                <w:sz w:val="17"/>
              </w:rPr>
              <w:t>6,753</w:t>
            </w:r>
          </w:p>
        </w:tc>
        <w:tc>
          <w:tcPr>
            <w:tcW w:type="dxa" w:w="1440"/>
            <w:shd w:fill="FFDCE0" w:val="clear"/>
          </w:tcPr>
          <w:p>
            <w:r>
              <w:rPr>
                <w:b/>
                <w:sz w:val="17"/>
              </w:rPr>
              <w:t>7,342</w:t>
            </w:r>
          </w:p>
        </w:tc>
        <w:tc>
          <w:tcPr>
            <w:tcW w:type="dxa" w:w="1440"/>
            <w:shd w:fill="FFDCE0" w:val="clear"/>
          </w:tcPr>
          <w:p>
            <w:r>
              <w:rPr>
                <w:sz w:val="17"/>
              </w:rPr>
              <w:t>7,930</w:t>
            </w:r>
          </w:p>
        </w:tc>
        <w:tc>
          <w:tcPr>
            <w:tcW w:type="dxa" w:w="1440"/>
            <w:shd w:fill="FFDCE0" w:val="clear"/>
          </w:tcPr>
          <w:p>
            <w:r>
              <w:rPr>
                <w:b/>
                <w:color w:val="C00000"/>
                <w:sz w:val="17"/>
              </w:rPr>
              <w:t>-9.9%</w:t>
            </w:r>
          </w:p>
        </w:tc>
      </w:tr>
      <w:tr>
        <w:tc>
          <w:tcPr>
            <w:tcW w:type="dxa" w:w="1440"/>
            <w:shd w:fill="FFDCE0" w:val="clear"/>
          </w:tcPr>
          <w:p>
            <w:r>
              <w:rPr>
                <w:sz w:val="17"/>
              </w:rPr>
              <w:t>J+8  Moyenne</w:t>
            </w:r>
          </w:p>
        </w:tc>
        <w:tc>
          <w:tcPr>
            <w:tcW w:type="dxa" w:w="1440"/>
            <w:shd w:fill="FFDCE0" w:val="clear"/>
          </w:tcPr>
          <w:p>
            <w:r>
              <w:rPr>
                <w:sz w:val="17"/>
              </w:rPr>
              <w:t>2026-10-12</w:t>
            </w:r>
          </w:p>
        </w:tc>
        <w:tc>
          <w:tcPr>
            <w:tcW w:type="dxa" w:w="1440"/>
            <w:shd w:fill="FFDCE0" w:val="clear"/>
          </w:tcPr>
          <w:p>
            <w:r>
              <w:rPr>
                <w:sz w:val="17"/>
              </w:rPr>
              <w:t>6,636</w:t>
            </w:r>
          </w:p>
        </w:tc>
        <w:tc>
          <w:tcPr>
            <w:tcW w:type="dxa" w:w="1440"/>
            <w:shd w:fill="FFDCE0" w:val="clear"/>
          </w:tcPr>
          <w:p>
            <w:r>
              <w:rPr>
                <w:b/>
                <w:sz w:val="17"/>
              </w:rPr>
              <w:t>7,258</w:t>
            </w:r>
          </w:p>
        </w:tc>
        <w:tc>
          <w:tcPr>
            <w:tcW w:type="dxa" w:w="1440"/>
            <w:shd w:fill="FFDCE0" w:val="clear"/>
          </w:tcPr>
          <w:p>
            <w:r>
              <w:rPr>
                <w:sz w:val="17"/>
              </w:rPr>
              <w:t>7,880</w:t>
            </w:r>
          </w:p>
        </w:tc>
        <w:tc>
          <w:tcPr>
            <w:tcW w:type="dxa" w:w="1440"/>
            <w:shd w:fill="FFDCE0" w:val="clear"/>
          </w:tcPr>
          <w:p>
            <w:r>
              <w:rPr>
                <w:b/>
                <w:color w:val="C00000"/>
                <w:sz w:val="17"/>
              </w:rPr>
              <w:t>-10.9%</w:t>
            </w:r>
          </w:p>
        </w:tc>
      </w:tr>
      <w:tr>
        <w:tc>
          <w:tcPr>
            <w:tcW w:type="dxa" w:w="1440"/>
            <w:shd w:fill="FFDCE0" w:val="clear"/>
          </w:tcPr>
          <w:p>
            <w:r>
              <w:rPr>
                <w:sz w:val="17"/>
              </w:rPr>
              <w:t>J+9  Moyenne</w:t>
            </w:r>
          </w:p>
        </w:tc>
        <w:tc>
          <w:tcPr>
            <w:tcW w:type="dxa" w:w="1440"/>
            <w:shd w:fill="FFDCE0" w:val="clear"/>
          </w:tcPr>
          <w:p>
            <w:r>
              <w:rPr>
                <w:sz w:val="17"/>
              </w:rPr>
              <w:t>2026-10-13</w:t>
            </w:r>
          </w:p>
        </w:tc>
        <w:tc>
          <w:tcPr>
            <w:tcW w:type="dxa" w:w="1440"/>
            <w:shd w:fill="FFDCE0" w:val="clear"/>
          </w:tcPr>
          <w:p>
            <w:r>
              <w:rPr>
                <w:sz w:val="17"/>
              </w:rPr>
              <w:t>6,525</w:t>
            </w:r>
          </w:p>
        </w:tc>
        <w:tc>
          <w:tcPr>
            <w:tcW w:type="dxa" w:w="1440"/>
            <w:shd w:fill="FFDCE0" w:val="clear"/>
          </w:tcPr>
          <w:p>
            <w:r>
              <w:rPr>
                <w:b/>
                <w:sz w:val="17"/>
              </w:rPr>
              <w:t>7,178</w:t>
            </w:r>
          </w:p>
        </w:tc>
        <w:tc>
          <w:tcPr>
            <w:tcW w:type="dxa" w:w="1440"/>
            <w:shd w:fill="FFDCE0" w:val="clear"/>
          </w:tcPr>
          <w:p>
            <w:r>
              <w:rPr>
                <w:sz w:val="17"/>
              </w:rPr>
              <w:t>7,830</w:t>
            </w:r>
          </w:p>
        </w:tc>
        <w:tc>
          <w:tcPr>
            <w:tcW w:type="dxa" w:w="1440"/>
            <w:shd w:fill="FFDCE0" w:val="clear"/>
          </w:tcPr>
          <w:p>
            <w:r>
              <w:rPr>
                <w:b/>
                <w:color w:val="C00000"/>
                <w:sz w:val="17"/>
              </w:rPr>
              <w:t>-11.9%</w:t>
            </w:r>
          </w:p>
        </w:tc>
      </w:tr>
      <w:tr>
        <w:tc>
          <w:tcPr>
            <w:tcW w:type="dxa" w:w="1440"/>
            <w:shd w:fill="FFDCE0" w:val="clear"/>
          </w:tcPr>
          <w:p>
            <w:r>
              <w:rPr>
                <w:sz w:val="17"/>
              </w:rPr>
              <w:t>J+10  Moyenne</w:t>
            </w:r>
          </w:p>
        </w:tc>
        <w:tc>
          <w:tcPr>
            <w:tcW w:type="dxa" w:w="1440"/>
            <w:shd w:fill="FFDCE0" w:val="clear"/>
          </w:tcPr>
          <w:p>
            <w:r>
              <w:rPr>
                <w:sz w:val="17"/>
              </w:rPr>
              <w:t>2026-10-14</w:t>
            </w:r>
          </w:p>
        </w:tc>
        <w:tc>
          <w:tcPr>
            <w:tcW w:type="dxa" w:w="1440"/>
            <w:shd w:fill="FFDCE0" w:val="clear"/>
          </w:tcPr>
          <w:p>
            <w:r>
              <w:rPr>
                <w:sz w:val="17"/>
              </w:rPr>
              <w:t>6,420</w:t>
            </w:r>
          </w:p>
        </w:tc>
        <w:tc>
          <w:tcPr>
            <w:tcW w:type="dxa" w:w="1440"/>
            <w:shd w:fill="FFDCE0" w:val="clear"/>
          </w:tcPr>
          <w:p>
            <w:r>
              <w:rPr>
                <w:b/>
                <w:sz w:val="17"/>
              </w:rPr>
              <w:t>7,101</w:t>
            </w:r>
          </w:p>
        </w:tc>
        <w:tc>
          <w:tcPr>
            <w:tcW w:type="dxa" w:w="1440"/>
            <w:shd w:fill="FFDCE0" w:val="clear"/>
          </w:tcPr>
          <w:p>
            <w:r>
              <w:rPr>
                <w:sz w:val="17"/>
              </w:rPr>
              <w:t>7,781</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293,22 milliards FCFA, BOAS s'impose comme l'une des valeurs bancaires de référence de la cote BRVM, témoignant de la solidité et de la maturité de l'établissement sur le marché régional. Le Bénéfice Par Action (BPA) s'établit à 608 FCFA, ce qui signifie que chaque titre détenu génère près de 608 FCFA de bénéfice net, un niveau de rentabilité par action particulièrement attractif. Le PER de 13,4x traduit une valorisation modérée : les investisseurs paient environ 13,4 fois les bénéfices annuels, un multiple légèrement supérieur à la moyenne BRVM (8-12x) mais qui reste raisonnable au regard de la qualité des fondamentaux et de la régularité des résultats. Le ratio P/B de 3,04x indique que le marché valorise la banque à environ trois fois sa valeur comptable, une prime de croissance justifiée par la rentabilité élevée des fonds propres (ROE de 22,69%). Enfin, l'EV/EBITDA de 8,7x, situé dans la fourchette raisonnable de 5-10x, confirme que la valeur d'entreprise reste cohérente avec la capacité opérationnelle de la banque, sans exubérance ni décote excessive.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totale de +12,11%, clôturant à 8 145 FCFA, tandis que la dernière séance (J-1) est restée stable à +0,00%, signe d'une certaine inertie à court terme. Le titre a évolué dans un range de 1 250 FCFA, entre un plus bas de 7 250 FCFA et un plus haut de 8 500 FCFA, ce qui traduit une tendance générale haussière mais avec des phases de consolidation. Les statistiques descriptives révèlent une moyenne de 7 720 FCFA légèrement supérieure à la médiane de 7 690 FCFA, avec un mode à 7 700 FCFA : cet écart minime entre moyenne et médiane, combiné à un skewness de 0,450 (distribution symétrique), indique une répartition équilibrée des cours sans biais directionnel marqué. L'écart-type de 366 FCFA, correspondant à un coefficient de variation (CV) de seulement 4,7%, témoigne d'une dispersion très faible du cours autour de sa moyenne, gage de stabilité. Le kurtosis de -1,088 (distribution platykurtique) signale une faible concentration des valeurs extrêmes, donc un risque de pics de volatilité limité. Avec une volatilité annualisée de 26,7%, le titre se situe dans la fourchette modérée (15-30%), offrant un profil rendement/risque équilibré, adapté aux investisseurs recherchant une progression régulière sans à-coups excessifs.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(8 140,25 FCFA) et la MM50 (7 993,30 FCFA) se situent toutes deux sous le cours actuel de 8 145 FCFA, avec une MM20 supérieure à la MM50, configuration classique de tendance haussière. Le cours évoluant au-dessus de ses deux moyennes, la décision technique est à l'**Achat**, confirmant la dynamique positive de moyen terme.</w:t>
      </w:r>
    </w:p>
    <w:p>
      <w:pPr>
        <w:spacing w:after="120" w:line="276" w:lineRule="auto"/>
      </w:pPr>
      <w:r>
        <w:t>**Bandes de Bollinger** : Le cours actuel (8 145 FCFA) se situe dans la partie supérieure de la bande, entre la borne inférieure (7 777,24 FCFA) et la borne supérieure (8 503,26 FCFA), sans franchissement de seuil. Cette position médiane-haute, avec un prix proche de la MM20, suggère une volatilité contenue et une absence de signal extrême, justifiant la décision **Neutre**.</w:t>
      </w:r>
    </w:p>
    <w:p>
      <w:pPr>
        <w:spacing w:after="120" w:line="276" w:lineRule="auto"/>
      </w:pPr>
      <w:r>
        <w:t>**MACD** : La valeur du MACD (1,877) est nettement inférieure à son signal (18,178), créant une divergence baissière significative. Cet écart traduit un essoufflement du momentum haussier et un risque de retournement à court terme, d'où la décision de **Vente** émise par cet indicateur.</w:t>
      </w:r>
    </w:p>
    <w:p>
      <w:pPr>
        <w:spacing w:after="120" w:line="276" w:lineRule="auto"/>
      </w:pPr>
      <w:r>
        <w:t>**RSI** : À 44,637, le RSI se situe dans la zone neutre (30-70), sans approche de la zone de surachat (&gt;70) ni de survente (&lt;30). Cette position médiane indique un équilibre entre acheteurs et vendeurs, sans pression directionnelle forte, justifiant la décision **Neutre**.</w:t>
      </w:r>
    </w:p>
    <w:p>
      <w:pPr>
        <w:spacing w:after="120" w:line="276" w:lineRule="auto"/>
      </w:pPr>
      <w:r>
        <w:t>**Stochastique** : Le %K (70,714) est légèrement supérieur au %D (68,571), avec un croisement récent à la hausse mais dans une zone proche de la surachat (seuil 80). Ce positionnement suggère une dynamique positive fragile, sans signal clair d'achat ou de vente, d'où la décision **Neutre**.</w:t>
      </w:r>
    </w:p>
    <w:p>
      <w:pPr>
        <w:spacing w:after="120" w:line="276" w:lineRule="auto"/>
      </w:pPr>
      <w:r>
        <w:t>**Conclusion technique** : Les indicateurs présentent une divergence notable : les moyennes mobiles confirment une tendance haussière de fond, tandis que le MACD émet un signal de vente et que le RSI, le stochastique et les bandes de Bollinger restent neutres. Cette configuration mitigée suggère une phase de consolidation avec un potentiel haussier limité à court terme, mais une structure de fond toujours positive. La prudence est de mise avant tout nouvel engagement.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solide et rentable : le Produit Net Bancaire (PNB), équivalent du chiffre d'affaires pour une banque, s'élève à 51,926 milliards FCFA, pour un résultat net de 21,905 milliards FCFA, soit une marge nette exceptionnelle de 42,19%. Le ROE atteint 22,69% (largement supérieur au seuil d'excellence de 15%) et le ROA s'établit à 2,62%, confirmant une utilisation efficace des actifs. Le coefficient d'exploitation de 44,02% (inférieur au seuil de 60% et même de 50%) témoigne d'une efficacité opérationnelle remarquable, tandis que le coût du risque de 23,31% des charges financières reste un point de vigilance, bien qu'il soit en amélioration selon les rapports trimestriels. La structure financière affiche une autonomie financière de 11,54% (faible mais typique du secteur bancaire) et une solvabilité générale de 113,05%, avec une capacité de remboursement de 1,54 an, très confortable. Les rapports narratifs confirment cette dynamique : le rapport du T1 2026 (publié le 31 mars 2026) fait état d'un PNB de 12 580 millions FCFA (+6,82%) et d'un résultat net de 5 741 millions FCFA (+9,78%), avec un coefficient d'exploitation en amélioration à 42,1%. Le rapport du S1 2026 (30 juin 2026) indique un PNB semestriel de 27 206 millions FCFA, en hausse, confirmant la trajectoire de croissance. Sur la base de ces rapports trimestriels, on peut estimer que l'exercice 2026 devrait afficher une croissance du PNB de l'ordre de 6-7% et une progression du résultat net de 8-10%, portée par la forte collecte de dépôts (+13,6% au T1 2026 à 631 038 millions FCFA) et l'amélioration continue du coût du risque. Le rapport du T3 2025 (30 septembre 2025) soulignait déjà une croissance du PNB de 6,71% et du résultat net de 10,01%, avec un coefficient d'exploitation en baisse à 44,4%. La recommandation fondamentale est donc **solide** : BOAS affiche une rentabilité élevée, une croissance régulière et une gestion prudente des risques, avec des perspectives favorables malgré un environnement concurrentiel accru au Sénégal.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Sur le plan de la **valorisation (Partie 0)**, les ratios PER (13,4x), P/B (3,04x) et EV/EBITDA (8,7x) indiquent une valorisation modérée à légèrement supérieure à la moyenne du marché, mais justifiée par la qualité des fondamentaux et la rentabilité élevée (ROE 22,69%). Le **comportement du cours (Partie 1)** est favorable : tendance haussière (+12,11% sur 100 jours), volatilité modérée (26,7%), distribution symétrique (skewness 0,450) et faible risque de pics (kurtosis -1,088), offrant un profil rassurant. Les **signaux techniques (Partie 2)** sont cependant mitigés : les moyennes mobiles confirment la tendance haussière, mais le MACD émet un signal de vente et les autres indicateurs sont neutres, suggérant une consolidation à court terme. Les **fondamentaux (Partie 3)** sont excellents : PNB de 51,926 milliards FCFA en 2025, résultat net de 21,905 milliards FCFA, ROE de 22,69%, coefficient d'exploitation de 44,02%, et les rapports trimestriels 2026 (T1 et S1) confirment une croissance soutenue (+6,82% de PNB au T1 2026, +9,78% de résultat net). Les **prédictions IA (J+1 à J+10)** anticipent une baisse progressive du cours de 7 954 FCFA à 7 522 FCFA, ce qui contredit la tendance haussière récente et les signaux des moyennes mobiles, mais s'aligne partiellement sur le signal de vente du MACD. Compte tenu de cette divergence entre des fondamentaux solides et des signaux techniques à court terme baissiers, la recommandation finale est **CONSERVER** avec un biais positif à moyen terme. Le niveau de confiance est **Moyen** (les fondamentaux sont robustes mais les signaux techniques à court terme sont incertains), et le niveau de risque global est **Moyen** (volatilité modérée, mais exposition au risque de crédit et à la concurrence). L'horizon d'investissement optimal est le **moyen terme (3-12 mois)**, afin de laisser la consolidation technique se terminer et de bénéficier de la poursuite de la croissance des bénéfices confirmée par les rapports trimestriels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2,050 titres</w:t>
            </w:r>
          </w:p>
        </w:tc>
        <w:tc>
          <w:tcPr>
            <w:tcW w:type="dxa" w:w="2268"/>
            <w:shd w:fill="FFF2CC" w:val="clear"/>
          </w:tcPr>
          <w:p>
            <w:r>
              <w:rPr>
                <w:b/>
                <w:color w:val="503200"/>
                <w:sz w:val="16"/>
              </w:rPr>
              <w:t xml:space="preserve">Cours actuel : </w:t>
            </w:r>
            <w:r>
              <w:rPr>
                <w:color w:val="000000"/>
                <w:sz w:val="17"/>
              </w:rPr>
              <w:t>3,395 FCFA</w:t>
            </w:r>
          </w:p>
          <w:p>
            <w:r>
              <w:rPr>
                <w:b/>
                <w:color w:val="503200"/>
                <w:sz w:val="16"/>
              </w:rPr>
              <w:t xml:space="preserve">Var. 100 jours : </w:t>
            </w:r>
            <w:r>
              <w:rPr>
                <w:b/>
                <w:color w:val="B40000"/>
                <w:sz w:val="17"/>
              </w:rPr>
              <w:t>-0.15%</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7.85% (Moyenne) — μ=3,682 FCFA, σ=289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β=0.3515 (Défensif) — Cov=0.000024, Var(idx)=0.000069, ρ=0.101,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σ_j=2.85%/j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3,284</w:t>
            </w:r>
          </w:p>
        </w:tc>
        <w:tc>
          <w:tcPr>
            <w:tcW w:type="dxa" w:w="1440"/>
            <w:shd w:fill="FAFAFA" w:val="clear"/>
          </w:tcPr>
          <w:p>
            <w:r>
              <w:rPr>
                <w:b/>
                <w:sz w:val="17"/>
              </w:rPr>
              <w:t>3,392</w:t>
            </w:r>
          </w:p>
        </w:tc>
        <w:tc>
          <w:tcPr>
            <w:tcW w:type="dxa" w:w="1440"/>
            <w:shd w:fill="FAFAFA" w:val="clear"/>
          </w:tcPr>
          <w:p>
            <w:r>
              <w:rPr>
                <w:sz w:val="17"/>
              </w:rPr>
              <w:t>3,500</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3,231</w:t>
            </w:r>
          </w:p>
        </w:tc>
        <w:tc>
          <w:tcPr>
            <w:tcW w:type="dxa" w:w="1440"/>
            <w:shd w:fill="FAFAFA" w:val="clear"/>
          </w:tcPr>
          <w:p>
            <w:r>
              <w:rPr>
                <w:b/>
                <w:sz w:val="17"/>
              </w:rPr>
              <w:t>3,383</w:t>
            </w:r>
          </w:p>
        </w:tc>
        <w:tc>
          <w:tcPr>
            <w:tcW w:type="dxa" w:w="1440"/>
            <w:shd w:fill="FAFAFA" w:val="clear"/>
          </w:tcPr>
          <w:p>
            <w:r>
              <w:rPr>
                <w:sz w:val="17"/>
              </w:rPr>
              <w:t>3,535</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3,187</w:t>
            </w:r>
          </w:p>
        </w:tc>
        <w:tc>
          <w:tcPr>
            <w:tcW w:type="dxa" w:w="1440"/>
            <w:shd w:fill="FAFAFA" w:val="clear"/>
          </w:tcPr>
          <w:p>
            <w:r>
              <w:rPr>
                <w:b/>
                <w:sz w:val="17"/>
              </w:rPr>
              <w:t>3,372</w:t>
            </w:r>
          </w:p>
        </w:tc>
        <w:tc>
          <w:tcPr>
            <w:tcW w:type="dxa" w:w="1440"/>
            <w:shd w:fill="FAFAFA" w:val="clear"/>
          </w:tcPr>
          <w:p>
            <w:r>
              <w:rPr>
                <w:sz w:val="17"/>
              </w:rPr>
              <w:t>3,558</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2026-10-06</w:t>
            </w:r>
          </w:p>
        </w:tc>
        <w:tc>
          <w:tcPr>
            <w:tcW w:type="dxa" w:w="1440"/>
            <w:shd w:fill="FAFAFA" w:val="clear"/>
          </w:tcPr>
          <w:p>
            <w:r>
              <w:rPr>
                <w:sz w:val="17"/>
              </w:rPr>
              <w:t>3,149</w:t>
            </w:r>
          </w:p>
        </w:tc>
        <w:tc>
          <w:tcPr>
            <w:tcW w:type="dxa" w:w="1440"/>
            <w:shd w:fill="FAFAFA" w:val="clear"/>
          </w:tcPr>
          <w:p>
            <w:r>
              <w:rPr>
                <w:b/>
                <w:sz w:val="17"/>
              </w:rPr>
              <w:t>3,362</w:t>
            </w:r>
          </w:p>
        </w:tc>
        <w:tc>
          <w:tcPr>
            <w:tcW w:type="dxa" w:w="1440"/>
            <w:shd w:fill="FAFAFA" w:val="clear"/>
          </w:tcPr>
          <w:p>
            <w:r>
              <w:rPr>
                <w:sz w:val="17"/>
              </w:rPr>
              <w:t>3,576</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2026-10-07</w:t>
            </w:r>
          </w:p>
        </w:tc>
        <w:tc>
          <w:tcPr>
            <w:tcW w:type="dxa" w:w="1440"/>
            <w:shd w:fill="FAFAFA" w:val="clear"/>
          </w:tcPr>
          <w:p>
            <w:r>
              <w:rPr>
                <w:sz w:val="17"/>
              </w:rPr>
              <w:t>3,115</w:t>
            </w:r>
          </w:p>
        </w:tc>
        <w:tc>
          <w:tcPr>
            <w:tcW w:type="dxa" w:w="1440"/>
            <w:shd w:fill="FAFAFA" w:val="clear"/>
          </w:tcPr>
          <w:p>
            <w:r>
              <w:rPr>
                <w:b/>
                <w:sz w:val="17"/>
              </w:rPr>
              <w:t>3,354</w:t>
            </w:r>
          </w:p>
        </w:tc>
        <w:tc>
          <w:tcPr>
            <w:tcW w:type="dxa" w:w="1440"/>
            <w:shd w:fill="FAFAFA" w:val="clear"/>
          </w:tcPr>
          <w:p>
            <w:r>
              <w:rPr>
                <w:sz w:val="17"/>
              </w:rPr>
              <w:t>3,592</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2026-10-08</w:t>
            </w:r>
          </w:p>
        </w:tc>
        <w:tc>
          <w:tcPr>
            <w:tcW w:type="dxa" w:w="1440"/>
            <w:shd w:fill="FAFAFA" w:val="clear"/>
          </w:tcPr>
          <w:p>
            <w:r>
              <w:rPr>
                <w:sz w:val="17"/>
              </w:rPr>
              <w:t>3,086</w:t>
            </w:r>
          </w:p>
        </w:tc>
        <w:tc>
          <w:tcPr>
            <w:tcW w:type="dxa" w:w="1440"/>
            <w:shd w:fill="FAFAFA" w:val="clear"/>
          </w:tcPr>
          <w:p>
            <w:r>
              <w:rPr>
                <w:b/>
                <w:sz w:val="17"/>
              </w:rPr>
              <w:t>3,347</w:t>
            </w:r>
          </w:p>
        </w:tc>
        <w:tc>
          <w:tcPr>
            <w:tcW w:type="dxa" w:w="1440"/>
            <w:shd w:fill="FAFAFA" w:val="clear"/>
          </w:tcPr>
          <w:p>
            <w:r>
              <w:rPr>
                <w:sz w:val="17"/>
              </w:rPr>
              <w:t>3,607</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2026-10-09</w:t>
            </w:r>
          </w:p>
        </w:tc>
        <w:tc>
          <w:tcPr>
            <w:tcW w:type="dxa" w:w="1440"/>
            <w:shd w:fill="FAFAFA" w:val="clear"/>
          </w:tcPr>
          <w:p>
            <w:r>
              <w:rPr>
                <w:sz w:val="17"/>
              </w:rPr>
              <w:t>3,061</w:t>
            </w:r>
          </w:p>
        </w:tc>
        <w:tc>
          <w:tcPr>
            <w:tcW w:type="dxa" w:w="1440"/>
            <w:shd w:fill="FAFAFA" w:val="clear"/>
          </w:tcPr>
          <w:p>
            <w:r>
              <w:rPr>
                <w:b/>
                <w:sz w:val="17"/>
              </w:rPr>
              <w:t>3,342</w:t>
            </w:r>
          </w:p>
        </w:tc>
        <w:tc>
          <w:tcPr>
            <w:tcW w:type="dxa" w:w="1440"/>
            <w:shd w:fill="FAFAFA" w:val="clear"/>
          </w:tcPr>
          <w:p>
            <w:r>
              <w:rPr>
                <w:sz w:val="17"/>
              </w:rPr>
              <w:t>3,623</w:t>
            </w:r>
          </w:p>
        </w:tc>
        <w:tc>
          <w:tcPr>
            <w:tcW w:type="dxa" w:w="1440"/>
            <w:shd w:fill="FAFAFA" w:val="clear"/>
          </w:tcPr>
          <w:p>
            <w:r>
              <w:rPr>
                <w:b/>
                <w:color w:val="C00000"/>
                <w:sz w:val="17"/>
              </w:rPr>
              <w:t>-1.6%</w:t>
            </w:r>
          </w:p>
        </w:tc>
      </w:tr>
      <w:tr>
        <w:tc>
          <w:tcPr>
            <w:tcW w:type="dxa" w:w="1440"/>
            <w:shd w:fill="FAFAFA" w:val="clear"/>
          </w:tcPr>
          <w:p>
            <w:r>
              <w:rPr>
                <w:sz w:val="17"/>
              </w:rPr>
              <w:t>J+8  Moyenne</w:t>
            </w:r>
          </w:p>
        </w:tc>
        <w:tc>
          <w:tcPr>
            <w:tcW w:type="dxa" w:w="1440"/>
            <w:shd w:fill="FAFAFA" w:val="clear"/>
          </w:tcPr>
          <w:p>
            <w:r>
              <w:rPr>
                <w:sz w:val="17"/>
              </w:rPr>
              <w:t>2026-10-12</w:t>
            </w:r>
          </w:p>
        </w:tc>
        <w:tc>
          <w:tcPr>
            <w:tcW w:type="dxa" w:w="1440"/>
            <w:shd w:fill="FAFAFA" w:val="clear"/>
          </w:tcPr>
          <w:p>
            <w:r>
              <w:rPr>
                <w:sz w:val="17"/>
              </w:rPr>
              <w:t>3,038</w:t>
            </w:r>
          </w:p>
        </w:tc>
        <w:tc>
          <w:tcPr>
            <w:tcW w:type="dxa" w:w="1440"/>
            <w:shd w:fill="FAFAFA" w:val="clear"/>
          </w:tcPr>
          <w:p>
            <w:r>
              <w:rPr>
                <w:b/>
                <w:sz w:val="17"/>
              </w:rPr>
              <w:t>3,338</w:t>
            </w:r>
          </w:p>
        </w:tc>
        <w:tc>
          <w:tcPr>
            <w:tcW w:type="dxa" w:w="1440"/>
            <w:shd w:fill="FAFAFA" w:val="clear"/>
          </w:tcPr>
          <w:p>
            <w:r>
              <w:rPr>
                <w:sz w:val="17"/>
              </w:rPr>
              <w:t>3,638</w:t>
            </w:r>
          </w:p>
        </w:tc>
        <w:tc>
          <w:tcPr>
            <w:tcW w:type="dxa" w:w="1440"/>
            <w:shd w:fill="FAFAFA" w:val="clear"/>
          </w:tcPr>
          <w:p>
            <w:r>
              <w:rPr>
                <w:b/>
                <w:color w:val="C00000"/>
                <w:sz w:val="17"/>
              </w:rPr>
              <w:t>-1.7%</w:t>
            </w:r>
          </w:p>
        </w:tc>
      </w:tr>
      <w:tr>
        <w:tc>
          <w:tcPr>
            <w:tcW w:type="dxa" w:w="1440"/>
            <w:shd w:fill="FAFAFA" w:val="clear"/>
          </w:tcPr>
          <w:p>
            <w:r>
              <w:rPr>
                <w:sz w:val="17"/>
              </w:rPr>
              <w:t>J+9  Moyenne</w:t>
            </w:r>
          </w:p>
        </w:tc>
        <w:tc>
          <w:tcPr>
            <w:tcW w:type="dxa" w:w="1440"/>
            <w:shd w:fill="FAFAFA" w:val="clear"/>
          </w:tcPr>
          <w:p>
            <w:r>
              <w:rPr>
                <w:sz w:val="17"/>
              </w:rPr>
              <w:t>2026-10-13</w:t>
            </w:r>
          </w:p>
        </w:tc>
        <w:tc>
          <w:tcPr>
            <w:tcW w:type="dxa" w:w="1440"/>
            <w:shd w:fill="FAFAFA" w:val="clear"/>
          </w:tcPr>
          <w:p>
            <w:r>
              <w:rPr>
                <w:sz w:val="17"/>
              </w:rPr>
              <w:t>3,017</w:t>
            </w:r>
          </w:p>
        </w:tc>
        <w:tc>
          <w:tcPr>
            <w:tcW w:type="dxa" w:w="1440"/>
            <w:shd w:fill="FAFAFA" w:val="clear"/>
          </w:tcPr>
          <w:p>
            <w:r>
              <w:rPr>
                <w:b/>
                <w:sz w:val="17"/>
              </w:rPr>
              <w:t>3,335</w:t>
            </w:r>
          </w:p>
        </w:tc>
        <w:tc>
          <w:tcPr>
            <w:tcW w:type="dxa" w:w="1440"/>
            <w:shd w:fill="FAFAFA" w:val="clear"/>
          </w:tcPr>
          <w:p>
            <w:r>
              <w:rPr>
                <w:sz w:val="17"/>
              </w:rPr>
              <w:t>3,653</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2026-10-14</w:t>
            </w:r>
          </w:p>
        </w:tc>
        <w:tc>
          <w:tcPr>
            <w:tcW w:type="dxa" w:w="1440"/>
            <w:shd w:fill="FAFAFA" w:val="clear"/>
          </w:tcPr>
          <w:p>
            <w:r>
              <w:rPr>
                <w:sz w:val="17"/>
              </w:rPr>
              <w:t>2,998</w:t>
            </w:r>
          </w:p>
        </w:tc>
        <w:tc>
          <w:tcPr>
            <w:tcW w:type="dxa" w:w="1440"/>
            <w:shd w:fill="FAFAFA" w:val="clear"/>
          </w:tcPr>
          <w:p>
            <w:r>
              <w:rPr>
                <w:b/>
                <w:sz w:val="17"/>
              </w:rPr>
              <w:t>3,333</w:t>
            </w:r>
          </w:p>
        </w:tc>
        <w:tc>
          <w:tcPr>
            <w:tcW w:type="dxa" w:w="1440"/>
            <w:shd w:fill="FAFAFA" w:val="clear"/>
          </w:tcPr>
          <w:p>
            <w:r>
              <w:rPr>
                <w:sz w:val="17"/>
              </w:rPr>
              <w:t>3,668</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20,10 milliards FCFA, CABC se positionne comme une petite capitalisation sur le marché BRVM, ce qui implique une liquidité limitée et une sensibilité accrue aux mouvements de faible volume. Le BPA de 243 FCFA/action indique que chaque titre génère un bénéfice unitaire relativement solide, mais le PER de 14,0x traduit une valorisation supérieure à la moyenne du marché BRVM (généralement comprise entre 8 et 12x), suggérant que les investisseurs intègrent déjà une prime de croissance dans le cours. Le ratio P/B de 2,15x confirme cette prime, le marché valorisant l'entreprise à plus du double de sa valeur comptable, ce qui se justifie uniquement si la rentabilité des fonds propres reste soutenue. Enfin, l'EV/EBITDA de 7,0x apparaît raisonnable dans la fourchette 5-10x, indiquant que la valeur d'entreprise reste cohérente avec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affiche une variation quasi-nulle de -0,15%, avec une dernière séance stable à +0,00%, traduisant une phase de consolidation sans direction claire. Le titre a évolué dans un range large de 1 310 FCFA, entre un plus bas de 3 190 FCFA et un plus haut de 4 500 FCFA, ce qui témoigne d'une forte amplitude de trading malgré la stabilité globale. La moyenne de 3 682 FCFA se situe au-dessus de la médiane de 3 592 FCFA, et le mode à 3 500 FCFA indique que le cours actuel (3 395 FCFA) évolue sous ses niveaux de référence centraux, signalant une pression baissière sous-jacente. L'écart-type de 290 FCFA avec un coefficient de variation de 7,9% révèle une dispersion modérée autour de la moyenne, tandis que le kurtosis de 0,485 (mésokurtique) suggère une distribution proche de la normale, sans risque excessif de pics extrêmes. Le skewness positif de 0,964 indique une asymétrie à droite, avec davantage de journées sous la moyenne mais quelques séances de forte hausse compensant partiellement. La volatilité annualisée de 45,3% classe ce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(3 419 FCFA) et la MM50 (3 527 FCFA) se situent toutes deux au-dessus du cours actuel de 3 395 FCFA, avec la MM20 sous la MM50, configurant une structure baissière de court terme. Le croisement baissier des moyennes mobiles et la position du cours sous ces deux références justifient pleinement la décision technique de **Vente**, le titre n'ayant pas encore trouvé de support dynamique.</w:t>
      </w:r>
    </w:p>
    <w:p>
      <w:pPr>
        <w:spacing w:after="120" w:line="276" w:lineRule="auto"/>
      </w:pPr>
      <w:r>
        <w:t>**Bandes de Bollinger** : Le cours (3 395 FCFA) évolue dans la partie médiane-inférieure de la bande, entre la borne inférieure à 3 200,642 FCFA et la borne supérieure à 3 637,358 FCFA. Cette position centrale, sans contact avec les extrêmes, traduit une absence de signal directionnel fort et justifie la décision **Neutre**, le marché attendant un catalyseur pour choisir sa direction.</w:t>
      </w:r>
    </w:p>
    <w:p>
      <w:pPr>
        <w:spacing w:after="120" w:line="276" w:lineRule="auto"/>
      </w:pPr>
      <w:r>
        <w:t>**MACD** : La valeur du MACD (-58,908) est supérieure à son signal (-67,396), générant un croisement haussier bien que les deux lignes restent en territoire négatif. Ce différentiel positif indique un momentum baissier en voie d'essoufflement, ce qui justifie la décision **Achat** technique, mais avec prudence car la tendance de fond reste négative.</w:t>
      </w:r>
    </w:p>
    <w:p>
      <w:pPr>
        <w:spacing w:after="120" w:line="276" w:lineRule="auto"/>
      </w:pPr>
      <w:r>
        <w:t>**RSI** : À 44,138, le RSI se situe en zone neutre (30-70), sans signal de surachat ni de survente. Cette valeur médiane confirme l'absence de pression acheteuse ou vendeuse dominante et justifie la décision **Neutre**, le titre évoluant sans excès technique.</w:t>
      </w:r>
    </w:p>
    <w:p>
      <w:pPr>
        <w:spacing w:after="120" w:line="276" w:lineRule="auto"/>
      </w:pPr>
      <w:r>
        <w:t>**Stochastique** : Le %K (66,129) et le %D (66,667) évoluent en zone haute mais sans croisement significatif, les deux courbes restant proches et orientées à la hausse. Cette configuration neutre, sans divergence ni croisement baissier, justifie la décision **Neutre**, le titre n'étant ni en surachat extrême ni en retournement confirmé.</w:t>
      </w:r>
    </w:p>
    <w:p>
      <w:pPr>
        <w:spacing w:after="120" w:line="276" w:lineRule="auto"/>
      </w:pPr>
      <w:r>
        <w:t>**Conclusion technique** : Les indicateurs techniques présentent un tableau mitigé, avec une majorité de signaux neutres (Bollinger, RSI, Stochastique) et une divergence entre la structure baissière des moyennes mobiles (Vente) et le croisement haussier du MACD (Achat). Cette absence de convergence directionnelle suggère une phase d'indécision du marché, le titre évoluant dans un range sans tendance claire, ce qui invite à la prudence dans toute décision d'investissement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officiels) révèlent une situation contrastée pour CABC. Le chiffre d'affaires s'établit à 21 263 M FCFA en 2025, en croissance de 11,18% par rapport à 2024, confirmant la dynamique commerciale positive observée depuis 2023. Le résultat net atteint 1 439 M FCFA, avec une marge nette de 6,77%, un ROE de 15,40% (niveau excellent, supérieur au seuil de 15%) et un ROA de 6,10%, traduisant une rentabilité des fonds propres solide malgré un actif lourd. Cependant, l'analyse du bilan révèle des points de vigilance majeurs : les créances clients s'élèvent à 8 429 M FCFA avec un délai de recouvrement de 144,69 jours, et les stocks atteignent 7 400 M FCFA pour une durée de stockage de 152,12 jours, immobilisant massivement du capital et générant un BFR de 7 186 M FCFA. Le flux opérationnel est négatif à -819,66 M FCFA et le Free Cash Flow à -982,71 M FCFA, signe que la croissance du chiffre d'affaires se fait au détriment de la trésorerie. La structure financière reste saine avec une autonomie financière de 39,58% et une liquidité générale de 242,60%, mais le ratio d'endettement de 60,42% et la dépendance financière de 4,47% indiquent un recours modéré à la dette. Les rapports trimestriels de 2025 (S1 2025 du 30 juin 2025 et T3 2025 du 30 septembre 2025) confirment cette tendance : le chiffre d'affaires du S1 2025 progresse de 12,0% à 10 772,9 M FCFA avec un résultat net de 851,5 M FCFA (+55,3%), et le T3 2025 affiche un CA cumulé de 16 630,0 M FCFA (+13,7%) pour un résultat net de 1 329,5 M FCFA (+26,0%). Toutefois, le rapport T1 2026 (publié en 2026) révèle une dégradation brutale : le chiffre d'affaires chute de 26,5% à 3 794 M FCFA et le résultat net devient déficitaire de -221,7 M FCFA, en raison d'une maintenance planifiée du parc machines et d'une inflation des cours des métaux (+23% en 3 mois). Sur la base de ces éléments, on estime que l'exercice 2026 pourrait être nettement moins favorable que 2025, avec un risque de contraction des marges et de dégradation du résultat net si la normalisation attendue au T2 2026 ne se matérialise pas. La recommandation fondamentale est donc de **CONSERVER** avec une surveillance active, la solidité du bilan (capitaux propres de 9 346 M FCFA, trésorerie de 5 139 M FCFA) offrant une certaine résilience, mais les risques opérationnels et de trésorerie nécessitant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globalement mitigé pour CABC. La valorisation (Partie 0) apparaît légèrement tendue avec un PER de 14,0x supérieur à la moyenne du marché BRVM et un P/B de 2,15x intégrant une prime de croissance, mais l'EV/EBITDA de 7,0x reste raisonnable. Le comportement du cours (Partie 1) révèle une tendance stable sur 100 jours (-0,15%) avec une volatilité élevée de 45,3% et une asymétrie positive (skewness de 0,964), indiquant un potentiel de rebond mais aussi un risque de pics baissiers. Les signaux techniques (Partie 2) sont divergents : les moyennes mobiles sont baissières (Vente), le MACD est haussier (Achat), tandis que Bollinger, RSI et Stochastique sont neutres, traduisant une indécision du marché. Les fondamentaux (Partie 3) montrent une croissance du CA en 2025 (+11,18%) et un ROE solide de 15,40%, mais des signaux alarmants avec un flux opérationnel négatif (-819,66 M FCFA) et une dégradation brutale au T1 2026 (CA -26,5%, perte nette de -221,7 M FCFA). Les prédictions IA (J+1 à J+10) anticipent une légère baisse du cours de 3 392 FCFA à 3 354 FCFA, confirmant la pression baissière de court terme sans effondrement majeur. Sur la base de cette synthèse, la recommandation finale est **CONSERVER**, avec un niveau de confiance **Moyen** et un risque global **Élevé**. Cette recommandation se justifie par la convergence entre la valorisation tendue, les signaux techniques mitigés, les fondamentaux solides mais menacés par la dégradation récente, et les prédictions IA légèrement baissières. L'horizon d'investissement optimal est le **moyen terme (3-12 mois)**, le temps que la normalisation opérationnelle attendue au T2 2026 se matérialise et que la visibilité sur l'exercice 2026 s'améliore. Les investisseurs déjà positionnés sont invités à conserver leurs titres en surveillant attentivement l'évolution de la trésorerie et des marges, tandis que les nouveaux entrants devraient attendre une confirmation de la reprise avant d'investir.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961.92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1,584 titres</w:t>
            </w:r>
          </w:p>
        </w:tc>
        <w:tc>
          <w:tcPr>
            <w:tcW w:type="dxa" w:w="2268"/>
            <w:shd w:fill="FFF2CC" w:val="clear"/>
          </w:tcPr>
          <w:p>
            <w:r>
              <w:rPr>
                <w:b/>
                <w:color w:val="503200"/>
                <w:sz w:val="16"/>
              </w:rPr>
              <w:t xml:space="preserve">Cours actuel : </w:t>
            </w:r>
            <w:r>
              <w:rPr>
                <w:color w:val="000000"/>
                <w:sz w:val="17"/>
              </w:rPr>
              <w:t>30,060 FCFA</w:t>
            </w:r>
          </w:p>
          <w:p>
            <w:r>
              <w:rPr>
                <w:b/>
                <w:color w:val="503200"/>
                <w:sz w:val="16"/>
              </w:rPr>
              <w:t xml:space="preserve">Var. 100 jours : </w:t>
            </w:r>
            <w:r>
              <w:rPr>
                <w:b/>
                <w:color w:val="007800"/>
                <w:sz w:val="17"/>
              </w:rPr>
              <w:t>+81.08%</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16,600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17.98% (Élevée) — μ=26,481 FCFA, σ=4,761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β=1.5653 (Agressif) — Cov=0.000108, Var(idx)=0.000069, ρ=0.464,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28,215</w:t>
            </w:r>
          </w:p>
        </w:tc>
        <w:tc>
          <w:tcPr>
            <w:tcW w:type="dxa" w:w="1440"/>
            <w:shd w:fill="FAFAFA" w:val="clear"/>
          </w:tcPr>
          <w:p>
            <w:r>
              <w:rPr>
                <w:b/>
                <w:sz w:val="17"/>
              </w:rPr>
              <w:t>29,801</w:t>
            </w:r>
          </w:p>
        </w:tc>
        <w:tc>
          <w:tcPr>
            <w:tcW w:type="dxa" w:w="1440"/>
            <w:shd w:fill="FAFAFA" w:val="clear"/>
          </w:tcPr>
          <w:p>
            <w:r>
              <w:rPr>
                <w:sz w:val="17"/>
              </w:rPr>
              <w:t>31,386</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27,479</w:t>
            </w:r>
          </w:p>
        </w:tc>
        <w:tc>
          <w:tcPr>
            <w:tcW w:type="dxa" w:w="1440"/>
            <w:shd w:fill="FAFAFA" w:val="clear"/>
          </w:tcPr>
          <w:p>
            <w:r>
              <w:rPr>
                <w:b/>
                <w:sz w:val="17"/>
              </w:rPr>
              <w:t>29,715</w:t>
            </w:r>
          </w:p>
        </w:tc>
        <w:tc>
          <w:tcPr>
            <w:tcW w:type="dxa" w:w="1440"/>
            <w:shd w:fill="FAFAFA" w:val="clear"/>
          </w:tcPr>
          <w:p>
            <w:r>
              <w:rPr>
                <w:sz w:val="17"/>
              </w:rPr>
              <w:t>31,951</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26,844</w:t>
            </w:r>
          </w:p>
        </w:tc>
        <w:tc>
          <w:tcPr>
            <w:tcW w:type="dxa" w:w="1440"/>
            <w:shd w:fill="FAFAFA" w:val="clear"/>
          </w:tcPr>
          <w:p>
            <w:r>
              <w:rPr>
                <w:b/>
                <w:sz w:val="17"/>
              </w:rPr>
              <w:t>29,569</w:t>
            </w:r>
          </w:p>
        </w:tc>
        <w:tc>
          <w:tcPr>
            <w:tcW w:type="dxa" w:w="1440"/>
            <w:shd w:fill="FAFAFA" w:val="clear"/>
          </w:tcPr>
          <w:p>
            <w:r>
              <w:rPr>
                <w:sz w:val="17"/>
              </w:rPr>
              <w:t>32,294</w:t>
            </w:r>
          </w:p>
        </w:tc>
        <w:tc>
          <w:tcPr>
            <w:tcW w:type="dxa" w:w="1440"/>
            <w:shd w:fill="FAFAFA" w:val="clear"/>
          </w:tcPr>
          <w:p>
            <w:r>
              <w:rPr>
                <w:b/>
                <w:color w:val="C00000"/>
                <w:sz w:val="17"/>
              </w:rPr>
              <w:t>-1.6%</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26,271</w:t>
            </w:r>
          </w:p>
        </w:tc>
        <w:tc>
          <w:tcPr>
            <w:tcW w:type="dxa" w:w="1440"/>
            <w:shd w:fill="FFDCE0" w:val="clear"/>
          </w:tcPr>
          <w:p>
            <w:r>
              <w:rPr>
                <w:b/>
                <w:sz w:val="17"/>
              </w:rPr>
              <w:t>29,400</w:t>
            </w:r>
          </w:p>
        </w:tc>
        <w:tc>
          <w:tcPr>
            <w:tcW w:type="dxa" w:w="1440"/>
            <w:shd w:fill="FFDCE0" w:val="clear"/>
          </w:tcPr>
          <w:p>
            <w:r>
              <w:rPr>
                <w:sz w:val="17"/>
              </w:rPr>
              <w:t>32,528</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25,776</w:t>
            </w:r>
          </w:p>
        </w:tc>
        <w:tc>
          <w:tcPr>
            <w:tcW w:type="dxa" w:w="1440"/>
            <w:shd w:fill="FFDCE0" w:val="clear"/>
          </w:tcPr>
          <w:p>
            <w:r>
              <w:rPr>
                <w:b/>
                <w:sz w:val="17"/>
              </w:rPr>
              <w:t>29,257</w:t>
            </w:r>
          </w:p>
        </w:tc>
        <w:tc>
          <w:tcPr>
            <w:tcW w:type="dxa" w:w="1440"/>
            <w:shd w:fill="FFDCE0" w:val="clear"/>
          </w:tcPr>
          <w:p>
            <w:r>
              <w:rPr>
                <w:sz w:val="17"/>
              </w:rPr>
              <w:t>32,738</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25,337</w:t>
            </w:r>
          </w:p>
        </w:tc>
        <w:tc>
          <w:tcPr>
            <w:tcW w:type="dxa" w:w="1440"/>
            <w:shd w:fill="FFDCE0" w:val="clear"/>
          </w:tcPr>
          <w:p>
            <w:r>
              <w:rPr>
                <w:b/>
                <w:sz w:val="17"/>
              </w:rPr>
              <w:t>29,134</w:t>
            </w:r>
          </w:p>
        </w:tc>
        <w:tc>
          <w:tcPr>
            <w:tcW w:type="dxa" w:w="1440"/>
            <w:shd w:fill="FFDCE0" w:val="clear"/>
          </w:tcPr>
          <w:p>
            <w:r>
              <w:rPr>
                <w:sz w:val="17"/>
              </w:rPr>
              <w:t>32,931</w:t>
            </w:r>
          </w:p>
        </w:tc>
        <w:tc>
          <w:tcPr>
            <w:tcW w:type="dxa" w:w="1440"/>
            <w:shd w:fill="FFDCE0" w:val="clear"/>
          </w:tcPr>
          <w:p>
            <w:r>
              <w:rPr>
                <w:b/>
                <w:color w:val="C00000"/>
                <w:sz w:val="17"/>
              </w:rPr>
              <w:t>-3.1%</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24,938</w:t>
            </w:r>
          </w:p>
        </w:tc>
        <w:tc>
          <w:tcPr>
            <w:tcW w:type="dxa" w:w="1440"/>
            <w:shd w:fill="FFDCE0" w:val="clear"/>
          </w:tcPr>
          <w:p>
            <w:r>
              <w:rPr>
                <w:b/>
                <w:sz w:val="17"/>
              </w:rPr>
              <w:t>29,024</w:t>
            </w:r>
          </w:p>
        </w:tc>
        <w:tc>
          <w:tcPr>
            <w:tcW w:type="dxa" w:w="1440"/>
            <w:shd w:fill="FFDCE0" w:val="clear"/>
          </w:tcPr>
          <w:p>
            <w:r>
              <w:rPr>
                <w:sz w:val="17"/>
              </w:rPr>
              <w:t>33,109</w:t>
            </w:r>
          </w:p>
        </w:tc>
        <w:tc>
          <w:tcPr>
            <w:tcW w:type="dxa" w:w="1440"/>
            <w:shd w:fill="FFDCE0" w:val="clear"/>
          </w:tcPr>
          <w:p>
            <w:r>
              <w:rPr>
                <w:b/>
                <w:color w:val="C00000"/>
                <w:sz w:val="17"/>
              </w:rPr>
              <w:t>-3.4%</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24,572</w:t>
            </w:r>
          </w:p>
        </w:tc>
        <w:tc>
          <w:tcPr>
            <w:tcW w:type="dxa" w:w="1440"/>
            <w:shd w:fill="FFDCE0" w:val="clear"/>
          </w:tcPr>
          <w:p>
            <w:r>
              <w:rPr>
                <w:b/>
                <w:sz w:val="17"/>
              </w:rPr>
              <w:t>28,925</w:t>
            </w:r>
          </w:p>
        </w:tc>
        <w:tc>
          <w:tcPr>
            <w:tcW w:type="dxa" w:w="1440"/>
            <w:shd w:fill="FFDCE0" w:val="clear"/>
          </w:tcPr>
          <w:p>
            <w:r>
              <w:rPr>
                <w:sz w:val="17"/>
              </w:rPr>
              <w:t>33,278</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24,234</w:t>
            </w:r>
          </w:p>
        </w:tc>
        <w:tc>
          <w:tcPr>
            <w:tcW w:type="dxa" w:w="1440"/>
            <w:shd w:fill="FFDCE0" w:val="clear"/>
          </w:tcPr>
          <w:p>
            <w:r>
              <w:rPr>
                <w:b/>
                <w:sz w:val="17"/>
              </w:rPr>
              <w:t>28,836</w:t>
            </w:r>
          </w:p>
        </w:tc>
        <w:tc>
          <w:tcPr>
            <w:tcW w:type="dxa" w:w="1440"/>
            <w:shd w:fill="FFDCE0" w:val="clear"/>
          </w:tcPr>
          <w:p>
            <w:r>
              <w:rPr>
                <w:sz w:val="17"/>
              </w:rPr>
              <w:t>33,439</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23,919</w:t>
            </w:r>
          </w:p>
        </w:tc>
        <w:tc>
          <w:tcPr>
            <w:tcW w:type="dxa" w:w="1440"/>
            <w:shd w:fill="FFDCE0" w:val="clear"/>
          </w:tcPr>
          <w:p>
            <w:r>
              <w:rPr>
                <w:b/>
                <w:sz w:val="17"/>
              </w:rPr>
              <w:t>28,757</w:t>
            </w:r>
          </w:p>
        </w:tc>
        <w:tc>
          <w:tcPr>
            <w:tcW w:type="dxa" w:w="1440"/>
            <w:shd w:fill="FFDCE0" w:val="clear"/>
          </w:tcPr>
          <w:p>
            <w:r>
              <w:rPr>
                <w:sz w:val="17"/>
              </w:rPr>
              <w:t>33,596</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Coris Bank International affiche une capitalisation boursière de **961,92 milliards FCFA**, un niveau qui la place parmi les valeurs les plus importantes de la cote BRVM, confirmant son statut de poids lourd du compartiment bancaire régional. Avec un BPA de **2 047 FCFA/action**, chaque titre génère près de 2 047 FCFA de bénéfice net, ce qui, rapporté au cours actuel de 30 060 FCFA, donne un **PER de 14,7x** — un niveau modéré mais légèrement supérieur à la moyenne du marché BRVM (8-12x), traduisant une prime de qualité consentie par les investisseurs pour cette valeur de croissance. Le ratio **EV/EBITDA de 10,9x** se situe dans la fourchette haute (10-15x), signalant que la valeur d'entreprise intègre déjà une bonne partie de la capacité bénéficiaire opérationnelle, ce qui limite le potentiel de revalorisation à court terme. Le P/B n'étant pas fourni dans les données disponibles, il n'est pas commenté ici, mais l'absence de ce ratio empêche d'évaluer précisément la décote ou prime par rapport aux fonds propres comptables.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**variation spectaculaire de +81,08%**, passant d'environ 16 600 FCFA à 30 060 FCFA, avec toutefois un **repli marqué de -7,48% lors de la dernière séance**, signalant une prise de profit après ce rallye exceptionnel. Le range de trading est très large, avec un plus haut à **34 450 FCFA** et un plus bas à **16 600 FCFA**, soit un écart de plus de 107% entre les extrêmes, ce qui témoigne d'une tendance haussière puissante mais aussi d'une forte amplitude de fluctuation. La moyenne du cours sur la période s'établit à **26 481 FCFA**, légèrement inférieure à la médiane de **27 662 FCFA**, ce qui indique une distribution légèrement asymétrique avec quelques séances de forte baisse ayant tiré la moyenne vers le bas. L'écart-type de **4 785 FCFA** avec un **coefficient de variation de 18,1%** révèle une dispersion modérée du cours autour de sa moyenne, tandis que le **kurtosis de -1,054 (platykurtique)** indique une distribution aplatie avec une faible concentration des rendements — donc moins de pics extrêmes que dans une distribution normale, ce qui est rassurant en termes de risque de queue. Le **skewness de -0,142** confirme une distribution quasi-symétrique, sans biais directionnel marqué. Enfin, la **volatilité annualisée de 46,0%** positionne ce titre dans la catégorie des valeurs à **volatilité élevée** (&gt;30%), ce qui est cohérent avec la forte progression récente et implique un risque de correction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se situe à **32 688 FCFA** et la MM50 à **30 185,8 FCFA**, toutes deux supérieures au cours actuel de 30 060 FCFA, ce qui place le titre sous ses moyennes mobiles à court et moyen terme. Cette configuration signale un affaiblissement de la dynamique haussière récente, bien que la décision fournie soit "Achat" — probablement basée sur la tendance de fond encore positive (MM50 &gt; MM20 en niveau absolu sur la période). Le croisement baissier du cours sous la MM20 constitue toutefois un signal de prudence à court terme.</w:t>
      </w:r>
    </w:p>
    <w:p>
      <w:pPr>
        <w:spacing w:after="120" w:line="276" w:lineRule="auto"/>
      </w:pPr>
      <w:r>
        <w:t>**Bandes de Bollinger :** Le cours actuel (30 060 FCFA) se situe légèrement au-dessus de la borne inférieure (**29 521,33 FCFA**) et bien en dessous de la borne supérieure (**35 854,67 FCFA**), ce qui le place dans la partie basse du canal de Bollinger. La décision "Neutre" reflète cette position ambiguë : le titre n'est ni en survente extrême (qui déclencherait un achat), ni en surachat. L'amplitude des bandes (environ 6 333 FCFA) confirme une volatilité élevée, cohérente avec les statistiques descriptives.</w:t>
      </w:r>
    </w:p>
    <w:p>
      <w:pPr>
        <w:spacing w:after="120" w:line="276" w:lineRule="auto"/>
      </w:pPr>
      <w:r>
        <w:t>**MACD :** La valeur du MACD (**209,443**) est nettement inférieure à son signal (**625,759**), générant une divergence baissière significative. Cette configuration indique que le momentum haussier s'essouffle et que la pression vendeuse prend le dessus. La décision "Vente" est cohérente avec ce croisement baissier, qui suggère une poursuite de la correction à court terme.</w:t>
      </w:r>
    </w:p>
    <w:p>
      <w:pPr>
        <w:spacing w:after="120" w:line="276" w:lineRule="auto"/>
      </w:pPr>
      <w:r>
        <w:t>**RSI :** À **37,657**, le RSI se situe dans la zone neutre basse (30-70), sans atteindre la zone de survente (&lt;30). La décision "Neutre" est appropriée : le titre n'est pas encore suffisamment survendu pour justifier un rebond technique imminent, mais la pression baissière reste modérée. Un RSI sous 40 indique néanmoins une faiblesse relative du momentum.</w:t>
      </w:r>
    </w:p>
    <w:p>
      <w:pPr>
        <w:spacing w:after="120" w:line="276" w:lineRule="auto"/>
      </w:pPr>
      <w:r>
        <w:t>**Stochastique :** Le %K (**23,983**) est nettement inférieur au %D (**52,035**), avec un croisement baissier en cours. Le %K en zone basse (&lt;25) suggère une proximité de la zone de survente, mais l'absence de croisement haussier confirmé maintient la décision "Neutre". Une stabilisation du %K au-dessus de 20 pourrait précéder un rebond.</w:t>
      </w:r>
    </w:p>
    <w:p>
      <w:pPr>
        <w:spacing w:after="120" w:line="276" w:lineRule="auto"/>
      </w:pPr>
      <w:r>
        <w:t>**Conclusion technique :** Les indicateurs techniques présentent une **divergence préoccupante** : si les moyennes mobiles conservent une orientation haussière de fond (décision "Achat"), le MACD (vente), le RSI (neutre-bas) et le stochastique (neutre-baissier) signalent tous un essoufflement du momentum. Le titre se trouve dans une phase de correction après un rallye exceptionnel de +81%, et la position du cours sous la MM20 confirme cette tendance baissière à court terme. Une consolidation voire une poursuite de la correction semble probable avant tout rebond durable.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Coris Bank International a réalisé un **Produit Net Bancaire (PNB) de 138,986 milliards FCFA**, en croissance de **6,11%** par rapport à 2024, et un **résultat net de 65,495 milliards FCFA**, en progression spectaculaire de **+36,6%** (rapport annuel 2025). Le **coefficient d'exploitation de 36,39%** place la banque parmi les établissements les plus efficaces du secteur (seuil d'excellence &lt;50%), tandis que la **marge nette de 47,12%** et la **marge opérationnelle de 51,77%** témoignent d'une rentabilité élevée. Le **ROA de 2,18%** et la **rotation des actifs de 4,64%** confirment une bonne utilisation du bilan. Le **coût du risque** s'est amélioré de 59,3% en 2025 (16,5 milliards FCFA), traduisant l'assainissement réussi du portefeuille de crédits après les difficultés de 2024. La structure bilancielle affiche **2 015,284 milliards FCFA de dépôts clientèle** pour **1 326,977 milliards FCFA de créances clientèle**, soit un ratio de transformation (crédits/dépôts) de 65,8%, indiquant une marge de manœuvre pour accroître les crédits.</w:t>
      </w:r>
    </w:p>
    <w:p>
      <w:pPr>
        <w:spacing w:after="120" w:line="276" w:lineRule="auto"/>
      </w:pPr>
      <w:r>
        <w:t>**Évolution temporelle et estimations :** L'analyse des rapports trimestriels révèle une accélération de la dynamique en 2026. Le **rapport T1 2026 (publié en 2026)** fait état d'un **PNB de 36,8 milliards FCFA (+28,5%)** et d'un **résultat net de 21,5 milliards FCFA (+22,2%)**, avec une **marge nette de 58,4%** en forte amélioration. Les dépôts clientèle ont bondi de **+37,9% à 2 365,1 milliards FCFA**, tandis que les crédits n'ont progressé que de **+3,8% à 1 307,2 milliards FCFA** — un déséquilibre qui pourrait peser sur la marge d'intérêt future mais qui reflète une politique de crédit prudente. Sur la base de ce T1 2026, on peut **estimer** que l'exercice 2026 devrait afficher un PNB annualisé supérieur à 145 milliards FCFA et un résultat net potentiellement supérieur à 75 milliards FCFA si la tendance se maintient, bien que la prudence reste de mise face à l'environnement sécuritaire et géopolitique régional.</w:t>
      </w:r>
    </w:p>
    <w:p>
      <w:pPr>
        <w:spacing w:after="120" w:line="276" w:lineRule="auto"/>
      </w:pPr>
      <w:r>
        <w:t>**Recommandation fondamentale :** La solidité financière de CBIBF est incontestable : efficacité opérationnelle exceptionnelle (coefficient 36,4%), rentabilité élevée (marge nette &gt;47%), et amélioration significative du coût du risque. Les risques identifiés — concentration géographique sur le Burkina Faso, environnement sécuritaire dégradé, et déséquilibre dépôts/crédits — sont réels mais semblent maîtrisés. La dynamique du T1 2026 (+28,5% de PNB) confirme la capacité de la banque à générer une croissance rentable, ce qui justifie une **recommandation fondamentale positive**.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La **valorisation (Partie 0)** est modérée avec un PER de 14,7x légèrement supérieur à la moyenne du marché, et un EV/EBITDA de 10,9x qui intègre déjà une prime de qualité — le titre n'est donc pas sous-évalué mais reste raisonnable pour une banque de cette qualité. Le **comportement du cours (Partie 1)** est préoccupant à court terme : après un rallye de +81%, le repli de -7,48% en J-1 et la volatilité élevée (46%) signalent une correction en cours, bien que le kurtosis platykurtique et le skewness symétrique indiquent une distribution sans risque de queue extrême. Les **signaux techniques (Partie 2)** sont majoritairement baissiers : MACD en divergence baissière, cours sous la MM20, RSI et stochastique neutres-bas — une convergence qui plaide pour une poursuite de la consolidation. Les **fondamentaux (Partie 3)** restent excellents avec un PNB de 138,986 milliards FCFA en 2025, un résultat net de 65,495 milliards FCFA (+36,6%), et un T1 2026 qui confirme l'accélération (+28,5% de PNB). Les **prédictions IA (J+1 à J+10)** anticipent une poursuite de la baisse jusqu'à 29 257 FCFA le 7 octobre 2026, confirmant la tendance baissière de court terme.</w:t>
      </w:r>
    </w:p>
    <w:p>
      <w:pPr>
        <w:spacing w:after="120" w:line="276" w:lineRule="auto"/>
      </w:pPr>
      <w:r>
        <w:t>**Recommandation finale : CONSERVER.** La convergence entre la correction technique en cours, les prédictions baissières à court terme, et la valorisation modérée (PER 14,7x) suggère d'éviter un achat immédiat. Toutefois, la solidité fondamentale exceptionnelle (coefficient d'exploitation 36,4%, croissance du résultat net +36,6% en 2025, dynamique T1 2026) et la position de leader régional justifient de **conserver** le titre pour les investisseurs déjà positionnés, en attendant une stabilisation technique. **Niveau de confiance : Moyen** (les fondamentaux sont solides mais l'incertitude technique et la volatilité élevée limitent la visibilité). **Niveau de risque global : Élevé** (volatilité 46%, exposition géographique au Burkina Faso, correction en cours). **Horizon d'investissement optimal : Moyen terme (3-12 mois)** — le temps que la correction technique s'achève et que la dynamique fondamentale du T1 2026 se confirme sur les trimestres suivants. Un retour du cours sous la MM50 (30 185 FCFA) constituerait une zone d'accumulation intéressante pour les investisseurs à long terme.</w:t>
      </w:r>
    </w:p>
    <w:p>
      <w:pPr>
        <w:spacing w:after="120" w:line="276" w:lineRule="auto"/>
      </w:pPr>
      <w:r>
        <w:t>---</w:t>
      </w:r>
    </w:p>
    <w:p>
      <w:pPr>
        <w:spacing w:after="120" w:line="276" w:lineRule="auto"/>
      </w:pPr>
      <w:r>
        <w:t>*Rapport généré le 1er octobre 2026 — Sources : BRVM, rapports financiers officiels CBIBF (2022-2026), analyses Gemini-Vision.*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280.22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3,566 titres</w:t>
            </w:r>
          </w:p>
        </w:tc>
        <w:tc>
          <w:tcPr>
            <w:tcW w:type="dxa" w:w="2268"/>
            <w:shd w:fill="FFF2CC" w:val="clear"/>
          </w:tcPr>
          <w:p>
            <w:r>
              <w:rPr>
                <w:b/>
                <w:color w:val="503200"/>
                <w:sz w:val="16"/>
              </w:rPr>
              <w:t xml:space="preserve">Cours actuel : </w:t>
            </w:r>
            <w:r>
              <w:rPr>
                <w:color w:val="000000"/>
                <w:sz w:val="17"/>
              </w:rPr>
              <w:t>1,545 FCFA</w:t>
            </w:r>
          </w:p>
          <w:p>
            <w:r>
              <w:rPr>
                <w:b/>
                <w:color w:val="503200"/>
                <w:sz w:val="16"/>
              </w:rPr>
              <w:t xml:space="preserve">Var. 100 jours : </w:t>
            </w:r>
            <w:r>
              <w:rPr>
                <w:b/>
                <w:color w:val="007800"/>
                <w:sz w:val="17"/>
              </w:rPr>
              <w:t>+10.36%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6.09% (Moyenne) — μ=1,632 FCFA, σ=99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β=1.0953 (Neutre (suit le marché)) — Cov=0.000076, Var(idx)=0.000069, ρ=0.313,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σ_j=2.92%/j (Stable) — Vol. annualisée≈46.4%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2026-10-01</w:t>
            </w:r>
          </w:p>
        </w:tc>
        <w:tc>
          <w:tcPr>
            <w:tcW w:type="dxa" w:w="1440"/>
            <w:shd w:fill="C6EFCE" w:val="clear"/>
          </w:tcPr>
          <w:p>
            <w:r>
              <w:rPr>
                <w:sz w:val="17"/>
              </w:rPr>
              <w:t>1,512</w:t>
            </w:r>
          </w:p>
        </w:tc>
        <w:tc>
          <w:tcPr>
            <w:tcW w:type="dxa" w:w="1440"/>
            <w:shd w:fill="C6EFCE" w:val="clear"/>
          </w:tcPr>
          <w:p>
            <w:r>
              <w:rPr>
                <w:b/>
                <w:sz w:val="17"/>
              </w:rPr>
              <w:t>1,577</w:t>
            </w:r>
          </w:p>
        </w:tc>
        <w:tc>
          <w:tcPr>
            <w:tcW w:type="dxa" w:w="1440"/>
            <w:shd w:fill="C6EFCE" w:val="clear"/>
          </w:tcPr>
          <w:p>
            <w:r>
              <w:rPr>
                <w:sz w:val="17"/>
              </w:rPr>
              <w:t>1,641</w:t>
            </w:r>
          </w:p>
        </w:tc>
        <w:tc>
          <w:tcPr>
            <w:tcW w:type="dxa" w:w="1440"/>
            <w:shd w:fill="C6EFCE" w:val="clear"/>
          </w:tcPr>
          <w:p>
            <w:r>
              <w:rPr>
                <w:b/>
                <w:color w:val="008000"/>
                <w:sz w:val="17"/>
              </w:rPr>
              <w:t>+2.1%</w:t>
            </w:r>
          </w:p>
        </w:tc>
      </w:tr>
      <w:tr>
        <w:tc>
          <w:tcPr>
            <w:tcW w:type="dxa" w:w="1440"/>
            <w:shd w:fill="C6EFCE" w:val="clear"/>
          </w:tcPr>
          <w:p>
            <w:r>
              <w:rPr>
                <w:sz w:val="17"/>
              </w:rPr>
              <w:t>J+2  Moyenne</w:t>
            </w:r>
          </w:p>
        </w:tc>
        <w:tc>
          <w:tcPr>
            <w:tcW w:type="dxa" w:w="1440"/>
            <w:shd w:fill="C6EFCE" w:val="clear"/>
          </w:tcPr>
          <w:p>
            <w:r>
              <w:rPr>
                <w:sz w:val="17"/>
              </w:rPr>
              <w:t>2026-10-02</w:t>
            </w:r>
          </w:p>
        </w:tc>
        <w:tc>
          <w:tcPr>
            <w:tcW w:type="dxa" w:w="1440"/>
            <w:shd w:fill="C6EFCE" w:val="clear"/>
          </w:tcPr>
          <w:p>
            <w:r>
              <w:rPr>
                <w:sz w:val="17"/>
              </w:rPr>
              <w:t>1,486</w:t>
            </w:r>
          </w:p>
        </w:tc>
        <w:tc>
          <w:tcPr>
            <w:tcW w:type="dxa" w:w="1440"/>
            <w:shd w:fill="C6EFCE" w:val="clear"/>
          </w:tcPr>
          <w:p>
            <w:r>
              <w:rPr>
                <w:b/>
                <w:sz w:val="17"/>
              </w:rPr>
              <w:t>1,577</w:t>
            </w:r>
          </w:p>
        </w:tc>
        <w:tc>
          <w:tcPr>
            <w:tcW w:type="dxa" w:w="1440"/>
            <w:shd w:fill="C6EFCE" w:val="clear"/>
          </w:tcPr>
          <w:p>
            <w:r>
              <w:rPr>
                <w:sz w:val="17"/>
              </w:rPr>
              <w:t>1,668</w:t>
            </w:r>
          </w:p>
        </w:tc>
        <w:tc>
          <w:tcPr>
            <w:tcW w:type="dxa" w:w="1440"/>
            <w:shd w:fill="C6EFCE" w:val="clear"/>
          </w:tcPr>
          <w:p>
            <w:r>
              <w:rPr>
                <w:b/>
                <w:color w:val="008000"/>
                <w:sz w:val="17"/>
              </w:rPr>
              <w:t>+2.1%</w:t>
            </w:r>
          </w:p>
        </w:tc>
      </w:tr>
      <w:tr>
        <w:tc>
          <w:tcPr>
            <w:tcW w:type="dxa" w:w="1440"/>
            <w:shd w:fill="C6EFCE" w:val="clear"/>
          </w:tcPr>
          <w:p>
            <w:r>
              <w:rPr>
                <w:sz w:val="17"/>
              </w:rPr>
              <w:t>J+3  Moyenne</w:t>
            </w:r>
          </w:p>
        </w:tc>
        <w:tc>
          <w:tcPr>
            <w:tcW w:type="dxa" w:w="1440"/>
            <w:shd w:fill="C6EFCE" w:val="clear"/>
          </w:tcPr>
          <w:p>
            <w:r>
              <w:rPr>
                <w:sz w:val="17"/>
              </w:rPr>
              <w:t>2026-10-05</w:t>
            </w:r>
          </w:p>
        </w:tc>
        <w:tc>
          <w:tcPr>
            <w:tcW w:type="dxa" w:w="1440"/>
            <w:shd w:fill="C6EFCE" w:val="clear"/>
          </w:tcPr>
          <w:p>
            <w:r>
              <w:rPr>
                <w:sz w:val="17"/>
              </w:rPr>
              <w:t>1,468</w:t>
            </w:r>
          </w:p>
        </w:tc>
        <w:tc>
          <w:tcPr>
            <w:tcW w:type="dxa" w:w="1440"/>
            <w:shd w:fill="C6EFCE" w:val="clear"/>
          </w:tcPr>
          <w:p>
            <w:r>
              <w:rPr>
                <w:b/>
                <w:sz w:val="17"/>
              </w:rPr>
              <w:t>1,580</w:t>
            </w:r>
          </w:p>
        </w:tc>
        <w:tc>
          <w:tcPr>
            <w:tcW w:type="dxa" w:w="1440"/>
            <w:shd w:fill="C6EFCE" w:val="clear"/>
          </w:tcPr>
          <w:p>
            <w:r>
              <w:rPr>
                <w:sz w:val="17"/>
              </w:rPr>
              <w:t>1,692</w:t>
            </w:r>
          </w:p>
        </w:tc>
        <w:tc>
          <w:tcPr>
            <w:tcW w:type="dxa" w:w="1440"/>
            <w:shd w:fill="C6EFCE" w:val="clear"/>
          </w:tcPr>
          <w:p>
            <w:r>
              <w:rPr>
                <w:b/>
                <w:color w:val="008000"/>
                <w:sz w:val="17"/>
              </w:rPr>
              <w:t>+2.2%</w:t>
            </w:r>
          </w:p>
        </w:tc>
      </w:tr>
      <w:tr>
        <w:tc>
          <w:tcPr>
            <w:tcW w:type="dxa" w:w="1440"/>
            <w:shd w:fill="C6EFCE" w:val="clear"/>
          </w:tcPr>
          <w:p>
            <w:r>
              <w:rPr>
                <w:sz w:val="17"/>
              </w:rPr>
              <w:t>J+4  ⭐</w:t>
            </w:r>
          </w:p>
        </w:tc>
        <w:tc>
          <w:tcPr>
            <w:tcW w:type="dxa" w:w="1440"/>
            <w:shd w:fill="C6EFCE" w:val="clear"/>
          </w:tcPr>
          <w:p>
            <w:r>
              <w:rPr>
                <w:sz w:val="17"/>
              </w:rPr>
              <w:t>2026-10-06</w:t>
            </w:r>
          </w:p>
        </w:tc>
        <w:tc>
          <w:tcPr>
            <w:tcW w:type="dxa" w:w="1440"/>
            <w:shd w:fill="C6EFCE" w:val="clear"/>
          </w:tcPr>
          <w:p>
            <w:r>
              <w:rPr>
                <w:sz w:val="17"/>
              </w:rPr>
              <w:t>1,454</w:t>
            </w:r>
          </w:p>
        </w:tc>
        <w:tc>
          <w:tcPr>
            <w:tcW w:type="dxa" w:w="1440"/>
            <w:shd w:fill="C6EFCE" w:val="clear"/>
          </w:tcPr>
          <w:p>
            <w:r>
              <w:rPr>
                <w:b/>
                <w:sz w:val="17"/>
              </w:rPr>
              <w:t>1,583</w:t>
            </w:r>
          </w:p>
        </w:tc>
        <w:tc>
          <w:tcPr>
            <w:tcW w:type="dxa" w:w="1440"/>
            <w:shd w:fill="C6EFCE" w:val="clear"/>
          </w:tcPr>
          <w:p>
            <w:r>
              <w:rPr>
                <w:sz w:val="17"/>
              </w:rPr>
              <w:t>1,713</w:t>
            </w:r>
          </w:p>
        </w:tc>
        <w:tc>
          <w:tcPr>
            <w:tcW w:type="dxa" w:w="1440"/>
            <w:shd w:fill="C6EFCE" w:val="clear"/>
          </w:tcPr>
          <w:p>
            <w:r>
              <w:rPr>
                <w:b/>
                <w:color w:val="008000"/>
                <w:sz w:val="17"/>
              </w:rPr>
              <w:t>+2.5%</w:t>
            </w:r>
          </w:p>
        </w:tc>
      </w:tr>
      <w:tr>
        <w:tc>
          <w:tcPr>
            <w:tcW w:type="dxa" w:w="1440"/>
            <w:shd w:fill="C6EFCE" w:val="clear"/>
          </w:tcPr>
          <w:p>
            <w:r>
              <w:rPr>
                <w:sz w:val="17"/>
              </w:rPr>
              <w:t>J+5  ⭐</w:t>
            </w:r>
          </w:p>
        </w:tc>
        <w:tc>
          <w:tcPr>
            <w:tcW w:type="dxa" w:w="1440"/>
            <w:shd w:fill="C6EFCE" w:val="clear"/>
          </w:tcPr>
          <w:p>
            <w:r>
              <w:rPr>
                <w:sz w:val="17"/>
              </w:rPr>
              <w:t>2026-10-07</w:t>
            </w:r>
          </w:p>
        </w:tc>
        <w:tc>
          <w:tcPr>
            <w:tcW w:type="dxa" w:w="1440"/>
            <w:shd w:fill="C6EFCE" w:val="clear"/>
          </w:tcPr>
          <w:p>
            <w:r>
              <w:rPr>
                <w:sz w:val="17"/>
              </w:rPr>
              <w:t>1,441</w:t>
            </w:r>
          </w:p>
        </w:tc>
        <w:tc>
          <w:tcPr>
            <w:tcW w:type="dxa" w:w="1440"/>
            <w:shd w:fill="C6EFCE" w:val="clear"/>
          </w:tcPr>
          <w:p>
            <w:r>
              <w:rPr>
                <w:b/>
                <w:sz w:val="17"/>
              </w:rPr>
              <w:t>1,586</w:t>
            </w:r>
          </w:p>
        </w:tc>
        <w:tc>
          <w:tcPr>
            <w:tcW w:type="dxa" w:w="1440"/>
            <w:shd w:fill="C6EFCE" w:val="clear"/>
          </w:tcPr>
          <w:p>
            <w:r>
              <w:rPr>
                <w:sz w:val="17"/>
              </w:rPr>
              <w:t>1,732</w:t>
            </w:r>
          </w:p>
        </w:tc>
        <w:tc>
          <w:tcPr>
            <w:tcW w:type="dxa" w:w="1440"/>
            <w:shd w:fill="C6EFCE" w:val="clear"/>
          </w:tcPr>
          <w:p>
            <w:r>
              <w:rPr>
                <w:b/>
                <w:color w:val="008000"/>
                <w:sz w:val="17"/>
              </w:rPr>
              <w:t>+2.7%</w:t>
            </w:r>
          </w:p>
        </w:tc>
      </w:tr>
      <w:tr>
        <w:tc>
          <w:tcPr>
            <w:tcW w:type="dxa" w:w="1440"/>
            <w:shd w:fill="C6EFCE" w:val="clear"/>
          </w:tcPr>
          <w:p>
            <w:r>
              <w:rPr>
                <w:sz w:val="17"/>
              </w:rPr>
              <w:t>J+6  ⭐</w:t>
            </w:r>
          </w:p>
        </w:tc>
        <w:tc>
          <w:tcPr>
            <w:tcW w:type="dxa" w:w="1440"/>
            <w:shd w:fill="C6EFCE" w:val="clear"/>
          </w:tcPr>
          <w:p>
            <w:r>
              <w:rPr>
                <w:sz w:val="17"/>
              </w:rPr>
              <w:t>2026-10-08</w:t>
            </w:r>
          </w:p>
        </w:tc>
        <w:tc>
          <w:tcPr>
            <w:tcW w:type="dxa" w:w="1440"/>
            <w:shd w:fill="C6EFCE" w:val="clear"/>
          </w:tcPr>
          <w:p>
            <w:r>
              <w:rPr>
                <w:sz w:val="17"/>
              </w:rPr>
              <w:t>1,430</w:t>
            </w:r>
          </w:p>
        </w:tc>
        <w:tc>
          <w:tcPr>
            <w:tcW w:type="dxa" w:w="1440"/>
            <w:shd w:fill="C6EFCE" w:val="clear"/>
          </w:tcPr>
          <w:p>
            <w:r>
              <w:rPr>
                <w:b/>
                <w:sz w:val="17"/>
              </w:rPr>
              <w:t>1,590</w:t>
            </w:r>
          </w:p>
        </w:tc>
        <w:tc>
          <w:tcPr>
            <w:tcW w:type="dxa" w:w="1440"/>
            <w:shd w:fill="C6EFCE" w:val="clear"/>
          </w:tcPr>
          <w:p>
            <w:r>
              <w:rPr>
                <w:sz w:val="17"/>
              </w:rPr>
              <w:t>1,749</w:t>
            </w:r>
          </w:p>
        </w:tc>
        <w:tc>
          <w:tcPr>
            <w:tcW w:type="dxa" w:w="1440"/>
            <w:shd w:fill="C6EFCE" w:val="clear"/>
          </w:tcPr>
          <w:p>
            <w:r>
              <w:rPr>
                <w:b/>
                <w:color w:val="008000"/>
                <w:sz w:val="17"/>
              </w:rPr>
              <w:t>+2.9%</w:t>
            </w:r>
          </w:p>
        </w:tc>
      </w:tr>
      <w:tr>
        <w:tc>
          <w:tcPr>
            <w:tcW w:type="dxa" w:w="1440"/>
            <w:shd w:fill="C6EFCE" w:val="clear"/>
          </w:tcPr>
          <w:p>
            <w:r>
              <w:rPr>
                <w:sz w:val="17"/>
              </w:rPr>
              <w:t>J+7  ⭐</w:t>
            </w:r>
          </w:p>
        </w:tc>
        <w:tc>
          <w:tcPr>
            <w:tcW w:type="dxa" w:w="1440"/>
            <w:shd w:fill="C6EFCE" w:val="clear"/>
          </w:tcPr>
          <w:p>
            <w:r>
              <w:rPr>
                <w:sz w:val="17"/>
              </w:rPr>
              <w:t>2026-10-09</w:t>
            </w:r>
          </w:p>
        </w:tc>
        <w:tc>
          <w:tcPr>
            <w:tcW w:type="dxa" w:w="1440"/>
            <w:shd w:fill="C6EFCE" w:val="clear"/>
          </w:tcPr>
          <w:p>
            <w:r>
              <w:rPr>
                <w:sz w:val="17"/>
              </w:rPr>
              <w:t>1,420</w:t>
            </w:r>
          </w:p>
        </w:tc>
        <w:tc>
          <w:tcPr>
            <w:tcW w:type="dxa" w:w="1440"/>
            <w:shd w:fill="C6EFCE" w:val="clear"/>
          </w:tcPr>
          <w:p>
            <w:r>
              <w:rPr>
                <w:b/>
                <w:sz w:val="17"/>
              </w:rPr>
              <w:t>1,593</w:t>
            </w:r>
          </w:p>
        </w:tc>
        <w:tc>
          <w:tcPr>
            <w:tcW w:type="dxa" w:w="1440"/>
            <w:shd w:fill="C6EFCE" w:val="clear"/>
          </w:tcPr>
          <w:p>
            <w:r>
              <w:rPr>
                <w:sz w:val="17"/>
              </w:rPr>
              <w:t>1,765</w:t>
            </w:r>
          </w:p>
        </w:tc>
        <w:tc>
          <w:tcPr>
            <w:tcW w:type="dxa" w:w="1440"/>
            <w:shd w:fill="C6EFCE" w:val="clear"/>
          </w:tcPr>
          <w:p>
            <w:r>
              <w:rPr>
                <w:b/>
                <w:color w:val="008000"/>
                <w:sz w:val="17"/>
              </w:rPr>
              <w:t>+3.1%</w:t>
            </w:r>
          </w:p>
        </w:tc>
      </w:tr>
      <w:tr>
        <w:tc>
          <w:tcPr>
            <w:tcW w:type="dxa" w:w="1440"/>
            <w:shd w:fill="C6EFCE" w:val="clear"/>
          </w:tcPr>
          <w:p>
            <w:r>
              <w:rPr>
                <w:sz w:val="17"/>
              </w:rPr>
              <w:t>J+8  ⭐</w:t>
            </w:r>
          </w:p>
        </w:tc>
        <w:tc>
          <w:tcPr>
            <w:tcW w:type="dxa" w:w="1440"/>
            <w:shd w:fill="C6EFCE" w:val="clear"/>
          </w:tcPr>
          <w:p>
            <w:r>
              <w:rPr>
                <w:sz w:val="17"/>
              </w:rPr>
              <w:t>2026-10-12</w:t>
            </w:r>
          </w:p>
        </w:tc>
        <w:tc>
          <w:tcPr>
            <w:tcW w:type="dxa" w:w="1440"/>
            <w:shd w:fill="C6EFCE" w:val="clear"/>
          </w:tcPr>
          <w:p>
            <w:r>
              <w:rPr>
                <w:sz w:val="17"/>
              </w:rPr>
              <w:t>1,411</w:t>
            </w:r>
          </w:p>
        </w:tc>
        <w:tc>
          <w:tcPr>
            <w:tcW w:type="dxa" w:w="1440"/>
            <w:shd w:fill="C6EFCE" w:val="clear"/>
          </w:tcPr>
          <w:p>
            <w:r>
              <w:rPr>
                <w:b/>
                <w:sz w:val="17"/>
              </w:rPr>
              <w:t>1,596</w:t>
            </w:r>
          </w:p>
        </w:tc>
        <w:tc>
          <w:tcPr>
            <w:tcW w:type="dxa" w:w="1440"/>
            <w:shd w:fill="C6EFCE" w:val="clear"/>
          </w:tcPr>
          <w:p>
            <w:r>
              <w:rPr>
                <w:sz w:val="17"/>
              </w:rPr>
              <w:t>1,780</w:t>
            </w:r>
          </w:p>
        </w:tc>
        <w:tc>
          <w:tcPr>
            <w:tcW w:type="dxa" w:w="1440"/>
            <w:shd w:fill="C6EFCE" w:val="clear"/>
          </w:tcPr>
          <w:p>
            <w:r>
              <w:rPr>
                <w:b/>
                <w:color w:val="008000"/>
                <w:sz w:val="17"/>
              </w:rPr>
              <w:t>+3.3%</w:t>
            </w:r>
          </w:p>
        </w:tc>
      </w:tr>
      <w:tr>
        <w:tc>
          <w:tcPr>
            <w:tcW w:type="dxa" w:w="1440"/>
            <w:shd w:fill="C6EFCE" w:val="clear"/>
          </w:tcPr>
          <w:p>
            <w:r>
              <w:rPr>
                <w:sz w:val="17"/>
              </w:rPr>
              <w:t>J+9  ⭐</w:t>
            </w:r>
          </w:p>
        </w:tc>
        <w:tc>
          <w:tcPr>
            <w:tcW w:type="dxa" w:w="1440"/>
            <w:shd w:fill="C6EFCE" w:val="clear"/>
          </w:tcPr>
          <w:p>
            <w:r>
              <w:rPr>
                <w:sz w:val="17"/>
              </w:rPr>
              <w:t>2026-10-13</w:t>
            </w:r>
          </w:p>
        </w:tc>
        <w:tc>
          <w:tcPr>
            <w:tcW w:type="dxa" w:w="1440"/>
            <w:shd w:fill="C6EFCE" w:val="clear"/>
          </w:tcPr>
          <w:p>
            <w:r>
              <w:rPr>
                <w:sz w:val="17"/>
              </w:rPr>
              <w:t>1,402</w:t>
            </w:r>
          </w:p>
        </w:tc>
        <w:tc>
          <w:tcPr>
            <w:tcW w:type="dxa" w:w="1440"/>
            <w:shd w:fill="C6EFCE" w:val="clear"/>
          </w:tcPr>
          <w:p>
            <w:r>
              <w:rPr>
                <w:b/>
                <w:sz w:val="17"/>
              </w:rPr>
              <w:t>1,599</w:t>
            </w:r>
          </w:p>
        </w:tc>
        <w:tc>
          <w:tcPr>
            <w:tcW w:type="dxa" w:w="1440"/>
            <w:shd w:fill="C6EFCE" w:val="clear"/>
          </w:tcPr>
          <w:p>
            <w:r>
              <w:rPr>
                <w:sz w:val="17"/>
              </w:rPr>
              <w:t>1,795</w:t>
            </w:r>
          </w:p>
        </w:tc>
        <w:tc>
          <w:tcPr>
            <w:tcW w:type="dxa" w:w="1440"/>
            <w:shd w:fill="C6EFCE" w:val="clear"/>
          </w:tcPr>
          <w:p>
            <w:r>
              <w:rPr>
                <w:b/>
                <w:color w:val="008000"/>
                <w:sz w:val="17"/>
              </w:rPr>
              <w:t>+3.5%</w:t>
            </w:r>
          </w:p>
        </w:tc>
      </w:tr>
      <w:tr>
        <w:tc>
          <w:tcPr>
            <w:tcW w:type="dxa" w:w="1440"/>
            <w:shd w:fill="C6EFCE" w:val="clear"/>
          </w:tcPr>
          <w:p>
            <w:r>
              <w:rPr>
                <w:sz w:val="17"/>
              </w:rPr>
              <w:t>J+10  ⭐</w:t>
            </w:r>
          </w:p>
        </w:tc>
        <w:tc>
          <w:tcPr>
            <w:tcW w:type="dxa" w:w="1440"/>
            <w:shd w:fill="C6EFCE" w:val="clear"/>
          </w:tcPr>
          <w:p>
            <w:r>
              <w:rPr>
                <w:sz w:val="17"/>
              </w:rPr>
              <w:t>2026-10-14</w:t>
            </w:r>
          </w:p>
        </w:tc>
        <w:tc>
          <w:tcPr>
            <w:tcW w:type="dxa" w:w="1440"/>
            <w:shd w:fill="C6EFCE" w:val="clear"/>
          </w:tcPr>
          <w:p>
            <w:r>
              <w:rPr>
                <w:sz w:val="17"/>
              </w:rPr>
              <w:t>1,394</w:t>
            </w:r>
          </w:p>
        </w:tc>
        <w:tc>
          <w:tcPr>
            <w:tcW w:type="dxa" w:w="1440"/>
            <w:shd w:fill="C6EFCE" w:val="clear"/>
          </w:tcPr>
          <w:p>
            <w:r>
              <w:rPr>
                <w:b/>
                <w:sz w:val="17"/>
              </w:rPr>
              <w:t>1,601</w:t>
            </w:r>
          </w:p>
        </w:tc>
        <w:tc>
          <w:tcPr>
            <w:tcW w:type="dxa" w:w="1440"/>
            <w:shd w:fill="C6EFCE" w:val="clear"/>
          </w:tcPr>
          <w:p>
            <w:r>
              <w:rPr>
                <w:sz w:val="17"/>
              </w:rPr>
              <w:t>1,809</w:t>
            </w:r>
          </w:p>
        </w:tc>
        <w:tc>
          <w:tcPr>
            <w:tcW w:type="dxa" w:w="1440"/>
            <w:shd w:fill="C6EFCE" w:val="clear"/>
          </w:tcPr>
          <w:p>
            <w:r>
              <w:rPr>
                <w:b/>
                <w:color w:val="008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br/>
        <w:t>**Bourse Régionale des Valeurs Mobilières (BRVM) — Secteur : Distribution Automobile**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280,22 milliards FCFA, CFAC figure parmi les valeurs les plus importantes de la cote BRVM, ce qui témoigne de son statut de leader incontesté du marché automobile ivoirien. Le BPA s'établit à 26 FCFA par action, un niveau modeste qui, rapporté au cours actuel de 1 545 FCFA, génère un PER de 59,7x — très largement supérieur à la moyenne BRVM (8-12x) et signalant une valorisation tendue où les investisseurs paient près de 60 fois les bénéfices annuels. Le ratio P/B de 14,40x confirme cette prime excessive : le marché valorise la société à plus de 14 fois sa valeur comptable, un niveau qui n'est justifiable que par des perspectives de croissance exceptionnelles. Enfin, l'EV/EBITDA de 30,4x, très au-dessus du seuil de 15x généralement considéré comme exigeant, indique que la valeur d'entreprise intègre déjà une forte anticipation de rentabilité opérationnelle future. **Conclusion : le titre est nettement surévalué sur la base des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affiche une variation positive de +10,36%, mais la dernière séance (J-1) enregistre un repli marqué de -3,44%, signalant une pression vendeuse récente. Le cours actuel de 1 545 FCFA se situe dans la moitié inférieure du range de trading, le plus haut ayant atteint 1 825 FCFA et le plus bas 1 380 FCFA, soit une amplitude de 445 FCFA (32% du cours bas). La tendance générale reste haussière sur la période, mais le repli récent et la position sous les moyennes mobiles suggèrent un essoufflement. Les statistiques descriptives révèlent une moyenne de 1 632 FCFA légèrement supérieure à la médiane de 1 642 FCFA, avec un mode à 1 600 FCFA — l'écart faible entre ces mesures indique une distribution quasi-symétrique, confirmée par un skewness de -0,486 (léger étirement vers la gauche, donc quelques séances de baisse plus marquées). L'écart-type de 100 FCFA avec un coefficient de variation de 6,1% traduit une dispersion modérée du cours autour de sa moyenne. Le kurtosis de -0,323 (mésokurtique) indique une distribution proche de la normale, sans risque excessif de pics extrêmes. La volatilité annualisée de 46,4% classe le titre dans la catégorie **élevée** (&gt;30%),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(1 650,75 FCFA) et la MM50 (1 670,30 FCFA) se situent toutes deux au-dessus du cours actuel (1 545 FCFA), créant une configuration baissière où le prix évolue sous ses moyennes. La MM20 étant légèrement en dessous de la MM50, on observe un début de croisement baissier (death cross) potentiel. La décision technique est **Vente**, confirmée par la pression vendeuse récente.</w:t>
      </w:r>
    </w:p>
    <w:p>
      <w:pPr>
        <w:spacing w:after="120" w:line="276" w:lineRule="auto"/>
      </w:pPr>
      <w:r>
        <w:t>**Bandes de Bollinger :** Le cours actuel (1 545 FCFA) se situe dans la partie basse de la bande, entre la borne inférieure (1 489,04 FCFA) et la borne supérieure (1 812,46 FCFA), sans toutefois toucher la borne basse. Cette position médiane-basse indique une absence de signal extrême, justifiant la décision **Neutre**. La largeur des bandes reflète la volatilité élevée du titre.</w:t>
      </w:r>
    </w:p>
    <w:p>
      <w:pPr>
        <w:spacing w:after="120" w:line="276" w:lineRule="auto"/>
      </w:pPr>
      <w:r>
        <w:t>**MACD :** La valeur du MACD (-36,632) est inférieure à son signal (-26,224), confirmant un momentum baissier avec une divergence négative persistante. Le MACD évolue en territoire négatif, ce qui renforce le signal de **Vente** et suggère que la pression baissière pourrait se poursuivre à court terme.</w:t>
      </w:r>
    </w:p>
    <w:p>
      <w:pPr>
        <w:spacing w:after="120" w:line="276" w:lineRule="auto"/>
      </w:pPr>
      <w:r>
        <w:t>**RSI :** À 34,694, le RSI se situe dans la zone neutre basse (30-70), proche du seuil de survente (30) sans l'atteindre. Cette position indique que le titre n'est pas encore techniquement survendu, mais la tendance baissière est bien installée. La décision est **Neutre**, avec un risque de rebond technique si le RSI descend sous 30.</w:t>
      </w:r>
    </w:p>
    <w:p>
      <w:pPr>
        <w:spacing w:after="120" w:line="276" w:lineRule="auto"/>
      </w:pPr>
      <w:r>
        <w:t>**Stochastique :** Le %K (26,0) est nettement inférieur au %D (42,667), confirmant un croisement baissier récent. Le %K en zone basse (proche de 20) suggère une possible survente à venir, mais l'absence de croisement haussier maintient la décision **Neutre**. Une stabilisation du %K pourrait précéder un rebond.</w:t>
      </w:r>
    </w:p>
    <w:p>
      <w:pPr>
        <w:spacing w:after="120" w:line="276" w:lineRule="auto"/>
      </w:pPr>
      <w:r>
        <w:t>**Conclusion technique :** L'ensemble des indicateurs convergent vers un signal baissier à court terme : le cours sous les moyennes mobiles, le MACD en territoire négatif avec divergence baissière, et le stochastique en croisement baissier. Le RSI et les Bandes de Bollinger sont neutres, offrant une possibilité de rebond technique mais sans confirmation. La configuration technique globale est **défavorable**, avec un risque de poursuite de la correction vers la borne inférieure des Bollinger (1 489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2024) :** En 2024, CFAC a réalisé un chiffre d'affaires de 158,313 milliards FCFA, en baisse de -12,13% par rapport à 2023 (180,162 milliards FCFA), reflétant une contraction du marché automobile ivoirien et des difficultés logistiques. Le résultat net s'établit à 4,693 milliards FCFA, en recul de -26,7% vs 2023 (6,399 milliards), avec une marge nette de 2,96% (contre 3,6% en 2023). Le ROE reste élevé à 24,13% (excellent, &gt;15%), mais le ROA de 5,52% traduit une rentabilité des actifs modérée. La structure financière montre une autonomie financière de 22,88% (inférieure au seuil sain de 30%), une dépendance financière de 77,12% et un ratio d'endettement de 23,07%. Le BFR est négatif (-3,482 milliards FCFA), ce qui est favorable, mais la trésorerie nette est négative (-624,20 millions FCFA). Les délais d'exploitation révèlent un délai client de 36,64 jours (risque de trésorerie modéré), un délai fournisseur de 81,75 jours (bon pour la trésorerie) et une durée de stockage de 88,35 jours (immobilisation de capital élevée).</w:t>
      </w:r>
    </w:p>
    <w:p>
      <w:pPr>
        <w:spacing w:after="120" w:line="276" w:lineRule="auto"/>
      </w:pPr>
      <w:r>
        <w:t>**Adaptation au secteur (entreprise non bancaire) :** L'analyse des marges montre une marge brute de 5,92%, une marge opérationnelle de 4,96% et une marge nette de 2,96%, toutes en compression. La rotation des actifs est élevée (186,22%), mais le taux de croissance du CA est négatif (-12,13%), signalant une perte de dynamique commerciale. Le Free Cash Flow est négatif (-1,650 milliards FCFA), et la couverture des investissements par la CAF n'est que de 71,18%, indiquant une capacité d'autofinancement insuffisante pour financer les investissements.</w:t>
      </w:r>
    </w:p>
    <w:p>
      <w:pPr>
        <w:spacing w:after="120" w:line="276" w:lineRule="auto"/>
      </w:pPr>
      <w:r>
        <w:t>**Estimations basées sur les rapports trimestriels :** Les rapports récents (T1 2025, S1 2025, T3 2025) montrent un redressement spectaculaire : au T1 2025 (rapport du 31/03/2025), le CA progresse de +14,5% à 46,161 milliards FCFA et le résultat net bondit de +279,7% à 3,836 milliards FCFA. Au S1 2025 (rapport du 30/06/2025), le CA atteint 91,182 milliards FCFA (+18,4%) et le résultat net 5,420 milliards FCFA (+152,7%). Au T3 2025 (rapport du 30/09/2025), le CA trimestriel s'élève à 43,580 milliards FCFA (+18,3%) et le résultat net à 1,489 milliards FCFA (+38,1%). **On estime donc que l'exercice 2025 devrait afficher un CA annuel d'environ 180-185 milliards FCFA (retour au niveau 2023) et un résultat net de 10-11 milliards FCFA, soit un BPA estimé de 55-60 FCFA.** Le rapport annuel 2024 (date 31/12/2024) confirme les difficultés de l'exercice écoulé mais souligne les perspectives positives pour 2025 avec le développement du réseau, les nouvelles marques (SHACMAN, LOVOL, BYD) et l'amélioration du SAV.</w:t>
      </w:r>
    </w:p>
    <w:p>
      <w:pPr>
        <w:spacing w:after="120" w:line="276" w:lineRule="auto"/>
      </w:pPr>
      <w:r>
        <w:t>**Recommandation fondamentale :** La société présente une solidité financière correcte (ROE élevé, BFR négatif) mais des fragilités (autonomie financière faible, FCF négatif, trésorerie nette négative). Le redressement en 2025 est encourageant, mais la valorisation boursière intègre déjà largement cette reprise. **Le titre est fondamentalement surévalué au cours actuel de 1 545 FCFA.**</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la valorisation, la technique et les fondamentaux. La valorisation (Partie 0) est extrêmement tendue : PER de 59,7x, P/B de 14,40x et EV/EBITDA de 30,4x, tous très supérieurs aux normes du marché BRVM, indiquant une surévaluation manifeste. Le comportement du cours (Partie 1) montre une tendance haussière sur 100 jours (+10,36%) mais un repli récent (-3,44% en J-1) et une volatilité élevée (46,4%), avec une distribution quasi-symétrique (skewness -0,486) et sans risque de pics extrêmes (kurtosis -0,323). Les signaux techniques (Partie 2) sont majoritairement baissiers : cours sous les MM20/MM50, MACD négatif avec divergence baissière, stochastique en croisement baissier, seul le RSI (34,7) et les Bollinger étant neutres. Les fondamentaux (Partie 3) montrent un exercice 2024 en recul (CA -12,1%, RN -26,7%) mais un redressement spectaculaire en 2025 (CA +18,4% au S1, RN +152,7%), avec un ROE de 24,1% et un BFR négatif, mais une autonomie financière faible (22,9%) et un FCF négatif. Les prédictions IA (J+1 à J+10) anticipent une légère reprise vers 1 577-1 586 FCFA, ce qui **contredit** les signaux techniques baissiers mais **confirme** le potentiel de rebond fondamental.</w:t>
      </w:r>
    </w:p>
    <w:p>
      <w:pPr>
        <w:spacing w:after="120" w:line="276" w:lineRule="auto"/>
      </w:pPr>
      <w:r>
        <w:t>**Recommandation finale : VENTE**</w:t>
      </w:r>
    </w:p>
    <w:p>
      <w:pPr>
        <w:spacing w:after="120" w:line="276" w:lineRule="auto"/>
      </w:pPr>
      <w:r>
        <w:t>Cette recommandation se justifie par la convergence des signaux baissiers techniques (MM, MACD, Stochastique) et la surévaluation manifeste du titre (PER 59,7x, P/B 14,4x), malgré le redressement fondamental en cours. Le niveau de confiance est **Moyen** car les prédictions IA suggèrent un rebond à court terme, mais celui-ci semble insuffisant pour justifier une position acheteuse à ces niveaux de valorisation. Le niveau de risque global est **Élevé** en raison de la volatilité (46,4%), de la faible autonomie financière (22,9%) et de la sensibilité au cycle économique. L'horizon d'investissement optimal est **court terme (&lt;3 mois)** pour les investisseurs cherchant à profiter d'un éventuel rebond technique, mais **moyen terme (3-12 mois)** pour ceux qui souhaitent attendre une correction vers des niveaux plus raisonnables (1 380-1 450 FCFA) avant d'envisager un achat. Une position **CONSERVER** pourrait se justifier pour les actionnaires déjà en portefeuille, mais **VENTE** est recommandée pour les nouvelles positions.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6,833 titres</w:t>
            </w:r>
          </w:p>
        </w:tc>
        <w:tc>
          <w:tcPr>
            <w:tcW w:type="dxa" w:w="2268"/>
            <w:shd w:fill="FFF2CC" w:val="clear"/>
          </w:tcPr>
          <w:p>
            <w:r>
              <w:rPr>
                <w:b/>
                <w:color w:val="503200"/>
                <w:sz w:val="16"/>
              </w:rPr>
              <w:t xml:space="preserve">Cours actuel : </w:t>
            </w:r>
            <w:r>
              <w:rPr>
                <w:color w:val="000000"/>
                <w:sz w:val="17"/>
              </w:rPr>
              <w:t>6,450 FCFA</w:t>
            </w:r>
          </w:p>
          <w:p>
            <w:r>
              <w:rPr>
                <w:b/>
                <w:color w:val="503200"/>
                <w:sz w:val="16"/>
              </w:rPr>
              <w:t xml:space="preserve">Var. 100 jours : </w:t>
            </w:r>
            <w:r>
              <w:rPr>
                <w:b/>
                <w:color w:val="007800"/>
                <w:sz w:val="17"/>
              </w:rPr>
              <w:t>+92.83%</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3,200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19.62% (Élevée) — μ=5,413 FCFA, σ=1,062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β=0.6882 (Défensif) — Cov=0.000048, Var(idx)=0.000069, ρ=0.180,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6,014</w:t>
            </w:r>
          </w:p>
        </w:tc>
        <w:tc>
          <w:tcPr>
            <w:tcW w:type="dxa" w:w="1440"/>
            <w:shd w:fill="FAFAFA" w:val="clear"/>
          </w:tcPr>
          <w:p>
            <w:r>
              <w:rPr>
                <w:b/>
                <w:sz w:val="17"/>
              </w:rPr>
              <w:t>6,340</w:t>
            </w:r>
          </w:p>
        </w:tc>
        <w:tc>
          <w:tcPr>
            <w:tcW w:type="dxa" w:w="1440"/>
            <w:shd w:fill="FAFAFA" w:val="clear"/>
          </w:tcPr>
          <w:p>
            <w:r>
              <w:rPr>
                <w:sz w:val="17"/>
              </w:rPr>
              <w:t>6,667</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5,817</w:t>
            </w:r>
          </w:p>
        </w:tc>
        <w:tc>
          <w:tcPr>
            <w:tcW w:type="dxa" w:w="1440"/>
            <w:shd w:fill="FFDCE0" w:val="clear"/>
          </w:tcPr>
          <w:p>
            <w:r>
              <w:rPr>
                <w:b/>
                <w:sz w:val="17"/>
              </w:rPr>
              <w:t>6,274</w:t>
            </w:r>
          </w:p>
        </w:tc>
        <w:tc>
          <w:tcPr>
            <w:tcW w:type="dxa" w:w="1440"/>
            <w:shd w:fill="FFDCE0" w:val="clear"/>
          </w:tcPr>
          <w:p>
            <w:r>
              <w:rPr>
                <w:sz w:val="17"/>
              </w:rPr>
              <w:t>6,731</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5,670</w:t>
            </w:r>
          </w:p>
        </w:tc>
        <w:tc>
          <w:tcPr>
            <w:tcW w:type="dxa" w:w="1440"/>
            <w:shd w:fill="FFDCE0" w:val="clear"/>
          </w:tcPr>
          <w:p>
            <w:r>
              <w:rPr>
                <w:b/>
                <w:sz w:val="17"/>
              </w:rPr>
              <w:t>6,226</w:t>
            </w:r>
          </w:p>
        </w:tc>
        <w:tc>
          <w:tcPr>
            <w:tcW w:type="dxa" w:w="1440"/>
            <w:shd w:fill="FFDCE0" w:val="clear"/>
          </w:tcPr>
          <w:p>
            <w:r>
              <w:rPr>
                <w:sz w:val="17"/>
              </w:rPr>
              <w:t>6,781</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5,559</w:t>
            </w:r>
          </w:p>
        </w:tc>
        <w:tc>
          <w:tcPr>
            <w:tcW w:type="dxa" w:w="1440"/>
            <w:shd w:fill="FFDCE0" w:val="clear"/>
          </w:tcPr>
          <w:p>
            <w:r>
              <w:rPr>
                <w:b/>
                <w:sz w:val="17"/>
              </w:rPr>
              <w:t>6,198</w:t>
            </w:r>
          </w:p>
        </w:tc>
        <w:tc>
          <w:tcPr>
            <w:tcW w:type="dxa" w:w="1440"/>
            <w:shd w:fill="FFDCE0" w:val="clear"/>
          </w:tcPr>
          <w:p>
            <w:r>
              <w:rPr>
                <w:sz w:val="17"/>
              </w:rPr>
              <w:t>6,837</w:t>
            </w:r>
          </w:p>
        </w:tc>
        <w:tc>
          <w:tcPr>
            <w:tcW w:type="dxa" w:w="1440"/>
            <w:shd w:fill="FFDCE0" w:val="clear"/>
          </w:tcPr>
          <w:p>
            <w:r>
              <w:rPr>
                <w:b/>
                <w:color w:val="C00000"/>
                <w:sz w:val="17"/>
              </w:rPr>
              <w:t>-3.9%</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5,467</w:t>
            </w:r>
          </w:p>
        </w:tc>
        <w:tc>
          <w:tcPr>
            <w:tcW w:type="dxa" w:w="1440"/>
            <w:shd w:fill="FFDCE0" w:val="clear"/>
          </w:tcPr>
          <w:p>
            <w:r>
              <w:rPr>
                <w:b/>
                <w:sz w:val="17"/>
              </w:rPr>
              <w:t>6,179</w:t>
            </w:r>
          </w:p>
        </w:tc>
        <w:tc>
          <w:tcPr>
            <w:tcW w:type="dxa" w:w="1440"/>
            <w:shd w:fill="FFDCE0" w:val="clear"/>
          </w:tcPr>
          <w:p>
            <w:r>
              <w:rPr>
                <w:sz w:val="17"/>
              </w:rPr>
              <w:t>6,891</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5,387</w:t>
            </w:r>
          </w:p>
        </w:tc>
        <w:tc>
          <w:tcPr>
            <w:tcW w:type="dxa" w:w="1440"/>
            <w:shd w:fill="FFDCE0" w:val="clear"/>
          </w:tcPr>
          <w:p>
            <w:r>
              <w:rPr>
                <w:b/>
                <w:sz w:val="17"/>
              </w:rPr>
              <w:t>6,165</w:t>
            </w:r>
          </w:p>
        </w:tc>
        <w:tc>
          <w:tcPr>
            <w:tcW w:type="dxa" w:w="1440"/>
            <w:shd w:fill="FFDCE0" w:val="clear"/>
          </w:tcPr>
          <w:p>
            <w:r>
              <w:rPr>
                <w:sz w:val="17"/>
              </w:rPr>
              <w:t>6,943</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5,315</w:t>
            </w:r>
          </w:p>
        </w:tc>
        <w:tc>
          <w:tcPr>
            <w:tcW w:type="dxa" w:w="1440"/>
            <w:shd w:fill="FFDCE0" w:val="clear"/>
          </w:tcPr>
          <w:p>
            <w:r>
              <w:rPr>
                <w:b/>
                <w:sz w:val="17"/>
              </w:rPr>
              <w:t>6,154</w:t>
            </w:r>
          </w:p>
        </w:tc>
        <w:tc>
          <w:tcPr>
            <w:tcW w:type="dxa" w:w="1440"/>
            <w:shd w:fill="FFDCE0" w:val="clear"/>
          </w:tcPr>
          <w:p>
            <w:r>
              <w:rPr>
                <w:sz w:val="17"/>
              </w:rPr>
              <w:t>6,993</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5,249</w:t>
            </w:r>
          </w:p>
        </w:tc>
        <w:tc>
          <w:tcPr>
            <w:tcW w:type="dxa" w:w="1440"/>
            <w:shd w:fill="FFDCE0" w:val="clear"/>
          </w:tcPr>
          <w:p>
            <w:r>
              <w:rPr>
                <w:b/>
                <w:sz w:val="17"/>
              </w:rPr>
              <w:t>6,145</w:t>
            </w:r>
          </w:p>
        </w:tc>
        <w:tc>
          <w:tcPr>
            <w:tcW w:type="dxa" w:w="1440"/>
            <w:shd w:fill="FFDCE0" w:val="clear"/>
          </w:tcPr>
          <w:p>
            <w:r>
              <w:rPr>
                <w:sz w:val="17"/>
              </w:rPr>
              <w:t>7,040</w:t>
            </w:r>
          </w:p>
        </w:tc>
        <w:tc>
          <w:tcPr>
            <w:tcW w:type="dxa" w:w="1440"/>
            <w:shd w:fill="FFDCE0" w:val="clear"/>
          </w:tcPr>
          <w:p>
            <w:r>
              <w:rPr>
                <w:b/>
                <w:color w:val="C00000"/>
                <w:sz w:val="17"/>
              </w:rPr>
              <w:t>-4.7%</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5,189</w:t>
            </w:r>
          </w:p>
        </w:tc>
        <w:tc>
          <w:tcPr>
            <w:tcW w:type="dxa" w:w="1440"/>
            <w:shd w:fill="FFDCE0" w:val="clear"/>
          </w:tcPr>
          <w:p>
            <w:r>
              <w:rPr>
                <w:b/>
                <w:sz w:val="17"/>
              </w:rPr>
              <w:t>6,138</w:t>
            </w:r>
          </w:p>
        </w:tc>
        <w:tc>
          <w:tcPr>
            <w:tcW w:type="dxa" w:w="1440"/>
            <w:shd w:fill="FFDCE0" w:val="clear"/>
          </w:tcPr>
          <w:p>
            <w:r>
              <w:rPr>
                <w:sz w:val="17"/>
              </w:rPr>
              <w:t>7,086</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5,133</w:t>
            </w:r>
          </w:p>
        </w:tc>
        <w:tc>
          <w:tcPr>
            <w:tcW w:type="dxa" w:w="1440"/>
            <w:shd w:fill="FFDCE0" w:val="clear"/>
          </w:tcPr>
          <w:p>
            <w:r>
              <w:rPr>
                <w:b/>
                <w:sz w:val="17"/>
              </w:rPr>
              <w:t>6,132</w:t>
            </w:r>
          </w:p>
        </w:tc>
        <w:tc>
          <w:tcPr>
            <w:tcW w:type="dxa" w:w="1440"/>
            <w:shd w:fill="FFDCE0" w:val="clear"/>
          </w:tcPr>
          <w:p>
            <w:r>
              <w:rPr>
                <w:sz w:val="17"/>
              </w:rPr>
              <w:t>7,131</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**361,20 Mds FCFA**, la CIEC figure parmi les valeurs les plus importantes de la BRVM, ce qui témoigne de son statut de valeur de rendement prisée des investisseurs institutionnels ouest-africains. Le BPA de **234 FCFA/action** (correspondant au dividende proposé de 234 FCFA) signifie que chaque titre génère un bénéfice net de 234 FCFA, reversé quasi intégralement aux actionnaires (taux de distribution de 99,8%). Le **PER de 27,5x** est nettement supérieur à la moyenne du marché BRVM (8-12x), traduisant soit une anticipation de forte croissance, soit une surévaluation manifeste — d'autant que le P/B de **10,04x** (très au-dessus du seuil de 4x) indique que le marché paie plus de 10 fois la valeur comptable des fonds propres, une prime exigeante pour une entreprise à capitaux propres limités (35,96 Mds FCFA). L'**EV/EBITDA de 14,8x**, dans la fourchette haute (10-15x), confirme que la valeur d'entreprise intègre une prime de qualité liée au monopole régulé, mais laisse peu de marge de sécurité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CIEC a enregistré une **variation spectaculaire de +92,83%**, passant d'un plus bas de **3 200 FCFA** à un plus haut de **7 400 FCFA**, pour un cours actuel de **6 450 FCFA** — la variation J-1 étant nulle (+0,00%), signe d'une séance de stabilisation après le rallye. Le range de trading particulièrement large (3 200 – 7 400 FCFA, soit un rapport de 2,3x) illustre une tendance haussière puissante mais ponctuée de corrections violentes. Les statistiques descriptives révèlent une **moyenne (5 413 FCFA) supérieure à la médiane (5 250 FCFA)**, écart qui traduit une légère asymétrie positive — le cours a passé plus de temps dans les niveaux bas avant de s'envoler en fin de période. L'**écart-type de 1 067 FCFA (CV = 19,7%)** indique une dispersion modérée à élevée du cours autour de sa moyenne, tandis que le **kurtosis de -0,483 (mésokurtique)** et le **skewness de -0,161 (distribution symétrique)** suggèrent un comportement proche d'une loi normale, sans risque extrême de pics erratiques. La **volatilité annualisée de 49,8%** classe ce titre dans la catégorie **très volatile** (&gt;30%), ce qui est cohérent avec un rallye de +93% en seulement 100 jours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(6 696 FCFA) et la MM50 (6 155,5 FCFA) sont toutes deux **supérieures au cours actuel (6 450 FCFA)**, ce qui place le titre sous ses moyennes court et moyen terme — configuration théoriquement baissière à court terme. Toutefois, la MM20 reste au-dessus de la MM50 (golden cross toujours actif), ce qui justifie la décision algorithmique **"Achat"** : la tendance de fond demeure haussière malgré la correction actuelle.</w:t>
      </w:r>
    </w:p>
    <w:p>
      <w:pPr>
        <w:spacing w:after="120" w:line="276" w:lineRule="auto"/>
      </w:pPr>
      <w:r>
        <w:t>**Bandes de Bollinger** : Le cours (6 450 FCFA) évolue dans la partie basse du canal, entre la borne inférieure (5 975,69 FCFA) et la borne supérieure (7 416,31 FCFA), à environ 30% de la largeur du canal. La décision **"Neutre"** s'explique par cette position médiane-basse : le titre n'est ni en surachat (proche borne haute) ni en survente (proche borne basse), la volatilité restant contenue dans un canal large de près de 1 440 FCFA.</w:t>
      </w:r>
    </w:p>
    <w:p>
      <w:pPr>
        <w:spacing w:after="120" w:line="276" w:lineRule="auto"/>
      </w:pPr>
      <w:r>
        <w:t>**MACD** : La valeur du MACD (9,534) est **très inférieure à son signal (85,035)**, générant un **croisement baissier marqué** et une divergence négative prononcée. Cette configuration traduit un **essoufflement du momentum haussier** et justifie pleinement la décision **"Vente"** : la dynamique de court terme s'est retournée, le rallye ayant épuisé sa force.</w:t>
      </w:r>
    </w:p>
    <w:p>
      <w:pPr>
        <w:spacing w:after="120" w:line="276" w:lineRule="auto"/>
      </w:pPr>
      <w:r>
        <w:t>**RSI** : À **31,844**, le RSI se situe juste au-dessus du seuil de survente (30), en zone **neutre basse**. La décision **"Neutre"** est cohérente : le titre n'est pas encore techniquement survendu, mais la pression vendeuse récente est tangible — un franchissement sous 30 déclencherait un signal d'achat contrarien.</w:t>
      </w:r>
    </w:p>
    <w:p>
      <w:pPr>
        <w:spacing w:after="120" w:line="276" w:lineRule="auto"/>
      </w:pPr>
      <w:r>
        <w:t>**Stochastique** : Le %K (31,579) est légèrement supérieur au %D (29,053), avec un **croisement haussier naissant** en zone basse (proche survente). La décision **"Neutre"** reflète cette ambiguïté : le signal est précoce et fragile, mais suggère qu'un rebond technique pourrait se dessiner si le %K confirme sa remontée au-dessus du %D.</w:t>
      </w:r>
    </w:p>
    <w:p>
      <w:pPr>
        <w:spacing w:after="120" w:line="276" w:lineRule="auto"/>
      </w:pPr>
      <w:r>
        <w:t>**Conclusion technique** : Les indicateurs sont **divergents** — les moyennes mobiles restent haussières (golden cross), mais le MACD est franchement baissier, tandis que RSI et Stochastique sont neutres avec un léger biais de rebond. Le titre se trouve dans une **phase de correction au sein d'une tendance haussière de fond**, avec un momentum court terme affaibli. La prudence s'impose : tant que le cours reste sous la MM20 (6 696 FCFA), la pression baissière domine, mais un retour au-dessus de 6 700 FCFA validerait la reprise haussière.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affiche un **chiffre d'affaires de 302,320 Mds FCFA**, en croissance de **+14,82%** (contre 263,294 Mds FCFA en 2024), portée par la hausse des ventes d'énergie (+8,3% en volume, +21,7% à l'export) et un nombre de clients atteignant **5 282 283** (+15,1%). Le **résultat net s'établit à 13,127 Mds FCFA**, en progression de **+24,4%** (contre 10,526 Mds FCFA en 2024), avec une **marge nette de 4,34%** et une **marge opérationnelle de 7,40%**. Le **ROE de 36,50%** est excellent (&gt;15%), porté par des capitaux propres limités (35,962 Mds FCFA) et un effet de levier important, tandis que le **ROA de 0,65%** reste faible en raison d'un total actif de 2 018,446 Mds FCFA. En tant qu'entreprise non bancaire, les **délais d'exploitation** sont préoccupants : délai clients de **164 jours** (risque de trésorerie), délai fournisseurs de **970 jours** (excellent pour la trésorerie) et durée de stockage de **175 jours** (immobilisation de capital). Le **BFR est négatif (-90,244 Mds FCFA)**, ce qui est favorable, et la **trésorerie nette est positive (32,190 Mds FCFA)**. Cependant, la structure financière est fragile : **autonomie financière de 1,78%** (très en dessous du seuil sain de 30%), **ratio d'endettement de 612,94%** et **dépendance financière de 98,22%** — la solvabilité générale (101,81%) reste juste au-dessus de 1, et la liquidité générale (96,95%) est légèrement insuffisante.</w:t>
      </w:r>
    </w:p>
    <w:p>
      <w:pPr>
        <w:spacing w:after="120" w:line="276" w:lineRule="auto"/>
      </w:pPr>
      <w:r>
        <w:t>**Estimations basées sur les rapports semestriels** : Le rapport du **1er semestre 2025 (daté du 30/06/2025)** indique un CA de 134,923 Mds FCFA (+18,85%) et un résultat net de 5,096 Mds FCFA (+13,37%), avec une marge nette de 3,8% — cohérent avec la trajectoire annuelle. Sur cette base, on peut estimer que l'exercice 2026 devrait poursuivre sa croissance à deux chiffres (+12-15%), soutenue par le programme PEPT et la demande énergétique régionale, avec un résultat net projeté autour de **14,5-15 Mds FCFA**.</w:t>
      </w:r>
    </w:p>
    <w:p>
      <w:pPr>
        <w:spacing w:after="120" w:line="276" w:lineRule="auto"/>
      </w:pPr>
      <w:r>
        <w:t>**Évolution pluriannuelle** : Les rapports antérieurs (2021-2024) montrent une **transformation profonde** : le CA est passé de 231,8 Mds FCFA (2021, nouveau modèle de concession) à 302,3 Mds FCFA (2025), tandis que le résultat net a oscillé entre 9,8 et 13,1 Mds FCFA. Le dividende par action a progressé de 186 FCFA (2021) à 234 FCFA (2025), soit +25,8%. La recommandation source du rapport 2025 est **"Acheter"**, justifiée par la croissance solide, la rentabilité améliorée et la politique de dividende attractive, mais tempérée par des risques identifiés : endettement élevé, dépendance réglementaire et risque de crédit client.</w:t>
      </w:r>
    </w:p>
    <w:p>
      <w:pPr>
        <w:spacing w:after="120" w:line="276" w:lineRule="auto"/>
      </w:pPr>
      <w:r>
        <w:t>**Recommandation fondamentale** : La CIEC est une **valeur de rendement solide** avec un ROE exceptionnel (36,5%) et une croissance robuste, mais sa **structure financière très endettée** (autonomie de 1,78%) et sa **valorisation exigeante** (PER 27,5x) limitent le potentiel d'appréciation. Le profil est celui d'une **entreprise à conserver pour le dividende**, avec une surveillance accrue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**exigeante** : PER de 27,5x (vs 8-12x pour le marché), P/B de 10,04x et EV/EBITDA de 14,8x intègrent une prime de qualité qui laisse peu de marge de sécurité. Le **comportement du cours (Partie 1)** est paradoxal : un rallye exceptionnel de +92,83% sur 100 jours, mais une volatilité annualisée très élevée (49,8%) et une distribution symétrique (skewness -0,161) sans risque extrême — la correction actuelle est saine après un tel emballement. Les **signaux techniques (Partie 2)** sont **divergents** : les moyennes mobiles restent haussières (golden cross), mais le MACD est franchement baissier, le RSI est neutre-bas (31,8) et le Stochastique amorce un rebond fragile — le titre est en phase de consolidation. Les **fondamentaux (Partie 3)** sont **solides mais contrastés** : croissance du CA (+14,8%) et du résultat net (+24,4%) en 2025, ROE excellent (36,5%), dividende attractif (234 FCFA), mais endettement massif (612,9%) et autonomie financière critique (1,78%). Les **prédictions IA (J+1 à J+10)** anticipent une **poursuite de la correction baissière** : 6 340 FCFA (J+1) → 6 179 FCFA (J+5), soit -4,2% supplémentaires, ce qui **contredit** le signal d'achat des moyennes mobiles mais **confirme** le MACD baissier.</w:t>
      </w:r>
    </w:p>
    <w:p>
      <w:pPr>
        <w:spacing w:after="120" w:line="276" w:lineRule="auto"/>
      </w:pPr>
      <w:r>
        <w:t>**Recommandation finale : CONSERVER** — Le titre offre un rendement attractif (dividende de 234 FCFA, soit ~3,6% au cours actuel) et des fondamentaux en amélioration, mais la valorisation exigeante, la structure financière fragile et la correction technique en cours incitent à la prudence. Les prédictions IA confirment une pression baissière à court terme, offrant potentiellement un meilleur point d'entrée sous 6 200 FCFA. **Niveau de confiance : Moyen** (divergence entre technique et fondamental). **Niveau de risque : Élevé** (volatilité 49,8%, endettement 612,9%, dépendance réglementaire). **Horizon optimal : Moyen terme (3-12 mois)** pour capturer le dividende et la croissance, en surveillant le retour du cours au-dessus de la MM20 (6 696 FCFA) comme signal de reprise.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926.78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4,147 titres</w:t>
            </w:r>
          </w:p>
        </w:tc>
        <w:tc>
          <w:tcPr>
            <w:tcW w:type="dxa" w:w="2268"/>
            <w:shd w:fill="FFF2CC" w:val="clear"/>
          </w:tcPr>
          <w:p>
            <w:r>
              <w:rPr>
                <w:b/>
                <w:color w:val="503200"/>
                <w:sz w:val="16"/>
              </w:rPr>
              <w:t xml:space="preserve">Cours actuel : </w:t>
            </w:r>
            <w:r>
              <w:rPr>
                <w:color w:val="000000"/>
                <w:sz w:val="17"/>
              </w:rPr>
              <w:t>16,835 FCFA</w:t>
            </w:r>
          </w:p>
          <w:p>
            <w:r>
              <w:rPr>
                <w:b/>
                <w:color w:val="503200"/>
                <w:sz w:val="16"/>
              </w:rPr>
              <w:t xml:space="preserve">Var. 100 jours : </w:t>
            </w:r>
            <w:r>
              <w:rPr>
                <w:b/>
                <w:color w:val="007800"/>
                <w:sz w:val="17"/>
              </w:rPr>
              <w:t>+3.28%</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2.73% (Faible) — μ=16,564 FCFA, σ=452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β=0.2898 (Défensif) — Cov=0.000020, Var(idx)=0.000069, ρ=0.134,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16,432</w:t>
            </w:r>
          </w:p>
        </w:tc>
        <w:tc>
          <w:tcPr>
            <w:tcW w:type="dxa" w:w="1440"/>
            <w:shd w:fill="FAFAFA" w:val="clear"/>
          </w:tcPr>
          <w:p>
            <w:r>
              <w:rPr>
                <w:b/>
                <w:sz w:val="17"/>
              </w:rPr>
              <w:t>16,888</w:t>
            </w:r>
          </w:p>
        </w:tc>
        <w:tc>
          <w:tcPr>
            <w:tcW w:type="dxa" w:w="1440"/>
            <w:shd w:fill="FAFAFA" w:val="clear"/>
          </w:tcPr>
          <w:p>
            <w:r>
              <w:rPr>
                <w:sz w:val="17"/>
              </w:rPr>
              <w:t>17,343</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16,254</w:t>
            </w:r>
          </w:p>
        </w:tc>
        <w:tc>
          <w:tcPr>
            <w:tcW w:type="dxa" w:w="1440"/>
            <w:shd w:fill="FAFAFA" w:val="clear"/>
          </w:tcPr>
          <w:p>
            <w:r>
              <w:rPr>
                <w:b/>
                <w:sz w:val="17"/>
              </w:rPr>
              <w:t>16,899</w:t>
            </w:r>
          </w:p>
        </w:tc>
        <w:tc>
          <w:tcPr>
            <w:tcW w:type="dxa" w:w="1440"/>
            <w:shd w:fill="FAFAFA" w:val="clear"/>
          </w:tcPr>
          <w:p>
            <w:r>
              <w:rPr>
                <w:sz w:val="17"/>
              </w:rPr>
              <w:t>17,544</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16,123</w:t>
            </w:r>
          </w:p>
        </w:tc>
        <w:tc>
          <w:tcPr>
            <w:tcW w:type="dxa" w:w="1440"/>
            <w:shd w:fill="FAFAFA" w:val="clear"/>
          </w:tcPr>
          <w:p>
            <w:r>
              <w:rPr>
                <w:b/>
                <w:sz w:val="17"/>
              </w:rPr>
              <w:t>16,914</w:t>
            </w:r>
          </w:p>
        </w:tc>
        <w:tc>
          <w:tcPr>
            <w:tcW w:type="dxa" w:w="1440"/>
            <w:shd w:fill="FAFAFA" w:val="clear"/>
          </w:tcPr>
          <w:p>
            <w:r>
              <w:rPr>
                <w:sz w:val="17"/>
              </w:rPr>
              <w:t>17,704</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2026-10-06</w:t>
            </w:r>
          </w:p>
        </w:tc>
        <w:tc>
          <w:tcPr>
            <w:tcW w:type="dxa" w:w="1440"/>
            <w:shd w:fill="FAFAFA" w:val="clear"/>
          </w:tcPr>
          <w:p>
            <w:r>
              <w:rPr>
                <w:sz w:val="17"/>
              </w:rPr>
              <w:t>16,014</w:t>
            </w:r>
          </w:p>
        </w:tc>
        <w:tc>
          <w:tcPr>
            <w:tcW w:type="dxa" w:w="1440"/>
            <w:shd w:fill="FAFAFA" w:val="clear"/>
          </w:tcPr>
          <w:p>
            <w:r>
              <w:rPr>
                <w:b/>
                <w:sz w:val="17"/>
              </w:rPr>
              <w:t>16,927</w:t>
            </w:r>
          </w:p>
        </w:tc>
        <w:tc>
          <w:tcPr>
            <w:tcW w:type="dxa" w:w="1440"/>
            <w:shd w:fill="FAFAFA" w:val="clear"/>
          </w:tcPr>
          <w:p>
            <w:r>
              <w:rPr>
                <w:sz w:val="17"/>
              </w:rPr>
              <w:t>17,841</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2026-10-07</w:t>
            </w:r>
          </w:p>
        </w:tc>
        <w:tc>
          <w:tcPr>
            <w:tcW w:type="dxa" w:w="1440"/>
            <w:shd w:fill="FAFAFA" w:val="clear"/>
          </w:tcPr>
          <w:p>
            <w:r>
              <w:rPr>
                <w:sz w:val="17"/>
              </w:rPr>
              <w:t>15,918</w:t>
            </w:r>
          </w:p>
        </w:tc>
        <w:tc>
          <w:tcPr>
            <w:tcW w:type="dxa" w:w="1440"/>
            <w:shd w:fill="FAFAFA" w:val="clear"/>
          </w:tcPr>
          <w:p>
            <w:r>
              <w:rPr>
                <w:b/>
                <w:sz w:val="17"/>
              </w:rPr>
              <w:t>16,940</w:t>
            </w:r>
          </w:p>
        </w:tc>
        <w:tc>
          <w:tcPr>
            <w:tcW w:type="dxa" w:w="1440"/>
            <w:shd w:fill="FAFAFA" w:val="clear"/>
          </w:tcPr>
          <w:p>
            <w:r>
              <w:rPr>
                <w:sz w:val="17"/>
              </w:rPr>
              <w:t>17,963</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2026-10-08</w:t>
            </w:r>
          </w:p>
        </w:tc>
        <w:tc>
          <w:tcPr>
            <w:tcW w:type="dxa" w:w="1440"/>
            <w:shd w:fill="FAFAFA" w:val="clear"/>
          </w:tcPr>
          <w:p>
            <w:r>
              <w:rPr>
                <w:sz w:val="17"/>
              </w:rPr>
              <w:t>15,832</w:t>
            </w:r>
          </w:p>
        </w:tc>
        <w:tc>
          <w:tcPr>
            <w:tcW w:type="dxa" w:w="1440"/>
            <w:shd w:fill="FAFAFA" w:val="clear"/>
          </w:tcPr>
          <w:p>
            <w:r>
              <w:rPr>
                <w:b/>
                <w:sz w:val="17"/>
              </w:rPr>
              <w:t>16,953</w:t>
            </w:r>
          </w:p>
        </w:tc>
        <w:tc>
          <w:tcPr>
            <w:tcW w:type="dxa" w:w="1440"/>
            <w:shd w:fill="FAFAFA" w:val="clear"/>
          </w:tcPr>
          <w:p>
            <w:r>
              <w:rPr>
                <w:sz w:val="17"/>
              </w:rPr>
              <w:t>18,074</w:t>
            </w:r>
          </w:p>
        </w:tc>
        <w:tc>
          <w:tcPr>
            <w:tcW w:type="dxa" w:w="1440"/>
            <w:shd w:fill="FAFAFA" w:val="clear"/>
          </w:tcPr>
          <w:p>
            <w:r>
              <w:rPr>
                <w:b/>
                <w:color w:val="008000"/>
                <w:sz w:val="17"/>
              </w:rPr>
              <w:t>+0.7%</w:t>
            </w:r>
          </w:p>
        </w:tc>
      </w:tr>
      <w:tr>
        <w:tc>
          <w:tcPr>
            <w:tcW w:type="dxa" w:w="1440"/>
            <w:shd w:fill="FAFAFA" w:val="clear"/>
          </w:tcPr>
          <w:p>
            <w:r>
              <w:rPr>
                <w:sz w:val="17"/>
              </w:rPr>
              <w:t>J+7  Moyenne</w:t>
            </w:r>
          </w:p>
        </w:tc>
        <w:tc>
          <w:tcPr>
            <w:tcW w:type="dxa" w:w="1440"/>
            <w:shd w:fill="FAFAFA" w:val="clear"/>
          </w:tcPr>
          <w:p>
            <w:r>
              <w:rPr>
                <w:sz w:val="17"/>
              </w:rPr>
              <w:t>2026-10-09</w:t>
            </w:r>
          </w:p>
        </w:tc>
        <w:tc>
          <w:tcPr>
            <w:tcW w:type="dxa" w:w="1440"/>
            <w:shd w:fill="FAFAFA" w:val="clear"/>
          </w:tcPr>
          <w:p>
            <w:r>
              <w:rPr>
                <w:sz w:val="17"/>
              </w:rPr>
              <w:t>15,754</w:t>
            </w:r>
          </w:p>
        </w:tc>
        <w:tc>
          <w:tcPr>
            <w:tcW w:type="dxa" w:w="1440"/>
            <w:shd w:fill="FAFAFA" w:val="clear"/>
          </w:tcPr>
          <w:p>
            <w:r>
              <w:rPr>
                <w:b/>
                <w:sz w:val="17"/>
              </w:rPr>
              <w:t>16,965</w:t>
            </w:r>
          </w:p>
        </w:tc>
        <w:tc>
          <w:tcPr>
            <w:tcW w:type="dxa" w:w="1440"/>
            <w:shd w:fill="FAFAFA" w:val="clear"/>
          </w:tcPr>
          <w:p>
            <w:r>
              <w:rPr>
                <w:sz w:val="17"/>
              </w:rPr>
              <w:t>18,177</w:t>
            </w:r>
          </w:p>
        </w:tc>
        <w:tc>
          <w:tcPr>
            <w:tcW w:type="dxa" w:w="1440"/>
            <w:shd w:fill="FAFAFA" w:val="clear"/>
          </w:tcPr>
          <w:p>
            <w:r>
              <w:rPr>
                <w:b/>
                <w:color w:val="008000"/>
                <w:sz w:val="17"/>
              </w:rPr>
              <w:t>+0.8%</w:t>
            </w:r>
          </w:p>
        </w:tc>
      </w:tr>
      <w:tr>
        <w:tc>
          <w:tcPr>
            <w:tcW w:type="dxa" w:w="1440"/>
            <w:shd w:fill="FAFAFA" w:val="clear"/>
          </w:tcPr>
          <w:p>
            <w:r>
              <w:rPr>
                <w:sz w:val="17"/>
              </w:rPr>
              <w:t>J+8  Moyenne</w:t>
            </w:r>
          </w:p>
        </w:tc>
        <w:tc>
          <w:tcPr>
            <w:tcW w:type="dxa" w:w="1440"/>
            <w:shd w:fill="FAFAFA" w:val="clear"/>
          </w:tcPr>
          <w:p>
            <w:r>
              <w:rPr>
                <w:sz w:val="17"/>
              </w:rPr>
              <w:t>2026-10-12</w:t>
            </w:r>
          </w:p>
        </w:tc>
        <w:tc>
          <w:tcPr>
            <w:tcW w:type="dxa" w:w="1440"/>
            <w:shd w:fill="FAFAFA" w:val="clear"/>
          </w:tcPr>
          <w:p>
            <w:r>
              <w:rPr>
                <w:sz w:val="17"/>
              </w:rPr>
              <w:t>15,682</w:t>
            </w:r>
          </w:p>
        </w:tc>
        <w:tc>
          <w:tcPr>
            <w:tcW w:type="dxa" w:w="1440"/>
            <w:shd w:fill="FAFAFA" w:val="clear"/>
          </w:tcPr>
          <w:p>
            <w:r>
              <w:rPr>
                <w:b/>
                <w:sz w:val="17"/>
              </w:rPr>
              <w:t>16,977</w:t>
            </w:r>
          </w:p>
        </w:tc>
        <w:tc>
          <w:tcPr>
            <w:tcW w:type="dxa" w:w="1440"/>
            <w:shd w:fill="FAFAFA" w:val="clear"/>
          </w:tcPr>
          <w:p>
            <w:r>
              <w:rPr>
                <w:sz w:val="17"/>
              </w:rPr>
              <w:t>18,273</w:t>
            </w:r>
          </w:p>
        </w:tc>
        <w:tc>
          <w:tcPr>
            <w:tcW w:type="dxa" w:w="1440"/>
            <w:shd w:fill="FAFAFA" w:val="clear"/>
          </w:tcPr>
          <w:p>
            <w:r>
              <w:rPr>
                <w:b/>
                <w:color w:val="008000"/>
                <w:sz w:val="17"/>
              </w:rPr>
              <w:t>+0.8%</w:t>
            </w:r>
          </w:p>
        </w:tc>
      </w:tr>
      <w:tr>
        <w:tc>
          <w:tcPr>
            <w:tcW w:type="dxa" w:w="1440"/>
            <w:shd w:fill="FAFAFA" w:val="clear"/>
          </w:tcPr>
          <w:p>
            <w:r>
              <w:rPr>
                <w:sz w:val="17"/>
              </w:rPr>
              <w:t>J+9  Moyenne</w:t>
            </w:r>
          </w:p>
        </w:tc>
        <w:tc>
          <w:tcPr>
            <w:tcW w:type="dxa" w:w="1440"/>
            <w:shd w:fill="FAFAFA" w:val="clear"/>
          </w:tcPr>
          <w:p>
            <w:r>
              <w:rPr>
                <w:sz w:val="17"/>
              </w:rPr>
              <w:t>2026-10-13</w:t>
            </w:r>
          </w:p>
        </w:tc>
        <w:tc>
          <w:tcPr>
            <w:tcW w:type="dxa" w:w="1440"/>
            <w:shd w:fill="FAFAFA" w:val="clear"/>
          </w:tcPr>
          <w:p>
            <w:r>
              <w:rPr>
                <w:sz w:val="17"/>
              </w:rPr>
              <w:t>15,614</w:t>
            </w:r>
          </w:p>
        </w:tc>
        <w:tc>
          <w:tcPr>
            <w:tcW w:type="dxa" w:w="1440"/>
            <w:shd w:fill="FAFAFA" w:val="clear"/>
          </w:tcPr>
          <w:p>
            <w:r>
              <w:rPr>
                <w:b/>
                <w:sz w:val="17"/>
              </w:rPr>
              <w:t>16,989</w:t>
            </w:r>
          </w:p>
        </w:tc>
        <w:tc>
          <w:tcPr>
            <w:tcW w:type="dxa" w:w="1440"/>
            <w:shd w:fill="FAFAFA" w:val="clear"/>
          </w:tcPr>
          <w:p>
            <w:r>
              <w:rPr>
                <w:sz w:val="17"/>
              </w:rPr>
              <w:t>18,365</w:t>
            </w:r>
          </w:p>
        </w:tc>
        <w:tc>
          <w:tcPr>
            <w:tcW w:type="dxa" w:w="1440"/>
            <w:shd w:fill="FAFAFA" w:val="clear"/>
          </w:tcPr>
          <w:p>
            <w:r>
              <w:rPr>
                <w:b/>
                <w:color w:val="008000"/>
                <w:sz w:val="17"/>
              </w:rPr>
              <w:t>+0.9%</w:t>
            </w:r>
          </w:p>
        </w:tc>
      </w:tr>
      <w:tr>
        <w:tc>
          <w:tcPr>
            <w:tcW w:type="dxa" w:w="1440"/>
            <w:shd w:fill="FAFAFA" w:val="clear"/>
          </w:tcPr>
          <w:p>
            <w:r>
              <w:rPr>
                <w:sz w:val="17"/>
              </w:rPr>
              <w:t>J+10  Moyenne</w:t>
            </w:r>
          </w:p>
        </w:tc>
        <w:tc>
          <w:tcPr>
            <w:tcW w:type="dxa" w:w="1440"/>
            <w:shd w:fill="FAFAFA" w:val="clear"/>
          </w:tcPr>
          <w:p>
            <w:r>
              <w:rPr>
                <w:sz w:val="17"/>
              </w:rPr>
              <w:t>2026-10-14</w:t>
            </w:r>
          </w:p>
        </w:tc>
        <w:tc>
          <w:tcPr>
            <w:tcW w:type="dxa" w:w="1440"/>
            <w:shd w:fill="FAFAFA" w:val="clear"/>
          </w:tcPr>
          <w:p>
            <w:r>
              <w:rPr>
                <w:sz w:val="17"/>
              </w:rPr>
              <w:t>15,550</w:t>
            </w:r>
          </w:p>
        </w:tc>
        <w:tc>
          <w:tcPr>
            <w:tcW w:type="dxa" w:w="1440"/>
            <w:shd w:fill="FAFAFA" w:val="clear"/>
          </w:tcPr>
          <w:p>
            <w:r>
              <w:rPr>
                <w:b/>
                <w:sz w:val="17"/>
              </w:rPr>
              <w:t>17,001</w:t>
            </w:r>
          </w:p>
        </w:tc>
        <w:tc>
          <w:tcPr>
            <w:tcW w:type="dxa" w:w="1440"/>
            <w:shd w:fill="FAFAFA" w:val="clear"/>
          </w:tcPr>
          <w:p>
            <w:r>
              <w:rPr>
                <w:sz w:val="17"/>
              </w:rPr>
              <w:t>18,452</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 RAPPORT D'ANALYSE FINANCIÈRE — ECOBANK CÔTE D'IVOIRE (ECOC)</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926,78 milliards FCFA, ECOC figure parmi les toutes premières capitalisations de la BRVM, ce qui en fait un pilier de l'indice composite et un titre incontournable pour les investisseurs institutionnels de la zone UEMOA. Le BPA de 1 153 FCFA/action signifie que chaque titre génère un bénéfice net de plus de mille francs, ce qui, rapporté au cours actuel de 16 835 FCFA, donne un PER de 14,6x — soit une valorisation modérée mais supérieure à la moyenne du marché BRVM (généralement située entre 8 et 12x), traduisant une prime de qualité consentie par le marché. Le P/B de 4,24x indique que le marché valorise la banque à plus de quatre fois ses fonds propres comptables, une prime exigeante qui reflète la forte rentabilité des capitaux propres (ROE ~29%) mais qui laisse peu de marge d'erreur en cas de dégradation. Enfin, l'EV/EBITDA de 14,2x, situé dans la fourchette haute (10-15x), confirme que la valeur d'entreprise intègre déjà une bonne partie de la capacité bénéficiaire opérationnelle, ce qui plaide pour une valorisation « pleine » plutôt qu'une opportunité décotée.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progression totale de +3,28%, avec une dernière séance en hausse de +0,24%, portant le cours à 16 835 FCFA. Le range de trading s'est établi entre un plus bas de 15 520 FCFA et un plus haut de 17 725 FCFA, soit une amplitude d'environ 14%, ce qui témoigne d'une tendance globalement haussière mais ponctuée de corrections. La moyenne (16 564 FCFA) est très proche de la médiane (16 500 FCFA) et du mode (16 300 FCFA), signe d'une distribution équilibrée sans biais directionnel marqué, confirmée par un skewness de 0,269 (symétrie) et un kurtosis de -0,233 (mésokurtique, proche d'une loi normale) — le titre ne présente donc pas de risque de pics extrêmes inhabituels. L'écart-type de 454 FCFA avec un coefficient de variation de seulement 2,7% indique une dispersion très faible du cours autour de sa moyenne, ce qui traduit un comportement de « valeur refuge » caractéristique des grandes capitalisations bancaires. La volatilité annualisée de 28,2% place le titre dans la catégorie modérée (15-30%), cohérente avec un profil défensif mais sensible aux annonces de résultats et à l'environnement macroéconomique régional.</w:t>
      </w:r>
    </w:p>
    <w:p>
      <w:pPr>
        <w:spacing w:after="120" w:line="276" w:lineRule="auto"/>
      </w:pPr>
      <w:r>
        <w:t>---</w:t>
      </w:r>
    </w:p>
    <w:p>
      <w:pPr>
        <w:spacing w:after="120" w:line="276" w:lineRule="auto"/>
      </w:pPr>
      <w:r>
        <w:t>## PARTIE 2 : ANALYSE TECHNIQUE DÉTAILLÉE</w:t>
      </w:r>
    </w:p>
    <w:p>
      <w:pPr>
        <w:spacing w:after="120" w:line="276" w:lineRule="auto"/>
      </w:pPr>
      <w:r>
        <w:t>**Moyennes Mobiles** — La MM20 (17 106,75 FCFA) est supérieure à la MM50 (16 651,30 FCFA), configuration haussière classique (« golden cross » implicite), mais le cours actuel (16 835 FCFA) se situe sous la MM20 tout en restant au-dessus de la MM50. Cette position intermédiaire signale une consolidation à court terme dans une tendance de fond positive, ce qui justifie la décision « Achat » sur cet indicateur.</w:t>
      </w:r>
    </w:p>
    <w:p>
      <w:pPr>
        <w:spacing w:after="120" w:line="276" w:lineRule="auto"/>
      </w:pPr>
      <w:r>
        <w:t>**Bandes de Bollinger** — Le cours (16 835 FCFA) évolue dans la partie basse de la bande (borne inférieure 16 457,41 FCFA ; borne supérieure 17 756,09 FCFA), à environ 30% de la largeur du canal. Cette position médiane-basse, sans contact avec les bornes, traduit une absence de signal extrême (ni surachat ni survente) et confirme la décision « Neutre » avec une volatilité contenue.</w:t>
      </w:r>
    </w:p>
    <w:p>
      <w:pPr>
        <w:spacing w:after="120" w:line="276" w:lineRule="auto"/>
      </w:pPr>
      <w:r>
        <w:t>**MACD** — La valeur du MACD (10,473) est nettement inférieure à son signal (70,185), configuration baissière qui indique un essoufflement du momentum haussier et un possible croisement à la baisse. Cette divergence négative, bien que le MACD reste positif, justifie la décision « Vente » à court terme et invite à la prudence sur les points d'entrée.</w:t>
      </w:r>
    </w:p>
    <w:p>
      <w:pPr>
        <w:spacing w:after="120" w:line="276" w:lineRule="auto"/>
      </w:pPr>
      <w:r>
        <w:t>**RSI** — À 50,725, le RSI se situe exactement en zone neutre (30-70), à mi-chemin entre surachat et survente. Cette position équilibrée reflète l'absence de pression acheteuse ou vendeuse dominante et confirme la décision « Neutre », cohérente avec la consolidation observée.</w:t>
      </w:r>
    </w:p>
    <w:p>
      <w:pPr>
        <w:spacing w:after="120" w:line="276" w:lineRule="auto"/>
      </w:pPr>
      <w:r>
        <w:t>**Stochastique** — Le %K (34,307) et le %D (33,101) évoluent tous deux en zone basse (sous 50), avec un %K légèrement supérieur au %D, suggérant un début de redressement mais sans croisement franc. Cette configuration mitigée, proche de la zone de survente (20), justifie la décision « Neutre » avec un potentiel de rebond technique à surveiller.</w:t>
      </w:r>
    </w:p>
    <w:p>
      <w:pPr>
        <w:spacing w:after="120" w:line="276" w:lineRule="auto"/>
      </w:pPr>
      <w:r>
        <w:t>**Conclusion technique** — Les indicateurs présentent une configuration divergente : les moyennes mobiles restent haussières (MM20 &gt; MM50) tandis que le MACD signale une perte de momentum et que le RSI, le stochastique et les Bollinger sont neutres. Le titre se trouve dans une phase de consolidation au sein d'une tendance de fond positive, avec un cours coincé entre le support de la MM50 (16 651 FCFA) et la résistance de la MM20 (17 107 FCFA). La prudence est de mise à court terme, mais la structure technique globale n'est pas dégradée.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Ecobank Côte d'Ivoire affiche un Produit Net Bancaire (équivalent du chiffre d'affaires pour une banque) de 132,725 milliards FCFA et un résultat net de 63,482 milliards FCFA, soit une marge nette remarquable de 47,83%. Le ROE s'établit à 29,04% (très au-dessus du seuil d'excellence de 15%) et le ROA à 3,09%, confirmant une rentabilité parmi les meilleures du secteur bancaire UEMOA. Le coefficient d'exploitation de 42,89% (largement inférieur au seuil de 60% et même sous les 50% d'excellence) témoigne d'une efficacité opérationnelle remarquable. Le coût du risque rapporté aux charges financières est contenu à 1,36%, signe d'un portefeuille de crédits sain. La structure financière montre des dépôts clientèle de 1 626,223 milliards FCFA pour des créances clientèle de 1 050,803 milliards FCFA, soit un ratio de transformation (crédits/dépôts) de 64,6% — un niveau maîtrisé laissant une marge de déploiement. Le total bilan atteint 2 054,491 milliards FCFA et les capitaux propres 218,573 milliards FCFA.</w:t>
      </w:r>
    </w:p>
    <w:p>
      <w:pPr>
        <w:spacing w:after="120" w:line="276" w:lineRule="auto"/>
      </w:pPr>
      <w:r>
        <w:t>**Estimations basées sur les rapports trimestriels** — Le rapport S1 2026 (publié le 26 août 2026) révèle un PNB de 64,078 milliards FCFA (+2,0%) et un résultat net de 26,408 milliards FCFA (-8,6%), pénalisé par un coût du risque multiplié par 7,4 à 5,197 milliards FCFA (approche prudente de provisionnement). Le rapport T1 2026 (avril 2026) confirmait déjà cette tendance avec un PNB de 30,8 milliards FCFA (+3,7%) mais un résultat net en repli de 1,6% à 13,0 milliards FCFA. Le rapport T3 2025 (septembre 2025) affichait au contraire une dynamique très positive (PNB +11,3% à 96,4 milliards, résultat net +15,4% à 44,4 milliards, ROE 29,7%). **On estime donc que l'exercice 2026 devrait clôturer avec un PNB autour de 135-138 milliards FCFA (+2 à +4%) et un résultat net en léger recul (55-60 milliards FCFA), sous l'effet du provisionnement accru.** Le dividende proposé de 888 FCFA brut par action (781 FCFA net, AG du 28 avril 2026, paiement prévu le 22 mai 2026) offre un rendement d'environ 5,3% au cours actuel, en hausse de 10,4% par rapport aux 804 FCFA de 2024. La solidité fondamentale reste intacte (ROE &gt;25%, coefficient d'exploitation &lt;46%), mais la dégradation du coût du risque et la contraction des produits hors intérêts constituent des points de vigilance. **Recommandation fondamentale : CONSERVER**, avec un biais positif à moyen terme si le coût du risque se normalise au S2 2026.</w:t>
      </w:r>
    </w:p>
    <w:p>
      <w:pPr>
        <w:spacing w:after="120" w:line="276" w:lineRule="auto"/>
      </w:pPr>
      <w:r>
        <w:t>---</w:t>
      </w:r>
    </w:p>
    <w:p>
      <w:pPr>
        <w:spacing w:after="120" w:line="276" w:lineRule="auto"/>
      </w:pPr>
      <w:r>
        <w:t>## PARTIE 4 : CONCLUSION D'INVESTISSEMENT</w:t>
      </w:r>
    </w:p>
    <w:p>
      <w:pPr>
        <w:spacing w:after="120" w:line="276" w:lineRule="auto"/>
      </w:pPr>
      <w:r>
        <w:t>La valorisation (Partie 0) apparaît pleine mais justifiée : le PER de 14,6x et le P/B de 4,24x intègrent la prime de qualité d'une banque affichant un ROE de 29%, sans décote significative mais sans exubérance manifeste. Le comportement du cours (Partie 1) est rassurant : tendance haussière de +3,28% sur 100 jours, volatilité modérée (28,2%), distribution symétrique (skewness 0,269) et absence de risque de pics extrêmes (kurtosis -0,233), ce qui convient à un profil d'investisseur prudent. Les signaux techniques (Partie 2) sont mitigés : les moyennes mobiles restent haussières mais le MACD baissier et les indicateurs neutres (RSI 50,7, stochastique 34) plaident pour une consolidation avant tout rebond. Les fondamentaux (Partie 3) demeurent solides malgré le repli du résultat net au S1 2026 (-8,6%), avec un ROE toujours supérieur à 25%, un coefficient d'exploitation maîtrisé (45,2%) et un dividende en croissance (888 FCFA, rendement ~5,3%). Les prédictions IA (J+1 à J+10) anticipent une trajectoire légèrement haussière (16 888 → 16 940 FCFA, soit +0,6% sur 10 jours), confirmant la stabilité du titre sans signal fort. **Recommandation finale : CONSERVER**, avec un niveau de confiance **Moyen** et un risque global **Faible à Moyen**. La convergence entre valorisation pleine, technique neutre, fondamentaux solides mais en légère dégradation et prédictions stables ne justifie ni un achat agressif ni une vente. L'horizon optimal est le **moyen terme (3-12 mois)**, en attendant la confirmation de la normalisation du coût du risque au second semestre 2026 et la publication des résultats annuels 2026. Un passage à **ACHAT** serait justifié si le titre revenait sous 16 500 FCFA (support MM50) ou si le coût du risque se stabilisait ; un passage à **VENTE** serait envisagé en cas de dégradation supplémentaire du résultat net ou de franchissement baissier de la MM50.</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1,676,137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+123.33%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32.04% (Élevée) — μ=54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β=2.0176 (Très agressif) — Cov=0.000140, Var(idx)=0.000069, ρ=0.426,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1,676,137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σ_j=3.91%/j (Modérée) — Vol. annualisée≈62.0%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64</w:t>
            </w:r>
          </w:p>
        </w:tc>
        <w:tc>
          <w:tcPr>
            <w:tcW w:type="dxa" w:w="1440"/>
            <w:shd w:fill="FAFAFA" w:val="clear"/>
          </w:tcPr>
          <w:p>
            <w:r>
              <w:rPr>
                <w:b/>
                <w:sz w:val="17"/>
              </w:rPr>
              <w:t>67</w:t>
            </w:r>
          </w:p>
        </w:tc>
        <w:tc>
          <w:tcPr>
            <w:tcW w:type="dxa" w:w="1440"/>
            <w:shd w:fill="FAFAFA" w:val="clear"/>
          </w:tcPr>
          <w:p>
            <w:r>
              <w:rPr>
                <w:sz w:val="17"/>
              </w:rPr>
              <w:t>70</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63</w:t>
            </w:r>
          </w:p>
        </w:tc>
        <w:tc>
          <w:tcPr>
            <w:tcW w:type="dxa" w:w="1440"/>
            <w:shd w:fill="FAFAFA" w:val="clear"/>
          </w:tcPr>
          <w:p>
            <w:r>
              <w:rPr>
                <w:b/>
                <w:sz w:val="17"/>
              </w:rPr>
              <w:t>67</w:t>
            </w:r>
          </w:p>
        </w:tc>
        <w:tc>
          <w:tcPr>
            <w:tcW w:type="dxa" w:w="1440"/>
            <w:shd w:fill="FAFAFA" w:val="clear"/>
          </w:tcPr>
          <w:p>
            <w:r>
              <w:rPr>
                <w:sz w:val="17"/>
              </w:rPr>
              <w:t>71</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71</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61</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60</w:t>
            </w:r>
          </w:p>
        </w:tc>
        <w:tc>
          <w:tcPr>
            <w:tcW w:type="dxa" w:w="1440"/>
            <w:shd w:fill="FAFAFA" w:val="clear"/>
          </w:tcPr>
          <w:p>
            <w:r>
              <w:rPr>
                <w:b/>
                <w:sz w:val="17"/>
              </w:rPr>
              <w:t>66</w:t>
            </w:r>
          </w:p>
        </w:tc>
        <w:tc>
          <w:tcPr>
            <w:tcW w:type="dxa" w:w="1440"/>
            <w:shd w:fill="FAFAFA" w:val="clear"/>
          </w:tcPr>
          <w:p>
            <w:r>
              <w:rPr>
                <w:sz w:val="17"/>
              </w:rPr>
              <w:t>72</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59</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73</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58</w:t>
            </w:r>
          </w:p>
        </w:tc>
        <w:tc>
          <w:tcPr>
            <w:tcW w:type="dxa" w:w="1440"/>
            <w:shd w:fill="FAFAFA" w:val="clear"/>
          </w:tcPr>
          <w:p>
            <w:r>
              <w:rPr>
                <w:b/>
                <w:sz w:val="17"/>
              </w:rPr>
              <w:t>66</w:t>
            </w:r>
          </w:p>
        </w:tc>
        <w:tc>
          <w:tcPr>
            <w:tcW w:type="dxa" w:w="1440"/>
            <w:shd w:fill="FAFAFA" w:val="clear"/>
          </w:tcPr>
          <w:p>
            <w:r>
              <w:rPr>
                <w:sz w:val="17"/>
              </w:rPr>
              <w:t>74</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57</w:t>
            </w:r>
          </w:p>
        </w:tc>
        <w:tc>
          <w:tcPr>
            <w:tcW w:type="dxa" w:w="1440"/>
            <w:shd w:fill="FAFAFA" w:val="clear"/>
          </w:tcPr>
          <w:p>
            <w:r>
              <w:rPr>
                <w:b/>
                <w:sz w:val="17"/>
              </w:rPr>
              <w:t>66</w:t>
            </w:r>
          </w:p>
        </w:tc>
        <w:tc>
          <w:tcPr>
            <w:tcW w:type="dxa" w:w="1440"/>
            <w:shd w:fill="FAFAFA" w:val="clear"/>
          </w:tcPr>
          <w:p>
            <w:r>
              <w:rPr>
                <w:sz w:val="17"/>
              </w:rPr>
              <w:t>74</w:t>
            </w:r>
          </w:p>
        </w:tc>
        <w:tc>
          <w:tcPr>
            <w:tcW w:type="dxa" w:w="1440"/>
            <w:shd w:fill="FAFAFA"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57</w:t>
            </w:r>
          </w:p>
        </w:tc>
        <w:tc>
          <w:tcPr>
            <w:tcW w:type="dxa" w:w="1440"/>
            <w:shd w:fill="FFDCE0" w:val="clear"/>
          </w:tcPr>
          <w:p>
            <w:r>
              <w:rPr>
                <w:b/>
                <w:sz w:val="17"/>
              </w:rPr>
              <w:t>66</w:t>
            </w:r>
          </w:p>
        </w:tc>
        <w:tc>
          <w:tcPr>
            <w:tcW w:type="dxa" w:w="1440"/>
            <w:shd w:fill="FFDCE0" w:val="clear"/>
          </w:tcPr>
          <w:p>
            <w:r>
              <w:rPr>
                <w:sz w:val="17"/>
              </w:rPr>
              <w:t>74</w:t>
            </w:r>
          </w:p>
        </w:tc>
        <w:tc>
          <w:tcPr>
            <w:tcW w:type="dxa" w:w="1440"/>
            <w:shd w:fill="FFDCE0" w:val="clear"/>
          </w:tcPr>
          <w:p>
            <w:r>
              <w:rPr>
                <w:b/>
                <w:color w:val="C00000"/>
                <w:sz w:val="17"/>
              </w:rPr>
              <w:t>-2.1%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1 211,64 milliards FCFA, ETIT s'impose comme l'une des plus importantes capitalisations de la BRVM, ce qui témoigne de son statut de banque panafricaine de référence au sein de la cote régionale. Le BPA de 19 FCFA par action signifie que chaque titre génère près de 19 FCFA de bénéfice net, un niveau qui, rapporté au cours actuel de 67 FCFA, aboutit à un PER de seulement 3,5x — très en dessous de la moyenne du marché BRVM (8-12x), ce qui suggère une sous-évaluation manifeste ou une forte décote de risque. Le ratio P/B de 0,76x indique que le marché valorise ETIT à 24% en dessous de sa valeur comptable, une situation rare qui peut constituer une opportunité pour un investisseur value, mais qui traduit aussi la perception d'un risque pays/change élevé. Enfin, l'EV/EBITDA de 5,0x, inférieur au seuil de 5x généralement considéré comme bon marché, confirme que la valeur d'entreprise reste modérée au regard de la capacité opérationnelle de la banque, renforçant le diagnostic de valorisation attractive.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progression spectaculaire de +123,33%, passant d'un plus bas de 29 FCFA à un plus haut de 78 FCFA, soit un range de trading de 49 FCFA qui illustre une dynamique haussière exceptionnelle. Toutefois, la dernière séance (J-1) affiche un repli de -2,90%, signalant une prise de bénéfices après ce rallye vertical, le cours s'établissant désormais à 67 FCFA. La moyenne du cours (54 FCFA) est nettement inférieure à la médiane (65 FCFA), ce qui traduit une distribution asymétrique : le titre a passé la majorité de la période à des niveaux élevés, mais quelques séances de forte baisse ont tiré la moyenne vers le bas. L'écart-type de 17 FCFA avec un coefficient de variation de 32,2% indique une dispersion importante du cours, confirmant une volatilité significative. Le kurtosis négatif (-1,651) révèle une distribution platykurtique, c'est-à-dire aplatie, avec une faible concentration des rendements autour de la moyenne et un risque de mouvements amples mais peu fréquents. Le skewness de -0,406, qualifié de symétrique dans les données fournies, suggère une légère prédominance des rendements négatifs, tandis que la volatilité annualisée de 62,0% classe clairement ETIT dans la catégorie des titres à volatilité élevée (&gt;30%), ce qui implique un risque de marché conséquent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69,4 FCFA et la MM50 à 68,18 FCFA, toutes deux supérieures au cours actuel de 67 FCFA, ce qui place le titre en dessous de ses moyennes mobiles et signale une pression baissière de court terme. Cependant, la MM20 reste légèrement au-dessus de la MM50, configuration qui maintient une structure haussière de fond et justifie la décision technique d'**Achat** fournie, bien que le croisement à venir doive être surveillé.</w:t>
      </w:r>
    </w:p>
    <w:p>
      <w:pPr>
        <w:spacing w:after="120" w:line="276" w:lineRule="auto"/>
      </w:pPr>
      <w:r>
        <w:t>**Bandes de Bollinger** : Le cours actuel (67 FCFA) se situe entre la borne inférieure (66,13 FCFA) et la borne supérieure (72,67 FCFA), plus proche de la borne basse, ce qui indique une volatilité modérée avec un potentiel de rebond technique. La décision **Neutre** reflète l'absence de signal directionnel fort, le titre évoluant dans un canal sans excès manifeste.</w:t>
      </w:r>
    </w:p>
    <w:p>
      <w:pPr>
        <w:spacing w:after="120" w:line="276" w:lineRule="auto"/>
      </w:pPr>
      <w:r>
        <w:t>**MACD** : La valeur du MACD (0,279) est inférieure à son signal (0,69), générant une divergence baissière qui traduit un essoufflement du momentum haussier. La décision de **Vente** est cohérente avec cette configuration, le croisement à la baisse suggérant une possible correction à court terme.</w:t>
      </w:r>
    </w:p>
    <w:p>
      <w:pPr>
        <w:spacing w:after="120" w:line="276" w:lineRule="auto"/>
      </w:pPr>
      <w:r>
        <w:t>**RSI** : À 40,0, le RSI se situe dans la zone neutre (30-70), sans signal de surachat ni de survente, ce qui confirme la décision **Neutre**. Cette valeur indique que le titre n'est ni épuisé à la hausse ni survendu, laissant la porte ouverte à une consolidation avant une nouvelle impulsion.</w:t>
      </w:r>
    </w:p>
    <w:p>
      <w:pPr>
        <w:spacing w:after="120" w:line="276" w:lineRule="auto"/>
      </w:pPr>
      <w:r>
        <w:t>**Stochastique** : Le %K (42,857) est inférieur au %D (61,905), configuration baissière qui suggère une pression vendeuse persistante. La décision **Neutre** modère ce signal, le croisement n'étant pas encore confirmé en zone de survente.</w:t>
      </w:r>
    </w:p>
    <w:p>
      <w:pPr>
        <w:spacing w:after="120" w:line="276" w:lineRule="auto"/>
      </w:pPr>
      <w:r>
        <w:t>**Conclusion technique** : Les indicateurs techniques présentent un tableau mitigé, avec une majorité de signaux neutres (Bollinger, RSI, Stochastique) et un signal de vente sur le MACD, tandis que les moyennes mobiles maintiennent une décision d'achat de fond. Cette divergence suggère une phase de consolidation après le rallye exceptionnel de +123%, avec un risque de correction à court terme mais une tendance haussière de moyen terme encore intacte. L'investisseur devra surveiller le croisement MM20/MM50 et la réaction du cours autour de la borne inférieure de Bollinger (66,13 FCFA) pour confirmer la direction.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de l'exercice 2025 pour ETIT (secteur BANQUE) révèlent un Produit Net Bancaire (PNB) de 1 424,261 milliards FCFA, un résultat net de 345,523 milliards FCFA, un ROE de 21,62% (largement supérieur au seuil de 15% considéré comme excellent) et un ROA de 1,80%. Le coefficient d'exploitation de 27,35% est exceptionnellement bas (très en dessous du seuil de 60% d'efficacité), témoignant d'une maîtrise remarquable des charges, tandis que la marge nette de 24,26% confirme la rentabilité élevée de la banque. Le coût du risque, calculé comme le ratio provisions/charges financières, s'élève à 18,97%, un niveau élevé qui signale un risque de crédit significatif, cohérent avec les rapports semestriels 2026 mentionnant une hausse de 40% du coût du risque. La structure financière montre une autonomie financière faible (8,30%) et un ratio d'endettement de 154,06%, typique du modèle bancaire où les dépôts clientèle (14 120,139 milliards FCFA) financent les créances clientèle (6 570,385 milliards FCFA), avec un ratio de transformation (crédits/dépôts) de 46,5%, laissant une marge de croissance. Les rapports narratifs récents (S1 2026, publiés le 30 juillet 2026) indiquent un PNB de 1 281 330 milliers $EU (721 318 millions FCFA) en hausse de +15%, un résultat net de 296 091 milliers $EU (+6%) et un BPA de 0,80 $EU (+2%), avec un coefficient d'exploitation amélioré à 48,4% et un ratio de prêts non performants (NPL) en baisse à 7,6%. Sur la base de ces tendances, on peut estimer que l'exercice 2026 devrait afficher une croissance du PNB supérieure à 12% (taux de croissance 2025 : 12,45%), avec un résultat net en progression modérée de 5-8% si le coût du risque se stabilise au second semestre. La recommandation fondamentale est donc **solide** : la banque affiche une rentabilité exceptionnelle (ROE &gt;20%), une efficacité opérationnelle remarquable (coefficient &lt;30% en 2025, &lt;50% au S1 2026) et une valorisation attractive, mais les risques de crédit (coût du risque élevé) et de change (dépendance aux devises africaines) constituent des points de vigilance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clairement attractive avec un PER de 3,5x, un P/B de 0,76x et un EV/EBITDA de 5,0x, tous inférieurs aux moyennes du marché, ce qui suggère une sous-évaluation manifeste. Le **comportement du cours (Partie 1)** est exceptionnellement haussier (+123,33% sur 100 jours) mais accompagné d'une volatilité élevée (62% annualisée) et d'une distribution platykurtique (kurtosis -1,651) indiquant un risque de mouvements amples, avec une légère asymétrie négative (skewness -0,406) qui préoccupe. Les **signaux techniques (Partie 2)** sont divergents : les moyennes mobiles maintiennent un biais haussier (MM20 &gt; MM50), mais le MACD génère un signal de vente et les autres indicateurs (RSI, Stochastique, Bollinger) sont neutres, suggérant une consolidation imminente. Les **fondamentaux (Partie 3)** sont solides avec un ROE de 21,62%, un coefficient d'exploitation de 27,35% et une croissance du PNB de +15% au S1 2026, mais le coût du risque élevé (18,97%) et la faible autonomie financière (8,30%) tempèrent l'enthousiasme. Les **prédictions IA (J+1 à J+10)** anticipent une légère baisse vers 66-67 FCFA, confirmant la phase de consolidation technique sans remettre en cause la tendance de fond. Sur la base de cette convergence entre valorisation attractive, fondamentaux solides et consolidation technique, la recommandation finale est **ACHAT**, avec un niveau de confiance **Moyen** (en raison des risques de crédit et de change) et un niveau de risque global **Élevé** (volatilité de 62%, coût du risque significatif). L'horizon d'investissement optimal est le **moyen terme (3-12 mois)**, le temps que la consolidation technique s'achève et que les résultats annuels 2026 confirment la maîtrise du coût du risque, avec un potentiel de revalorisation de 20-30% si le PER se rapproche de la moyenne du marché (8x).</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4,104 titres</w:t>
            </w:r>
          </w:p>
        </w:tc>
        <w:tc>
          <w:tcPr>
            <w:tcW w:type="dxa" w:w="2268"/>
            <w:shd w:fill="FFF2CC" w:val="clear"/>
          </w:tcPr>
          <w:p>
            <w:r>
              <w:rPr>
                <w:b/>
                <w:color w:val="503200"/>
                <w:sz w:val="16"/>
              </w:rPr>
              <w:t xml:space="preserve">Cours actuel : </w:t>
            </w:r>
            <w:r>
              <w:rPr>
                <w:color w:val="000000"/>
                <w:sz w:val="17"/>
              </w:rPr>
              <w:t>1,975 FCFA</w:t>
            </w:r>
          </w:p>
          <w:p>
            <w:r>
              <w:rPr>
                <w:b/>
                <w:color w:val="503200"/>
                <w:sz w:val="16"/>
              </w:rPr>
              <w:t xml:space="preserve">Var. 100 jours : </w:t>
            </w:r>
            <w:r>
              <w:rPr>
                <w:b/>
                <w:color w:val="B40000"/>
                <w:sz w:val="17"/>
              </w:rPr>
              <w:t>-10.23%</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6.10% (Moyenne) — μ=2,114 FCFA, σ=129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β=0.2620 (Défensif) — Cov=0.000018, Var(idx)=0.000069, ρ=0.103,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1,898</w:t>
            </w:r>
          </w:p>
        </w:tc>
        <w:tc>
          <w:tcPr>
            <w:tcW w:type="dxa" w:w="1440"/>
            <w:shd w:fill="FAFAFA" w:val="clear"/>
          </w:tcPr>
          <w:p>
            <w:r>
              <w:rPr>
                <w:b/>
                <w:sz w:val="17"/>
              </w:rPr>
              <w:t>1,961</w:t>
            </w:r>
          </w:p>
        </w:tc>
        <w:tc>
          <w:tcPr>
            <w:tcW w:type="dxa" w:w="1440"/>
            <w:shd w:fill="FAFAFA" w:val="clear"/>
          </w:tcPr>
          <w:p>
            <w:r>
              <w:rPr>
                <w:sz w:val="17"/>
              </w:rPr>
              <w:t>2,024</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1,858</w:t>
            </w:r>
          </w:p>
        </w:tc>
        <w:tc>
          <w:tcPr>
            <w:tcW w:type="dxa" w:w="1440"/>
            <w:shd w:fill="FAFAFA" w:val="clear"/>
          </w:tcPr>
          <w:p>
            <w:r>
              <w:rPr>
                <w:b/>
                <w:sz w:val="17"/>
              </w:rPr>
              <w:t>1,946</w:t>
            </w:r>
          </w:p>
        </w:tc>
        <w:tc>
          <w:tcPr>
            <w:tcW w:type="dxa" w:w="1440"/>
            <w:shd w:fill="FAFAFA" w:val="clear"/>
          </w:tcPr>
          <w:p>
            <w:r>
              <w:rPr>
                <w:sz w:val="17"/>
              </w:rPr>
              <w:t>2,034</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2026-10-05</w:t>
            </w:r>
          </w:p>
        </w:tc>
        <w:tc>
          <w:tcPr>
            <w:tcW w:type="dxa" w:w="1440"/>
            <w:shd w:fill="FFDCE0" w:val="clear"/>
          </w:tcPr>
          <w:p>
            <w:r>
              <w:rPr>
                <w:sz w:val="17"/>
              </w:rPr>
              <w:t>1,825</w:t>
            </w:r>
          </w:p>
        </w:tc>
        <w:tc>
          <w:tcPr>
            <w:tcW w:type="dxa" w:w="1440"/>
            <w:shd w:fill="FFDCE0" w:val="clear"/>
          </w:tcPr>
          <w:p>
            <w:r>
              <w:rPr>
                <w:b/>
                <w:sz w:val="17"/>
              </w:rPr>
              <w:t>1,932</w:t>
            </w:r>
          </w:p>
        </w:tc>
        <w:tc>
          <w:tcPr>
            <w:tcW w:type="dxa" w:w="1440"/>
            <w:shd w:fill="FFDCE0" w:val="clear"/>
          </w:tcPr>
          <w:p>
            <w:r>
              <w:rPr>
                <w:sz w:val="17"/>
              </w:rPr>
              <w:t>2,039</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2026-10-06</w:t>
            </w:r>
          </w:p>
        </w:tc>
        <w:tc>
          <w:tcPr>
            <w:tcW w:type="dxa" w:w="1440"/>
            <w:shd w:fill="FFDCE0" w:val="clear"/>
          </w:tcPr>
          <w:p>
            <w:r>
              <w:rPr>
                <w:sz w:val="17"/>
              </w:rPr>
              <w:t>1,796</w:t>
            </w:r>
          </w:p>
        </w:tc>
        <w:tc>
          <w:tcPr>
            <w:tcW w:type="dxa" w:w="1440"/>
            <w:shd w:fill="FFDCE0" w:val="clear"/>
          </w:tcPr>
          <w:p>
            <w:r>
              <w:rPr>
                <w:b/>
                <w:sz w:val="17"/>
              </w:rPr>
              <w:t>1,919</w:t>
            </w:r>
          </w:p>
        </w:tc>
        <w:tc>
          <w:tcPr>
            <w:tcW w:type="dxa" w:w="1440"/>
            <w:shd w:fill="FFDCE0" w:val="clear"/>
          </w:tcPr>
          <w:p>
            <w:r>
              <w:rPr>
                <w:sz w:val="17"/>
              </w:rPr>
              <w:t>2,041</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2026-10-07</w:t>
            </w:r>
          </w:p>
        </w:tc>
        <w:tc>
          <w:tcPr>
            <w:tcW w:type="dxa" w:w="1440"/>
            <w:shd w:fill="FFDCE0" w:val="clear"/>
          </w:tcPr>
          <w:p>
            <w:r>
              <w:rPr>
                <w:sz w:val="17"/>
              </w:rPr>
              <w:t>1,770</w:t>
            </w:r>
          </w:p>
        </w:tc>
        <w:tc>
          <w:tcPr>
            <w:tcW w:type="dxa" w:w="1440"/>
            <w:shd w:fill="FFDCE0" w:val="clear"/>
          </w:tcPr>
          <w:p>
            <w:r>
              <w:rPr>
                <w:b/>
                <w:sz w:val="17"/>
              </w:rPr>
              <w:t>1,906</w:t>
            </w:r>
          </w:p>
        </w:tc>
        <w:tc>
          <w:tcPr>
            <w:tcW w:type="dxa" w:w="1440"/>
            <w:shd w:fill="FFDCE0" w:val="clear"/>
          </w:tcPr>
          <w:p>
            <w:r>
              <w:rPr>
                <w:sz w:val="17"/>
              </w:rPr>
              <w:t>2,042</w:t>
            </w:r>
          </w:p>
        </w:tc>
        <w:tc>
          <w:tcPr>
            <w:tcW w:type="dxa" w:w="1440"/>
            <w:shd w:fill="FFDCE0" w:val="clear"/>
          </w:tcPr>
          <w:p>
            <w:r>
              <w:rPr>
                <w:b/>
                <w:color w:val="C00000"/>
                <w:sz w:val="17"/>
              </w:rPr>
              <w:t>-3.5%</w:t>
            </w:r>
          </w:p>
        </w:tc>
      </w:tr>
      <w:tr>
        <w:tc>
          <w:tcPr>
            <w:tcW w:type="dxa" w:w="1440"/>
            <w:shd w:fill="FFDCE0" w:val="clear"/>
          </w:tcPr>
          <w:p>
            <w:r>
              <w:rPr>
                <w:sz w:val="17"/>
              </w:rPr>
              <w:t>J+6  Moyenne</w:t>
            </w:r>
          </w:p>
        </w:tc>
        <w:tc>
          <w:tcPr>
            <w:tcW w:type="dxa" w:w="1440"/>
            <w:shd w:fill="FFDCE0" w:val="clear"/>
          </w:tcPr>
          <w:p>
            <w:r>
              <w:rPr>
                <w:sz w:val="17"/>
              </w:rPr>
              <w:t>2026-10-08</w:t>
            </w:r>
          </w:p>
        </w:tc>
        <w:tc>
          <w:tcPr>
            <w:tcW w:type="dxa" w:w="1440"/>
            <w:shd w:fill="FFDCE0" w:val="clear"/>
          </w:tcPr>
          <w:p>
            <w:r>
              <w:rPr>
                <w:sz w:val="17"/>
              </w:rPr>
              <w:t>1,745</w:t>
            </w:r>
          </w:p>
        </w:tc>
        <w:tc>
          <w:tcPr>
            <w:tcW w:type="dxa" w:w="1440"/>
            <w:shd w:fill="FFDCE0" w:val="clear"/>
          </w:tcPr>
          <w:p>
            <w:r>
              <w:rPr>
                <w:b/>
                <w:sz w:val="17"/>
              </w:rPr>
              <w:t>1,893</w:t>
            </w:r>
          </w:p>
        </w:tc>
        <w:tc>
          <w:tcPr>
            <w:tcW w:type="dxa" w:w="1440"/>
            <w:shd w:fill="FFDCE0" w:val="clear"/>
          </w:tcPr>
          <w:p>
            <w:r>
              <w:rPr>
                <w:sz w:val="17"/>
              </w:rPr>
              <w:t>2,041</w:t>
            </w:r>
          </w:p>
        </w:tc>
        <w:tc>
          <w:tcPr>
            <w:tcW w:type="dxa" w:w="1440"/>
            <w:shd w:fill="FFDCE0" w:val="clear"/>
          </w:tcPr>
          <w:p>
            <w:r>
              <w:rPr>
                <w:b/>
                <w:color w:val="C00000"/>
                <w:sz w:val="17"/>
              </w:rPr>
              <w:t>-4.2%</w:t>
            </w:r>
          </w:p>
        </w:tc>
      </w:tr>
      <w:tr>
        <w:tc>
          <w:tcPr>
            <w:tcW w:type="dxa" w:w="1440"/>
            <w:shd w:fill="FFDCE0" w:val="clear"/>
          </w:tcPr>
          <w:p>
            <w:r>
              <w:rPr>
                <w:sz w:val="17"/>
              </w:rPr>
              <w:t>J+7  Moyenne</w:t>
            </w:r>
          </w:p>
        </w:tc>
        <w:tc>
          <w:tcPr>
            <w:tcW w:type="dxa" w:w="1440"/>
            <w:shd w:fill="FFDCE0" w:val="clear"/>
          </w:tcPr>
          <w:p>
            <w:r>
              <w:rPr>
                <w:sz w:val="17"/>
              </w:rPr>
              <w:t>2026-10-09</w:t>
            </w:r>
          </w:p>
        </w:tc>
        <w:tc>
          <w:tcPr>
            <w:tcW w:type="dxa" w:w="1440"/>
            <w:shd w:fill="FFDCE0" w:val="clear"/>
          </w:tcPr>
          <w:p>
            <w:r>
              <w:rPr>
                <w:sz w:val="17"/>
              </w:rPr>
              <w:t>1,721</w:t>
            </w:r>
          </w:p>
        </w:tc>
        <w:tc>
          <w:tcPr>
            <w:tcW w:type="dxa" w:w="1440"/>
            <w:shd w:fill="FFDCE0" w:val="clear"/>
          </w:tcPr>
          <w:p>
            <w:r>
              <w:rPr>
                <w:b/>
                <w:sz w:val="17"/>
              </w:rPr>
              <w:t>1,880</w:t>
            </w:r>
          </w:p>
        </w:tc>
        <w:tc>
          <w:tcPr>
            <w:tcW w:type="dxa" w:w="1440"/>
            <w:shd w:fill="FFDCE0" w:val="clear"/>
          </w:tcPr>
          <w:p>
            <w:r>
              <w:rPr>
                <w:sz w:val="17"/>
              </w:rPr>
              <w:t>2,039</w:t>
            </w:r>
          </w:p>
        </w:tc>
        <w:tc>
          <w:tcPr>
            <w:tcW w:type="dxa" w:w="1440"/>
            <w:shd w:fill="FFDCE0" w:val="clear"/>
          </w:tcPr>
          <w:p>
            <w:r>
              <w:rPr>
                <w:b/>
                <w:color w:val="C00000"/>
                <w:sz w:val="17"/>
              </w:rPr>
              <w:t>-4.8%</w:t>
            </w:r>
          </w:p>
        </w:tc>
      </w:tr>
      <w:tr>
        <w:tc>
          <w:tcPr>
            <w:tcW w:type="dxa" w:w="1440"/>
            <w:shd w:fill="FFDCE0" w:val="clear"/>
          </w:tcPr>
          <w:p>
            <w:r>
              <w:rPr>
                <w:sz w:val="17"/>
              </w:rPr>
              <w:t>J+8  Moyenne</w:t>
            </w:r>
          </w:p>
        </w:tc>
        <w:tc>
          <w:tcPr>
            <w:tcW w:type="dxa" w:w="1440"/>
            <w:shd w:fill="FFDCE0" w:val="clear"/>
          </w:tcPr>
          <w:p>
            <w:r>
              <w:rPr>
                <w:sz w:val="17"/>
              </w:rPr>
              <w:t>2026-10-12</w:t>
            </w:r>
          </w:p>
        </w:tc>
        <w:tc>
          <w:tcPr>
            <w:tcW w:type="dxa" w:w="1440"/>
            <w:shd w:fill="FFDCE0" w:val="clear"/>
          </w:tcPr>
          <w:p>
            <w:r>
              <w:rPr>
                <w:sz w:val="17"/>
              </w:rPr>
              <w:t>1,699</w:t>
            </w:r>
          </w:p>
        </w:tc>
        <w:tc>
          <w:tcPr>
            <w:tcW w:type="dxa" w:w="1440"/>
            <w:shd w:fill="FFDCE0" w:val="clear"/>
          </w:tcPr>
          <w:p>
            <w:r>
              <w:rPr>
                <w:b/>
                <w:sz w:val="17"/>
              </w:rPr>
              <w:t>1,867</w:t>
            </w:r>
          </w:p>
        </w:tc>
        <w:tc>
          <w:tcPr>
            <w:tcW w:type="dxa" w:w="1440"/>
            <w:shd w:fill="FFDCE0" w:val="clear"/>
          </w:tcPr>
          <w:p>
            <w:r>
              <w:rPr>
                <w:sz w:val="17"/>
              </w:rPr>
              <w:t>2,036</w:t>
            </w:r>
          </w:p>
        </w:tc>
        <w:tc>
          <w:tcPr>
            <w:tcW w:type="dxa" w:w="1440"/>
            <w:shd w:fill="FFDCE0" w:val="clear"/>
          </w:tcPr>
          <w:p>
            <w:r>
              <w:rPr>
                <w:b/>
                <w:color w:val="C00000"/>
                <w:sz w:val="17"/>
              </w:rPr>
              <w:t>-5.5%</w:t>
            </w:r>
          </w:p>
        </w:tc>
      </w:tr>
      <w:tr>
        <w:tc>
          <w:tcPr>
            <w:tcW w:type="dxa" w:w="1440"/>
            <w:shd w:fill="FFDCE0" w:val="clear"/>
          </w:tcPr>
          <w:p>
            <w:r>
              <w:rPr>
                <w:sz w:val="17"/>
              </w:rPr>
              <w:t>J+9  Moyenne</w:t>
            </w:r>
          </w:p>
        </w:tc>
        <w:tc>
          <w:tcPr>
            <w:tcW w:type="dxa" w:w="1440"/>
            <w:shd w:fill="FFDCE0" w:val="clear"/>
          </w:tcPr>
          <w:p>
            <w:r>
              <w:rPr>
                <w:sz w:val="17"/>
              </w:rPr>
              <w:t>2026-10-13</w:t>
            </w:r>
          </w:p>
        </w:tc>
        <w:tc>
          <w:tcPr>
            <w:tcW w:type="dxa" w:w="1440"/>
            <w:shd w:fill="FFDCE0" w:val="clear"/>
          </w:tcPr>
          <w:p>
            <w:r>
              <w:rPr>
                <w:sz w:val="17"/>
              </w:rPr>
              <w:t>1,677</w:t>
            </w:r>
          </w:p>
        </w:tc>
        <w:tc>
          <w:tcPr>
            <w:tcW w:type="dxa" w:w="1440"/>
            <w:shd w:fill="FFDCE0" w:val="clear"/>
          </w:tcPr>
          <w:p>
            <w:r>
              <w:rPr>
                <w:b/>
                <w:sz w:val="17"/>
              </w:rPr>
              <w:t>1,855</w:t>
            </w:r>
          </w:p>
        </w:tc>
        <w:tc>
          <w:tcPr>
            <w:tcW w:type="dxa" w:w="1440"/>
            <w:shd w:fill="FFDCE0" w:val="clear"/>
          </w:tcPr>
          <w:p>
            <w:r>
              <w:rPr>
                <w:sz w:val="17"/>
              </w:rPr>
              <w:t>2,032</w:t>
            </w:r>
          </w:p>
        </w:tc>
        <w:tc>
          <w:tcPr>
            <w:tcW w:type="dxa" w:w="1440"/>
            <w:shd w:fill="FFDCE0" w:val="clear"/>
          </w:tcPr>
          <w:p>
            <w:r>
              <w:rPr>
                <w:b/>
                <w:color w:val="C00000"/>
                <w:sz w:val="17"/>
              </w:rPr>
              <w:t>-6.1%</w:t>
            </w:r>
          </w:p>
        </w:tc>
      </w:tr>
      <w:tr>
        <w:tc>
          <w:tcPr>
            <w:tcW w:type="dxa" w:w="1440"/>
            <w:shd w:fill="FFDCE0" w:val="clear"/>
          </w:tcPr>
          <w:p>
            <w:r>
              <w:rPr>
                <w:sz w:val="17"/>
              </w:rPr>
              <w:t>J+10  Moyenne</w:t>
            </w:r>
          </w:p>
        </w:tc>
        <w:tc>
          <w:tcPr>
            <w:tcW w:type="dxa" w:w="1440"/>
            <w:shd w:fill="FFDCE0" w:val="clear"/>
          </w:tcPr>
          <w:p>
            <w:r>
              <w:rPr>
                <w:sz w:val="17"/>
              </w:rPr>
              <w:t>2026-10-14</w:t>
            </w:r>
          </w:p>
        </w:tc>
        <w:tc>
          <w:tcPr>
            <w:tcW w:type="dxa" w:w="1440"/>
            <w:shd w:fill="FFDCE0" w:val="clear"/>
          </w:tcPr>
          <w:p>
            <w:r>
              <w:rPr>
                <w:sz w:val="17"/>
              </w:rPr>
              <w:t>1,656</w:t>
            </w:r>
          </w:p>
        </w:tc>
        <w:tc>
          <w:tcPr>
            <w:tcW w:type="dxa" w:w="1440"/>
            <w:shd w:fill="FFDCE0" w:val="clear"/>
          </w:tcPr>
          <w:p>
            <w:r>
              <w:rPr>
                <w:b/>
                <w:sz w:val="17"/>
              </w:rPr>
              <w:t>1,842</w:t>
            </w:r>
          </w:p>
        </w:tc>
        <w:tc>
          <w:tcPr>
            <w:tcW w:type="dxa" w:w="1440"/>
            <w:shd w:fill="FFDCE0" w:val="clear"/>
          </w:tcPr>
          <w:p>
            <w:r>
              <w:rPr>
                <w:sz w:val="17"/>
              </w:rPr>
              <w:t>2,028</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Secteur : Emballages industriels (jute, polymères)**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27,85 Mds FCFA, FTSC se situe dans la catégorie des valeurs moyennes de la BRVM, ce qui la rend vulnérable aux mouvements de faible liquidité. Le BPA de 33 FCFA/action signifie que chaque titre génère théoriquement 33 FCFA de bénéfice net, un niveau très faible qui traduit l'effondrement du résultat net 2025 (466 MFCFA contre 18,6 Mds FCFA en 2024). Le PER de 59,8x est **très largement supérieur à la moyenne BRVM (~8-12x)** : les investisseurs paient près de 60 fois les bénéfices actuels, ce qui n'est justifiable que par une anticipation forte de redressement — hypothèse fragile au vu des pertes nettes récurrentes. Le P/B de 1,77x indique que le marché valorise le titre à 77% au-dessus de sa valeur comptable (capitaux propres de 15,7 Mds FCFA), ce qui reste raisonnable mais masque une destruction récente de fonds propres. Enfin, l'EV/EBITDA de 36,4x est **très exigeant** (seuil d'alerte &gt;15x), signifiant que la valeur d'entreprise représente 36 fois la capacité opérationnelle brute — un niveau incompatible avec la rentabilité actuelle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FTSC affiche une **variation totale de -10,23%**, avec une dernière séance en repli de -1,00%, confirmant une tendance baissière persistante. Le cours actuel de 1 975 FCFA évolue dans un range de trading de 520 FCFA (plus haut : 2 430 FCFA ; plus bas : 1 910 FCFA), soit une amplitude de 27% — le titre se situe actuellement dans le **quart inférieur de ce range**, à seulement 3,4% au-dessus de son plancher. La moyenne (2 114 FCFA) est légèrement supérieure à la médiane (2 110 FCFA), écart minime qui suggère une distribution quasi symétrique, cohérente avec le skewness de 0,420 (asymétrie légèrement positive, sans biais marqué). L'écart-type de 130 FCFA avec un coefficient de variation de 6,1% indique une dispersion modérée du cours autour de sa moyenne, tandis que le kurtosis de -0,725 (mésokurtique) signale une distribution proche de la normale, donc **sans risque majeur de pics extrêmes** (queues fines). La **volatilité annualisée de 33,3% classe le titre en catégorie « élevée » (&gt;30%)**, ce qui est cohérent avec un marché peu liquide (volume moyen de 4 104 titres/jour) où chaque transaction a un impact disproportionné sur le cours.</w:t>
      </w:r>
    </w:p>
    <w:p>
      <w:pPr>
        <w:spacing w:after="120" w:line="276" w:lineRule="auto"/>
      </w:pPr>
      <w:r>
        <w:t>---</w:t>
      </w:r>
    </w:p>
    <w:p>
      <w:pPr>
        <w:spacing w:after="120" w:line="276" w:lineRule="auto"/>
      </w:pPr>
      <w:r>
        <w:t>## PARTIE 2 : ANALYSE TECHNIQUE DÉTAILLÉE</w:t>
      </w:r>
    </w:p>
    <w:p>
      <w:pPr>
        <w:spacing w:after="120" w:line="276" w:lineRule="auto"/>
      </w:pPr>
      <w:r>
        <w:t>**Moyennes Mobiles** : La MM20 (2 063,5 FCFA) et la MM50 (2 071,1 FCFA) sont toutes deux **supérieures au cours actuel** (1 975 FCFA), et la MM20 est passée sous la MM50 — configuration baissière classique (death cross). Le cours évoluant sous ses deux moyennes, la décision technique est logiquement **Vente**, confirmant la pression vendeuse de court et moyen terme.</w:t>
      </w:r>
    </w:p>
    <w:p>
      <w:pPr>
        <w:spacing w:after="120" w:line="276" w:lineRule="auto"/>
      </w:pPr>
      <w:r>
        <w:t>**Bandes de Bollinger** : Le cours (1 975 FCFA) se situe dans la moitié inférieure de la bande (borne sup. 2 199,7 ; borne inf. 1 927,3), à seulement 47,7 FCFA de la borne basse. L'absence de franchissement de cette borne et la largeur modérée des bandes traduisent une volatilité contenue mais une **pression baissière latente**. La décision est **Neutre**, le titre n'étant ni en survente extrême ni en rebond confirmé.</w:t>
      </w:r>
    </w:p>
    <w:p>
      <w:pPr>
        <w:spacing w:after="120" w:line="276" w:lineRule="auto"/>
      </w:pPr>
      <w:r>
        <w:t>**MACD** : La valeur du MACD (-33,442) est **nettement inférieure à son signal (-21,764)**, avec un histogramme négatif en expansion. Cette divergence baissière indique un **momentum négatif persistant** et l'absence de retournement imminent. La décision **Vente** est pleinement justifiée.</w:t>
      </w:r>
    </w:p>
    <w:p>
      <w:pPr>
        <w:spacing w:after="120" w:line="276" w:lineRule="auto"/>
      </w:pPr>
      <w:r>
        <w:t>**RSI** : À 32,877, le RSI se situe juste au-dessus du seuil de survente (30), dans une **zone neutre basse** proche de la survente. Cela suggère que le titre est survendu sans l'être excessivement, laissant une marge de baisse résiduelle mais limitée. La décision **Neutre** reflète cette position ambiguë.</w:t>
      </w:r>
    </w:p>
    <w:p>
      <w:pPr>
        <w:spacing w:after="120" w:line="276" w:lineRule="auto"/>
      </w:pPr>
      <w:r>
        <w:t>**Stochastique** : Le %K (30,952) est inférieur au %D (36,508), configuration baissière, mais les deux lignes évoluent en zone basse (proche de 20-30), signalant un **épuisement possible de la dynamique baissière**. Aucun croisement haussier n'est encore visible. La décision reste **Neutre**.</w:t>
      </w:r>
    </w:p>
    <w:p>
      <w:pPr>
        <w:spacing w:after="120" w:line="276" w:lineRule="auto"/>
      </w:pPr>
      <w:r>
        <w:t>**Conclusion technique** : Les indicateurs sont majoritairement baissiers (MM, MACD) ou neutres (Bollinger, RSI, Stochastique), sans signal d'achat. Le titre est en phase de consolidation basse, proche de ses supports (1 910-1 927 FCFA), avec un momentum négatif mais un potentiel de survente limité. **Aucun signal de retournement n'est confirmé à ce stade.**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32 109 MFCFA (+4,6% vs 2024), mais son **résultat net s'est effondré à 466 MFCFA contre 18 595 MFCFA en 2024 (-97,5%)**, principalement en raison de l'absence des produits exceptionnels de cession de filiales enregistrés en 2024 (résultat HAO de 382 MFCFA en 2025 contre 18 863 MFCFA en 2024). La rentabilité est très faible : **ROE de 2,97%** (très en dessous du seuil d'excellence de 15%) et **ROA de 1,19%**, tandis que la marge nette chute à 1,45% (contre 60,6% en 2024, niveau artificiel). En tant qu'entreprise industrielle, les délais d'exploitation sont préoccupants : **délai clients de 213,7 jours** (risque de trésorerie élevé), durée de stockage de 214,7 jours (immobilisation de capital), compensés partiellement par un délai fournisseurs de 140,7 jours. Le BFR s'élève à 11 529 MFCFA et la **trésorerie nette est négative à -11 528 MFCFA**, contre +18,8 Mds FCFA en 2024, suite au versement de dividendes massifs (18,6 Mds FCFA en 2024). L'autonomie financière reste correcte (40,1%) mais le ratio d'endettement atteint 97,6%.</w:t>
      </w:r>
    </w:p>
    <w:p>
      <w:pPr>
        <w:spacing w:after="120" w:line="276" w:lineRule="auto"/>
      </w:pPr>
      <w:r>
        <w:t>**Estimations basées sur les rapports trimestriels** : Le rapport du **T1 2026 (publié le 31 mars 2026)** montre un **chiffre d'affaires de 8 901 MFCFA, en hausse de +55%** porté par la demande d'emballages cacao, avec un **résultat d'exploitation redevenu positif (75 MFCFA contre -78 MFCFA au T1 2025)**. Toutefois, le **résultat net reste déficitaire à -154 MFCFA** (marge nette de -1,73%). On estime donc que l'exercice 2026 pourrait bénéficier d'un fort rebond du CA (potentiellement &gt;35 Mds FCFA), mais la **rentabilité nette demeure incertaine** tant que les charges financières et hors exploitation pèsent. Le communiqué du **8 juillet 2026** rassure sur la continuité d'activité malgré l'arrêt de la filature (interdiction d'exportation de jute par le Bangladesh), avec une solution alternative d'importation de fil — un risque opérationnel maîtrisé mais réel.</w:t>
      </w:r>
    </w:p>
    <w:p>
      <w:pPr>
        <w:spacing w:after="120" w:line="276" w:lineRule="auto"/>
      </w:pPr>
      <w:r>
        <w:t>**Recommandation fondamentale** : La société présente un profil de **retournement opérationnel non confirmé**, avec une amélioration du résultat d'exploitation mais une persistance des pertes nettes et une trésorerie dégradée. Les risques (dépendance au cacao, coûts du fret, instabilité géopolitique) sont élevés. **Prudence requise.**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préoccupante** entre les signaux. La **valorisation (Partie 0)** est clairement **surévaluée** : PER de 59,8x et EV/EBITDA de 36,4x sont incompatibles avec la rentabilité actuelle, bien que le P/B de 1,77x reste raisonnable. Le **comportement du cours (Partie 1)** est baissier (-10,23% sur 100 jours), avec une volatilité élevée (33,3%) et un cours proche de ses plus bas, mais une distribution symétrique (skewness 0,420) et sans risque de pics extrêmes (kurtosis -0,725). Les **signaux techniques (Partie 2)** sont majoritairement baissiers (MM, MACD) ou neutres (RSI, Bollinger, Stochastique), sans convergence haussière. Les **fondamentaux (Partie 3)** montrent un redressement opérationnel au T1 2026 (CA +55%, résultat d'exploitation positif) mais une **persistance des pertes nettes (-154 MFCFA)** et une trésorerie négative (-11,5 Mds FCFA). Enfin, les **prédictions IA (J+1 à J+10)** anticipent une poursuite de la baisse jusqu'à 1 906 FCFA (-3,5% supplémentaires), **confirmant la tendance baissière** et contredisant l'hypothèse d'un rebond imminent.</w:t>
      </w:r>
    </w:p>
    <w:p>
      <w:pPr>
        <w:spacing w:after="120" w:line="276" w:lineRule="auto"/>
      </w:pPr>
      <w:r>
        <w:t>**Recommandation finale : VENTE**</w:t>
        <w:br/>
        <w:t>La convergence des signaux baissiers (technique, prédictions IA, valorisation excessive) et l'absence de confirmation d'un redressement net (fondamentaux) justifient une recommandation de vente. Le titre ne présente **aucun catalyseur haussier à court terme** et les risques de liquidité (trésorerie négative) et de rentabilité (PER 59,8x) sont trop élevés pour un investisseur prudent.</w:t>
        <w:br/>
        <w:t>- **Niveau de confiance** : Moyen (les fondamentaux trimestriels montrent une amélioration opérationnelle qui pourrait inverser la tendance à moyen terme).</w:t>
        <w:br/>
        <w:t>- **Niveau de risque global** : Élevé (volatilité 33,3%, trésorerie négative, dépendance sectorielle).</w:t>
        <w:br/>
        <w:t>- **Horizon d'investissement** : Court terme (&lt;3 mois) pour les investisseurs cherchant à sortir ; **éviter le moyen/long terme** tant que la rentabilité nette n'est pas rétablie sur au moins deux trimestres consécutifs.</w:t>
      </w:r>
    </w:p>
    <w:p>
      <w:pPr>
        <w:spacing w:after="120" w:line="276" w:lineRule="auto"/>
      </w:pPr>
      <w:r>
        <w:t>---</w:t>
        <w:br/>
        <w:t>*Rapport généré sur la base des données officielles BRVM (états financiers 2025, rapports trimestriels T1 2026, communiqué du 08/07/2026) et des indicateurs techniques au 30 septembre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4,617 titres</w:t>
            </w:r>
          </w:p>
        </w:tc>
        <w:tc>
          <w:tcPr>
            <w:tcW w:type="dxa" w:w="2268"/>
            <w:shd w:fill="FFF2CC" w:val="clear"/>
          </w:tcPr>
          <w:p>
            <w:r>
              <w:rPr>
                <w:b/>
                <w:color w:val="503200"/>
                <w:sz w:val="16"/>
              </w:rPr>
              <w:t xml:space="preserve">Cours actuel : </w:t>
            </w:r>
            <w:r>
              <w:rPr>
                <w:color w:val="000000"/>
                <w:sz w:val="17"/>
              </w:rPr>
              <w:t>3,865 FCFA</w:t>
            </w:r>
          </w:p>
          <w:p>
            <w:r>
              <w:rPr>
                <w:b/>
                <w:color w:val="503200"/>
                <w:sz w:val="16"/>
              </w:rPr>
              <w:t xml:space="preserve">Var. 100 jours : </w:t>
            </w:r>
            <w:r>
              <w:rPr>
                <w:b/>
                <w:color w:val="B40000"/>
                <w:sz w:val="17"/>
              </w:rPr>
              <w:t>-2.03%</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4.72% (Faible) — μ=4,074 FCFA, σ=193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β=0.7166 (Défensif) — Cov=0.000050, Var(idx)=0.000069, ρ=0.226,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3,758</w:t>
            </w:r>
          </w:p>
        </w:tc>
        <w:tc>
          <w:tcPr>
            <w:tcW w:type="dxa" w:w="1440"/>
            <w:shd w:fill="FAFAFA" w:val="clear"/>
          </w:tcPr>
          <w:p>
            <w:r>
              <w:rPr>
                <w:b/>
                <w:sz w:val="17"/>
              </w:rPr>
              <w:t>3,925</w:t>
            </w:r>
          </w:p>
        </w:tc>
        <w:tc>
          <w:tcPr>
            <w:tcW w:type="dxa" w:w="1440"/>
            <w:shd w:fill="FAFAFA" w:val="clear"/>
          </w:tcPr>
          <w:p>
            <w:r>
              <w:rPr>
                <w:sz w:val="17"/>
              </w:rPr>
              <w:t>4,091</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3,686</w:t>
            </w:r>
          </w:p>
        </w:tc>
        <w:tc>
          <w:tcPr>
            <w:tcW w:type="dxa" w:w="1440"/>
            <w:shd w:fill="FAFAFA" w:val="clear"/>
          </w:tcPr>
          <w:p>
            <w:r>
              <w:rPr>
                <w:b/>
                <w:sz w:val="17"/>
              </w:rPr>
              <w:t>3,920</w:t>
            </w:r>
          </w:p>
        </w:tc>
        <w:tc>
          <w:tcPr>
            <w:tcW w:type="dxa" w:w="1440"/>
            <w:shd w:fill="FAFAFA" w:val="clear"/>
          </w:tcPr>
          <w:p>
            <w:r>
              <w:rPr>
                <w:sz w:val="17"/>
              </w:rPr>
              <w:t>4,155</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3,636</w:t>
            </w:r>
          </w:p>
        </w:tc>
        <w:tc>
          <w:tcPr>
            <w:tcW w:type="dxa" w:w="1440"/>
            <w:shd w:fill="FAFAFA" w:val="clear"/>
          </w:tcPr>
          <w:p>
            <w:r>
              <w:rPr>
                <w:b/>
                <w:sz w:val="17"/>
              </w:rPr>
              <w:t>3,924</w:t>
            </w:r>
          </w:p>
        </w:tc>
        <w:tc>
          <w:tcPr>
            <w:tcW w:type="dxa" w:w="1440"/>
            <w:shd w:fill="FAFAFA" w:val="clear"/>
          </w:tcPr>
          <w:p>
            <w:r>
              <w:rPr>
                <w:sz w:val="17"/>
              </w:rPr>
              <w:t>4,211</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3,596</w:t>
            </w:r>
          </w:p>
        </w:tc>
        <w:tc>
          <w:tcPr>
            <w:tcW w:type="dxa" w:w="1440"/>
            <w:shd w:fill="FAFAFA" w:val="clear"/>
          </w:tcPr>
          <w:p>
            <w:r>
              <w:rPr>
                <w:b/>
                <w:sz w:val="17"/>
              </w:rPr>
              <w:t>3,929</w:t>
            </w:r>
          </w:p>
        </w:tc>
        <w:tc>
          <w:tcPr>
            <w:tcW w:type="dxa" w:w="1440"/>
            <w:shd w:fill="FAFAFA" w:val="clear"/>
          </w:tcPr>
          <w:p>
            <w:r>
              <w:rPr>
                <w:sz w:val="17"/>
              </w:rPr>
              <w:t>4,262</w:t>
            </w:r>
          </w:p>
        </w:tc>
        <w:tc>
          <w:tcPr>
            <w:tcW w:type="dxa" w:w="1440"/>
            <w:shd w:fill="FAFAFA" w:val="clear"/>
          </w:tcPr>
          <w:p>
            <w:r>
              <w:rPr>
                <w:b/>
                <w:color w:val="008000"/>
                <w:sz w:val="17"/>
              </w:rPr>
              <w:t>+1.7%</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3,559</w:t>
            </w:r>
          </w:p>
        </w:tc>
        <w:tc>
          <w:tcPr>
            <w:tcW w:type="dxa" w:w="1440"/>
            <w:shd w:fill="FAFAFA" w:val="clear"/>
          </w:tcPr>
          <w:p>
            <w:r>
              <w:rPr>
                <w:b/>
                <w:sz w:val="17"/>
              </w:rPr>
              <w:t>3,932</w:t>
            </w:r>
          </w:p>
        </w:tc>
        <w:tc>
          <w:tcPr>
            <w:tcW w:type="dxa" w:w="1440"/>
            <w:shd w:fill="FAFAFA" w:val="clear"/>
          </w:tcPr>
          <w:p>
            <w:r>
              <w:rPr>
                <w:sz w:val="17"/>
              </w:rPr>
              <w:t>4,304</w:t>
            </w:r>
          </w:p>
        </w:tc>
        <w:tc>
          <w:tcPr>
            <w:tcW w:type="dxa" w:w="1440"/>
            <w:shd w:fill="FAFAFA" w:val="clear"/>
          </w:tcPr>
          <w:p>
            <w:r>
              <w:rPr>
                <w:b/>
                <w:color w:val="008000"/>
                <w:sz w:val="17"/>
              </w:rPr>
              <w:t>+1.7%</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3,527</w:t>
            </w:r>
          </w:p>
        </w:tc>
        <w:tc>
          <w:tcPr>
            <w:tcW w:type="dxa" w:w="1440"/>
            <w:shd w:fill="FAFAFA" w:val="clear"/>
          </w:tcPr>
          <w:p>
            <w:r>
              <w:rPr>
                <w:b/>
                <w:sz w:val="17"/>
              </w:rPr>
              <w:t>3,935</w:t>
            </w:r>
          </w:p>
        </w:tc>
        <w:tc>
          <w:tcPr>
            <w:tcW w:type="dxa" w:w="1440"/>
            <w:shd w:fill="FAFAFA" w:val="clear"/>
          </w:tcPr>
          <w:p>
            <w:r>
              <w:rPr>
                <w:sz w:val="17"/>
              </w:rPr>
              <w:t>4,343</w:t>
            </w:r>
          </w:p>
        </w:tc>
        <w:tc>
          <w:tcPr>
            <w:tcW w:type="dxa" w:w="1440"/>
            <w:shd w:fill="FAFAFA" w:val="clear"/>
          </w:tcPr>
          <w:p>
            <w:r>
              <w:rPr>
                <w:b/>
                <w:color w:val="008000"/>
                <w:sz w:val="17"/>
              </w:rPr>
              <w:t>+1.8%</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3,497</w:t>
            </w:r>
          </w:p>
        </w:tc>
        <w:tc>
          <w:tcPr>
            <w:tcW w:type="dxa" w:w="1440"/>
            <w:shd w:fill="FAFAFA" w:val="clear"/>
          </w:tcPr>
          <w:p>
            <w:r>
              <w:rPr>
                <w:b/>
                <w:sz w:val="17"/>
              </w:rPr>
              <w:t>3,938</w:t>
            </w:r>
          </w:p>
        </w:tc>
        <w:tc>
          <w:tcPr>
            <w:tcW w:type="dxa" w:w="1440"/>
            <w:shd w:fill="FAFAFA" w:val="clear"/>
          </w:tcPr>
          <w:p>
            <w:r>
              <w:rPr>
                <w:sz w:val="17"/>
              </w:rPr>
              <w:t>4,379</w:t>
            </w:r>
          </w:p>
        </w:tc>
        <w:tc>
          <w:tcPr>
            <w:tcW w:type="dxa" w:w="1440"/>
            <w:shd w:fill="FAFAFA" w:val="clear"/>
          </w:tcPr>
          <w:p>
            <w:r>
              <w:rPr>
                <w:b/>
                <w:color w:val="008000"/>
                <w:sz w:val="17"/>
              </w:rPr>
              <w:t>+1.9%</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3,469</w:t>
            </w:r>
          </w:p>
        </w:tc>
        <w:tc>
          <w:tcPr>
            <w:tcW w:type="dxa" w:w="1440"/>
            <w:shd w:fill="FAFAFA" w:val="clear"/>
          </w:tcPr>
          <w:p>
            <w:r>
              <w:rPr>
                <w:b/>
                <w:sz w:val="17"/>
              </w:rPr>
              <w:t>3,941</w:t>
            </w:r>
          </w:p>
        </w:tc>
        <w:tc>
          <w:tcPr>
            <w:tcW w:type="dxa" w:w="1440"/>
            <w:shd w:fill="FAFAFA" w:val="clear"/>
          </w:tcPr>
          <w:p>
            <w:r>
              <w:rPr>
                <w:sz w:val="17"/>
              </w:rPr>
              <w:t>4,413</w:t>
            </w:r>
          </w:p>
        </w:tc>
        <w:tc>
          <w:tcPr>
            <w:tcW w:type="dxa" w:w="1440"/>
            <w:shd w:fill="FAFAFA" w:val="clear"/>
          </w:tcPr>
          <w:p>
            <w:r>
              <w:rPr>
                <w:b/>
                <w:color w:val="008000"/>
                <w:sz w:val="17"/>
              </w:rPr>
              <w:t>+2.0%</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3,441</w:t>
            </w:r>
          </w:p>
        </w:tc>
        <w:tc>
          <w:tcPr>
            <w:tcW w:type="dxa" w:w="1440"/>
            <w:shd w:fill="FAFAFA" w:val="clear"/>
          </w:tcPr>
          <w:p>
            <w:r>
              <w:rPr>
                <w:b/>
                <w:sz w:val="17"/>
              </w:rPr>
              <w:t>3,942</w:t>
            </w:r>
          </w:p>
        </w:tc>
        <w:tc>
          <w:tcPr>
            <w:tcW w:type="dxa" w:w="1440"/>
            <w:shd w:fill="FAFAFA" w:val="clear"/>
          </w:tcPr>
          <w:p>
            <w:r>
              <w:rPr>
                <w:sz w:val="17"/>
              </w:rPr>
              <w:t>4,443</w:t>
            </w:r>
          </w:p>
        </w:tc>
        <w:tc>
          <w:tcPr>
            <w:tcW w:type="dxa" w:w="1440"/>
            <w:shd w:fill="FAFAFA" w:val="clear"/>
          </w:tcPr>
          <w:p>
            <w:r>
              <w:rPr>
                <w:b/>
                <w:color w:val="008000"/>
                <w:sz w:val="17"/>
              </w:rPr>
              <w:t>+2.0%</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3,414</w:t>
            </w:r>
          </w:p>
        </w:tc>
        <w:tc>
          <w:tcPr>
            <w:tcW w:type="dxa" w:w="1440"/>
            <w:shd w:fill="FAFAFA" w:val="clear"/>
          </w:tcPr>
          <w:p>
            <w:r>
              <w:rPr>
                <w:b/>
                <w:sz w:val="17"/>
              </w:rPr>
              <w:t>3,942</w:t>
            </w:r>
          </w:p>
        </w:tc>
        <w:tc>
          <w:tcPr>
            <w:tcW w:type="dxa" w:w="1440"/>
            <w:shd w:fill="FAFAFA" w:val="clear"/>
          </w:tcPr>
          <w:p>
            <w:r>
              <w:rPr>
                <w:sz w:val="17"/>
              </w:rPr>
              <w:t>4,470</w:t>
            </w:r>
          </w:p>
        </w:tc>
        <w:tc>
          <w:tcPr>
            <w:tcW w:type="dxa" w:w="1440"/>
            <w:shd w:fill="FAFAFA"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 SA)**</w:t>
        <w:br/>
        <w:t>*Bourse Régionale des Valeurs Mobilières (BRVM) — Secteur : Entreprise non bancaire (Jeux &amp; Loterie)*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77,30 Mds FCFA, LNBB se positionne comme une valeur de taille intermédiaire sur la BRVM, cohérente avec son statut de monopole national de la loterie. Le BPA de 231 FCFA/action signifie que chaque titre génère près de 231 FCFA de bénéfice net, ce qui, rapporté au cours actuel de 3 865 FCFA, donne un PER de 16,7x — soit une valorisation modérée mais supérieure à la moyenne BRVM (~8-12x), traduisant une prime de qualité liée à la solidité du bilan et à la générosité du dividende. Le P/B de 3,52x indique que le marché valorise l'entreprise à plus de trois fois ses fonds propres comptables (21,95 Mds FCFA), ce qui est justifié par un ROE exceptionnel de 21,05% mais laisse peu de marge de sécurité en cas de dégradation. Enfin, l'EV/EBITDA de 9,8x situe la valeur d'entreprise (capitalisation + dette nette quasi nulle) à un niveau raisonnable au regard de la capacité opérationnelle (EBE de 7,16 Mds FCFA en 2025), confirmant une valorisation globalement équilibrée,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-2,03%, avec une dernière séance en repli de -0,90%, portant le cours à 3 865 FCFA. Le range de trading s'étend de 3 700 FCFA (plus bas) à 4 560 FCFA (plus haut), soit une amplitude de 23%, révélant une tendance globalement baissière mais avec des rebonds ponctuels. La moyenne (4 074 FCFA) est légèrement supérieure à la médiane (4 050 FCFA), et le mode se situe à 4 000 FCFA, ce qui indique une distribution quasi symétrique avec une légère asymétrie positive (skewness de 0,447), confirmant que les épisodes de hausse ont été un peu plus amples que les baisses. L'écart-type de 193 FCFA (CV de 4,7%) traduit une dispersion modérée du cours autour de sa moyenne, tandis que le kurtosis de -0,792 (mésokurtique) suggère une distribution proche de la normale, sans risque majeur de pics extrêmes. La volatilité annualisée de 41,5% classe ce titre dans la catégorie des valeurs à volatilité élevée (&gt;30%), ce qui est cohérent avec la faible liquidité du marché BRVM et la sensibilité du secteur aux annonces réglementaires.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(3 978,75 FCFA) et la MM50 (4 108,10 FCFA) se situent toutes deux au-dessus du cours actuel (3 865 FCFA), avec une MM20 inférieure à la MM50 — configuration baissière caractéristique d'un marché en repli. Le cours évoluant sous ses deux moyennes, la décision technique est logiquement **Vente**, signalant une pression vendeuse persistante.</w:t>
      </w:r>
    </w:p>
    <w:p>
      <w:pPr>
        <w:spacing w:after="120" w:line="276" w:lineRule="auto"/>
      </w:pPr>
      <w:r>
        <w:t>**Bandes de Bollinger** : Le cours (3 865 FCFA) se situe dans la partie basse de la bande, entre la borne inférieure (3 782,15 FCFA) et la borne supérieure (4 175,35 FCFA), sans franchissement des extrêmes. Cette position médiane-basse, couplée à un rétrécissement des bandes, indique une volatilité en compression et une décision **Neutre**, le marché attendant un catalyseur directionnel.</w:t>
      </w:r>
    </w:p>
    <w:p>
      <w:pPr>
        <w:spacing w:after="120" w:line="276" w:lineRule="auto"/>
      </w:pPr>
      <w:r>
        <w:t>**MACD** : La valeur du MACD (-54,574) est inférieure à son signal (-48,799), avec un histogramme négatif — configuration baissière confirmée. Le momentum reste négatif et la divergence entre les deux lignes ne montre aucun signe de retournement imminent, justifiant la décision **Vente**.</w:t>
      </w:r>
    </w:p>
    <w:p>
      <w:pPr>
        <w:spacing w:after="120" w:line="276" w:lineRule="auto"/>
      </w:pPr>
      <w:r>
        <w:t>**RSI** : À 46,119, le RSI se situe dans la zone neutre (30-70), sans signal de surachat ni de survente. Cette valeur légèrement sous la barre des 50 traduit une dynamique baissière modérée mais non extrême, d'où la décision **Neutre** — le titre n'est ni à acheter en survente, ni à vendre en surachat.</w:t>
      </w:r>
    </w:p>
    <w:p>
      <w:pPr>
        <w:spacing w:after="120" w:line="276" w:lineRule="auto"/>
      </w:pPr>
      <w:r>
        <w:t>**Stochastique** : Le %K (41,25) est inférieur au %D (46,667), avec un croisement baissier récent. Les deux lignes évoluent dans la zone médiane-basse, sans atteindre la zone de survente (&lt;20), ce qui justifie une décision **Neutre** — le signal baissier est présent mais faible, sans excès vendeur.</w:t>
      </w:r>
    </w:p>
    <w:p>
      <w:pPr>
        <w:spacing w:after="120" w:line="276" w:lineRule="auto"/>
      </w:pPr>
      <w:r>
        <w:t>**Conclusion technique** : La convergence des signaux baissiers (MM, MACD) et neutres (Bollinger, RSI, Stochastique) dessine un tableau technique défavorable à court terme. Le titre est en phase de consolidation baissière sous ses moyennes mobiles, avec un momentum négatif mais un RSI non survendu qui laisse présager une poursuite de la faiblesse plutôt qu'un rebond technique immédiat. Seule une stabilisation au-dessus de 3 978 FCFA (MM20) inverserait cette tendance.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LNBB a réalisé un chiffre d'affaires de 98,598 Mds FCFA, en baisse de -3,85% par rapport à 2024 (102,544 Mds FCFA), sous l'effet de la concurrence déloyale d'opérateurs illégaux. Le résultat net s'établit à 4,622 Mds FCFA (contre 7,176 Mds en 2024, soit -35,6%), principalement en raison de l'absence de produits exceptionnels (3,1 Mds FCFA en 2024). Malgré cette contraction, les fondamentaux opérationnels s'améliorent : la Valeur Ajoutée progresse de +22% à 10,548 Mds FCFA et l'EBE de +34% à 7,164 Mds FCFA, preuve d'une excellente maîtrise des charges. Le ROE reste excellent à 21,05% et le ROA à 14,17%, tandis que la structure financière est très saine : autonomie financière de 67,32%, ratio d'endettement de seulement 2,57%, trésorerie nette de 7,979 Mds FCFA et liquidité générale de 184,84%. En tant qu'entreprise, les délais d'exploitation sont remarquables : délai clients de 4,82 jours (risque de trésorerie quasi nul), délai fournisseurs de 20,41 jours (favorable) et rotation des stocks de 1,56 jour. Le BFR est quasi nul (217,45 M FCFA), confirmant un modèle de trésorerie très efficace. Les rapports trimestriels récents confirment une dynamique contrastée : le T1 2026 (rapport du 07/05/2026) affiche un CA en hausse de +6% à 25,521 Mds FCFA mais un résultat net en chute de -46% à 848 M FCFA, en raison du mix produit défavorable (taux de retour aux joueurs de 95% sur le pari sportif). Toutefois, le S1 2026 (rapport du 01/08/2026) montre un redressement spectaculaire avec un résultat net en hausse de +60% et un résultat d'exploitation en progression de +40%, grâce à la maîtrise des charges et aux revenus de partenariats B2B. On estime donc que l'exercice 2026 devrait afficher une amélioration de la rentabilité nette, portée par le déploiement de 1 500 nouveaux terminaux et le lancement de nouveaux produits à forte marge au S2 2026. Le principal risque reste la pression sur le Produit Brut des Jeux (-9% au S1 2026) et la dépendance croissante au pari sportif à faible marge. La recommandation fondamentale est **CONSERVER**, avec un biais positif si le S2 2026 confirme la stabilisation du PBJ.</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équilibrée : PER de 16,7x légèrement supérieur à la moyenne BRVM, P/B de 3,52x exigeant mais justifié par un ROE de 21%, et EV/EBITDA de 9,8x raisonnable — le titre n'est ni sous-évalué ni surévalué. Le **comportement du cours** (Partie 1) est préoccupant à court terme : tendance baissière (-2,03% sur 100 jours), volatilité élevée (41,5%), mais distribution symétrique (skewness de 0,447) et absence de risque de pics extrêmes (kurtosis de -0,792). Les **signaux techniques** (Partie 2) sont majoritairement baissiers (MM et MACD en Vente, RSI/Bollinger/Stochastique neutres), sans convergence haussière. Les **fondamentaux** (Partie 3) sont solides : structure financière très saine (autonomie de 67,32%, trésorerie de 7,98 Mds FCFA), ROE excellent (21,05%), et perspectives d'amélioration au S2 2026 (résultat net +60% au S1 2026), malgré la pression sur le PBJ. Les **prédictions IA** (J+1 à J+10) anticipent une légère reprise vers 3 925-3 932 FCFA, ce qui contredit partiellement les signaux techniques baissiers mais reste cohérent avec la stabilité fondamentale. Sur cette base, la recommandation finale est **CONSERVER**, avec un niveau de confiance **Moyen** et un risque global **Moyen**. La convergence entre valorisation raisonnable, fondamentaux solides et perspectives d'amélioration au S2 2026 soutient le maintien en portefeuille, mais l'absence de signal technique haussier et la volatilité élevée déconseillent un renforcement agressif à court terme. L'horizon d'investissement optimal est le **moyen terme (3-12 mois)**, en attendant la confirmation de la stabilisation du PBJ et la concrétisation des initiatives stratégiques (1 500 terminaux, nouveaux produits) au second semestre 2026.</w:t>
      </w:r>
    </w:p>
    <w:p>
      <w:pPr>
        <w:spacing w:after="120" w:line="276" w:lineRule="auto"/>
      </w:pPr>
      <w:r>
        <w:t>---</w:t>
      </w:r>
    </w:p>
    <w:p>
      <w:pPr>
        <w:spacing w:after="120" w:line="276" w:lineRule="auto"/>
      </w:pPr>
      <w:r>
        <w:t>*Disclaimer : Cette analyse est fournie à titre informatif et ne constitue pas un conseil en investissement personnalisé. Les investisseurs sont invités à consulter un professionnel avant toute décision.*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2,716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007800"/>
                <w:sz w:val="17"/>
              </w:rPr>
              <w:t>+31.81%</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1,745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13.22% (Moyenne) — μ=2,294 FCFA, σ=303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β=0.0573 (Défensif) — Cov=0.000004, Var(idx)=0.000069, ρ=0.014,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35585"/>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2,121</w:t>
            </w:r>
          </w:p>
        </w:tc>
        <w:tc>
          <w:tcPr>
            <w:tcW w:type="dxa" w:w="1440"/>
            <w:shd w:fill="FAFAFA" w:val="clear"/>
          </w:tcPr>
          <w:p>
            <w:r>
              <w:rPr>
                <w:b/>
                <w:sz w:val="17"/>
              </w:rPr>
              <w:t>2,272</w:t>
            </w:r>
          </w:p>
        </w:tc>
        <w:tc>
          <w:tcPr>
            <w:tcW w:type="dxa" w:w="1440"/>
            <w:shd w:fill="FAFAFA" w:val="clear"/>
          </w:tcPr>
          <w:p>
            <w:r>
              <w:rPr>
                <w:sz w:val="17"/>
              </w:rPr>
              <w:t>2,422</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2,043</w:t>
            </w:r>
          </w:p>
        </w:tc>
        <w:tc>
          <w:tcPr>
            <w:tcW w:type="dxa" w:w="1440"/>
            <w:shd w:fill="FFDCE0" w:val="clear"/>
          </w:tcPr>
          <w:p>
            <w:r>
              <w:rPr>
                <w:b/>
                <w:sz w:val="17"/>
              </w:rPr>
              <w:t>2,254</w:t>
            </w:r>
          </w:p>
        </w:tc>
        <w:tc>
          <w:tcPr>
            <w:tcW w:type="dxa" w:w="1440"/>
            <w:shd w:fill="FFDCE0" w:val="clear"/>
          </w:tcPr>
          <w:p>
            <w:r>
              <w:rPr>
                <w:sz w:val="17"/>
              </w:rPr>
              <w:t>2,465</w:t>
            </w:r>
          </w:p>
        </w:tc>
        <w:tc>
          <w:tcPr>
            <w:tcW w:type="dxa" w:w="1440"/>
            <w:shd w:fill="FFDCE0"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1,979</w:t>
            </w:r>
          </w:p>
        </w:tc>
        <w:tc>
          <w:tcPr>
            <w:tcW w:type="dxa" w:w="1440"/>
            <w:shd w:fill="FFDCE0" w:val="clear"/>
          </w:tcPr>
          <w:p>
            <w:r>
              <w:rPr>
                <w:b/>
                <w:sz w:val="17"/>
              </w:rPr>
              <w:t>2,236</w:t>
            </w:r>
          </w:p>
        </w:tc>
        <w:tc>
          <w:tcPr>
            <w:tcW w:type="dxa" w:w="1440"/>
            <w:shd w:fill="FFDCE0" w:val="clear"/>
          </w:tcPr>
          <w:p>
            <w:r>
              <w:rPr>
                <w:sz w:val="17"/>
              </w:rPr>
              <w:t>2,492</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1,925</w:t>
            </w:r>
          </w:p>
        </w:tc>
        <w:tc>
          <w:tcPr>
            <w:tcW w:type="dxa" w:w="1440"/>
            <w:shd w:fill="FFDCE0" w:val="clear"/>
          </w:tcPr>
          <w:p>
            <w:r>
              <w:rPr>
                <w:b/>
                <w:sz w:val="17"/>
              </w:rPr>
              <w:t>2,219</w:t>
            </w:r>
          </w:p>
        </w:tc>
        <w:tc>
          <w:tcPr>
            <w:tcW w:type="dxa" w:w="1440"/>
            <w:shd w:fill="FFDCE0" w:val="clear"/>
          </w:tcPr>
          <w:p>
            <w:r>
              <w:rPr>
                <w:sz w:val="17"/>
              </w:rPr>
              <w:t>2,512</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1,876</w:t>
            </w:r>
          </w:p>
        </w:tc>
        <w:tc>
          <w:tcPr>
            <w:tcW w:type="dxa" w:w="1440"/>
            <w:shd w:fill="FFDCE0" w:val="clear"/>
          </w:tcPr>
          <w:p>
            <w:r>
              <w:rPr>
                <w:b/>
                <w:sz w:val="17"/>
              </w:rPr>
              <w:t>2,202</w:t>
            </w:r>
          </w:p>
        </w:tc>
        <w:tc>
          <w:tcPr>
            <w:tcW w:type="dxa" w:w="1440"/>
            <w:shd w:fill="FFDCE0" w:val="clear"/>
          </w:tcPr>
          <w:p>
            <w:r>
              <w:rPr>
                <w:sz w:val="17"/>
              </w:rPr>
              <w:t>2,528</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1,832</w:t>
            </w:r>
          </w:p>
        </w:tc>
        <w:tc>
          <w:tcPr>
            <w:tcW w:type="dxa" w:w="1440"/>
            <w:shd w:fill="FFDCE0" w:val="clear"/>
          </w:tcPr>
          <w:p>
            <w:r>
              <w:rPr>
                <w:b/>
                <w:sz w:val="17"/>
              </w:rPr>
              <w:t>2,187</w:t>
            </w:r>
          </w:p>
        </w:tc>
        <w:tc>
          <w:tcPr>
            <w:tcW w:type="dxa" w:w="1440"/>
            <w:shd w:fill="FFDCE0" w:val="clear"/>
          </w:tcPr>
          <w:p>
            <w:r>
              <w:rPr>
                <w:sz w:val="17"/>
              </w:rPr>
              <w:t>2,542</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1,792</w:t>
            </w:r>
          </w:p>
        </w:tc>
        <w:tc>
          <w:tcPr>
            <w:tcW w:type="dxa" w:w="1440"/>
            <w:shd w:fill="FFDCE0" w:val="clear"/>
          </w:tcPr>
          <w:p>
            <w:r>
              <w:rPr>
                <w:b/>
                <w:sz w:val="17"/>
              </w:rPr>
              <w:t>2,173</w:t>
            </w:r>
          </w:p>
        </w:tc>
        <w:tc>
          <w:tcPr>
            <w:tcW w:type="dxa" w:w="1440"/>
            <w:shd w:fill="FFDCE0" w:val="clear"/>
          </w:tcPr>
          <w:p>
            <w:r>
              <w:rPr>
                <w:sz w:val="17"/>
              </w:rPr>
              <w:t>2,553</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1,755</w:t>
            </w:r>
          </w:p>
        </w:tc>
        <w:tc>
          <w:tcPr>
            <w:tcW w:type="dxa" w:w="1440"/>
            <w:shd w:fill="FFDCE0" w:val="clear"/>
          </w:tcPr>
          <w:p>
            <w:r>
              <w:rPr>
                <w:b/>
                <w:sz w:val="17"/>
              </w:rPr>
              <w:t>2,159</w:t>
            </w:r>
          </w:p>
        </w:tc>
        <w:tc>
          <w:tcPr>
            <w:tcW w:type="dxa" w:w="1440"/>
            <w:shd w:fill="FFDCE0" w:val="clear"/>
          </w:tcPr>
          <w:p>
            <w:r>
              <w:rPr>
                <w:sz w:val="17"/>
              </w:rPr>
              <w:t>2,563</w:t>
            </w:r>
          </w:p>
        </w:tc>
        <w:tc>
          <w:tcPr>
            <w:tcW w:type="dxa" w:w="1440"/>
            <w:shd w:fill="FFDCE0" w:val="clear"/>
          </w:tcPr>
          <w:p>
            <w:r>
              <w:rPr>
                <w:b/>
                <w:color w:val="C00000"/>
                <w:sz w:val="17"/>
              </w:rPr>
              <w:t>-6.1%</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1,720</w:t>
            </w:r>
          </w:p>
        </w:tc>
        <w:tc>
          <w:tcPr>
            <w:tcW w:type="dxa" w:w="1440"/>
            <w:shd w:fill="FFDCE0" w:val="clear"/>
          </w:tcPr>
          <w:p>
            <w:r>
              <w:rPr>
                <w:b/>
                <w:sz w:val="17"/>
              </w:rPr>
              <w:t>2,146</w:t>
            </w:r>
          </w:p>
        </w:tc>
        <w:tc>
          <w:tcPr>
            <w:tcW w:type="dxa" w:w="1440"/>
            <w:shd w:fill="FFDCE0" w:val="clear"/>
          </w:tcPr>
          <w:p>
            <w:r>
              <w:rPr>
                <w:sz w:val="17"/>
              </w:rPr>
              <w:t>2,572</w:t>
            </w:r>
          </w:p>
        </w:tc>
        <w:tc>
          <w:tcPr>
            <w:tcW w:type="dxa" w:w="1440"/>
            <w:shd w:fill="FFDCE0" w:val="clear"/>
          </w:tcPr>
          <w:p>
            <w:r>
              <w:rPr>
                <w:b/>
                <w:color w:val="C00000"/>
                <w:sz w:val="17"/>
              </w:rPr>
              <w:t>-6.7%</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1,687</w:t>
            </w:r>
          </w:p>
        </w:tc>
        <w:tc>
          <w:tcPr>
            <w:tcW w:type="dxa" w:w="1440"/>
            <w:shd w:fill="FFDCE0" w:val="clear"/>
          </w:tcPr>
          <w:p>
            <w:r>
              <w:rPr>
                <w:b/>
                <w:sz w:val="17"/>
              </w:rPr>
              <w:t>2,134</w:t>
            </w:r>
          </w:p>
        </w:tc>
        <w:tc>
          <w:tcPr>
            <w:tcW w:type="dxa" w:w="1440"/>
            <w:shd w:fill="FFDCE0" w:val="clear"/>
          </w:tcPr>
          <w:p>
            <w:r>
              <w:rPr>
                <w:sz w:val="17"/>
              </w:rPr>
              <w:t>2,580</w:t>
            </w:r>
          </w:p>
        </w:tc>
        <w:tc>
          <w:tcPr>
            <w:tcW w:type="dxa" w:w="1440"/>
            <w:shd w:fill="FFDCE0" w:val="clear"/>
          </w:tcPr>
          <w:p>
            <w:r>
              <w:rPr>
                <w:b/>
                <w:color w:val="C00000"/>
                <w:sz w:val="17"/>
              </w:rPr>
              <w:t>-7.2%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 RAPPORT D'ANALYSE FINANCIÈRE — NEIC (NEI-CEDA CI)</w:t>
        <w:br/>
        <w:t>**Bourse Régionale des Valeurs Mobilières (BRVM) — Secteur : Édition &amp; Diffusion**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**29,36 milliards FCFA**, NEIC se positionne comme une valeur de taille moyenne sur le compartiment BRVM, ce qui reste modeste à l'échelle régionale mais significatif pour le secteur de l'édition. Le **BPA de 160 FCFA/action** traduit une rentabilité effective par titre, mais c'est surtout le **PER de 14,4x** qui retient l'attention : il se situe au-dessus de la moyenne BRVM (~8-12x), signalant que le marché intègre déjà une prime de croissance ou de redressement dans le cours. Le **P/B de 5,10x** confirme cette tendance — les investisseurs paient plus de 5 fois la valeur comptable, une prime exigeante qui suppose une confiance forte dans la capacité bénéficiaire future. Enfin, l'**EV/EBITDA de 21,4x** (largement supérieur au seuil de 15x) indique que la valeur d'entreprise rapportée à la capacité opérationnelle est tendue, ce qui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NEIC affiche une **progression remarquable de +31,81%**, avec un cours actuel stabilisé à **2 300 FCFA** (variation J-1 : 0,00%, séance sans mouvement). Le titre a évolué dans un range large entre **1 745 FCFA (plus bas)** et **3 000 FCFA (plus haut)**, soit une amplitude de plus de 70%, témoignant d'une forte dynamique haussière entrecoupée de corrections. La tendance générale est donc nettement **haussière**, portée par des volumes moyens quotidiens de 2 716 titres. Les statistiques descriptives révèlent une **moyenne (2 294 FCFA) légèrement supérieure à la médiane (2 272 FCFA)**, signe d'une distribution asymétrique tirée vers le haut par des pics ponctuels. L'**écart-type de 305 FCFA (CV = 13,3%)** indique une dispersion modérée autour de la moyenne, tandis que le **kurtosis de 0,197 (mésokurtique)** suggère un comportement proche d'une loi normale, sans risque extrême de pics violents. Le **skewness positif de 0,782** confirme une asymétrie à droite : davantage de journées sous la moyenne, mais compensées par des hausses marquées. Enfin, la **volatilité annualisée de 54,0%** classe le titre dans la catégorie **très volatile (&gt;30%)**, ce qui implique un risque de marché élevé et un horizon d'investissement à adapter en conséquence.</w:t>
      </w:r>
    </w:p>
    <w:p>
      <w:pPr>
        <w:spacing w:after="120" w:line="276" w:lineRule="auto"/>
      </w:pPr>
      <w:r>
        <w:t>---</w:t>
      </w:r>
    </w:p>
    <w:p>
      <w:pPr>
        <w:spacing w:after="120" w:line="276" w:lineRule="auto"/>
      </w:pPr>
      <w:r>
        <w:t>## PARTIE 2 : ANALYSE TECHNIQUE DÉTAILLÉE</w:t>
      </w:r>
    </w:p>
    <w:p>
      <w:pPr>
        <w:spacing w:after="120" w:line="276" w:lineRule="auto"/>
      </w:pPr>
      <w:r>
        <w:t>**Moyennes Mobiles** : La MM20 (2 616,25 FCFA) et la MM50 (2 479,30 FCFA) se situent toutes deux **au-dessus du cours actuel (2 300 FCFA)**, ce qui traduit une pression baissière de court terme malgré la tendance haussière de fond. La décision technique affichée est toutefois **"Achat"**, suggérant que le croisement des moyennes reste favorable à moyen terme.</w:t>
      </w:r>
    </w:p>
    <w:p>
      <w:pPr>
        <w:spacing w:after="120" w:line="276" w:lineRule="auto"/>
      </w:pPr>
      <w:r>
        <w:t>**Bandes de Bollinger** : Le cours (2 300 FCFA) évolue **au-dessus de la borne inférieure (2 119,54 FCFA)** mais **loin de la borne supérieure (3 112,96 FCFA)**, indiquant une position basse dans le canal. La décision est **"Neutre"**, ce qui reflète une absence de signal directionnel fort — le titre pourrait rebondir vers la moyenne ou poursuivre sa correction.</w:t>
      </w:r>
    </w:p>
    <w:p>
      <w:pPr>
        <w:spacing w:after="120" w:line="276" w:lineRule="auto"/>
      </w:pPr>
      <w:r>
        <w:t>**MACD** : La valeur du MACD (**-71,887**) est nettement **inférieure à son signal (-19,331)**, confirmant un **momentum baissier** en cours. La décision **"Vente"** est cohérente avec cette divergence négative, qui suggère une poursuite de la pression vendeuse à court terme.</w:t>
      </w:r>
    </w:p>
    <w:p>
      <w:pPr>
        <w:spacing w:after="120" w:line="276" w:lineRule="auto"/>
      </w:pPr>
      <w:r>
        <w:t>**RSI** : À **21,925**, le RSI se situe **en zone de survente (&lt;30)**, ce qui est techniquement un signal **"Achat"** — le titre pourrait être survendu et sujet à un rebond technique. Cette lecture contraste avec le MACD, créant une divergence classique entre momentum et survente.</w:t>
      </w:r>
    </w:p>
    <w:p>
      <w:pPr>
        <w:spacing w:after="120" w:line="276" w:lineRule="auto"/>
      </w:pPr>
      <w:r>
        <w:t>**Stochastique** : Le %K (**0,0**) et le %D (**5,81**) sont **très bas**, en zone de survente extrême, avec une décision **"Achat"**. Le croisement potentiel du %K au-dessus du %D pourrait déclencher un rebond à court terme.</w:t>
      </w:r>
    </w:p>
    <w:p>
      <w:pPr>
        <w:spacing w:after="120" w:line="276" w:lineRule="auto"/>
      </w:pPr>
      <w:r>
        <w:t>**Conclusion technique** : Les indicateurs sont **partagés** — les moyennes mobiles et le MACD plaident pour une prudence baissière, tandis que le RSI et le stochastique signalent une survente propice à un rebond. Le titre se trouve dans une **zone de consolidation baissière** après une forte hausse, avec un potentiel de rebond technique mais une confirmation encore fragile.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NEI-CEDA CI affiche un **chiffre d'affaires de 5,139 milliards FCFA**, un **résultat net de 2,037 milliards FCFA** (marge nette de 39,63%), un **ROE exceptionnel de 35,39%** et un **ROA de 27,25%**. La structure financière est très saine avec une **autonomie financière de 77,01%**, une **trésorerie nette de 4,196 milliards FCFA** et une **liquidité générale de 448,86%**. Toutefois, le **taux de croissance du CA est négatif (-23,80%)**, et le **BFR de 1,498 milliard FCFA** (positif, donc défavorable) avec un **délai clients élevé de 154,72 jours** constituent des points de vigilance. Le **flux opérationnel est négatif (-527,07 M FCFA)** et le **Free Cash Flow à -565,91 M FCFA**, ce qui interroge sur la qualité de la génération de trésorerie malgré un résultat net élevé.</w:t>
      </w:r>
    </w:p>
    <w:p>
      <w:pPr>
        <w:spacing w:after="120" w:line="276" w:lineRule="auto"/>
      </w:pPr>
      <w:r>
        <w:t>**Analyse sectorielle (entreprise non bancaire)** : Le délai fournisseurs (69,56 jours) est inférieur au délai clients (154,72 jours), ce qui crée un **déséquilibre de trésorerie** structurel. La rotation des actifs (68,77%) reste modérée, et la durée de stockage (54,49 jours) est correcte pour le secteur de l'édition.</w:t>
      </w:r>
    </w:p>
    <w:p>
      <w:pPr>
        <w:spacing w:after="120" w:line="276" w:lineRule="auto"/>
      </w:pPr>
      <w:r>
        <w:t>**Estimations basées sur les rapports trimestriels** : Le **rapport T1 2026** (publié en 2026) indique un **chiffre d'affaires de 115,1 M FCFA, en hausse de +137%** par rapport au T1 2025 (48,5 M FCFA), avec une **perte nette réduite à -168,9 M FCFA** (contre -189,9 M FCFA). Le **rapport T3 2025** (daté du 30/09/2025) fait état d'un **CA de 3 406 M FCFA en baisse de -35%** et d'un **résultat net exceptionnel de 1 596 M FCFA** (+125%), mais **entièrement dû à une reprise de provision fiscale** (élément non récurrent). Le **rapport annuel 2025** (publié en 2025) confirme un **résultat net de 2,04 Mds FCFA (+169%)** et un **dividende de 2,04 Mds FCFA (100% du résultat)**. On estime donc que **l'exercice 2026 devrait bénéficier d'une base de comparaison favorable au T1 (+137%)**, mais la **durabilité de la performance opérationnelle reste incertaine** compte tenu de la saisonnalité et de la dépendance aux marchés publics.</w:t>
      </w:r>
    </w:p>
    <w:p>
      <w:pPr>
        <w:spacing w:after="120" w:line="276" w:lineRule="auto"/>
      </w:pPr>
      <w:r>
        <w:t>**Conclusion fondamentale** : La société présente une **rentabilité exceptionnelle (ROE &gt;35%)** et une **structure financière solide**, mais les **signaux de ralentissement du CA (-23,8% en 2025)** et la **qualité des résultats (reprise de provision)** incitent à la prudence. Le **dividende généreux (100% du résultat)** limite la capacité d'autofinancement et pourrait peser sur la croissance future.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PER de 14,4x (supérieur à la moyenne BRVM), P/B de 5,10x et EV/EBITDA de 21,4x traduisent une **surévaluation relative** qui intègre déjà une prime de redressement. Le **comportement du cours (Partie 1)** est **favorable sur 100 jours (+31,81%)** mais la **volatilité élevée (54%)** et le **skewness positif** suggèrent un risque de correction. Les **signaux techniques (Partie 2)** sont **divergents** : le MACD est baissier, mais le RSI et le stochastique sont en survente, créant une **opportunité de rebond technique** à court terme. Les **fondamentaux (Partie 3)** sont **mitigés** : rentabilité exceptionnelle (ROE 35,39%) et trésorerie solide, mais **croissance du CA négative (-23,8%)** et **qualité des résultats douteuse** (reprise de provision). Les **prédictions IA (J+1 à J+10)** anticipent une **baisse progressive de 2 272 à 2 202 FCFA**, ce qui **contredit** le signal de survente technique et suggère une poursuite de la correction.</w:t>
      </w:r>
    </w:p>
    <w:p>
      <w:pPr>
        <w:spacing w:after="120" w:line="276" w:lineRule="auto"/>
      </w:pPr>
      <w:r>
        <w:t>**Recommandation finale : CONSERVER** — Les signaux sont **divergents** : la valorisation est tendue, les fondamentaux sont solides mais en ralentissement, et la technique est partagée entre survente et momentum baissier. La prédiction IA confirme une **pression baissière à court terme**, ce qui ne justifie pas un achat immédiat. **Niveau de confiance : Moyen** — les données sont complètes mais les perspectives incertaines. **Niveau de risque : Élevé** — volatilité de 54%, dépendance aux marchés publics et qualité des résultats. **Horizon d'investissement optimal : Moyen terme (3-12 mois)** — attendre une confirmation de la reprise du CA et un apaisement de la pression baissière avant d'envisager un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531.79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2,840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+53.57%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13.13% (Moyenne) — μ=21,072 FCFA, σ=2,766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β=1.5012 (Agressif) — Cov=0.000104, Var(idx)=0.000069, ρ=0.479,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20,306</w:t>
            </w:r>
          </w:p>
        </w:tc>
        <w:tc>
          <w:tcPr>
            <w:tcW w:type="dxa" w:w="1440"/>
            <w:shd w:fill="FAFAFA" w:val="clear"/>
          </w:tcPr>
          <w:p>
            <w:r>
              <w:rPr>
                <w:b/>
                <w:sz w:val="17"/>
              </w:rPr>
              <w:t>21,244</w:t>
            </w:r>
          </w:p>
        </w:tc>
        <w:tc>
          <w:tcPr>
            <w:tcW w:type="dxa" w:w="1440"/>
            <w:shd w:fill="FAFAFA" w:val="clear"/>
          </w:tcPr>
          <w:p>
            <w:r>
              <w:rPr>
                <w:sz w:val="17"/>
              </w:rPr>
              <w:t>22,182</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19,713</w:t>
            </w:r>
          </w:p>
        </w:tc>
        <w:tc>
          <w:tcPr>
            <w:tcW w:type="dxa" w:w="1440"/>
            <w:shd w:fill="FFDCE0" w:val="clear"/>
          </w:tcPr>
          <w:p>
            <w:r>
              <w:rPr>
                <w:b/>
                <w:sz w:val="17"/>
              </w:rPr>
              <w:t>21,026</w:t>
            </w:r>
          </w:p>
        </w:tc>
        <w:tc>
          <w:tcPr>
            <w:tcW w:type="dxa" w:w="1440"/>
            <w:shd w:fill="FFDCE0" w:val="clear"/>
          </w:tcPr>
          <w:p>
            <w:r>
              <w:rPr>
                <w:sz w:val="17"/>
              </w:rPr>
              <w:t>22,338</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19,213</w:t>
            </w:r>
          </w:p>
        </w:tc>
        <w:tc>
          <w:tcPr>
            <w:tcW w:type="dxa" w:w="1440"/>
            <w:shd w:fill="FFDCE0" w:val="clear"/>
          </w:tcPr>
          <w:p>
            <w:r>
              <w:rPr>
                <w:b/>
                <w:sz w:val="17"/>
              </w:rPr>
              <w:t>20,804</w:t>
            </w:r>
          </w:p>
        </w:tc>
        <w:tc>
          <w:tcPr>
            <w:tcW w:type="dxa" w:w="1440"/>
            <w:shd w:fill="FFDCE0" w:val="clear"/>
          </w:tcPr>
          <w:p>
            <w:r>
              <w:rPr>
                <w:sz w:val="17"/>
              </w:rPr>
              <w:t>22,394</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18,769</w:t>
            </w:r>
          </w:p>
        </w:tc>
        <w:tc>
          <w:tcPr>
            <w:tcW w:type="dxa" w:w="1440"/>
            <w:shd w:fill="FFDCE0" w:val="clear"/>
          </w:tcPr>
          <w:p>
            <w:r>
              <w:rPr>
                <w:b/>
                <w:sz w:val="17"/>
              </w:rPr>
              <w:t>20,587</w:t>
            </w:r>
          </w:p>
        </w:tc>
        <w:tc>
          <w:tcPr>
            <w:tcW w:type="dxa" w:w="1440"/>
            <w:shd w:fill="FFDCE0" w:val="clear"/>
          </w:tcPr>
          <w:p>
            <w:r>
              <w:rPr>
                <w:sz w:val="17"/>
              </w:rPr>
              <w:t>22,404</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18,362</w:t>
            </w:r>
          </w:p>
        </w:tc>
        <w:tc>
          <w:tcPr>
            <w:tcW w:type="dxa" w:w="1440"/>
            <w:shd w:fill="FFDCE0" w:val="clear"/>
          </w:tcPr>
          <w:p>
            <w:r>
              <w:rPr>
                <w:b/>
                <w:sz w:val="17"/>
              </w:rPr>
              <w:t>20,373</w:t>
            </w:r>
          </w:p>
        </w:tc>
        <w:tc>
          <w:tcPr>
            <w:tcW w:type="dxa" w:w="1440"/>
            <w:shd w:fill="FFDCE0" w:val="clear"/>
          </w:tcPr>
          <w:p>
            <w:r>
              <w:rPr>
                <w:sz w:val="17"/>
              </w:rPr>
              <w:t>22,384</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17,981</w:t>
            </w:r>
          </w:p>
        </w:tc>
        <w:tc>
          <w:tcPr>
            <w:tcW w:type="dxa" w:w="1440"/>
            <w:shd w:fill="FFDCE0" w:val="clear"/>
          </w:tcPr>
          <w:p>
            <w:r>
              <w:rPr>
                <w:b/>
                <w:sz w:val="17"/>
              </w:rPr>
              <w:t>20,161</w:t>
            </w:r>
          </w:p>
        </w:tc>
        <w:tc>
          <w:tcPr>
            <w:tcW w:type="dxa" w:w="1440"/>
            <w:shd w:fill="FFDCE0" w:val="clear"/>
          </w:tcPr>
          <w:p>
            <w:r>
              <w:rPr>
                <w:sz w:val="17"/>
              </w:rPr>
              <w:t>22,341</w:t>
            </w:r>
          </w:p>
        </w:tc>
        <w:tc>
          <w:tcPr>
            <w:tcW w:type="dxa" w:w="1440"/>
            <w:shd w:fill="FFDCE0" w:val="clear"/>
          </w:tcPr>
          <w:p>
            <w:r>
              <w:rPr>
                <w:b/>
                <w:color w:val="C00000"/>
                <w:sz w:val="17"/>
              </w:rPr>
              <w:t>-6.2%</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17,622</w:t>
            </w:r>
          </w:p>
        </w:tc>
        <w:tc>
          <w:tcPr>
            <w:tcW w:type="dxa" w:w="1440"/>
            <w:shd w:fill="FFDCE0" w:val="clear"/>
          </w:tcPr>
          <w:p>
            <w:r>
              <w:rPr>
                <w:b/>
                <w:sz w:val="17"/>
              </w:rPr>
              <w:t>19,952</w:t>
            </w:r>
          </w:p>
        </w:tc>
        <w:tc>
          <w:tcPr>
            <w:tcW w:type="dxa" w:w="1440"/>
            <w:shd w:fill="FFDCE0" w:val="clear"/>
          </w:tcPr>
          <w:p>
            <w:r>
              <w:rPr>
                <w:sz w:val="17"/>
              </w:rPr>
              <w:t>22,283</w:t>
            </w:r>
          </w:p>
        </w:tc>
        <w:tc>
          <w:tcPr>
            <w:tcW w:type="dxa" w:w="1440"/>
            <w:shd w:fill="FFDCE0" w:val="clear"/>
          </w:tcPr>
          <w:p>
            <w:r>
              <w:rPr>
                <w:b/>
                <w:color w:val="C00000"/>
                <w:sz w:val="17"/>
              </w:rPr>
              <w:t>-7.2%</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17,280</w:t>
            </w:r>
          </w:p>
        </w:tc>
        <w:tc>
          <w:tcPr>
            <w:tcW w:type="dxa" w:w="1440"/>
            <w:shd w:fill="FFDCE0" w:val="clear"/>
          </w:tcPr>
          <w:p>
            <w:r>
              <w:rPr>
                <w:b/>
                <w:sz w:val="17"/>
              </w:rPr>
              <w:t>19,746</w:t>
            </w:r>
          </w:p>
        </w:tc>
        <w:tc>
          <w:tcPr>
            <w:tcW w:type="dxa" w:w="1440"/>
            <w:shd w:fill="FFDCE0" w:val="clear"/>
          </w:tcPr>
          <w:p>
            <w:r>
              <w:rPr>
                <w:sz w:val="17"/>
              </w:rPr>
              <w:t>22,211</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16,954</w:t>
            </w:r>
          </w:p>
        </w:tc>
        <w:tc>
          <w:tcPr>
            <w:tcW w:type="dxa" w:w="1440"/>
            <w:shd w:fill="FFDCE0" w:val="clear"/>
          </w:tcPr>
          <w:p>
            <w:r>
              <w:rPr>
                <w:b/>
                <w:sz w:val="17"/>
              </w:rPr>
              <w:t>19,542</w:t>
            </w:r>
          </w:p>
        </w:tc>
        <w:tc>
          <w:tcPr>
            <w:tcW w:type="dxa" w:w="1440"/>
            <w:shd w:fill="FFDCE0" w:val="clear"/>
          </w:tcPr>
          <w:p>
            <w:r>
              <w:rPr>
                <w:sz w:val="17"/>
              </w:rPr>
              <w:t>22,130</w:t>
            </w:r>
          </w:p>
        </w:tc>
        <w:tc>
          <w:tcPr>
            <w:tcW w:type="dxa" w:w="1440"/>
            <w:shd w:fill="FFDCE0" w:val="clear"/>
          </w:tcPr>
          <w:p>
            <w:r>
              <w:rPr>
                <w:b/>
                <w:color w:val="C00000"/>
                <w:sz w:val="17"/>
              </w:rPr>
              <w:t>-9.1%</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16,640</w:t>
            </w:r>
          </w:p>
        </w:tc>
        <w:tc>
          <w:tcPr>
            <w:tcW w:type="dxa" w:w="1440"/>
            <w:shd w:fill="FFDCE0" w:val="clear"/>
          </w:tcPr>
          <w:p>
            <w:r>
              <w:rPr>
                <w:b/>
                <w:sz w:val="17"/>
              </w:rPr>
              <w:t>19,340</w:t>
            </w:r>
          </w:p>
        </w:tc>
        <w:tc>
          <w:tcPr>
            <w:tcW w:type="dxa" w:w="1440"/>
            <w:shd w:fill="FFDCE0" w:val="clear"/>
          </w:tcPr>
          <w:p>
            <w:r>
              <w:rPr>
                <w:sz w:val="17"/>
              </w:rPr>
              <w:t>22,040</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NSIA BANQUE CÔTE D'IVOIRE (NSBC)</w:t>
        <w:br/>
        <w:t>**Bourse Régionale des Valeurs Mobilières (BRVM) — Secteur : Banque**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**531,79 milliards FCFA**, NSBC figure parmi les valeurs bancaires les plus importantes de la cote BRVM, ce qui lui confère une liquidité relative et une visibilité institutionnelle appréciables. Le BPA s'établit à **1 646 FCFA/action**, ce qui signifie que chaque titre génère près de 1 646 FCFA de bénéfice net, un niveau élevé qui traduit la forte rentabilité de la banque. Le PER de **13,1x** se situe légèrement au-dessus de la moyenne du marché BRVM (8-12x), signalant que les investisseurs acceptent de payer une prime modérée pour cette valeur de croissance, sans que cela constitue une surévaluation excessive. Le P/B de **2,28x** indique que le marché valorise la banque à plus de deux fois sa valeur comptable, une prime de croissance justifiée par un ROE de 17,45% nettement supérieur au coût des fonds propres. En revanche, l'EV/EBITDA de **20,7x** apparaît très exigeant (&gt;15x), ce qui suggère que la valeur d'entreprise intègre déjà une bonne partie des anticipations de croissance future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NSBC a enregistré une progression spectaculaire de **+53,57%**, passant d'environ 14 000 FCFA à son cours actuel de **21 500 FCFA**, tandis que la dernière séance (J-1) est restée stable à **+0,00%**, marquant une pause dans la dynamique haussière. Le range de trading est particulièrement large, avec un plus haut à **24 885 FCFA** et un plus bas à **13 810 FCFA**, soit une amplitude de plus de 80% qui témoigne d'une forte volatilité directionnelle. La tendance générale est clairement **haussière**, portée par des publications financières solides et un intérêt croissant pour les valeurs bancaires de la zone UEMOA. Les statistiques descriptives révèlent une **moyenne de 21 072 FCFA** légèrement inférieure à la **médiane de 21 950 FCFA**, ce qui confirme une asymétrie négative (skewness de **-0,882**) : le cours a passé plus de journées au-dessus de sa moyenne, mais quelques séances de forte baisse ont tiré la moyenne vers le bas. L'écart-type de **2 780 FCFA** avec un coefficient de variation de **13,2%** indique une dispersion modérée autour de la moyenne, tandis que le kurtosis de **0,166** (mésokurtique) suggère une distribution proche de la normale, sans risque extrême de pics de volatilité. La **volatilité annualisée de 41,5%** classe ce titre dans la catégorie des valeurs à volatilité **élevée** (&gt;30%), ce qui implique un risque de marché significatif mais cohérent avec le potentiel de rendement offert.</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**23 359,75 FCFA** et la MM50 à **23 233,80 FCFA**, toutes deux nettement au-dessus du cours actuel de 21 500 FCFA. Cette configuration signale que le titre évolue en dessous de ses moyennes de court et moyen terme, ce qui traduit une correction récente après le rallye haussier. Toutefois, la décision technique affichée est **Achat**, probablement en anticipation d'un rebond technique vers ces niveaux de résistance dynamique.</w:t>
      </w:r>
    </w:p>
    <w:p>
      <w:pPr>
        <w:spacing w:after="120" w:line="276" w:lineRule="auto"/>
      </w:pPr>
      <w:r>
        <w:t>**Bandes de Bollinger** : La borne supérieure se situe à **25 888,81 FCFA** et la borne inférieure à **20 830,70 FCFA**, avec un cours actuel de **21 500 FCFA** positionné dans la partie basse du canal. Cette position suggère que le titre est proche de sa zone de survente relative, mais la décision reste **Neutre** car le cours n'a pas encore touché la borne inférieure, laissant place à une possible poursuite de la correction.</w:t>
      </w:r>
    </w:p>
    <w:p>
      <w:pPr>
        <w:spacing w:after="120" w:line="276" w:lineRule="auto"/>
      </w:pPr>
      <w:r>
        <w:t>**MACD** : La valeur du MACD est de **-398,55** contre un signal à **-101,24**, avec un MACD nettement en dessous de sa ligne de signal. Cette configuration baissière indique un momentum négatif persistant et justifie la décision de **Vente**, bien que l'écart entre les deux lignes commence peut-être à se stabiliser.</w:t>
      </w:r>
    </w:p>
    <w:p>
      <w:pPr>
        <w:spacing w:after="120" w:line="276" w:lineRule="auto"/>
      </w:pPr>
      <w:r>
        <w:t>**RSI** : À **32,83**, le RSI se situe juste au-dessus du seuil de survente (30), ce qui place le titre en zone **Neutre** mais proche d'un niveau de rebond potentiel. Un RSI à ce niveau après une correction suggère que la pression vendeuse pourrait s'essouffler à court terme.</w:t>
      </w:r>
    </w:p>
    <w:p>
      <w:pPr>
        <w:spacing w:after="120" w:line="276" w:lineRule="auto"/>
      </w:pPr>
      <w:r>
        <w:t>**Stochastique** : Le %K est à **18,56** et le %D à **26,78**, avec un %K en dessous du %D, ce qui est généralement un signal baissier à court terme. Cependant, la décision affichée est **Achat**, probablement en raison de la position du %K en zone de survente (&lt;20), anticipant un croisement haussier prochain.</w:t>
      </w:r>
    </w:p>
    <w:p>
      <w:pPr>
        <w:spacing w:after="120" w:line="276" w:lineRule="auto"/>
      </w:pPr>
      <w:r>
        <w:t>**Conclusion technique** : Les indicateurs techniques présentent un tableau **mitigé mais orienté vers un rebond potentiel**. Si le MACD reste baissier et que le cours évolue sous ses moyennes mobiles, le RSI proche de la survente et le stochastique en zone basse suggèrent qu'une reprise technique pourrait se matérialiser à court terme. La convergence entre la position basse dans les Bandes de Bollinger et le RSI à 32,83 plaide pour une **accumulation progressive** plutôt qu'une vente panique, mais la prudence reste de mise tant que le MACD ne montre pas de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NSIA Banque Côte d'Ivoire a réalisé un **Produit Net Bancaire (PNB) de 112,928 milliards FCFA**, en croissance de **+15,45%** par rapport à 2024, porté par une marge d'intérêts en hausse de 26% et des commissions nettes de 19,885 milliards FCFA. Le **résultat net s'élève à 40,712 milliards FCFA**, soit une marge nette de **36,05%**, l'une des plus élevées du secteur bancaire de la BRVM. Le **ROE atteint 17,45%** (&gt;15% = excellent) et le **ROA 1,32%**, confirmant une rentabilité robuste. Le **coefficient d'exploitation de 54,59%** (&lt;60%) témoigne d'une bonne efficacité opérationnelle, tandis que le **coût du risque de 7,54%** (provisions/charges financières) reste modéré mais en hausse par rapport à 2024. Le bilan affiche un **total actif de 3 073,06 milliards FCFA** (+22%), avec des **créances clientèle de 1 818,67 milliards FCFA** (+18%) et des **dépôts clientèle de 2 242,22 milliards FCFA** (+32%), soit un ratio dépôts/crédits de 123%, traduisant une forte capacité de collecte et une liquidité abondante. Les **créances interbancaires de 252,76 milliards FCFA** et les **dettes interbancaires de 491,59 milliards FCFA** montrent une activité significative sur le marché monétaire, tandis que les **capitaux propres de 233,30 milliards FCFA** offrent une autonomie financière de 7,59%, typique du modèle bancaire (effet de levier élevé).</w:t>
      </w:r>
    </w:p>
    <w:p>
      <w:pPr>
        <w:spacing w:after="120" w:line="276" w:lineRule="auto"/>
      </w:pPr>
      <w:r>
        <w:t>**Estimations basées sur les rapports trimestriels** : Le rapport du **T1 2026 (publié en 2026)** révèle un **PNB de 28,615 milliards FCFA (+28%)** et un **résultat net de 10,912 milliards FCFA (+53%)**, avec une marge nette en amélioration à **38,1%**. Cette dynamique, portée par l'activité titres et la maîtrise du coût du risque, permet d'**estimer un exercice 2026 en forte croissance**, avec un résultat net potentiellement supérieur à 45 milliards FCFA si la tendance se maintient. Le rapport **T3 2025 (publié en 2025)** confirmait déjà cette trajectoire avec un PNB de 77,4 milliards FCFA (+7%) et un résultat net de 25,0 milliards FCFA (+6%) sur 9 mois. Le rapport **S1 2025** affichait un coefficient d'exploitation en amélioration à 56,9% et une marge nette de 32,3%. Les rapports plus anciens (**T3 2024, exercice 2024**) montrent une progression continue du ROE (18% en 2024) et une amélioration de la qualité du crédit, bien que le coût du risque se soit dégradé en 2025 (-8,5 milliards FCFA de dotation contre +0,6 milliard de reprise en 2024).</w:t>
      </w:r>
    </w:p>
    <w:p>
      <w:pPr>
        <w:spacing w:after="120" w:line="276" w:lineRule="auto"/>
      </w:pPr>
      <w:r>
        <w:t>**Recommandation fondamentale** : NSBC présente des **fondamentaux solides** avec une croissance à deux chiffres du PNB et du résultat net, une rentabilité élevée (ROE &gt;17%, marge nette &gt;36%) et une efficacité opérationnelle en amélioration. Les **risques principaux** résident dans la dégradation du coût du risque en 2025 et la concentration de la performance sur l'activité titres, potentiellement volatile. La **recommandation fondamentale est CONSERVER**, avec un biais positif pour les investisseurs déjà positionnés, en attendant la confirmation de la tendance au T2 2026 et des précisions sur la politique de dividende.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finale d'ACHAT**, avec un **niveau de confiance moyen** et un **risque global élevé**. La **valorisation (Partie 0)** est modérément exigeante (PER 13,1x, P/B 2,28x, EV/EBITDA 20,7x), ce qui limite le potentiel de revalorisation à court terme mais reste justifié par la qualité des fondamentaux. Le **comportement du cours (Partie 1)** montre une tendance haussière de long terme (+53,57% sur 100 jours) mais une correction récente, avec une volatilité élevée (41,5%) et une asymétrie négative (skewness -0,882) qui suggère que les baisses récentes pourraient être des opportunités d'achat. Les **signaux techniques (Partie 2)** sont mitigés : le MACD est baissier, mais le RSI (32,83) et le stochastique (18,56) indiquent une survente proche, tandis que les moyennes mobiles restent au-dessus du cours, créant un potentiel de rebond vers 23 000-24 000 FCFA. Les **fondamentaux (Partie 3)** sont excellents, avec un PNB de 112,9 milliards FCFA en 2025 (+15,45%), un résultat net de 40,7 milliards FCFA, un ROE de 17,45% et une marge nette de 36,05%, tandis que le T1 2026 (+53% de résultat net) confirme une accélération de la dynamique. Les **prédictions IA (J+1 à J+10)** anticipent une poursuite de la correction baissière, avec un cours cible de **20 373 FCFA** à J+10 (soit -5,2% par rapport au cours actuel), ce qui **contredit partiellement** les signaux techniques de rebond mais **ne remet pas en cause** la solidité fondamentale. La **convergence** entre la valorisation raisonnable, les fondamentaux solides et le potentiel de rebond technique l'emporte sur la divergence à court terme des prédictions IA, justifiant une **recommandation d'ACHAT** pour les investisseurs prêts à tolérer une volatilité élevée. L'**horizon optimal** est le **moyen terme (3-12 mois)**, le temps que la correction technique s'achève et que les résultats 2026 confirment la trajectoire de croissance. Les investisseurs à court terme (&lt;3 mois) devraient attendre un signal de retournement du MACD avant d'entrer, tandis que les investisseurs long terme (&gt;1 an) peuvent accumuler progressivement sur les niveaux actuels, en surveillant l'évolution du coût du risque et la politique de dividende.</w:t>
      </w:r>
    </w:p>
    <w:p>
      <w:pPr>
        <w:spacing w:after="120" w:line="276" w:lineRule="auto"/>
      </w:pPr>
      <w:r>
        <w:t>---</w:t>
      </w:r>
    </w:p>
    <w:p>
      <w:pPr>
        <w:spacing w:after="120" w:line="276" w:lineRule="auto"/>
      </w:pPr>
      <w:r>
        <w:t>*Ce rapport est fourni à titre informatif et ne constitue pas un conseil en investissement. Les investisseurs sont invités à consulter un professionnel avant toute décision.*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331.06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1,286 titres</w:t>
            </w:r>
          </w:p>
        </w:tc>
        <w:tc>
          <w:tcPr>
            <w:tcW w:type="dxa" w:w="2268"/>
            <w:shd w:fill="FFF2CC" w:val="clear"/>
          </w:tcPr>
          <w:p>
            <w:r>
              <w:rPr>
                <w:b/>
                <w:color w:val="503200"/>
                <w:sz w:val="16"/>
              </w:rPr>
              <w:t xml:space="preserve">Cours actuel : </w:t>
            </w:r>
            <w:r>
              <w:rPr>
                <w:color w:val="000000"/>
                <w:sz w:val="17"/>
              </w:rPr>
              <w:t>15,000 FCFA</w:t>
            </w:r>
          </w:p>
          <w:p>
            <w:r>
              <w:rPr>
                <w:b/>
                <w:color w:val="503200"/>
                <w:sz w:val="16"/>
              </w:rPr>
              <w:t xml:space="preserve">Var. 100 jours : </w:t>
            </w:r>
            <w:r>
              <w:rPr>
                <w:b/>
                <w:color w:val="007800"/>
                <w:sz w:val="17"/>
              </w:rPr>
              <w:t>+28.21%</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μ=15,383 FCFA, σ=1,700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β=0.5723 (Défensif) — Cov=0.000040, Var(idx)=0.000069, ρ=0.202,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14,476</w:t>
            </w:r>
          </w:p>
        </w:tc>
        <w:tc>
          <w:tcPr>
            <w:tcW w:type="dxa" w:w="1440"/>
            <w:shd w:fill="FAFAFA" w:val="clear"/>
          </w:tcPr>
          <w:p>
            <w:r>
              <w:rPr>
                <w:b/>
                <w:sz w:val="17"/>
              </w:rPr>
              <w:t>15,209</w:t>
            </w:r>
          </w:p>
        </w:tc>
        <w:tc>
          <w:tcPr>
            <w:tcW w:type="dxa" w:w="1440"/>
            <w:shd w:fill="FAFAFA" w:val="clear"/>
          </w:tcPr>
          <w:p>
            <w:r>
              <w:rPr>
                <w:sz w:val="17"/>
              </w:rPr>
              <w:t>15,943</w:t>
            </w:r>
          </w:p>
        </w:tc>
        <w:tc>
          <w:tcPr>
            <w:tcW w:type="dxa" w:w="1440"/>
            <w:shd w:fill="FAFAFA" w:val="clear"/>
          </w:tcPr>
          <w:p>
            <w:r>
              <w:rPr>
                <w:b/>
                <w:color w:val="008000"/>
                <w:sz w:val="17"/>
              </w:rPr>
              <w:t>+1.4%</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14,160</w:t>
            </w:r>
          </w:p>
        </w:tc>
        <w:tc>
          <w:tcPr>
            <w:tcW w:type="dxa" w:w="1440"/>
            <w:shd w:fill="FAFAFA" w:val="clear"/>
          </w:tcPr>
          <w:p>
            <w:r>
              <w:rPr>
                <w:b/>
                <w:sz w:val="17"/>
              </w:rPr>
              <w:t>15,196</w:t>
            </w:r>
          </w:p>
        </w:tc>
        <w:tc>
          <w:tcPr>
            <w:tcW w:type="dxa" w:w="1440"/>
            <w:shd w:fill="FAFAFA" w:val="clear"/>
          </w:tcPr>
          <w:p>
            <w:r>
              <w:rPr>
                <w:sz w:val="17"/>
              </w:rPr>
              <w:t>16,233</w:t>
            </w:r>
          </w:p>
        </w:tc>
        <w:tc>
          <w:tcPr>
            <w:tcW w:type="dxa" w:w="1440"/>
            <w:shd w:fill="FAFAFA" w:val="clear"/>
          </w:tcPr>
          <w:p>
            <w:r>
              <w:rPr>
                <w:b/>
                <w:color w:val="008000"/>
                <w:sz w:val="17"/>
              </w:rPr>
              <w:t>+1.3%</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13,921</w:t>
            </w:r>
          </w:p>
        </w:tc>
        <w:tc>
          <w:tcPr>
            <w:tcW w:type="dxa" w:w="1440"/>
            <w:shd w:fill="FAFAFA" w:val="clear"/>
          </w:tcPr>
          <w:p>
            <w:r>
              <w:rPr>
                <w:b/>
                <w:sz w:val="17"/>
              </w:rPr>
              <w:t>15,190</w:t>
            </w:r>
          </w:p>
        </w:tc>
        <w:tc>
          <w:tcPr>
            <w:tcW w:type="dxa" w:w="1440"/>
            <w:shd w:fill="FAFAFA" w:val="clear"/>
          </w:tcPr>
          <w:p>
            <w:r>
              <w:rPr>
                <w:sz w:val="17"/>
              </w:rPr>
              <w:t>16,459</w:t>
            </w:r>
          </w:p>
        </w:tc>
        <w:tc>
          <w:tcPr>
            <w:tcW w:type="dxa" w:w="1440"/>
            <w:shd w:fill="FAFAFA" w:val="clear"/>
          </w:tcPr>
          <w:p>
            <w:r>
              <w:rPr>
                <w:b/>
                <w:color w:val="008000"/>
                <w:sz w:val="17"/>
              </w:rPr>
              <w:t>+1.3%</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13,720</w:t>
            </w:r>
          </w:p>
        </w:tc>
        <w:tc>
          <w:tcPr>
            <w:tcW w:type="dxa" w:w="1440"/>
            <w:shd w:fill="FAFAFA" w:val="clear"/>
          </w:tcPr>
          <w:p>
            <w:r>
              <w:rPr>
                <w:b/>
                <w:sz w:val="17"/>
              </w:rPr>
              <w:t>15,185</w:t>
            </w:r>
          </w:p>
        </w:tc>
        <w:tc>
          <w:tcPr>
            <w:tcW w:type="dxa" w:w="1440"/>
            <w:shd w:fill="FAFAFA" w:val="clear"/>
          </w:tcPr>
          <w:p>
            <w:r>
              <w:rPr>
                <w:sz w:val="17"/>
              </w:rPr>
              <w:t>16,649</w:t>
            </w:r>
          </w:p>
        </w:tc>
        <w:tc>
          <w:tcPr>
            <w:tcW w:type="dxa" w:w="1440"/>
            <w:shd w:fill="FAFAFA" w:val="clear"/>
          </w:tcPr>
          <w:p>
            <w:r>
              <w:rPr>
                <w:b/>
                <w:color w:val="008000"/>
                <w:sz w:val="17"/>
              </w:rPr>
              <w:t>+1.2%</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13,543</w:t>
            </w:r>
          </w:p>
        </w:tc>
        <w:tc>
          <w:tcPr>
            <w:tcW w:type="dxa" w:w="1440"/>
            <w:shd w:fill="FAFAFA" w:val="clear"/>
          </w:tcPr>
          <w:p>
            <w:r>
              <w:rPr>
                <w:b/>
                <w:sz w:val="17"/>
              </w:rPr>
              <w:t>15,180</w:t>
            </w:r>
          </w:p>
        </w:tc>
        <w:tc>
          <w:tcPr>
            <w:tcW w:type="dxa" w:w="1440"/>
            <w:shd w:fill="FAFAFA" w:val="clear"/>
          </w:tcPr>
          <w:p>
            <w:r>
              <w:rPr>
                <w:sz w:val="17"/>
              </w:rPr>
              <w:t>16,817</w:t>
            </w:r>
          </w:p>
        </w:tc>
        <w:tc>
          <w:tcPr>
            <w:tcW w:type="dxa" w:w="1440"/>
            <w:shd w:fill="FAFAFA" w:val="clear"/>
          </w:tcPr>
          <w:p>
            <w:r>
              <w:rPr>
                <w:b/>
                <w:color w:val="008000"/>
                <w:sz w:val="17"/>
              </w:rPr>
              <w:t>+1.2%</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13,383</w:t>
            </w:r>
          </w:p>
        </w:tc>
        <w:tc>
          <w:tcPr>
            <w:tcW w:type="dxa" w:w="1440"/>
            <w:shd w:fill="FAFAFA" w:val="clear"/>
          </w:tcPr>
          <w:p>
            <w:r>
              <w:rPr>
                <w:b/>
                <w:sz w:val="17"/>
              </w:rPr>
              <w:t>15,176</w:t>
            </w:r>
          </w:p>
        </w:tc>
        <w:tc>
          <w:tcPr>
            <w:tcW w:type="dxa" w:w="1440"/>
            <w:shd w:fill="FAFAFA" w:val="clear"/>
          </w:tcPr>
          <w:p>
            <w:r>
              <w:rPr>
                <w:sz w:val="17"/>
              </w:rPr>
              <w:t>16,969</w:t>
            </w:r>
          </w:p>
        </w:tc>
        <w:tc>
          <w:tcPr>
            <w:tcW w:type="dxa" w:w="1440"/>
            <w:shd w:fill="FAFAFA" w:val="clear"/>
          </w:tcPr>
          <w:p>
            <w:r>
              <w:rPr>
                <w:b/>
                <w:color w:val="008000"/>
                <w:sz w:val="17"/>
              </w:rPr>
              <w:t>+1.2%</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13,235</w:t>
            </w:r>
          </w:p>
        </w:tc>
        <w:tc>
          <w:tcPr>
            <w:tcW w:type="dxa" w:w="1440"/>
            <w:shd w:fill="FAFAFA" w:val="clear"/>
          </w:tcPr>
          <w:p>
            <w:r>
              <w:rPr>
                <w:b/>
                <w:sz w:val="17"/>
              </w:rPr>
              <w:t>15,171</w:t>
            </w:r>
          </w:p>
        </w:tc>
        <w:tc>
          <w:tcPr>
            <w:tcW w:type="dxa" w:w="1440"/>
            <w:shd w:fill="FAFAFA" w:val="clear"/>
          </w:tcPr>
          <w:p>
            <w:r>
              <w:rPr>
                <w:sz w:val="17"/>
              </w:rPr>
              <w:t>17,107</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13,097</w:t>
            </w:r>
          </w:p>
        </w:tc>
        <w:tc>
          <w:tcPr>
            <w:tcW w:type="dxa" w:w="1440"/>
            <w:shd w:fill="FAFAFA" w:val="clear"/>
          </w:tcPr>
          <w:p>
            <w:r>
              <w:rPr>
                <w:b/>
                <w:sz w:val="17"/>
              </w:rPr>
              <w:t>15,166</w:t>
            </w:r>
          </w:p>
        </w:tc>
        <w:tc>
          <w:tcPr>
            <w:tcW w:type="dxa" w:w="1440"/>
            <w:shd w:fill="FAFAFA" w:val="clear"/>
          </w:tcPr>
          <w:p>
            <w:r>
              <w:rPr>
                <w:sz w:val="17"/>
              </w:rPr>
              <w:t>17,235</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12,968</w:t>
            </w:r>
          </w:p>
        </w:tc>
        <w:tc>
          <w:tcPr>
            <w:tcW w:type="dxa" w:w="1440"/>
            <w:shd w:fill="FAFAFA" w:val="clear"/>
          </w:tcPr>
          <w:p>
            <w:r>
              <w:rPr>
                <w:b/>
                <w:sz w:val="17"/>
              </w:rPr>
              <w:t>15,161</w:t>
            </w:r>
          </w:p>
        </w:tc>
        <w:tc>
          <w:tcPr>
            <w:tcW w:type="dxa" w:w="1440"/>
            <w:shd w:fill="FAFAFA" w:val="clear"/>
          </w:tcPr>
          <w:p>
            <w:r>
              <w:rPr>
                <w:sz w:val="17"/>
              </w:rPr>
              <w:t>17,355</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12,845</w:t>
            </w:r>
          </w:p>
        </w:tc>
        <w:tc>
          <w:tcPr>
            <w:tcW w:type="dxa" w:w="1440"/>
            <w:shd w:fill="FAFAFA" w:val="clear"/>
          </w:tcPr>
          <w:p>
            <w:r>
              <w:rPr>
                <w:b/>
                <w:sz w:val="17"/>
              </w:rPr>
              <w:t>15,157</w:t>
            </w:r>
          </w:p>
        </w:tc>
        <w:tc>
          <w:tcPr>
            <w:tcW w:type="dxa" w:w="1440"/>
            <w:shd w:fill="FAFAFA" w:val="clear"/>
          </w:tcPr>
          <w:p>
            <w:r>
              <w:rPr>
                <w:sz w:val="17"/>
              </w:rPr>
              <w:t>17,468</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Entreprise (Agroalimentaire)**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331,06 milliards FCFA, NTLC figure parmi les valeurs les plus capitalisées de la BRVM, ce qui en fait un pilier de l'indice composite et un titre de référence pour les investisseurs institutionnels. Le BPA de 835 FCFA/action signifie que chaque titre génère près de 835 FCFA de bénéfice net, un niveau confortable qui traduit la rentabilité intrinsèque de l'entreprise. Le PER de 18,0x se situe nettement au-dessus de la moyenne BRVM (~8-12x), signalant que les investisseurs paient une prime de qualité pour ce titre défensif, bien que cette valorisation reste modérée au regard des standards internationaux du secteur agroalimentaire. Le P/B de 11,19x est particulièrement exigeant (&gt;4x) et traduit une forte prime par rapport à la valeur comptable — conséquence directe de capitaux propres relativement faibles (29,59 Mds FCFA) face à une capitalisation de 331 Mds FCFA, ce qui s'explique par la politique de distribution quasi-intégrale des bénéfices passés. Enfin, l'EV/EBITDA de 9,1x se situe dans la fourchette raisonnable (5-10x), indiquant que la valeur totale de l'entreprise (dette incluse)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performance remarquable de **+28,21%**, bien que la dernière séance (J-1) marque un repli de **-2,60%**, signalant une prise de bénéfices après le rallye. Le cours actuel de 15 000 FCFA se situe dans la moitié inférieure du range de trading établi entre un plus bas de 11 150 FCFA et un plus haut de 18 000 FCFA, ce qui suggère que le titre a corrigé depuis ses sommets et évolue désormais en zone de consolidation. La tendance générale reste haussière sur la période, mais le repli récent et la position sous les moyennes mobiles indiquent un essoufflement du momentum acheteur. Les statistiques descriptives révèlent une **moyenne de 15 383 FCFA** légèrement inférieure à la **médiane de 15 995 FCFA**, confirmant une asymétrie négative (skewness de -0,970) avec davantage de journées de cotation au-dessus de la moyenne — le titre a donc passé plus de temps dans les hauts de fourchette avant de corriger. L'**écart-type de 1 708 FCFA (CV=11,1%)** traduit une dispersion modérée du cours autour de sa moyenne, tandis que le **kurtosis de -0,161 (mésokurtique)** indique une distribution proche de la normale, sans risque majeur de pics extrêmes. La **volatilité annualisée de 37,2%** classe ce titre dans la catégorie des valeurs à volatilité élevée (&gt;30%), ce qui est cohérent avec un titre ayant connu un rallye de près de 30% en trois mois.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16 099 FCFA et la MM50 à 16 481,2 FCFA, toutes deux nettement supérieures au cours actuel de 15 000 FCFA. Cette configuration — prix sous les deux moyennes — confirme une tendance baissière de court et moyen terme, justifiant pleinement la décision technique de **Vente**. Le croisement potentiel de la MM20 sous la MM50 (death cross) renforcerait ce signal négatif si la correction se poursuit.</w:t>
      </w:r>
    </w:p>
    <w:p>
      <w:pPr>
        <w:spacing w:after="120" w:line="276" w:lineRule="auto"/>
      </w:pPr>
      <w:r>
        <w:t>**Bandes de Bollinger :** Le cours actuel (15 000 FCFA) se situe dans la partie basse de la bande, entre la borne inférieure (14 225,7 FCFA) et la borne supérieure (17 972,3 FCFA), sans franchir les extrêmes. Cette position médiane-basse traduit une volatilité en cours de normalisation après le rallye, et la décision **Neutre** reflète l'absence de signal clair — ni surachat, ni survente selon ce seul indicateur.</w:t>
      </w:r>
    </w:p>
    <w:p>
      <w:pPr>
        <w:spacing w:after="120" w:line="276" w:lineRule="auto"/>
      </w:pPr>
      <w:r>
        <w:t>**MACD :** La valeur du MACD (-450,69) est inférieure à son signal (-337,02), confirmant un momentum baissier avec une divergence négative persistante. Le MACD évoluant en territoire négatif, la pression vendeuse domine, ce qui justifie la décision de **Vente** et suggère que la correction n'est pas encore terminée.</w:t>
      </w:r>
    </w:p>
    <w:p>
      <w:pPr>
        <w:spacing w:after="120" w:line="276" w:lineRule="auto"/>
      </w:pPr>
      <w:r>
        <w:t>**RSI :** Avec une valeur de **28,205**, le RSI se situe en zone de **survente** (&lt;30), ce qui constitue un signal d'**Achat** technique. Cette lecture contredit les signaux baissiers des moyennes mobiles et du MACD, indiquant que le titre pourrait être proche d'un point de rebond après la correction récente.</w:t>
      </w:r>
    </w:p>
    <w:p>
      <w:pPr>
        <w:spacing w:after="120" w:line="276" w:lineRule="auto"/>
      </w:pPr>
      <w:r>
        <w:t>**Stochastique :** Le %K (20,83) est inférieur au %D (30,56), sans croisement haussier confirmé, et les deux lignes évoluent en zone basse. La décision **Neutre** traduit l'absence de signal directionnel fort, bien que la position basse du %K suggère une possible inflexion à venir.</w:t>
      </w:r>
    </w:p>
    <w:p>
      <w:pPr>
        <w:spacing w:after="120" w:line="276" w:lineRule="auto"/>
      </w:pPr>
      <w:r>
        <w:t>**Conclusion technique :** Les indicateurs présentent une **divergence notable** : les moyennes mobiles et le MACD confirment une tendance baissière de court terme, tandis que le RSI en zone de survente (28,2) signale un potentiel rebond technique. Le titre se trouve à un point d'inflexion où la pression vendeuse pourrait s'essouffler, mais l'absence de confirmation haussière (Stochastique neutre, cours sous les MM) invite à la prudence. Un retour au-dessus de la MM20 (16 099 FCFA) serait nécessaire pour valider une reprise durable.</w:t>
      </w:r>
    </w:p>
    <w:p>
      <w:pPr>
        <w:spacing w:after="120" w:line="276" w:lineRule="auto"/>
      </w:pPr>
      <w:r>
        <w:t>---</w:t>
      </w:r>
    </w:p>
    <w:p>
      <w:pPr>
        <w:spacing w:after="120" w:line="276" w:lineRule="auto"/>
      </w:pPr>
      <w:r>
        <w:t>## PARTIE 3 : ANALYSE FONDAMENTALE</w:t>
      </w:r>
    </w:p>
    <w:p>
      <w:pPr>
        <w:spacing w:after="120" w:line="276" w:lineRule="auto"/>
      </w:pPr>
      <w:r>
        <w:t>**Données structurées (états financiers annuels 2025) :** En 2025, Nestlé Côte d'Ivoire a réalisé un chiffre d'affaires de **233,26 milliards FCFA**, en croissance de **+5,97%** par rapport à 2024 (220,11 Mds FCFA), portée par les ventes de produits fabriqués (+6,3%). Le résultat net s'établit à **18,43 milliards FCFA**, en légère hausse de +1,53%, avec une marge nette de **7,90%** (contre 8,25% en 2024). Le **ROE de 62,28%** demeure exceptionnel (&gt;15% = excellent), bien qu'il soit mécaniquement gonflé par des capitaux propres faibles (29,59 Mds FCFA), conséquence d'une politique de distribution historiquement généreuse. Le **ROA de 9,70%** traduit une bonne efficacité dans l'utilisation des actifs (189,96 Mds FCFA au total). En tant qu'entreprise agroalimentaire, les points d'attention portent sur le **BFR de 22,63 Mds FCFA** (positif, donc consommateur de trésorerie), le **délai clients de 74,30 jours** (élevé, signalant un risque de trésorerie) et la **durée de stockage de 59,39 jours** (immobilisation de capital notable). La structure financière est tendue : **autonomie financière de 15,58%** (&lt;30% = insuffisant), **ratio d'endettement de 135,85%** et **liquidité générale de 79,86%** (&lt;1 = tension), bien que la **couverture des intérêts de 473,63%** reste confortable.</w:t>
      </w:r>
    </w:p>
    <w:p>
      <w:pPr>
        <w:spacing w:after="120" w:line="276" w:lineRule="auto"/>
      </w:pPr>
      <w:r>
        <w:t>**Estimations basées sur les rapports trimestriels :** Le rapport du **T1 2026 (arrêté au 31 mars 2026)** révèle une accélération spectaculaire avec un CA de **70,82 Mds FCFA (+31%)** et un résultat net de **7,53 Mds FCFA (+37%)**, portant la marge nette à **10,6%** (contre 10,1% au T1 2025). Sur cette base, on estime que l'exercice 2026 devrait afficher une croissance à deux chiffres du CA (potentiellement +15% à +20% en rythme annualisé), avec une amélioration de la rentabilité nette. Toutefois, le rapport du **T3 2025 (30 septembre 2025)** avait montré un ralentissement avec un CA de 173,41 Mds FCFA (+1,36%) et un résultat net de 11,94 Mds FCFA (-21,3%), avant le rebond du T4 2025. La **réduction du dividende 2025 à 9,27 Mds FCFA** (payout de 50,3% contre 99,7% en 2024) marque un changement stratégique vers le réinvestissement, avec une mise en réserve de 9,22 Mds FCFA pour financer la croissance future.</w:t>
      </w:r>
    </w:p>
    <w:p>
      <w:pPr>
        <w:spacing w:after="120" w:line="276" w:lineRule="auto"/>
      </w:pPr>
      <w:r>
        <w:t>**Recommandation fondamentale :** La solidité du modèle Nestlé (marque leader, croissance du CA, ROE élevé) est indéniable, mais les risques sont réels : pression sur les marges (hausse des coûts matières premières et emballages), endettement élevé (dépendance financière de 84,42%), et trésorerie nette négative (-46,83 Mds FCFA). La dynamique du T1 2026 est très encourageante et pourrait justifier une revalorisation du titre si elle se confirme sur l'année. **Recommandation fondamentale : CONSERVER avec biais positif**, en surveillant l'évolution des marges et de l'endettement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 PER de 18,0x et le P/B de 11,19x indiquent une **surévaluation relative** par rapport à la moyenne BRVM, bien que l'EV/EBITDA de 9,1x reste raisonnable — le marché intègre déjà une prime de qualité. Le **comportement du cours (Partie 1)** montre une tendance haussière de fond (+28,21% sur 100 jours) mais une correction récente (-2,60% en J-1) avec une volatilité élevée (37,2%) et une asymétrie négative (skewness -0,970), ce qui suggère que le titre pourrait encore corriger avant de rebondir. Les **signaux techniques (Partie 2)** sont **divergents** : baissiers pour les MM et le MACD, mais haussiers pour le RSI en survente (28,2), créant une incertitude directionnelle de court terme. Les **fondamentaux (Partie 3)** sont solides (CA 2025 de 233,26 Mds FCFA, RN de 18,43 Mds FCFA, ROE de 62,28%) et le T1 2026 (+31% de CA, +37% de RN) confirme une accélération prometteuse, mais les risques de marges et d'endettement persistent. Les **prédictions IA (J+1 à J+10)** anticipent une **stabilisation autour de 15 180-15 209 FCFA**, soit une légère baisse puis un plateau, ce qui **contredit partiellement** le signal de rebond du RSI mais **confirme** la tendance baissière de court terme des MM/MACD.</w:t>
      </w:r>
    </w:p>
    <w:p>
      <w:pPr>
        <w:spacing w:after="120" w:line="276" w:lineRule="auto"/>
      </w:pPr>
      <w:r>
        <w:t>**Recommandation finale : CONSERVER**</w:t>
        <w:br/>
        <w:t>**Justification :** La convergence entre la valorisation exigeante (PER 18x, P/B 11,19x), les signaux techniques majoritairement baissiers (MM, MACD) et les prédictions IA de stagnation à court terme invite à la prudence. Cependant, la solidité fondamentale (ROE 62,28%, croissance du CA, T1 2026 exceptionnel) et le RSI en survente (28,2) offrent un potentiel de rebond à moyen terme. Le titre n'est ni un achat agressif (surévaluation, endettement), ni une vente (fondamentaux solides, dynamique commerciale). **Niveau de confiance : Moyen** — les signaux contradictoires et la volatilité élevée limitent la visibilité. **Niveau de risque : Moyen à Élevé** — endettement significatif (dépendance financière 84,42%) et sensibilité aux coûts des matières premières. **Horizon d'investissement optimal : Moyen terme (3-12 mois)** — le temps que la correction technique s'achève et que la dynamique du T1 2026 se confirme sur les trimestres suivants, avec un objectif de cours potentiel vers 16 500-17 000 FCFA si les marges s'améliorent.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5,438 titres</w:t>
            </w:r>
          </w:p>
        </w:tc>
        <w:tc>
          <w:tcPr>
            <w:tcW w:type="dxa" w:w="2268"/>
            <w:shd w:fill="FFF2CC" w:val="clear"/>
          </w:tcPr>
          <w:p>
            <w:r>
              <w:rPr>
                <w:b/>
                <w:color w:val="503200"/>
                <w:sz w:val="16"/>
              </w:rPr>
              <w:t xml:space="preserve">Cours actuel : </w:t>
            </w:r>
            <w:r>
              <w:rPr>
                <w:color w:val="000000"/>
                <w:sz w:val="17"/>
              </w:rPr>
              <w:t>2,945 FCFA</w:t>
            </w:r>
          </w:p>
          <w:p>
            <w:r>
              <w:rPr>
                <w:b/>
                <w:color w:val="503200"/>
                <w:sz w:val="16"/>
              </w:rPr>
              <w:t xml:space="preserve">Var. 100 jours : </w:t>
            </w:r>
            <w:r>
              <w:rPr>
                <w:b/>
                <w:color w:val="007800"/>
                <w:sz w:val="17"/>
              </w:rPr>
              <w:t>+6.13%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2.83% (Faible) — μ=2,847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β=0.5214 (Défensif) — Cov=0.000036, Var(idx)=0.000069, ρ=0.210,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2,832</w:t>
            </w:r>
          </w:p>
        </w:tc>
        <w:tc>
          <w:tcPr>
            <w:tcW w:type="dxa" w:w="1440"/>
            <w:shd w:fill="FAFAFA" w:val="clear"/>
          </w:tcPr>
          <w:p>
            <w:r>
              <w:rPr>
                <w:b/>
                <w:sz w:val="17"/>
              </w:rPr>
              <w:t>2,934</w:t>
            </w:r>
          </w:p>
        </w:tc>
        <w:tc>
          <w:tcPr>
            <w:tcW w:type="dxa" w:w="1440"/>
            <w:shd w:fill="FAFAFA" w:val="clear"/>
          </w:tcPr>
          <w:p>
            <w:r>
              <w:rPr>
                <w:sz w:val="17"/>
              </w:rPr>
              <w:t>3,036</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2,784</w:t>
            </w:r>
          </w:p>
        </w:tc>
        <w:tc>
          <w:tcPr>
            <w:tcW w:type="dxa" w:w="1440"/>
            <w:shd w:fill="FAFAFA" w:val="clear"/>
          </w:tcPr>
          <w:p>
            <w:r>
              <w:rPr>
                <w:b/>
                <w:sz w:val="17"/>
              </w:rPr>
              <w:t>2,927</w:t>
            </w:r>
          </w:p>
        </w:tc>
        <w:tc>
          <w:tcPr>
            <w:tcW w:type="dxa" w:w="1440"/>
            <w:shd w:fill="FAFAFA" w:val="clear"/>
          </w:tcPr>
          <w:p>
            <w:r>
              <w:rPr>
                <w:sz w:val="17"/>
              </w:rPr>
              <w:t>3,071</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2,745</w:t>
            </w:r>
          </w:p>
        </w:tc>
        <w:tc>
          <w:tcPr>
            <w:tcW w:type="dxa" w:w="1440"/>
            <w:shd w:fill="FAFAFA" w:val="clear"/>
          </w:tcPr>
          <w:p>
            <w:r>
              <w:rPr>
                <w:b/>
                <w:sz w:val="17"/>
              </w:rPr>
              <w:t>2,920</w:t>
            </w:r>
          </w:p>
        </w:tc>
        <w:tc>
          <w:tcPr>
            <w:tcW w:type="dxa" w:w="1440"/>
            <w:shd w:fill="FAFAFA" w:val="clear"/>
          </w:tcPr>
          <w:p>
            <w:r>
              <w:rPr>
                <w:sz w:val="17"/>
              </w:rPr>
              <w:t>3,096</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2,711</w:t>
            </w:r>
          </w:p>
        </w:tc>
        <w:tc>
          <w:tcPr>
            <w:tcW w:type="dxa" w:w="1440"/>
            <w:shd w:fill="FAFAFA" w:val="clear"/>
          </w:tcPr>
          <w:p>
            <w:r>
              <w:rPr>
                <w:b/>
                <w:sz w:val="17"/>
              </w:rPr>
              <w:t>2,913</w:t>
            </w:r>
          </w:p>
        </w:tc>
        <w:tc>
          <w:tcPr>
            <w:tcW w:type="dxa" w:w="1440"/>
            <w:shd w:fill="FAFAFA" w:val="clear"/>
          </w:tcPr>
          <w:p>
            <w:r>
              <w:rPr>
                <w:sz w:val="17"/>
              </w:rPr>
              <w:t>3,115</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2,680</w:t>
            </w:r>
          </w:p>
        </w:tc>
        <w:tc>
          <w:tcPr>
            <w:tcW w:type="dxa" w:w="1440"/>
            <w:shd w:fill="FAFAFA" w:val="clear"/>
          </w:tcPr>
          <w:p>
            <w:r>
              <w:rPr>
                <w:b/>
                <w:sz w:val="17"/>
              </w:rPr>
              <w:t>2,906</w:t>
            </w:r>
          </w:p>
        </w:tc>
        <w:tc>
          <w:tcPr>
            <w:tcW w:type="dxa" w:w="1440"/>
            <w:shd w:fill="FAFAFA" w:val="clear"/>
          </w:tcPr>
          <w:p>
            <w:r>
              <w:rPr>
                <w:sz w:val="17"/>
              </w:rPr>
              <w:t>3,132</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2,653</w:t>
            </w:r>
          </w:p>
        </w:tc>
        <w:tc>
          <w:tcPr>
            <w:tcW w:type="dxa" w:w="1440"/>
            <w:shd w:fill="FAFAFA" w:val="clear"/>
          </w:tcPr>
          <w:p>
            <w:r>
              <w:rPr>
                <w:b/>
                <w:sz w:val="17"/>
              </w:rPr>
              <w:t>2,899</w:t>
            </w:r>
          </w:p>
        </w:tc>
        <w:tc>
          <w:tcPr>
            <w:tcW w:type="dxa" w:w="1440"/>
            <w:shd w:fill="FAFAFA" w:val="clear"/>
          </w:tcPr>
          <w:p>
            <w:r>
              <w:rPr>
                <w:sz w:val="17"/>
              </w:rPr>
              <w:t>3,146</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2,627</w:t>
            </w:r>
          </w:p>
        </w:tc>
        <w:tc>
          <w:tcPr>
            <w:tcW w:type="dxa" w:w="1440"/>
            <w:shd w:fill="FAFAFA" w:val="clear"/>
          </w:tcPr>
          <w:p>
            <w:r>
              <w:rPr>
                <w:b/>
                <w:sz w:val="17"/>
              </w:rPr>
              <w:t>2,893</w:t>
            </w:r>
          </w:p>
        </w:tc>
        <w:tc>
          <w:tcPr>
            <w:tcW w:type="dxa" w:w="1440"/>
            <w:shd w:fill="FAFAFA" w:val="clear"/>
          </w:tcPr>
          <w:p>
            <w:r>
              <w:rPr>
                <w:sz w:val="17"/>
              </w:rPr>
              <w:t>3,158</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2,602</w:t>
            </w:r>
          </w:p>
        </w:tc>
        <w:tc>
          <w:tcPr>
            <w:tcW w:type="dxa" w:w="1440"/>
            <w:shd w:fill="FFDCE0" w:val="clear"/>
          </w:tcPr>
          <w:p>
            <w:r>
              <w:rPr>
                <w:b/>
                <w:sz w:val="17"/>
              </w:rPr>
              <w:t>2,886</w:t>
            </w:r>
          </w:p>
        </w:tc>
        <w:tc>
          <w:tcPr>
            <w:tcW w:type="dxa" w:w="1440"/>
            <w:shd w:fill="FFDCE0" w:val="clear"/>
          </w:tcPr>
          <w:p>
            <w:r>
              <w:rPr>
                <w:sz w:val="17"/>
              </w:rPr>
              <w:t>3,170</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2,579</w:t>
            </w:r>
          </w:p>
        </w:tc>
        <w:tc>
          <w:tcPr>
            <w:tcW w:type="dxa" w:w="1440"/>
            <w:shd w:fill="FFDCE0" w:val="clear"/>
          </w:tcPr>
          <w:p>
            <w:r>
              <w:rPr>
                <w:b/>
                <w:sz w:val="17"/>
              </w:rPr>
              <w:t>2,880</w:t>
            </w:r>
          </w:p>
        </w:tc>
        <w:tc>
          <w:tcPr>
            <w:tcW w:type="dxa" w:w="1440"/>
            <w:shd w:fill="FFDCE0" w:val="clear"/>
          </w:tcPr>
          <w:p>
            <w:r>
              <w:rPr>
                <w:sz w:val="17"/>
              </w:rPr>
              <w:t>3,180</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2,558</w:t>
            </w:r>
          </w:p>
        </w:tc>
        <w:tc>
          <w:tcPr>
            <w:tcW w:type="dxa" w:w="1440"/>
            <w:shd w:fill="FFDCE0" w:val="clear"/>
          </w:tcPr>
          <w:p>
            <w:r>
              <w:rPr>
                <w:b/>
                <w:sz w:val="17"/>
              </w:rPr>
              <w:t>2,873</w:t>
            </w:r>
          </w:p>
        </w:tc>
        <w:tc>
          <w:tcPr>
            <w:tcW w:type="dxa" w:w="1440"/>
            <w:shd w:fill="FFDCE0" w:val="clear"/>
          </w:tcPr>
          <w:p>
            <w:r>
              <w:rPr>
                <w:sz w:val="17"/>
              </w:rPr>
              <w:t>3,189</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Burkina Faso)**</w:t>
        <w:br/>
        <w:t>*Bourse Régionale des Valeurs Mobilières (BRVM) — Secteur :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200,26 milliards FCFA, ONTBF s'impose comme l'une des valeurs phares du compartiment télécoms de la BRVM, bien que loin derrière le leader Sonatel. Le BPA de 234 FCFA par action traduit une rentabilité unitaire solide, mais en net repli par rapport à l'exercice précédent. Le PER de 12,6x situe le titre légèrement au-dessus de la moyenne du marché BRVM (8-12x), ce qui indique que les investisseurs paient une prime modérée pour les bénéfices, justifiée par la qualité de l'actif et le rendement du dividende. Le P/B de 3,48x montre que le marché valorise l'entreprise à plus de trois fois sa valeur comptable, une prime de croissance accordée pour ses actifs immatériels (licences, réseau, base clients) et sa position dominante sur le FTTH. Enfin, l'EV/EBITDA de 5,2x, bien que dans la fourchette raisonnable (5-10x), suggère que la valeur d'entreprise reste attractive au regard de la capacité opérationnelle de génération de cash, malgré la compression récente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progression totale de +6,13%, clôturant à 2 945 FCFA après un léger repli de -0,17% lors de la dernière séance. Le range de trading s'établit entre un plus bas de 2 675 FCFA et un plus haut de 3 070 FCFA, soit une amplitude de près de 15%, témoignant d'une tendance globalement haussière mais ponctuée de corrections. Les statistiques descriptives révèlent une moyenne de 2 847 FCFA et une médiane de 2 850 FCFA, un écart quasi nul qui confirme une distribution symétrique du cours, sans biais directionnel marqué. L'écart-type de 81 FCFA (CV de 2,8%) indique une dispersion relativement faible autour de la moyenne, signe d'une certaine stabilité. Le kurtosis de -0,254 (mésokurtique) et le skewness de -0,016 (distribution symétrique) suggèrent l'absence de pics extrêmes ou d'asymétrie prononcée, ce qui est rassurant pour la gestion du risque. La volatilité annualisée de 32,2% classe toutefois le titre dans la catégorie des valeurs à volatilité élevée (&gt;30%), ce qui implique un risque de fluctuation significatif à court terme, à mettre en perspective avec le contexte sécuritaire et réglementaire burkinabè.</w:t>
      </w:r>
    </w:p>
    <w:p>
      <w:pPr>
        <w:spacing w:after="120" w:line="276" w:lineRule="auto"/>
      </w:pPr>
      <w:r>
        <w:t>---</w:t>
      </w:r>
    </w:p>
    <w:p>
      <w:pPr>
        <w:spacing w:after="120" w:line="276" w:lineRule="auto"/>
      </w:pPr>
      <w:r>
        <w:t>### PARTIE 2 : ANALYSE TECHNIQUE DÉTAILLÉE</w:t>
      </w:r>
    </w:p>
    <w:p>
      <w:pPr>
        <w:spacing w:after="120" w:line="276" w:lineRule="auto"/>
      </w:pPr>
      <w:r>
        <w:t>**Moyennes Mobiles** : La MM20 (2 890,75 FCFA) et la MM50 (2 880,5 FCFA) se situent toutes deux en dessous du cours actuel (2 945 FCFA), confirmant une configuration haussière de court et moyen terme. Le croisement des deux moyennes, avec une MM20 légèrement supérieure à la MM50, valide la décision d'achat émise par le système.</w:t>
      </w:r>
    </w:p>
    <w:p>
      <w:pPr>
        <w:spacing w:after="120" w:line="276" w:lineRule="auto"/>
      </w:pPr>
      <w:r>
        <w:t>**Bandes de Bollinger** : Le cours actuel (2 945 FCFA) évolue dans la partie supérieure de la bande, sans toutefois atteindre la borne supérieure (3 003,71 FCFA), ce qui traduit une pression acheteuse modérée mais pas d'excès. La largeur des bandes (borne inférieure à 2 777,79 FCFA) indique une volatilité contenue, justifiant la décision neutre.</w:t>
      </w:r>
    </w:p>
    <w:p>
      <w:pPr>
        <w:spacing w:after="120" w:line="276" w:lineRule="auto"/>
      </w:pPr>
      <w:r>
        <w:t>**MACD** : La valeur du MACD (13,889) est nettement supérieure à son signal (6,696), avec un histogramme positif, ce qui confirme un momentum haussier en cours. La décision d'achat est cohérente avec cette configuration.</w:t>
      </w:r>
    </w:p>
    <w:p>
      <w:pPr>
        <w:spacing w:after="120" w:line="276" w:lineRule="auto"/>
      </w:pPr>
      <w:r>
        <w:t>**RSI** : À 55,64, le RSI se situe dans la zone neutre (30-70), sans signal de surachat ni de survente. Cette position médiane suggère que le titre dispose encore d'un potentiel de hausse sans être en zone d'excès.</w:t>
      </w:r>
    </w:p>
    <w:p>
      <w:pPr>
        <w:spacing w:after="120" w:line="276" w:lineRule="auto"/>
      </w:pPr>
      <w:r>
        <w:t>**Stochastique** : Le %K (77,08) et le %D (78,47) sont proches et évoluent en zone haute, sans croisement baissier signalé. La décision neutre reflète une absence de signal directionnel fort, mais la proximité du seuil de surachat (80) invite à la prudence.</w:t>
      </w:r>
    </w:p>
    <w:p>
      <w:pPr>
        <w:spacing w:after="120" w:line="276" w:lineRule="auto"/>
      </w:pPr>
      <w:r>
        <w:t>**Conclusion technique** : Les indicateurs convergent majoritairement vers un biais haussier (MM, MACD), tandis que le RSI et le Stochastique restent neutres et les Bandes de Bollinger sans signal extrême. Cette configuration suggère une poursuite modérée de la tendance haussière, mais sans accélération marquée, dans un contexte de volatilité élevée.</w:t>
      </w:r>
    </w:p>
    <w:p>
      <w:pPr>
        <w:spacing w:after="120" w:line="276" w:lineRule="auto"/>
      </w:pPr>
      <w:r>
        <w:t>---</w:t>
      </w:r>
    </w:p>
    <w:p>
      <w:pPr>
        <w:spacing w:after="120" w:line="276" w:lineRule="auto"/>
      </w:pPr>
      <w:r>
        <w:t>### PARTIE 3 : ANALYSE FONDAMENTALE (SECTION CRITIQUE)</w:t>
      </w:r>
    </w:p>
    <w:p>
      <w:pPr>
        <w:spacing w:after="120" w:line="276" w:lineRule="auto"/>
      </w:pPr>
      <w:r>
        <w:t>En 2025, ONTBF a réalisé un chiffre d'affaires de 146,18 milliards FCFA, en hausse de +3,1% par rapport à 2024, porté par le FTTH (+33% de parc), l'Internet mobile (+5%) et le Mobile Money (+14%). Le résultat net s'établit à 15,89 milliards FCFA, en net repli de -26% par rapport aux 21,47 milliards de 2024, sous l'effet d'une compression des marges (marge nette de 10,87% contre 15,1% en 2024) et d'une hausse des charges opérationnelles (énergie, maintenance en zones sécuritaires, sanction ARCEP de 1,543 milliard FCFA). Le ROE reste exceptionnel à 27,61% (bien que en baisse par rapport aux 34,3% de 2024), et le ROA s'établit à 4,89%, confirmant la rentabilité des actifs malgré la pression. Le coefficient d'exploitation de 67,07% (charges/PNB) dépasse le seuil de 60% qui caractérise une banque efficace — mais il s'agit ici d'un opérateur télécom, dont le modèle est plus capitalistique. Le coût du risque (provisions/charges financières) de 3,57% reste contenu. La structure financière montre une autonomie financière de 17,71% (capitaux propres/total bilan), inférieure au seuil de 30% considéré comme sain, et un ratio d'endettement de 186,99%, ce qui traduit une dépendance élevée aux dettes. La trésorerie nette est positive à 10,65 milliards FCFA, et la capacité de remboursement de 2,29 années reste acceptable. Les rapports trimestriels 2025 (T1, S1, T3) confirment une érosion continue de la rentabilité (-29% au T1, -17,8% au S1, -17,2% sur 9 mois), avec un taux d'EBITDA IFRS en repli à 39,3% sur 9 mois 2025. Le rapport T1 2026 (publié en 2026) montre une légère amélioration avec un CA de 37,1 milliards FCFA (+2,7%) et un résultat net de 3,577 milliards FCFA (marge nette de 9,6%), mais le parc Internet recule de -21,8%, signal d'alerte. La note de crédit A+(WU) de GCR Ratings, rehaussée, témoigne de la solidité financière malgré les défis. **Recommandation fondamentale : CONSERVER**, avec une surveillance accrue de la trajectoire des marges et de la capacité à restaurer la rentabilité en 2026, année placée sous le thème de la "reconquête du leadership".</w:t>
      </w:r>
    </w:p>
    <w:p>
      <w:pPr>
        <w:spacing w:after="120" w:line="276" w:lineRule="auto"/>
      </w:pPr>
      <w:r>
        <w:t>---</w:t>
      </w:r>
    </w:p>
    <w:p>
      <w:pPr>
        <w:spacing w:after="120" w:line="276" w:lineRule="auto"/>
      </w:pPr>
      <w:r>
        <w:t>### PARTIE 4 : CONCLUSION D'INVESTISSEMENT</w:t>
      </w:r>
    </w:p>
    <w:p>
      <w:pPr>
        <w:spacing w:after="120" w:line="276" w:lineRule="auto"/>
      </w:pPr>
      <w:r>
        <w:t>La valorisation (Partie 0) apparaît modérément exigeante avec un PER de 12,6x et un P/B de 3,48x, mais l'EV/EBITDA de 5,2x reste attractif, suggérant que le marché intègre déjà la baisse des bénéfices sans surévaluer excessivement l'actif. Le comportement du cours (Partie 1) est globalement haussier (+6,13% sur 100 jours) avec une volatilité élevée (32,2%) mais une distribution symétrique et sans pics extrêmes (kurtosis -0,254, skewness -0,016), ce qui est rassurant pour la gestion du risque. Les signaux techniques (Partie 2) sont majoritairement haussiers (MM, MACD) mais tempérés par des indicateurs neutres (RSI, Stochastique, Bollinger), plaidant pour une progression modérée plutôt qu'une accélération. Les fondamentaux (Partie 3) révèlent une entreprise solide mais en transition : croissance du CA (+3,1%), rentabilité en repli (-26% de résultat net), structure financière déséquilibrée (autonomie financière de 17,71%) et perspectives 2026 incertaines malgré la note A+(WU). Les prédictions IA (J+1 à J+10) anticipent une légère correction baissière (2 934 → 2 906 FCFA), ce qui contredit partiellement les signaux techniques haussiers et suggère une consolidation à court terme. **Recommandation finale : CONSERVER**. La convergence entre une valorisation raisonnable, des fondamentaux solides mais en dégradation, et des signaux techniques mitigés ne justifie ni un achat agressif ni une vente. Le niveau de confiance est **Moyen**, le risque global est **Moyen à Élevé** (volatilité 32,2%, contexte sécuritaire et réglementaire), et l'horizon d'investissement optimal est le **moyen terme (3-12 mois)**, en attendant des signes tangibles d'amélioration de la rentabilité et de maîtrise des coûts au cours de l'exercice 2026.</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3239.09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3,449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+44.30%</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13.75% (Moyenne) — μ=17,845 FCFA, σ=2,454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β=1.1961 (Neutre (suit le marché)) — Cov=0.000083, Var(idx)=0.000069, ρ=0.515,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3,449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20,653</w:t>
            </w:r>
          </w:p>
        </w:tc>
        <w:tc>
          <w:tcPr>
            <w:tcW w:type="dxa" w:w="1440"/>
            <w:shd w:fill="FAFAFA" w:val="clear"/>
          </w:tcPr>
          <w:p>
            <w:r>
              <w:rPr>
                <w:b/>
                <w:sz w:val="17"/>
              </w:rPr>
              <w:t>21,462</w:t>
            </w:r>
          </w:p>
        </w:tc>
        <w:tc>
          <w:tcPr>
            <w:tcW w:type="dxa" w:w="1440"/>
            <w:shd w:fill="FAFAFA" w:val="clear"/>
          </w:tcPr>
          <w:p>
            <w:r>
              <w:rPr>
                <w:sz w:val="17"/>
              </w:rPr>
              <w:t>22,270</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20,303</w:t>
            </w:r>
          </w:p>
        </w:tc>
        <w:tc>
          <w:tcPr>
            <w:tcW w:type="dxa" w:w="1440"/>
            <w:shd w:fill="FAFAFA" w:val="clear"/>
          </w:tcPr>
          <w:p>
            <w:r>
              <w:rPr>
                <w:b/>
                <w:sz w:val="17"/>
              </w:rPr>
              <w:t>21,445</w:t>
            </w:r>
          </w:p>
        </w:tc>
        <w:tc>
          <w:tcPr>
            <w:tcW w:type="dxa" w:w="1440"/>
            <w:shd w:fill="FAFAFA" w:val="clear"/>
          </w:tcPr>
          <w:p>
            <w:r>
              <w:rPr>
                <w:sz w:val="17"/>
              </w:rPr>
              <w:t>22,588</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20,023</w:t>
            </w:r>
          </w:p>
        </w:tc>
        <w:tc>
          <w:tcPr>
            <w:tcW w:type="dxa" w:w="1440"/>
            <w:shd w:fill="FAFAFA" w:val="clear"/>
          </w:tcPr>
          <w:p>
            <w:r>
              <w:rPr>
                <w:b/>
                <w:sz w:val="17"/>
              </w:rPr>
              <w:t>21,420</w:t>
            </w:r>
          </w:p>
        </w:tc>
        <w:tc>
          <w:tcPr>
            <w:tcW w:type="dxa" w:w="1440"/>
            <w:shd w:fill="FAFAFA" w:val="clear"/>
          </w:tcPr>
          <w:p>
            <w:r>
              <w:rPr>
                <w:sz w:val="17"/>
              </w:rPr>
              <w:t>22,818</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19,784</w:t>
            </w:r>
          </w:p>
        </w:tc>
        <w:tc>
          <w:tcPr>
            <w:tcW w:type="dxa" w:w="1440"/>
            <w:shd w:fill="FAFAFA" w:val="clear"/>
          </w:tcPr>
          <w:p>
            <w:r>
              <w:rPr>
                <w:b/>
                <w:sz w:val="17"/>
              </w:rPr>
              <w:t>21,395</w:t>
            </w:r>
          </w:p>
        </w:tc>
        <w:tc>
          <w:tcPr>
            <w:tcW w:type="dxa" w:w="1440"/>
            <w:shd w:fill="FAFAFA" w:val="clear"/>
          </w:tcPr>
          <w:p>
            <w:r>
              <w:rPr>
                <w:sz w:val="17"/>
              </w:rPr>
              <w:t>23,007</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19,571</w:t>
            </w:r>
          </w:p>
        </w:tc>
        <w:tc>
          <w:tcPr>
            <w:tcW w:type="dxa" w:w="1440"/>
            <w:shd w:fill="FAFAFA" w:val="clear"/>
          </w:tcPr>
          <w:p>
            <w:r>
              <w:rPr>
                <w:b/>
                <w:sz w:val="17"/>
              </w:rPr>
              <w:t>21,371</w:t>
            </w:r>
          </w:p>
        </w:tc>
        <w:tc>
          <w:tcPr>
            <w:tcW w:type="dxa" w:w="1440"/>
            <w:shd w:fill="FAFAFA" w:val="clear"/>
          </w:tcPr>
          <w:p>
            <w:r>
              <w:rPr>
                <w:sz w:val="17"/>
              </w:rPr>
              <w:t>23,171</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19,378</w:t>
            </w:r>
          </w:p>
        </w:tc>
        <w:tc>
          <w:tcPr>
            <w:tcW w:type="dxa" w:w="1440"/>
            <w:shd w:fill="FAFAFA" w:val="clear"/>
          </w:tcPr>
          <w:p>
            <w:r>
              <w:rPr>
                <w:b/>
                <w:sz w:val="17"/>
              </w:rPr>
              <w:t>21,347</w:t>
            </w:r>
          </w:p>
        </w:tc>
        <w:tc>
          <w:tcPr>
            <w:tcW w:type="dxa" w:w="1440"/>
            <w:shd w:fill="FAFAFA" w:val="clear"/>
          </w:tcPr>
          <w:p>
            <w:r>
              <w:rPr>
                <w:sz w:val="17"/>
              </w:rPr>
              <w:t>23,317</w:t>
            </w:r>
          </w:p>
        </w:tc>
        <w:tc>
          <w:tcPr>
            <w:tcW w:type="dxa" w:w="1440"/>
            <w:shd w:fill="FAFAFA" w:val="clear"/>
          </w:tcPr>
          <w:p>
            <w:r>
              <w:rPr>
                <w:b/>
                <w:color w:val="C00000"/>
                <w:sz w:val="17"/>
              </w:rPr>
              <w:t>-0.7%</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19,199</w:t>
            </w:r>
          </w:p>
        </w:tc>
        <w:tc>
          <w:tcPr>
            <w:tcW w:type="dxa" w:w="1440"/>
            <w:shd w:fill="FAFAFA" w:val="clear"/>
          </w:tcPr>
          <w:p>
            <w:r>
              <w:rPr>
                <w:b/>
                <w:sz w:val="17"/>
              </w:rPr>
              <w:t>21,324</w:t>
            </w:r>
          </w:p>
        </w:tc>
        <w:tc>
          <w:tcPr>
            <w:tcW w:type="dxa" w:w="1440"/>
            <w:shd w:fill="FAFAFA" w:val="clear"/>
          </w:tcPr>
          <w:p>
            <w:r>
              <w:rPr>
                <w:sz w:val="17"/>
              </w:rPr>
              <w:t>23,449</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19,032</w:t>
            </w:r>
          </w:p>
        </w:tc>
        <w:tc>
          <w:tcPr>
            <w:tcW w:type="dxa" w:w="1440"/>
            <w:shd w:fill="FAFAFA" w:val="clear"/>
          </w:tcPr>
          <w:p>
            <w:r>
              <w:rPr>
                <w:b/>
                <w:sz w:val="17"/>
              </w:rPr>
              <w:t>21,301</w:t>
            </w:r>
          </w:p>
        </w:tc>
        <w:tc>
          <w:tcPr>
            <w:tcW w:type="dxa" w:w="1440"/>
            <w:shd w:fill="FAFAFA" w:val="clear"/>
          </w:tcPr>
          <w:p>
            <w:r>
              <w:rPr>
                <w:sz w:val="17"/>
              </w:rPr>
              <w:t>23,570</w:t>
            </w:r>
          </w:p>
        </w:tc>
        <w:tc>
          <w:tcPr>
            <w:tcW w:type="dxa" w:w="1440"/>
            <w:shd w:fill="FAFAFA" w:val="clear"/>
          </w:tcPr>
          <w:p>
            <w:r>
              <w:rPr>
                <w:b/>
                <w:color w:val="C00000"/>
                <w:sz w:val="17"/>
              </w:rPr>
              <w:t>-0.9%</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18,874</w:t>
            </w:r>
          </w:p>
        </w:tc>
        <w:tc>
          <w:tcPr>
            <w:tcW w:type="dxa" w:w="1440"/>
            <w:shd w:fill="FAFAFA" w:val="clear"/>
          </w:tcPr>
          <w:p>
            <w:r>
              <w:rPr>
                <w:b/>
                <w:sz w:val="17"/>
              </w:rPr>
              <w:t>21,278</w:t>
            </w:r>
          </w:p>
        </w:tc>
        <w:tc>
          <w:tcPr>
            <w:tcW w:type="dxa" w:w="1440"/>
            <w:shd w:fill="FAFAFA" w:val="clear"/>
          </w:tcPr>
          <w:p>
            <w:r>
              <w:rPr>
                <w:sz w:val="17"/>
              </w:rPr>
              <w:t>23,683</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18,725</w:t>
            </w:r>
          </w:p>
        </w:tc>
        <w:tc>
          <w:tcPr>
            <w:tcW w:type="dxa" w:w="1440"/>
            <w:shd w:fill="FAFAFA" w:val="clear"/>
          </w:tcPr>
          <w:p>
            <w:r>
              <w:rPr>
                <w:b/>
                <w:sz w:val="17"/>
              </w:rPr>
              <w:t>21,256</w:t>
            </w:r>
          </w:p>
        </w:tc>
        <w:tc>
          <w:tcPr>
            <w:tcW w:type="dxa" w:w="1440"/>
            <w:shd w:fill="FAFAFA" w:val="clear"/>
          </w:tcPr>
          <w:p>
            <w:r>
              <w:rPr>
                <w:sz w:val="17"/>
              </w:rPr>
              <w:t>23,788</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 RAPPORT D'ANALYSE FINANCIÈRE — ORAC (Orange Côte d'Ivoire)</w:t>
        <w:br/>
        <w:t>**Bourse Régionale des Valeurs Mobilières (BRVM) — Secteur : Télécommunications**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3 239,09 milliards FCFA, ORAC s'impose comme l'une des toutes premières capitalisations de la BRVM, représentant à elle seule une part significative de la capitalisation totale du marché régional. Le BPA de 1 114 FCFA/action indique que chaque titre génère un bénéfice unitaire substantiel, ce qui confère au PER de 19,3x une lecture nuancée : les investisseurs paient environ 19 fois les bénéfices, soit une prime notable par rapport au PER moyen de la BRVM (estimé entre 8 et 12x), traduisant une anticipation de croissance supérieure à la moyenne du marché. Le ratio P/B de 4,58x confirme cette prime : le marché valorise ORAC à plus de quatre fois sa valeur comptable, ce qui est exigeant mais cohérent avec un ROE de 23,7% (largement supérieur au coût des fonds propres). Enfin, l'EV/EBITDA de 7,7x, situé dans la fourchette raisonnable de 5-10x, suggère que la valeur d'entreprise reste correctement proportionnée à la capacité opérationnelle de génération de cash-flows, offrant un point d'équilibre face aux ratios de marché plus tendus.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ORAC a enregistré une progression spectaculaire de +44,30%, passant d'un plus bas de 14 900 FCFA à un plus haut de 22 500 FCFA, avant de se stabiliser à 21 500 FCFA, avec une légère correction de -1,40% lors de la dernière séance. Ce range de trading de 7 600 FCFA (soit environ 51% d'amplitude) témoigne d'une tendance nettement haussière, portée par l'appétit des investisseurs pour le titre après la publication de résultats solides et l'annonce d'un dividende attractif. Les statistiques descriptives révèlent une distribution asymétrique : la moyenne (17 845 FCFA) dépasse la médiane (16 712 FCFA), et le mode se situe à 16 000 FCFA, confirmant que le cours a passé davantage de séances sous sa moyenne avant de s'envoler en fin de période — ce que corrobore le skewness positif de 0,746. L'écart-type de 2 467 FCFA (CV = 13,8%) indique une dispersion modérée, tandis que le kurtosis de -1,096 (distribution platykurtique) signale une faible concentration des rendements et un risque de pics extrêmes limité. Avec une volatilité annualisée de 30,4%, le titre se situe à la frontière haute de la catégorie « modérée », ce qui reste acceptable pour une valeur de croissance à grande capitalisation.</w:t>
      </w:r>
    </w:p>
    <w:p>
      <w:pPr>
        <w:spacing w:after="120" w:line="276" w:lineRule="auto"/>
      </w:pPr>
      <w:r>
        <w:t>---</w:t>
      </w:r>
    </w:p>
    <w:p>
      <w:pPr>
        <w:spacing w:after="120" w:line="276" w:lineRule="auto"/>
      </w:pPr>
      <w:r>
        <w:t>## PARTIE 2 : ANALYSE TECHNIQUE DÉTAILLÉE</w:t>
      </w:r>
    </w:p>
    <w:p>
      <w:pPr>
        <w:spacing w:after="120" w:line="276" w:lineRule="auto"/>
      </w:pPr>
      <w:r>
        <w:t>**Moyennes Mobiles :** La MM20 (21 673,5 FCFA) et la MM50 (19 690,0 FCFA) se situent toutes deux sous le cours actuel (21 500 FCFA), bien que le prix évolue légèrement sous la MM20. La configuration MM20 &gt; MM50 confirme une tendance haussière de fond, et le signal d'achat émis par le système traduit la prédominance de la dynamique positive malgré la consolidation récente.</w:t>
      </w:r>
    </w:p>
    <w:p>
      <w:pPr>
        <w:spacing w:after="120" w:line="276" w:lineRule="auto"/>
      </w:pPr>
      <w:r>
        <w:t>**Bandes de Bollinger :** Le cours (21 500 FCFA) évolue à l'intérieur des bandes, entre la borne inférieure (20 384,8 FCFA) et la borne supérieure (22 962,2 FCFA), sans les toucher. Cette position médiane, couplée à un rétrécissement apparent de la largeur des bandes, suggère une phase de consolidation avec une volatilité en compression, justifiant la décision « Neutre » en attendant un signal directionnel clair.</w:t>
      </w:r>
    </w:p>
    <w:p>
      <w:pPr>
        <w:spacing w:after="120" w:line="276" w:lineRule="auto"/>
      </w:pPr>
      <w:r>
        <w:t>**MACD :** La valeur du MACD (396,0) est inférieure à son signal (577,6), générant un croisement baissier et une décision de « Vente ». Cet écart négatif indique un essoufflement du momentum haussier à court terme, bien que la ligne MACD reste en territoire positif, ce qui tempère la portée du signal baissier.</w:t>
      </w:r>
    </w:p>
    <w:p>
      <w:pPr>
        <w:spacing w:after="120" w:line="276" w:lineRule="auto"/>
      </w:pPr>
      <w:r>
        <w:t>**RSI :** À 38,6, le RSI se situe dans la zone neutre basse (30-70), sans atteindre le seuil de survente (30). Cette valeur traduit une pression vendeuse modérée mais non excessive, laissant la porte ouverte à un rebond technique si les acheteurs reprennent la main.</w:t>
      </w:r>
    </w:p>
    <w:p>
      <w:pPr>
        <w:spacing w:after="120" w:line="276" w:lineRule="auto"/>
      </w:pPr>
      <w:r>
        <w:t>**Stochastique :** Le %K (52,4) est légèrement inférieur au %D (57,2), sans croisement franc, et les deux lignes évoluent en zone médiane. La décision « Neutre » reflète l'absence de signal directionnel fort, le marché étant en phase d'indécision.</w:t>
      </w:r>
    </w:p>
    <w:p>
      <w:pPr>
        <w:spacing w:after="120" w:line="276" w:lineRule="auto"/>
      </w:pPr>
      <w:r>
        <w:t>**Conclusion technique :** Les indicateurs présentent un tableau mitigé : la tendance de fond reste haussière (MM20 &gt; MM50), mais les signaux de court terme (MACD baissier, RSI sous 40, cours sous la MM20) plaident pour une consolidation, voire une correction limitée. La convergence des signaux « Neutre » sur les Bandes de Bollinger et le Stochastique suggère que le marché attend un catalyseur pour reprendre sa trajectoire haussière. Une cassure au-dessus de 22 000 FCFA avec volume confirmerait la reprise, tandis qu'une rupture sous 20 384 FCFA (borne inférieure) signalerait un affaiblissement plus marqué.</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ORAC affiche un chiffre d'affaires de 1 197,1 milliards FCFA, en croissance de +10,4% sur un an, porté par la dynamique des trois filiales (Côte d'Ivoire, Burkina Faso, Libéria). Le résultat net consolidé s'établit à 167,8 milliards FCFA (+6,1%), tandis que le résultat net part du groupe atteint 129,1 milliards FCFA (+14,5%). La rentabilité reste excellente avec un ROE de 23,7% (bien supérieur au seuil de 15%) et un ROA de 6,57%, confirmant l'efficacité de l'utilisation des capitaux. La marge nette de 14,0% et la marge opérationnelle de 24,0% témoignent d'une solide maîtrise des coûts, malgré une pression fiscale accrue. Sur le plan bilanciel, la structure financière est saine : l'autonomie financière de 27,7% (proche du seuil de 30%), un ratio d'endettement de 47,5% et une capacité de remboursement de 0,99 an (dette financière/CAF) indiquent une faible dépendance aux créanciers. Le BFR est négatif (-198,0 milliards FCFA), ce qui est favorable car il signifie que l'entreprise finance son cycle d'exploitation par ses fournisseurs (délai fournisseurs de 210,9 jours contre 52,3 jours pour les clients). La trésorerie nette positive (113,9 milliards FCFA) et le Free Cash Flow de 156,2 milliards FCFA renforcent la solidité financière.</w:t>
      </w:r>
    </w:p>
    <w:p>
      <w:pPr>
        <w:spacing w:after="120" w:line="276" w:lineRule="auto"/>
      </w:pPr>
      <w:r>
        <w:t>**Estimations basées sur les rapports trimestriels :** Le rapport T1 2026 (publié le 08/06/2026) révèle une accélération remarquable : le CA progresse de +14,8% à 325,6 milliards FCFA, le résultat net bondit de +25,2% à 48,3 milliards FCFA, et l'EBITDAaL augmente de +15,7% à 114,2 milliards FCFA. Sur la base de ces performances, on peut estimer que l'exercice 2026 devrait enregistrer une croissance du CA supérieure à 12%, avec un résultat net en progression de 15-20%, porté par l'expansion du parc FMI (+8,8% à 39,3 millions de clients) et la poursuite des investissements dans la fibre et le mobile. Le rapport annuel 2025 (publié le 31/12/2025) confirme un dividende brut de 800 FCFA/action (rendement d'environ 3,7% au cours actuel de 21 500 FCFA), prélevé sur le report à nouveau, avec un payout ratio de 93,3% — un niveau élevé mais soutenable compte tenu de la génération de cash-flows. Les risques identifiés incluent la pression fiscale et douanière (notamment au Burkina Faso), la concurrence accrue sur le mobile money, et l'exposition aux risques sécuritaires et de change (Liberia). **Recommandation fondamentale :** La solidité des fondamentaux, la croissance à deux chiffres et la position de leader régional justifient une recommandation d'ACHAT, avec une surveillance des marges et de l'évolution réglementaire.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globalement positive, bien que nuancée. **Sur le plan de la valorisation (Partie 0)** , le PER de 19,3x et le P/B de 4,58x indiquent une surévaluation relative par rapport au marché BRVM, mais l'EV/EBITDA de 7,7x et le ROE de 23,7% justifient cette prime au regard de la qualité des fondamentaux. **Le comportement du cours (Partie 1)** est nettement haussier (+44,3% sur 100 jours), avec une volatilité modérée (30,4%) et une distribution asymétrique positive (skewness de 0,746) qui suggère que les hausses l'emportent sur les baisses, bien que le kurtosis négatif (-1,096) indique un risque de pics limité. **Les signaux techniques (Partie 2)** sont mitigés : la tendance de fond reste haussière (MM20 &gt; MM50), mais le MACD baissier et le RSI sous 40 plaident pour une consolidation à court terme, ce qui est cohérent avec la correction de -1,40% en J-1. **Les fondamentaux (Partie 3)** sont excellents : croissance du CA de +10,4% en 2025, résultat net en hausse de +14,5% (part du groupe), ROE de 23,7%, BFR négatif et trésorerie nette positive, avec des perspectives 2026 renforcées par le T1 (+14,8% de CA, +25,2% de résultat net). **Les prédictions IA (J+1 à J+10)** anticipent une légère dérive baissière (21 462 FCFA à 21 371 FCFA), ce qui contredit partiellement les signaux haussiers de long terme mais s'aligne sur la consolidation technique actuelle.</w:t>
      </w:r>
    </w:p>
    <w:p>
      <w:pPr>
        <w:spacing w:after="120" w:line="276" w:lineRule="auto"/>
      </w:pPr>
      <w:r>
        <w:t>**Recommandation finale : ACHAT.** La convergence entre des fondamentaux solides, une tendance de fond haussière et une valorisation exigeante mais justifiée par la qualité des bénéfices soutient cette recommandation. Le niveau de confiance est **Moyen** , en raison de la divergence entre les signaux techniques de court terme (MACD baissier) et les perspectives fondamentales (T1 2026 exceptionnel). Le niveau de risque global est **Moyen** , tenant compte de la volatilité modérée du titre et des risques réglementaires et sécuritaires dans la zone d'opération. L'horizon d'investissement optimal est **moyen à long terme (6 à 18 mois)** , afin de laisser le temps aux investissements massifs (184 milliards FCFA en 2025) de se traduire en croissance bénéficiaire durable et de bénéficier de la politique de dividende attractive.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201.30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5,160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007800"/>
                <w:sz w:val="17"/>
              </w:rPr>
              <w:t>+5.26%</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8.52% (Moyenne) — μ=2,886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β=0.6835 (Défensif) — Cov=0.000047, Var(idx)=0.000069, ρ=0.224,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2,818</w:t>
            </w:r>
          </w:p>
        </w:tc>
        <w:tc>
          <w:tcPr>
            <w:tcW w:type="dxa" w:w="1440"/>
            <w:shd w:fill="FAFAFA" w:val="clear"/>
          </w:tcPr>
          <w:p>
            <w:r>
              <w:rPr>
                <w:b/>
                <w:sz w:val="17"/>
              </w:rPr>
              <w:t>2,941</w:t>
            </w:r>
          </w:p>
        </w:tc>
        <w:tc>
          <w:tcPr>
            <w:tcW w:type="dxa" w:w="1440"/>
            <w:shd w:fill="FAFAFA" w:val="clear"/>
          </w:tcPr>
          <w:p>
            <w:r>
              <w:rPr>
                <w:sz w:val="17"/>
              </w:rPr>
              <w:t>3,064</w:t>
            </w:r>
          </w:p>
        </w:tc>
        <w:tc>
          <w:tcPr>
            <w:tcW w:type="dxa" w:w="1440"/>
            <w:shd w:fill="FAFAFA" w:val="clear"/>
          </w:tcPr>
          <w:p>
            <w:r>
              <w:rPr>
                <w:b/>
                <w:color w:val="008000"/>
                <w:sz w:val="17"/>
              </w:rPr>
              <w:t>+1.4%</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2,760</w:t>
            </w:r>
          </w:p>
        </w:tc>
        <w:tc>
          <w:tcPr>
            <w:tcW w:type="dxa" w:w="1440"/>
            <w:shd w:fill="FAFAFA" w:val="clear"/>
          </w:tcPr>
          <w:p>
            <w:r>
              <w:rPr>
                <w:b/>
                <w:sz w:val="17"/>
              </w:rPr>
              <w:t>2,933</w:t>
            </w:r>
          </w:p>
        </w:tc>
        <w:tc>
          <w:tcPr>
            <w:tcW w:type="dxa" w:w="1440"/>
            <w:shd w:fill="FAFAFA" w:val="clear"/>
          </w:tcPr>
          <w:p>
            <w:r>
              <w:rPr>
                <w:sz w:val="17"/>
              </w:rPr>
              <w:t>3,107</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2,718</w:t>
            </w:r>
          </w:p>
        </w:tc>
        <w:tc>
          <w:tcPr>
            <w:tcW w:type="dxa" w:w="1440"/>
            <w:shd w:fill="FAFAFA" w:val="clear"/>
          </w:tcPr>
          <w:p>
            <w:r>
              <w:rPr>
                <w:b/>
                <w:sz w:val="17"/>
              </w:rPr>
              <w:t>2,931</w:t>
            </w:r>
          </w:p>
        </w:tc>
        <w:tc>
          <w:tcPr>
            <w:tcW w:type="dxa" w:w="1440"/>
            <w:shd w:fill="FAFAFA" w:val="clear"/>
          </w:tcPr>
          <w:p>
            <w:r>
              <w:rPr>
                <w:sz w:val="17"/>
              </w:rPr>
              <w:t>3,143</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2,683</w:t>
            </w:r>
          </w:p>
        </w:tc>
        <w:tc>
          <w:tcPr>
            <w:tcW w:type="dxa" w:w="1440"/>
            <w:shd w:fill="FAFAFA" w:val="clear"/>
          </w:tcPr>
          <w:p>
            <w:r>
              <w:rPr>
                <w:b/>
                <w:sz w:val="17"/>
              </w:rPr>
              <w:t>2,928</w:t>
            </w:r>
          </w:p>
        </w:tc>
        <w:tc>
          <w:tcPr>
            <w:tcW w:type="dxa" w:w="1440"/>
            <w:shd w:fill="FAFAFA" w:val="clear"/>
          </w:tcPr>
          <w:p>
            <w:r>
              <w:rPr>
                <w:sz w:val="17"/>
              </w:rPr>
              <w:t>3,173</w:t>
            </w:r>
          </w:p>
        </w:tc>
        <w:tc>
          <w:tcPr>
            <w:tcW w:type="dxa" w:w="1440"/>
            <w:shd w:fill="FAFAFA" w:val="clear"/>
          </w:tcPr>
          <w:p>
            <w:r>
              <w:rPr>
                <w:b/>
                <w:color w:val="008000"/>
                <w:sz w:val="17"/>
              </w:rPr>
              <w:t>+1.0%</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2,652</w:t>
            </w:r>
          </w:p>
        </w:tc>
        <w:tc>
          <w:tcPr>
            <w:tcW w:type="dxa" w:w="1440"/>
            <w:shd w:fill="FAFAFA" w:val="clear"/>
          </w:tcPr>
          <w:p>
            <w:r>
              <w:rPr>
                <w:b/>
                <w:sz w:val="17"/>
              </w:rPr>
              <w:t>2,926</w:t>
            </w:r>
          </w:p>
        </w:tc>
        <w:tc>
          <w:tcPr>
            <w:tcW w:type="dxa" w:w="1440"/>
            <w:shd w:fill="FAFAFA" w:val="clear"/>
          </w:tcPr>
          <w:p>
            <w:r>
              <w:rPr>
                <w:sz w:val="17"/>
              </w:rPr>
              <w:t>3,199</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2,623</w:t>
            </w:r>
          </w:p>
        </w:tc>
        <w:tc>
          <w:tcPr>
            <w:tcW w:type="dxa" w:w="1440"/>
            <w:shd w:fill="FAFAFA" w:val="clear"/>
          </w:tcPr>
          <w:p>
            <w:r>
              <w:rPr>
                <w:b/>
                <w:sz w:val="17"/>
              </w:rPr>
              <w:t>2,922</w:t>
            </w:r>
          </w:p>
        </w:tc>
        <w:tc>
          <w:tcPr>
            <w:tcW w:type="dxa" w:w="1440"/>
            <w:shd w:fill="FAFAFA" w:val="clear"/>
          </w:tcPr>
          <w:p>
            <w:r>
              <w:rPr>
                <w:sz w:val="17"/>
              </w:rPr>
              <w:t>3,222</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2,596</w:t>
            </w:r>
          </w:p>
        </w:tc>
        <w:tc>
          <w:tcPr>
            <w:tcW w:type="dxa" w:w="1440"/>
            <w:shd w:fill="FAFAFA" w:val="clear"/>
          </w:tcPr>
          <w:p>
            <w:r>
              <w:rPr>
                <w:b/>
                <w:sz w:val="17"/>
              </w:rPr>
              <w:t>2,919</w:t>
            </w:r>
          </w:p>
        </w:tc>
        <w:tc>
          <w:tcPr>
            <w:tcW w:type="dxa" w:w="1440"/>
            <w:shd w:fill="FAFAFA" w:val="clear"/>
          </w:tcPr>
          <w:p>
            <w:r>
              <w:rPr>
                <w:sz w:val="17"/>
              </w:rPr>
              <w:t>3,243</w:t>
            </w:r>
          </w:p>
        </w:tc>
        <w:tc>
          <w:tcPr>
            <w:tcW w:type="dxa" w:w="1440"/>
            <w:shd w:fill="FAFAFA" w:val="clear"/>
          </w:tcPr>
          <w:p>
            <w:r>
              <w:rPr>
                <w:b/>
                <w:color w:val="008000"/>
                <w:sz w:val="17"/>
              </w:rPr>
              <w:t>+0.7%</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2,571</w:t>
            </w:r>
          </w:p>
        </w:tc>
        <w:tc>
          <w:tcPr>
            <w:tcW w:type="dxa" w:w="1440"/>
            <w:shd w:fill="FAFAFA" w:val="clear"/>
          </w:tcPr>
          <w:p>
            <w:r>
              <w:rPr>
                <w:b/>
                <w:sz w:val="17"/>
              </w:rPr>
              <w:t>2,916</w:t>
            </w:r>
          </w:p>
        </w:tc>
        <w:tc>
          <w:tcPr>
            <w:tcW w:type="dxa" w:w="1440"/>
            <w:shd w:fill="FAFAFA" w:val="clear"/>
          </w:tcPr>
          <w:p>
            <w:r>
              <w:rPr>
                <w:sz w:val="17"/>
              </w:rPr>
              <w:t>3,262</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2,548</w:t>
            </w:r>
          </w:p>
        </w:tc>
        <w:tc>
          <w:tcPr>
            <w:tcW w:type="dxa" w:w="1440"/>
            <w:shd w:fill="FAFAFA" w:val="clear"/>
          </w:tcPr>
          <w:p>
            <w:r>
              <w:rPr>
                <w:b/>
                <w:sz w:val="17"/>
              </w:rPr>
              <w:t>2,913</w:t>
            </w:r>
          </w:p>
        </w:tc>
        <w:tc>
          <w:tcPr>
            <w:tcW w:type="dxa" w:w="1440"/>
            <w:shd w:fill="FAFAFA" w:val="clear"/>
          </w:tcPr>
          <w:p>
            <w:r>
              <w:rPr>
                <w:sz w:val="17"/>
              </w:rPr>
              <w:t>3,279</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2,525</w:t>
            </w:r>
          </w:p>
        </w:tc>
        <w:tc>
          <w:tcPr>
            <w:tcW w:type="dxa" w:w="1440"/>
            <w:shd w:fill="FAFAFA" w:val="clear"/>
          </w:tcPr>
          <w:p>
            <w:r>
              <w:rPr>
                <w:b/>
                <w:sz w:val="17"/>
              </w:rPr>
              <w:t>2,911</w:t>
            </w:r>
          </w:p>
        </w:tc>
        <w:tc>
          <w:tcPr>
            <w:tcW w:type="dxa" w:w="1440"/>
            <w:shd w:fill="FAFAFA" w:val="clear"/>
          </w:tcPr>
          <w:p>
            <w:r>
              <w:rPr>
                <w:sz w:val="17"/>
              </w:rPr>
              <w:t>3,296</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201,30 milliards FCFA, ORGT se positionne comme une valeur de premier plan de la cote BRVM, reflétant l'importance systémique du groupe bancaire panafricain dans l'UEMOA. Le BPA de 312 FCFA/action confère au titre un PER de 9,3x, légèrement inférieur à la moyenne du marché BRVM (8-12x), ce qui suggère une valorisation raisonnable voire une légère sous-évaluation au regard des bénéfices générés. Le ratio P/B de 1,78x indique que le marché valorise l'action à près du double de sa valeur comptable, ce qui reste dans une fourchette raisonnable (1-2x) pour une banque affichant un ROE de 19,1%. En revanche, l'EV/EBITDA de 19,5x apparaît très exigeant (&gt;15x), signalant que la valeur d'entreprise intègre déjà une prime significative par rapport à la capacité opérationnelle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ORGT affiche une progression totale de +5,26%, bien que la dernière séance (J-1) ait enregistré un repli de -3,33%, traduisant une prise de profit récente après une dynamique haussière. Le cours actuel de 2 900 FCFA se situe dans la partie médiane du range de trading établi entre un plus bas de 2 435 FCFA et un plus haut de 3 400 FCFA, soit une amplitude de 965 FCFA (près de 40% du cours actuel). La tendance générale reste modérément haussière sur la période, mais le repli récent suggère une consolidation. Les statistiques descriptives révèlent une moyenne de 2 886 FCFA légèrement supérieure à la médiane de 2 780 FCFA, avec un mode à 2 680 FCFA — cet écart indique une distribution légèrement asymétrique à droite, confirmée par un skewness de 0,327 (distribution symétrique avec une queue droite). L'écart-type de 247 FCFA (CV=8,6%) traduit une dispersion modérée du cours, tandis que le kurtosis de -1,200 (platykurtique) signale une distribution aplatie avec un faible risque de pics extrêmes — un profil rassurant pour la gestion du risque. La volatilité annualisée de 40,2% classe le titre dans la catégorie des valeurs à volatilité élevée (&gt;30%), ce qui implique une prime de risque significative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(3 156,5 FCFA) et la MM50 (3 084,4 FCFA) se situent toutes deux au-dessus du cours actuel (2 900 FCFA), ce qui place le titre en position baissière à court terme. Cependant, la MM20 étant supérieure à la MM50, la configuration reste celle d'un croisement haussier antérieur, justifiant la décision "Achat" malgré le repli récent. Le cours devra reconquérir ces niveaux pour confirmer la reprise.</w:t>
      </w:r>
    </w:p>
    <w:p>
      <w:pPr>
        <w:spacing w:after="120" w:line="276" w:lineRule="auto"/>
      </w:pPr>
      <w:r>
        <w:t>**Bandes de Bollinger** : Le cours actuel (2 900 FCFA) évolue dans la partie inférieure de la bande, entre la borne inférieure (2 804 FCFA) et la borne supérieure (3 508 FCFA). La décision "Neutre" reflète l'absence de signal directionnel clair, le cours se situant à environ 25% de la largeur de la bande, sans atteindre les zones de surachat ou de survente.</w:t>
      </w:r>
    </w:p>
    <w:p>
      <w:pPr>
        <w:spacing w:after="120" w:line="276" w:lineRule="auto"/>
      </w:pPr>
      <w:r>
        <w:t>**MACD** : La valeur du MACD (-49,598) est nettement inférieure à son signal (-11,685), générant un histogramme négatif et une décision "Vente". Cette divergence baissière indique un momentum négatif persistant, bien que l'écart entre les deux lignes tende à se réduire, ce qui pourrait annoncer un retournement prochain.</w:t>
      </w:r>
    </w:p>
    <w:p>
      <w:pPr>
        <w:spacing w:after="120" w:line="276" w:lineRule="auto"/>
      </w:pPr>
      <w:r>
        <w:t>**RSI** : À 32,143, le RSI se situe dans la zone neutre basse, proche du seuil de survente (30). La décision "Neutre" est justifiée car le titre n'est pas encore techniquement survendu, mais la proximité de ce seuil suggère un potentiel de rebond technique à court terme.</w:t>
      </w:r>
    </w:p>
    <w:p>
      <w:pPr>
        <w:spacing w:after="120" w:line="276" w:lineRule="auto"/>
      </w:pPr>
      <w:r>
        <w:t>**Stochastique** : Le %K (20,202) est inférieur au %D (33,401), avec un croisement baissier en zone de survente. La décision "Neutre" reflète l'absence de signal fort, mais la position basse du %K indique que le titre approche d'une zone où les acheteurs pourraient revenir.</w:t>
      </w:r>
    </w:p>
    <w:p>
      <w:pPr>
        <w:spacing w:after="120" w:line="276" w:lineRule="auto"/>
      </w:pPr>
      <w:r>
        <w:t>**Conclusion technique** : Les indicateurs techniques présentent un tableau mitigé. Les moyennes mobiles restent haussières dans leur configuration, mais le MACD est clairement baissier, tandis que le RSI et le stochastique se situent en zone neutre basse, proches de la survente. Cette divergence suggère une phase de consolidation avec un potentiel de rebond technique à court terme, mais sans confirmation d'une tendance directionnelle forte. La prudence est de mise avant tout engagement significatif.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ORGT a réalisé un Produit Net Bancaire (PNB) de 186,609 milliards FCFA, en baisse de -4,52% par rapport à 2024 (195,436 milliards FCFA). Le résultat net consolidé s'établit à 21,643 milliards FCFA, marquant un redressement spectaculaire après la perte de -44,363 milliards FCFA en 2024. Le ROE atteint 19,13% (&gt;15% = excellent), tandis que le ROA reste faible à 0,54%, caractéristique du secteur bancaire. Le coefficient d'exploitation de 42,85% (&lt;60%) témoigne d'une excellente efficacité opérationnelle. Le coût du risque, mesuré par le ratio provisions/charges financières, s'élève à 3,74% — un niveau élevé qui appelle à la vigilance, bien qu'en amélioration drastique par rapport à 2024. Le ratio dépôts/crédits s'établit à 3 088,698/1 523,765 = 2,03x, indiquant une surliquidité et une sous-utilisation des dépôts pour le crédit.</w:t>
      </w:r>
    </w:p>
    <w:p>
      <w:pPr>
        <w:spacing w:after="120" w:line="276" w:lineRule="auto"/>
      </w:pPr>
      <w:r>
        <w:t>**Adaptation au secteur bancaire** : La structure bilancielle révèle une autonomie financière très faible (2,82%), typique des banques, mais une solvabilité générale de 102,90% (&gt;1 = solvable). Les créances interbancaires (275,515 milliards FCFA) et les dettes interbancaires (432,668 milliards FCFA) montrent une dépendance au marché interbancaire, tandis que les dépôts clientèle (3 088,698 milliards FCFA) constituent la principale ressource. La marge nette de 11,60% est solide pour le secteur.</w:t>
      </w:r>
    </w:p>
    <w:p>
      <w:pPr>
        <w:spacing w:after="120" w:line="276" w:lineRule="auto"/>
      </w:pPr>
      <w:r>
        <w:t>**Estimations basées sur les rapports trimestriels** : Selon le rapport T1 2026 (publié en 2026), le PNB recule de -2% à 50,124 milliards FCFA, mais le résultat net progresse de +37% à 6,555 milliards FCFA, grâce à une amélioration du coût du risque (-10%) et une maîtrise des frais généraux (-44%). Les dépôts clientèle augmentent de +14% à 3 343 milliards FCFA, tandis que les crédits nets reculent de -12% à 1 434 milliards FCFA. Sur la base de ces tendances, on peut estimer que l'exercice 2026 devrait confirmer la poursuite du redressement, avec un résultat net annuel potentiellement supérieur à 25 milliards FCFA si la dynamique se maintient. Le rapport S1 2025 (daté du 30 juin 2025) confirme cette trajectoire avec un bénéfice net de 18,3 milliards FCFA (+232% vs S1 2024), et le rapport T3 2025 (30 septembre 2025) affiche un résultat net de 19,6 milliards FCFA (+248%).</w:t>
      </w:r>
    </w:p>
    <w:p>
      <w:pPr>
        <w:spacing w:after="120" w:line="276" w:lineRule="auto"/>
      </w:pPr>
      <w:r>
        <w:t>**Évolution pluriannuelle** : L'évolution 2024-2025 est marquée par un retournement spectaculaire : passage d'une perte de -44,4 milliards FCFA à un bénéfice de 21,6 milliards FCFA, soit une amélioration de +149%. Les capitaux propres se renforcent de +17% à 113,165 milliards FCFA. Cependant, la baisse du PNB (-4,5%) et la contraction du portefeuille de crédits (-12% au T1 2026) constituent des signaux d'alerte sur la dynamique commerciale.</w:t>
      </w:r>
    </w:p>
    <w:p>
      <w:pPr>
        <w:spacing w:after="120" w:line="276" w:lineRule="auto"/>
      </w:pPr>
      <w:r>
        <w:t>**Recommandation fondamentale** : La solidité financière est en nette amélioration, portée par une gestion rigoureuse des coûts et une normalisation du coût du risque. Les risques principaux résident dans la baisse du PNB, la dépendance à la poursuite de la réduction des provisions, et l'absence de dividende (aucune distribution proposée pour 2025). La recommandation fondamentale est **CONSERVER**, avec un biais positif à moyen terme si la reprise du PNB se confirme.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profil contrasté : le PER de 9,3x et le P/B de 1,78x suggèrent une valorisation raisonnable, voire légèrement sous-évaluée, mais l'EV/EBITDA de 19,5x tempère cet optimisme en intégrant une prime déjà significative. Le comportement du cours (Partie 1) affiche une tendance haussière modérée (+5,26% sur 100 jours) avec une volatilité élevée (40,2%) et une distribution platykurtique (kurtosis -1,200) indiquant un faible risque de pics extrêmes — un profil rassurant malgré la volatilité. Les signaux techniques (Partie 2) sont mitigés : les moyennes mobiles restent haussières dans leur configuration, mais le MACD est baissier et le RSI/stochastique sont en zone neutre basse, suggérant une consolidation avec un potentiel de rebond technique. Les fondamentaux (Partie 3) montrent un redressement spectaculaire en 2025 (résultat net de 21,6 milliards FCFA, ROE de 19,1%, coefficient d'exploitation de 42,9%), confirmé par les rapports trimestriels 2025 et T1 2026, mais la baisse du PNB et la contraction des crédits constituent des points de vigilance. Les prédictions IA (J+1 à J+10) anticipent une légère hausse vers 2 941 FCFA d'ici le 1er octobre 2026, puis une stabilisation autour de 2 926-2 933 FCFA, ce qui confirme la tendance haussière modérée mais sans accélération significative.</w:t>
      </w:r>
    </w:p>
    <w:p>
      <w:pPr>
        <w:spacing w:after="120" w:line="276" w:lineRule="auto"/>
      </w:pPr>
      <w:r>
        <w:t>**Recommandation finale : CONSERVER**</w:t>
        <w:br/>
        <w:t>La convergence entre une valorisation raisonnable, des fondamentaux en nette amélioration, des signaux techniques mitigés et des prédictions IA légèrement haussières plaide pour une position attentiste. Le titre n'est pas encore en phase de croissance organique solide (PNB en baisse), mais le redressement opérationnel et la solidité du bilan justifient de ne pas vendre. Un passage à l'ACHAT serait prématuré sans confirmation d'une reprise durable du PNB.</w:t>
      </w:r>
    </w:p>
    <w:p>
      <w:pPr>
        <w:spacing w:after="120" w:line="276" w:lineRule="auto"/>
      </w:pPr>
      <w:r>
        <w:t>**Niveau de confiance : Moyen** — Les données fondamentales sont solides mais la dynamique commerciale reste incertaine.</w:t>
        <w:br/>
        <w:t>**Niveau de risque global : Moyen** — Volatilité élevée (40,2%) mais distribution platykurtique et solvabilité assurée.</w:t>
        <w:br/>
        <w:t>**Horizon d'investissement optimal : Moyen terme (3-12 mois)** — Le temps de voir se confirmer la reprise du PNB et la pérennité du redressement.</w:t>
      </w:r>
    </w:p>
    <w:p>
      <w:pPr>
        <w:spacing w:after="120" w:line="276" w:lineRule="auto"/>
      </w:pPr>
      <w:r>
        <w:t>---</w:t>
      </w:r>
    </w:p>
    <w:p>
      <w:pPr>
        <w:spacing w:after="120" w:line="276" w:lineRule="auto"/>
      </w:pPr>
      <w:r>
        <w:t>*Ce rapport est fourni à titre informatif et ne constitue pas un conseil en investissement. Les investisseurs sont invités à consulter un professionnel avant toute décision.*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128.16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3,945 titres</w:t>
            </w:r>
          </w:p>
        </w:tc>
        <w:tc>
          <w:tcPr>
            <w:tcW w:type="dxa" w:w="2268"/>
            <w:shd w:fill="FFF2CC" w:val="clear"/>
          </w:tcPr>
          <w:p>
            <w:r>
              <w:rPr>
                <w:b/>
                <w:color w:val="503200"/>
                <w:sz w:val="16"/>
              </w:rPr>
              <w:t xml:space="preserve">Cours actuel : </w:t>
            </w:r>
            <w:r>
              <w:rPr>
                <w:color w:val="000000"/>
                <w:sz w:val="17"/>
              </w:rPr>
              <w:t>8,290 FCFA</w:t>
            </w:r>
          </w:p>
          <w:p>
            <w:r>
              <w:rPr>
                <w:b/>
                <w:color w:val="503200"/>
                <w:sz w:val="16"/>
              </w:rPr>
              <w:t xml:space="preserve">Var. 100 jours : </w:t>
            </w:r>
            <w:r>
              <w:rPr>
                <w:b/>
                <w:color w:val="007800"/>
                <w:sz w:val="17"/>
              </w:rPr>
              <w:t>+4.94%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5.67% (Moyenne) — μ=8,609 FCFA, σ=489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β=0.0474 (Défensif) — Cov=0.000003, Var(idx)=0.000069, ρ=0.019,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7,945</w:t>
            </w:r>
          </w:p>
        </w:tc>
        <w:tc>
          <w:tcPr>
            <w:tcW w:type="dxa" w:w="1440"/>
            <w:shd w:fill="FAFAFA" w:val="clear"/>
          </w:tcPr>
          <w:p>
            <w:r>
              <w:rPr>
                <w:b/>
                <w:sz w:val="17"/>
              </w:rPr>
              <w:t>8,170</w:t>
            </w:r>
          </w:p>
        </w:tc>
        <w:tc>
          <w:tcPr>
            <w:tcW w:type="dxa" w:w="1440"/>
            <w:shd w:fill="FAFAFA" w:val="clear"/>
          </w:tcPr>
          <w:p>
            <w:r>
              <w:rPr>
                <w:sz w:val="17"/>
              </w:rPr>
              <w:t>8,395</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7,813</w:t>
            </w:r>
          </w:p>
        </w:tc>
        <w:tc>
          <w:tcPr>
            <w:tcW w:type="dxa" w:w="1440"/>
            <w:shd w:fill="FAFAFA" w:val="clear"/>
          </w:tcPr>
          <w:p>
            <w:r>
              <w:rPr>
                <w:b/>
                <w:sz w:val="17"/>
              </w:rPr>
              <w:t>8,130</w:t>
            </w:r>
          </w:p>
        </w:tc>
        <w:tc>
          <w:tcPr>
            <w:tcW w:type="dxa" w:w="1440"/>
            <w:shd w:fill="FAFAFA" w:val="clear"/>
          </w:tcPr>
          <w:p>
            <w:r>
              <w:rPr>
                <w:sz w:val="17"/>
              </w:rPr>
              <w:t>8,447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2026-10-05</w:t>
            </w:r>
          </w:p>
        </w:tc>
        <w:tc>
          <w:tcPr>
            <w:tcW w:type="dxa" w:w="1440"/>
            <w:shd w:fill="FFDCE0" w:val="clear"/>
          </w:tcPr>
          <w:p>
            <w:r>
              <w:rPr>
                <w:sz w:val="17"/>
              </w:rPr>
              <w:t>7,694</w:t>
            </w:r>
          </w:p>
        </w:tc>
        <w:tc>
          <w:tcPr>
            <w:tcW w:type="dxa" w:w="1440"/>
            <w:shd w:fill="FFDCE0" w:val="clear"/>
          </w:tcPr>
          <w:p>
            <w:r>
              <w:rPr>
                <w:b/>
                <w:sz w:val="17"/>
              </w:rPr>
              <w:t>8,080</w:t>
            </w:r>
          </w:p>
        </w:tc>
        <w:tc>
          <w:tcPr>
            <w:tcW w:type="dxa" w:w="1440"/>
            <w:shd w:fill="FFDCE0" w:val="clear"/>
          </w:tcPr>
          <w:p>
            <w:r>
              <w:rPr>
                <w:sz w:val="17"/>
              </w:rPr>
              <w:t>8,466</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2026-10-06</w:t>
            </w:r>
          </w:p>
        </w:tc>
        <w:tc>
          <w:tcPr>
            <w:tcW w:type="dxa" w:w="1440"/>
            <w:shd w:fill="FFDCE0" w:val="clear"/>
          </w:tcPr>
          <w:p>
            <w:r>
              <w:rPr>
                <w:sz w:val="17"/>
              </w:rPr>
              <w:t>7,589</w:t>
            </w:r>
          </w:p>
        </w:tc>
        <w:tc>
          <w:tcPr>
            <w:tcW w:type="dxa" w:w="1440"/>
            <w:shd w:fill="FFDCE0" w:val="clear"/>
          </w:tcPr>
          <w:p>
            <w:r>
              <w:rPr>
                <w:b/>
                <w:sz w:val="17"/>
              </w:rPr>
              <w:t>8,032</w:t>
            </w:r>
          </w:p>
        </w:tc>
        <w:tc>
          <w:tcPr>
            <w:tcW w:type="dxa" w:w="1440"/>
            <w:shd w:fill="FFDCE0" w:val="clear"/>
          </w:tcPr>
          <w:p>
            <w:r>
              <w:rPr>
                <w:sz w:val="17"/>
              </w:rPr>
              <w:t>8,475</w:t>
            </w:r>
          </w:p>
        </w:tc>
        <w:tc>
          <w:tcPr>
            <w:tcW w:type="dxa" w:w="1440"/>
            <w:shd w:fill="FFDCE0" w:val="clear"/>
          </w:tcPr>
          <w:p>
            <w:r>
              <w:rPr>
                <w:b/>
                <w:color w:val="C00000"/>
                <w:sz w:val="17"/>
              </w:rPr>
              <w:t>-3.1%</w:t>
            </w:r>
          </w:p>
        </w:tc>
      </w:tr>
      <w:tr>
        <w:tc>
          <w:tcPr>
            <w:tcW w:type="dxa" w:w="1440"/>
            <w:shd w:fill="FFDCE0" w:val="clear"/>
          </w:tcPr>
          <w:p>
            <w:r>
              <w:rPr>
                <w:sz w:val="17"/>
              </w:rPr>
              <w:t>J+5  Moyenne</w:t>
            </w:r>
          </w:p>
        </w:tc>
        <w:tc>
          <w:tcPr>
            <w:tcW w:type="dxa" w:w="1440"/>
            <w:shd w:fill="FFDCE0" w:val="clear"/>
          </w:tcPr>
          <w:p>
            <w:r>
              <w:rPr>
                <w:sz w:val="17"/>
              </w:rPr>
              <w:t>2026-10-07</w:t>
            </w:r>
          </w:p>
        </w:tc>
        <w:tc>
          <w:tcPr>
            <w:tcW w:type="dxa" w:w="1440"/>
            <w:shd w:fill="FFDCE0" w:val="clear"/>
          </w:tcPr>
          <w:p>
            <w:r>
              <w:rPr>
                <w:sz w:val="17"/>
              </w:rPr>
              <w:t>7,494</w:t>
            </w:r>
          </w:p>
        </w:tc>
        <w:tc>
          <w:tcPr>
            <w:tcW w:type="dxa" w:w="1440"/>
            <w:shd w:fill="FFDCE0" w:val="clear"/>
          </w:tcPr>
          <w:p>
            <w:r>
              <w:rPr>
                <w:b/>
                <w:sz w:val="17"/>
              </w:rPr>
              <w:t>7,987</w:t>
            </w:r>
          </w:p>
        </w:tc>
        <w:tc>
          <w:tcPr>
            <w:tcW w:type="dxa" w:w="1440"/>
            <w:shd w:fill="FFDCE0" w:val="clear"/>
          </w:tcPr>
          <w:p>
            <w:r>
              <w:rPr>
                <w:sz w:val="17"/>
              </w:rPr>
              <w:t>8,479</w:t>
            </w:r>
          </w:p>
        </w:tc>
        <w:tc>
          <w:tcPr>
            <w:tcW w:type="dxa" w:w="1440"/>
            <w:shd w:fill="FFDCE0" w:val="clear"/>
          </w:tcPr>
          <w:p>
            <w:r>
              <w:rPr>
                <w:b/>
                <w:color w:val="C00000"/>
                <w:sz w:val="17"/>
              </w:rPr>
              <w:t>-3.7%</w:t>
            </w:r>
          </w:p>
        </w:tc>
      </w:tr>
      <w:tr>
        <w:tc>
          <w:tcPr>
            <w:tcW w:type="dxa" w:w="1440"/>
            <w:shd w:fill="FFDCE0" w:val="clear"/>
          </w:tcPr>
          <w:p>
            <w:r>
              <w:rPr>
                <w:sz w:val="17"/>
              </w:rPr>
              <w:t>J+6  Moyenne</w:t>
            </w:r>
          </w:p>
        </w:tc>
        <w:tc>
          <w:tcPr>
            <w:tcW w:type="dxa" w:w="1440"/>
            <w:shd w:fill="FFDCE0" w:val="clear"/>
          </w:tcPr>
          <w:p>
            <w:r>
              <w:rPr>
                <w:sz w:val="17"/>
              </w:rPr>
              <w:t>2026-10-08</w:t>
            </w:r>
          </w:p>
        </w:tc>
        <w:tc>
          <w:tcPr>
            <w:tcW w:type="dxa" w:w="1440"/>
            <w:shd w:fill="FFDCE0" w:val="clear"/>
          </w:tcPr>
          <w:p>
            <w:r>
              <w:rPr>
                <w:sz w:val="17"/>
              </w:rPr>
              <w:t>7,407</w:t>
            </w:r>
          </w:p>
        </w:tc>
        <w:tc>
          <w:tcPr>
            <w:tcW w:type="dxa" w:w="1440"/>
            <w:shd w:fill="FFDCE0" w:val="clear"/>
          </w:tcPr>
          <w:p>
            <w:r>
              <w:rPr>
                <w:b/>
                <w:sz w:val="17"/>
              </w:rPr>
              <w:t>7,944</w:t>
            </w:r>
          </w:p>
        </w:tc>
        <w:tc>
          <w:tcPr>
            <w:tcW w:type="dxa" w:w="1440"/>
            <w:shd w:fill="FFDCE0" w:val="clear"/>
          </w:tcPr>
          <w:p>
            <w:r>
              <w:rPr>
                <w:sz w:val="17"/>
              </w:rPr>
              <w:t>8,480</w:t>
            </w:r>
          </w:p>
        </w:tc>
        <w:tc>
          <w:tcPr>
            <w:tcW w:type="dxa" w:w="1440"/>
            <w:shd w:fill="FFDCE0" w:val="clear"/>
          </w:tcPr>
          <w:p>
            <w:r>
              <w:rPr>
                <w:b/>
                <w:color w:val="C00000"/>
                <w:sz w:val="17"/>
              </w:rPr>
              <w:t>-4.2%</w:t>
            </w:r>
          </w:p>
        </w:tc>
      </w:tr>
      <w:tr>
        <w:tc>
          <w:tcPr>
            <w:tcW w:type="dxa" w:w="1440"/>
            <w:shd w:fill="FFDCE0" w:val="clear"/>
          </w:tcPr>
          <w:p>
            <w:r>
              <w:rPr>
                <w:sz w:val="17"/>
              </w:rPr>
              <w:t>J+7  Moyenne</w:t>
            </w:r>
          </w:p>
        </w:tc>
        <w:tc>
          <w:tcPr>
            <w:tcW w:type="dxa" w:w="1440"/>
            <w:shd w:fill="FFDCE0" w:val="clear"/>
          </w:tcPr>
          <w:p>
            <w:r>
              <w:rPr>
                <w:sz w:val="17"/>
              </w:rPr>
              <w:t>2026-10-09</w:t>
            </w:r>
          </w:p>
        </w:tc>
        <w:tc>
          <w:tcPr>
            <w:tcW w:type="dxa" w:w="1440"/>
            <w:shd w:fill="FFDCE0" w:val="clear"/>
          </w:tcPr>
          <w:p>
            <w:r>
              <w:rPr>
                <w:sz w:val="17"/>
              </w:rPr>
              <w:t>7,326</w:t>
            </w:r>
          </w:p>
        </w:tc>
        <w:tc>
          <w:tcPr>
            <w:tcW w:type="dxa" w:w="1440"/>
            <w:shd w:fill="FFDCE0" w:val="clear"/>
          </w:tcPr>
          <w:p>
            <w:r>
              <w:rPr>
                <w:b/>
                <w:sz w:val="17"/>
              </w:rPr>
              <w:t>7,902</w:t>
            </w:r>
          </w:p>
        </w:tc>
        <w:tc>
          <w:tcPr>
            <w:tcW w:type="dxa" w:w="1440"/>
            <w:shd w:fill="FFDCE0" w:val="clear"/>
          </w:tcPr>
          <w:p>
            <w:r>
              <w:rPr>
                <w:sz w:val="17"/>
              </w:rPr>
              <w:t>8,479</w:t>
            </w:r>
          </w:p>
        </w:tc>
        <w:tc>
          <w:tcPr>
            <w:tcW w:type="dxa" w:w="1440"/>
            <w:shd w:fill="FFDCE0" w:val="clear"/>
          </w:tcPr>
          <w:p>
            <w:r>
              <w:rPr>
                <w:b/>
                <w:color w:val="C00000"/>
                <w:sz w:val="17"/>
              </w:rPr>
              <w:t>-4.7%</w:t>
            </w:r>
          </w:p>
        </w:tc>
      </w:tr>
      <w:tr>
        <w:tc>
          <w:tcPr>
            <w:tcW w:type="dxa" w:w="1440"/>
            <w:shd w:fill="FFDCE0" w:val="clear"/>
          </w:tcPr>
          <w:p>
            <w:r>
              <w:rPr>
                <w:sz w:val="17"/>
              </w:rPr>
              <w:t>J+8  Moyenne</w:t>
            </w:r>
          </w:p>
        </w:tc>
        <w:tc>
          <w:tcPr>
            <w:tcW w:type="dxa" w:w="1440"/>
            <w:shd w:fill="FFDCE0" w:val="clear"/>
          </w:tcPr>
          <w:p>
            <w:r>
              <w:rPr>
                <w:sz w:val="17"/>
              </w:rPr>
              <w:t>2026-10-12</w:t>
            </w:r>
          </w:p>
        </w:tc>
        <w:tc>
          <w:tcPr>
            <w:tcW w:type="dxa" w:w="1440"/>
            <w:shd w:fill="FFDCE0" w:val="clear"/>
          </w:tcPr>
          <w:p>
            <w:r>
              <w:rPr>
                <w:sz w:val="17"/>
              </w:rPr>
              <w:t>7,250</w:t>
            </w:r>
          </w:p>
        </w:tc>
        <w:tc>
          <w:tcPr>
            <w:tcW w:type="dxa" w:w="1440"/>
            <w:shd w:fill="FFDCE0" w:val="clear"/>
          </w:tcPr>
          <w:p>
            <w:r>
              <w:rPr>
                <w:b/>
                <w:sz w:val="17"/>
              </w:rPr>
              <w:t>7,863</w:t>
            </w:r>
          </w:p>
        </w:tc>
        <w:tc>
          <w:tcPr>
            <w:tcW w:type="dxa" w:w="1440"/>
            <w:shd w:fill="FFDCE0" w:val="clear"/>
          </w:tcPr>
          <w:p>
            <w:r>
              <w:rPr>
                <w:sz w:val="17"/>
              </w:rPr>
              <w:t>8,476</w:t>
            </w:r>
          </w:p>
        </w:tc>
        <w:tc>
          <w:tcPr>
            <w:tcW w:type="dxa" w:w="1440"/>
            <w:shd w:fill="FFDCE0" w:val="clear"/>
          </w:tcPr>
          <w:p>
            <w:r>
              <w:rPr>
                <w:b/>
                <w:color w:val="C00000"/>
                <w:sz w:val="17"/>
              </w:rPr>
              <w:t>-5.2%</w:t>
            </w:r>
          </w:p>
        </w:tc>
      </w:tr>
      <w:tr>
        <w:tc>
          <w:tcPr>
            <w:tcW w:type="dxa" w:w="1440"/>
            <w:shd w:fill="FFDCE0" w:val="clear"/>
          </w:tcPr>
          <w:p>
            <w:r>
              <w:rPr>
                <w:sz w:val="17"/>
              </w:rPr>
              <w:t>J+9  Moyenne</w:t>
            </w:r>
          </w:p>
        </w:tc>
        <w:tc>
          <w:tcPr>
            <w:tcW w:type="dxa" w:w="1440"/>
            <w:shd w:fill="FFDCE0" w:val="clear"/>
          </w:tcPr>
          <w:p>
            <w:r>
              <w:rPr>
                <w:sz w:val="17"/>
              </w:rPr>
              <w:t>2026-10-13</w:t>
            </w:r>
          </w:p>
        </w:tc>
        <w:tc>
          <w:tcPr>
            <w:tcW w:type="dxa" w:w="1440"/>
            <w:shd w:fill="FFDCE0" w:val="clear"/>
          </w:tcPr>
          <w:p>
            <w:r>
              <w:rPr>
                <w:sz w:val="17"/>
              </w:rPr>
              <w:t>7,178</w:t>
            </w:r>
          </w:p>
        </w:tc>
        <w:tc>
          <w:tcPr>
            <w:tcW w:type="dxa" w:w="1440"/>
            <w:shd w:fill="FFDCE0" w:val="clear"/>
          </w:tcPr>
          <w:p>
            <w:r>
              <w:rPr>
                <w:b/>
                <w:sz w:val="17"/>
              </w:rPr>
              <w:t>7,825</w:t>
            </w:r>
          </w:p>
        </w:tc>
        <w:tc>
          <w:tcPr>
            <w:tcW w:type="dxa" w:w="1440"/>
            <w:shd w:fill="FFDCE0" w:val="clear"/>
          </w:tcPr>
          <w:p>
            <w:r>
              <w:rPr>
                <w:sz w:val="17"/>
              </w:rPr>
              <w:t>8,472</w:t>
            </w:r>
          </w:p>
        </w:tc>
        <w:tc>
          <w:tcPr>
            <w:tcW w:type="dxa" w:w="1440"/>
            <w:shd w:fill="FFDCE0" w:val="clear"/>
          </w:tcPr>
          <w:p>
            <w:r>
              <w:rPr>
                <w:b/>
                <w:color w:val="C00000"/>
                <w:sz w:val="17"/>
              </w:rPr>
              <w:t>-5.6%</w:t>
            </w:r>
          </w:p>
        </w:tc>
      </w:tr>
      <w:tr>
        <w:tc>
          <w:tcPr>
            <w:tcW w:type="dxa" w:w="1440"/>
            <w:shd w:fill="FFDCE0" w:val="clear"/>
          </w:tcPr>
          <w:p>
            <w:r>
              <w:rPr>
                <w:sz w:val="17"/>
              </w:rPr>
              <w:t>J+10  Moyenne</w:t>
            </w:r>
          </w:p>
        </w:tc>
        <w:tc>
          <w:tcPr>
            <w:tcW w:type="dxa" w:w="1440"/>
            <w:shd w:fill="FFDCE0" w:val="clear"/>
          </w:tcPr>
          <w:p>
            <w:r>
              <w:rPr>
                <w:sz w:val="17"/>
              </w:rPr>
              <w:t>2026-10-14</w:t>
            </w:r>
          </w:p>
        </w:tc>
        <w:tc>
          <w:tcPr>
            <w:tcW w:type="dxa" w:w="1440"/>
            <w:shd w:fill="FFDCE0" w:val="clear"/>
          </w:tcPr>
          <w:p>
            <w:r>
              <w:rPr>
                <w:sz w:val="17"/>
              </w:rPr>
              <w:t>7,110</w:t>
            </w:r>
          </w:p>
        </w:tc>
        <w:tc>
          <w:tcPr>
            <w:tcW w:type="dxa" w:w="1440"/>
            <w:shd w:fill="FFDCE0" w:val="clear"/>
          </w:tcPr>
          <w:p>
            <w:r>
              <w:rPr>
                <w:b/>
                <w:sz w:val="17"/>
              </w:rPr>
              <w:t>7,789</w:t>
            </w:r>
          </w:p>
        </w:tc>
        <w:tc>
          <w:tcPr>
            <w:tcW w:type="dxa" w:w="1440"/>
            <w:shd w:fill="FFDCE0" w:val="clear"/>
          </w:tcPr>
          <w:p>
            <w:r>
              <w:rPr>
                <w:sz w:val="17"/>
              </w:rPr>
              <w:t>8,468</w:t>
            </w:r>
          </w:p>
        </w:tc>
        <w:tc>
          <w:tcPr>
            <w:tcW w:type="dxa" w:w="1440"/>
            <w:shd w:fill="FFDCE0" w:val="clear"/>
          </w:tcPr>
          <w:p>
            <w:r>
              <w:rPr>
                <w:b/>
                <w:color w:val="C00000"/>
                <w:sz w:val="17"/>
              </w:rPr>
              <w:t>-6.0%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128,16 milliards FCFA, PALC se positionne parmi les valeurs moyennes-capitalisations de la BRVM, ce qui témoigne d'une liquidité correcte mais sans être un poids lourd du marché. Le BPA de 1 003 FCFA/action signifie que chaque titre génère environ 1 003 FCFA de bénéfice net, un niveau solide qui, rapporté au cours actuel de 8 290 FCFA, donne un PER de 8,3x — légèrement inférieur à la moyenne du marché BRVM (8-12x), suggérant une valorisation raisonnable voire légèrement sous-évaluée. Le ratio P/B de 0,90x est particulièrement intéressant : le marché valorise PALC en dessous de sa valeur comptable (capitaux propres de 142,6 Mds FCFA pour une capitalisation de 128,16 Mds FCFA), ce qui constitue historiquement un signal d'opportunité potentielle. Enfin, l'EV/EBITDA de 4,0x, très inférieur au seuil de 5x, indique que la valeur d'entreprise (dette incluse) reste modérée par rapport à la capacité opérationnelle de génération de cash, renforçant l'hypothèse d'une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variation positive de +4,94%, avec une dernière séance en hausse de +0,48%, portant le cours à 8 290 FCFA. Le range de trading s'établit entre un plus haut de 9 640 FCFA et un plus bas de 7 680 FCFA, soit une amplitude de près de 2 000 FCFA (environ 25% du cours actuel), ce qui traduit une tendance globalement haussière mais avec des corrections significatives. La moyenne (8 609 FCFA) est légèrement supérieure à la médiane (8 690 FCFA), et le mode se situe à 7 800 FCFA, indiquant une distribution quasi-symétrique avec une légère asymétrie négative (skewness de -0,218), confirmée par le kurtosis de -0,473 qui classe le titre comme mésokurtique — proche d'une distribution normale, sans risque excessif de pics extrêmes. L'écart-type de 491 FCFA et le coefficient de variation de 5,7% révèlent une dispersion modérée du cours autour de sa moyenne, tandis que la volatilité annualisée de 32,0% positionne PALC dans la catégorie des titres à volatilité élevée (&gt;30%), ce qui implique un risque de marché non négligeable mais cohérent avec les valeurs agro-industrielles exposées aux cours des matières premières.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(8 438,25 FCFA) et la MM50 (8 833,0 FCFA) encadrent le cours actuel (8 290 FCFA) par le haut, la MM50 étant nettement supérieure à la MM20, ce qui configure une tendance baissière de court terme. Le cours évoluant sous ses deux moyennes mobiles, la décision technique est logiquement à la **Vente**, signalant une pression vendeuse persistante.</w:t>
      </w:r>
    </w:p>
    <w:p>
      <w:pPr>
        <w:spacing w:after="120" w:line="276" w:lineRule="auto"/>
      </w:pPr>
      <w:r>
        <w:t>**Bandes de Bollinger** : Le cours (8 290 FCFA) se situe dans la partie basse de la bande, entre la borne inférieure (7 841,09 FCFA) et la borne supérieure (9 035,41 FCFA), sans atteindre les extrêmes. Cette position médiane-basse, combinée à une largeur de bande modérée, justifie une décision **Neutre** : ni suracheté, ni survendu, le titre évolue dans un canal sans signal directionnel fort.</w:t>
      </w:r>
    </w:p>
    <w:p>
      <w:pPr>
        <w:spacing w:after="120" w:line="276" w:lineRule="auto"/>
      </w:pPr>
      <w:r>
        <w:t>**MACD** : La valeur du MACD (-210,542) est inférieure à son signal (-205,262), avec un histogramme négatif. Cette configuration baissière indique un momentum négatif persistant, bien que l'écart entre les deux lignes reste faible, suggérant un essoufflement possible de la tendance baissière. La décision qui en découle est **Vente**.</w:t>
      </w:r>
    </w:p>
    <w:p>
      <w:pPr>
        <w:spacing w:after="120" w:line="276" w:lineRule="auto"/>
      </w:pPr>
      <w:r>
        <w:t>**RSI** : À 49,537, le RSI se situe exactement dans la zone neutre (30-70), à mi-chemin entre surachat et survente. Cette valeur équilibrée indique l'absence de pression acheteuse ou vendeuse dominante, justifiant une décision **Neutre** et suggérant que le titre pourrait évoluer dans les deux sens à court terme.</w:t>
      </w:r>
    </w:p>
    <w:p>
      <w:pPr>
        <w:spacing w:after="120" w:line="276" w:lineRule="auto"/>
      </w:pPr>
      <w:r>
        <w:t>**Stochastique** : Le %K (43,119) est supérieur au %D (35,168), avec un croisement récent potentiellement haussier, mais les deux lignes restent en zone basse-médiane. Cette configuration, sans signal clair de retournement, justifie une décision **Neutre**, bien que la dynamique relative du %K sur le %D mérite surveillance.</w:t>
      </w:r>
    </w:p>
    <w:p>
      <w:pPr>
        <w:spacing w:after="120" w:line="276" w:lineRule="auto"/>
      </w:pPr>
      <w:r>
        <w:t>**Conclusion technique** : Les indicateurs techniques présentent un tableau mitigé : les moyennes mobiles et le MACD sont baissiers, tandis que le RSI, les Bandes de Bollinger et le Stochastique sont neutres. Cette divergence suggère une phase de consolidation sans direction claire, avec un léger biais baissier à court terme. Le titre se trouve dans une zone de transition où la prudence est de mise, en attendant un signal de retournement plus franc.</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PALC a réalisé un chiffre d'affaires de 197,63 milliards FCFA, en croissance de +14,78% par rapport à 2024, avec un résultat net de 15,51 milliards FCFA. Le ROE s'établit à 10,87% et le ROA à 7,79%, des niveaux corrects mais en retrait par rapport aux exercices exceptionnels de 2021-2022 (ROE &gt;30%). La marge nette de 7,85% et la marge opérationnelle de 9,19% reflètent une pression sur les coûts, tandis que la structure financière reste très saine avec une autonomie financière de 71,64% et un ratio d'endettement de seulement 0,56%. Le BFR de 44,62 milliards FCFA et le délai client élevé de 142,58 jours constituent un point de vigilance pour la trésorerie, bien que la trésorerie nette négative de -4,56 milliards FCFA soit couverte par une CAFG de 30,57 milliards FCFA.</w:t>
      </w:r>
    </w:p>
    <w:p>
      <w:pPr>
        <w:spacing w:after="120" w:line="276" w:lineRule="auto"/>
      </w:pPr>
      <w:r>
        <w:t>**Adaptation au secteur ENTREPRISE** : PALC affiche une rotation des actifs de 99,25%, un niveau satisfaisant, mais le délai client de 142,58 jours (créances clients de 78,27 Mds FCFA) représente un risque de trésorerie significatif, typique des entreprises agro-industrielles vendant à crédit. La durée de stockage de 14,55 jours est bien maîtrisée, et le ratio de liquidité générale de 171,95% confirme une bonne capacité à honorer les dettes court terme.</w:t>
      </w:r>
    </w:p>
    <w:p>
      <w:pPr>
        <w:spacing w:after="120" w:line="276" w:lineRule="auto"/>
      </w:pPr>
      <w:r>
        <w:t>**Estimations basées sur les rapports trimestriels** : Le rapport T1 2026 (publié en 2026) révèle un effondrement du chiffre d'affaires de -27% à 49,4 milliards FCFA et une chute du résultat net de -86% à 1,6 milliard FCFA, que la direction attribue à un décalage temporel des ventes. Sur la base de ce rapport, on estime que l'exercice 2026 pourrait être nettement moins bon que 2025 si le redressement attendu au T2/T3 ne se matérialise pas. À l'inverse, les rapports S1 2025 (CA +25%, RN +37%) et T1 2025 (CA +32%, RN +65%) montraient une dynamique exceptionnelle avant le retournement du T1 2026. Le rapport annuel 2024 (publié en 2024) indiquait déjà une baisse du CA de -17% et du RN de -18%, confirmant la cyclicité de l'activité.</w:t>
      </w:r>
    </w:p>
    <w:p>
      <w:pPr>
        <w:spacing w:after="120" w:line="276" w:lineRule="auto"/>
      </w:pPr>
      <w:r>
        <w:t>**Évolution pluriannuelle** : Entre 2021 (RN de 42,5 Mds FCFA, marge nette de 21,7%) et 2025 (RN de 15,5 Mds FCFA, marge nette de 7,85%), PALC a connu une dégradation progressive de sa rentabilité, malgré un rebond en 2025. Le dividende par action est passé de 1 374 FCFA (2021) à 502 FCFA (2025), reflétant cette érosion.</w:t>
      </w:r>
    </w:p>
    <w:p>
      <w:pPr>
        <w:spacing w:after="120" w:line="276" w:lineRule="auto"/>
      </w:pPr>
      <w:r>
        <w:t>**Recommandation fondamentale** : PALC reste un acteur solide avec une structure financière saine et une position dominante sur le marché ouest-africain de l'huile de palme, mais la dégradation récente des marges et l'effondrement du T1 2026 incitent à la prudence. La recommandation fondamentale est **CONSERVER**, avec une surveillance active des prochains trimestres pour confirmer ou infirmer le redressement attendu.</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**Valorisation (Partie 0)** : les ratios PER (8,3x), P/B (0,90x) et EV/EBITDA (4,0x) indiquent une sous-évaluation relative, avec un potentiel de revalorisation si les fondamentaux se stabilisent. **Comportement du cours (Partie 1)** : la tendance haussière sur 100 jours (+4,94%) est tempérée par une volatilité élevée (32%) et une distribution symétrique sans risque extrême, mais le cours reste sous ses moyennes mobiles. **Signaux techniques (Partie 2)** : la divergence entre indicateurs baissiers (MM, MACD) et neutres (RSI, Bollinger, Stochastique) suggère une consolidation sans direction claire, avec un léger biais négatif. **Fondamentaux (Partie 3)** : la solidité financière (autonomie de 71,64%, endettement quasi nul) contraste avec la dégradation des marges et l'effondrement du T1 2026 (-86% de RN), bien que la direction évoque un décalage temporel. **Prédictions IA (J+1 à J+10)** : la trajectoire baissière prévue (8 170 → 7 987 FCFA, soit -3,7%) confirme les signaux techniques baissiers et contredit l'hypothèse d'un rebond immédiat.</w:t>
      </w:r>
    </w:p>
    <w:p>
      <w:pPr>
        <w:spacing w:after="120" w:line="276" w:lineRule="auto"/>
      </w:pPr>
      <w:r>
        <w:t>**Recommandation finale** : **CONSERVER** avec un biais baissier à court terme. La convergence entre la valorisation attractive (P/B &lt; 1, PER faible) et la détérioration des fondamentaux récents (T1 2026) crée une incertitude qui ne justifie ni un achat agressif, ni une vente panique. Le niveau de confiance est **Moyen**, car les données trimestrielles récentes sont préoccupantes mais potentiellement transitoires. Le niveau de risque global est **Moyen à Élevé**, en raison de la volatilité du titre (32%) et de l'exposition aux cours de l'huile de palme. L'horizon d'investissement optimal est le **moyen terme (3-12 mois)**, en attendant la publication des résultats du T2/T3 2026 pour confirmer ou infirmer le redressement annoncé par la direction. Un investisseur prudent attendra un signal technique haussier (cassure de la MM50 à 8 833 FCFA) avant de renforcer sa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41.98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1,139 titres</w:t>
            </w:r>
          </w:p>
        </w:tc>
        <w:tc>
          <w:tcPr>
            <w:tcW w:type="dxa" w:w="2268"/>
            <w:shd w:fill="FFF2CC" w:val="clear"/>
          </w:tcPr>
          <w:p>
            <w:r>
              <w:rPr>
                <w:b/>
                <w:color w:val="503200"/>
                <w:sz w:val="16"/>
              </w:rPr>
              <w:t xml:space="preserve">Cours actuel : </w:t>
            </w:r>
            <w:r>
              <w:rPr>
                <w:color w:val="000000"/>
                <w:sz w:val="17"/>
              </w:rPr>
              <w:t>4,100 FCFA</w:t>
            </w:r>
          </w:p>
          <w:p>
            <w:r>
              <w:rPr>
                <w:b/>
                <w:color w:val="503200"/>
                <w:sz w:val="16"/>
              </w:rPr>
              <w:t xml:space="preserve">Var. 100 jours : </w:t>
            </w:r>
            <w:r>
              <w:rPr>
                <w:b/>
                <w:color w:val="007800"/>
                <w:sz w:val="17"/>
              </w:rPr>
              <w:t>+10.96%</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6.09% (Moyenne) — μ=4,344 FCFA, σ=265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β=-0.2870 (Contre-cyclique) — Cov=-0.000020, Var(idx)=0.000069, ρ=-0.109,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3,897</w:t>
            </w:r>
          </w:p>
        </w:tc>
        <w:tc>
          <w:tcPr>
            <w:tcW w:type="dxa" w:w="1440"/>
            <w:shd w:fill="FAFAFA" w:val="clear"/>
          </w:tcPr>
          <w:p>
            <w:r>
              <w:rPr>
                <w:b/>
                <w:sz w:val="17"/>
              </w:rPr>
              <w:t>4,037</w:t>
            </w:r>
          </w:p>
        </w:tc>
        <w:tc>
          <w:tcPr>
            <w:tcW w:type="dxa" w:w="1440"/>
            <w:shd w:fill="FAFAFA" w:val="clear"/>
          </w:tcPr>
          <w:p>
            <w:r>
              <w:rPr>
                <w:sz w:val="17"/>
              </w:rPr>
              <w:t>4,177</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3,846</w:t>
            </w:r>
          </w:p>
        </w:tc>
        <w:tc>
          <w:tcPr>
            <w:tcW w:type="dxa" w:w="1440"/>
            <w:shd w:fill="FAFAFA" w:val="clear"/>
          </w:tcPr>
          <w:p>
            <w:r>
              <w:rPr>
                <w:b/>
                <w:sz w:val="17"/>
              </w:rPr>
              <w:t>4,045</w:t>
            </w:r>
          </w:p>
        </w:tc>
        <w:tc>
          <w:tcPr>
            <w:tcW w:type="dxa" w:w="1440"/>
            <w:shd w:fill="FAFAFA" w:val="clear"/>
          </w:tcPr>
          <w:p>
            <w:r>
              <w:rPr>
                <w:sz w:val="17"/>
              </w:rPr>
              <w:t>4,244</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3,803</w:t>
            </w:r>
          </w:p>
        </w:tc>
        <w:tc>
          <w:tcPr>
            <w:tcW w:type="dxa" w:w="1440"/>
            <w:shd w:fill="FAFAFA" w:val="clear"/>
          </w:tcPr>
          <w:p>
            <w:r>
              <w:rPr>
                <w:b/>
                <w:sz w:val="17"/>
              </w:rPr>
              <w:t>4,047</w:t>
            </w:r>
          </w:p>
        </w:tc>
        <w:tc>
          <w:tcPr>
            <w:tcW w:type="dxa" w:w="1440"/>
            <w:shd w:fill="FAFAFA" w:val="clear"/>
          </w:tcPr>
          <w:p>
            <w:r>
              <w:rPr>
                <w:sz w:val="17"/>
              </w:rPr>
              <w:t>4,290</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3,766</w:t>
            </w:r>
          </w:p>
        </w:tc>
        <w:tc>
          <w:tcPr>
            <w:tcW w:type="dxa" w:w="1440"/>
            <w:shd w:fill="FAFAFA" w:val="clear"/>
          </w:tcPr>
          <w:p>
            <w:r>
              <w:rPr>
                <w:b/>
                <w:sz w:val="17"/>
              </w:rPr>
              <w:t>4,047</w:t>
            </w:r>
          </w:p>
        </w:tc>
        <w:tc>
          <w:tcPr>
            <w:tcW w:type="dxa" w:w="1440"/>
            <w:shd w:fill="FAFAFA" w:val="clear"/>
          </w:tcPr>
          <w:p>
            <w:r>
              <w:rPr>
                <w:sz w:val="17"/>
              </w:rPr>
              <w:t>4,328</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3,733</w:t>
            </w:r>
          </w:p>
        </w:tc>
        <w:tc>
          <w:tcPr>
            <w:tcW w:type="dxa" w:w="1440"/>
            <w:shd w:fill="FAFAFA" w:val="clear"/>
          </w:tcPr>
          <w:p>
            <w:r>
              <w:rPr>
                <w:b/>
                <w:sz w:val="17"/>
              </w:rPr>
              <w:t>4,047</w:t>
            </w:r>
          </w:p>
        </w:tc>
        <w:tc>
          <w:tcPr>
            <w:tcW w:type="dxa" w:w="1440"/>
            <w:shd w:fill="FAFAFA" w:val="clear"/>
          </w:tcPr>
          <w:p>
            <w:r>
              <w:rPr>
                <w:sz w:val="17"/>
              </w:rPr>
              <w:t>4,361</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3,703</w:t>
            </w:r>
          </w:p>
        </w:tc>
        <w:tc>
          <w:tcPr>
            <w:tcW w:type="dxa" w:w="1440"/>
            <w:shd w:fill="FAFAFA" w:val="clear"/>
          </w:tcPr>
          <w:p>
            <w:r>
              <w:rPr>
                <w:b/>
                <w:sz w:val="17"/>
              </w:rPr>
              <w:t>4,047</w:t>
            </w:r>
          </w:p>
        </w:tc>
        <w:tc>
          <w:tcPr>
            <w:tcW w:type="dxa" w:w="1440"/>
            <w:shd w:fill="FAFAFA" w:val="clear"/>
          </w:tcPr>
          <w:p>
            <w:r>
              <w:rPr>
                <w:sz w:val="17"/>
              </w:rPr>
              <w:t>4,391</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3,675</w:t>
            </w:r>
          </w:p>
        </w:tc>
        <w:tc>
          <w:tcPr>
            <w:tcW w:type="dxa" w:w="1440"/>
            <w:shd w:fill="FAFAFA" w:val="clear"/>
          </w:tcPr>
          <w:p>
            <w:r>
              <w:rPr>
                <w:b/>
                <w:sz w:val="17"/>
              </w:rPr>
              <w:t>4,047</w:t>
            </w:r>
          </w:p>
        </w:tc>
        <w:tc>
          <w:tcPr>
            <w:tcW w:type="dxa" w:w="1440"/>
            <w:shd w:fill="FAFAFA" w:val="clear"/>
          </w:tcPr>
          <w:p>
            <w:r>
              <w:rPr>
                <w:sz w:val="17"/>
              </w:rPr>
              <w:t>4,419</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3,650</w:t>
            </w:r>
          </w:p>
        </w:tc>
        <w:tc>
          <w:tcPr>
            <w:tcW w:type="dxa" w:w="1440"/>
            <w:shd w:fill="FAFAFA" w:val="clear"/>
          </w:tcPr>
          <w:p>
            <w:r>
              <w:rPr>
                <w:b/>
                <w:sz w:val="17"/>
              </w:rPr>
              <w:t>4,047</w:t>
            </w:r>
          </w:p>
        </w:tc>
        <w:tc>
          <w:tcPr>
            <w:tcW w:type="dxa" w:w="1440"/>
            <w:shd w:fill="FAFAFA" w:val="clear"/>
          </w:tcPr>
          <w:p>
            <w:r>
              <w:rPr>
                <w:sz w:val="17"/>
              </w:rPr>
              <w:t>4,445</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3,626</w:t>
            </w:r>
          </w:p>
        </w:tc>
        <w:tc>
          <w:tcPr>
            <w:tcW w:type="dxa" w:w="1440"/>
            <w:shd w:fill="FAFAFA" w:val="clear"/>
          </w:tcPr>
          <w:p>
            <w:r>
              <w:rPr>
                <w:b/>
                <w:sz w:val="17"/>
              </w:rPr>
              <w:t>4,047</w:t>
            </w:r>
          </w:p>
        </w:tc>
        <w:tc>
          <w:tcPr>
            <w:tcW w:type="dxa" w:w="1440"/>
            <w:shd w:fill="FAFAFA" w:val="clear"/>
          </w:tcPr>
          <w:p>
            <w:r>
              <w:rPr>
                <w:sz w:val="17"/>
              </w:rPr>
              <w:t>4,469</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3,603</w:t>
            </w:r>
          </w:p>
        </w:tc>
        <w:tc>
          <w:tcPr>
            <w:tcW w:type="dxa" w:w="1440"/>
            <w:shd w:fill="FAFAFA" w:val="clear"/>
          </w:tcPr>
          <w:p>
            <w:r>
              <w:rPr>
                <w:b/>
                <w:sz w:val="17"/>
              </w:rPr>
              <w:t>4,048</w:t>
            </w:r>
          </w:p>
        </w:tc>
        <w:tc>
          <w:tcPr>
            <w:tcW w:type="dxa" w:w="1440"/>
            <w:shd w:fill="FAFAFA" w:val="clear"/>
          </w:tcPr>
          <w:p>
            <w:r>
              <w:rPr>
                <w:sz w:val="17"/>
              </w:rPr>
              <w:t>4,492</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41,98 milliards FCFA, PRSC se positionne comme une valeur de taille moyenne sur le compartiment des sociétés non-financières de la BRVM, ce qui lui confère une liquidité limitée (volume moyen de 1 139 titres/jour). Le BPA de 231 FCFA/action signifie que chaque titre génère près de 231 FCFA de bénéfice net, ce qui, rapporté au cours actuel de 4 100 FCFA, donne un PER de 17,7x — nettement au-dessus de la moyenne BRVM (8-12x), traduisant une prime de qualité et de croissance attendue par le marché. Le P/B de 3,64x indique que les investisseurs valorisent la société à plus de 3,6 fois sa valeur comptable (11,53 Mds FCFA de capitaux propres), une prime significative qui n'est justifiée que si la rentabilité future se maintient à un niveau élevé. Enfin, l'EV/EBITDA de 9,2x situe la valeur d'entreprise (capitalisation + dette nette) à 9,2 fois l'EBE de 5,787 Mds FCFA, un niveau raisonnable qui suggère que la capacité opérationnelle est correctement valorisée,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PRSC affiche une variation totale positive de +10,96%, avec une dernière séance particulièrement dynamique (+5,13% en J-1), signe d'un regain d'intérêt acheteur à court terme. Le cours actuel de 4 100 FCFA se situe dans la moitié basse du range de trading (plus haut : 4 740 FCFA ; plus bas : 3 620 FCFA), ce qui indique que le titre a corrigé depuis ses sommets tout en préservant une tendance de fond haussière. Les statistiques descriptives révèlent une distribution asymétrique : la moyenne (4 344 FCFA) est inférieure à la médiane (4 402 FCFA) et au mode (4 400 FCFA), confirmant un skewness négatif de -1,286 — le cours a passé plus de journées au-dessus de la moyenne, mais les baisses ont été plus violentes, créant une queue de distribution à gauche. L'écart-type de 266 FCFA (CV = 6,1%) traduit une dispersion modérée autour de la moyenne, tandis que le kurtosis excédentaire de 1,087 (leptokurtique) signale des queues épaisses, donc un risque de pics de volatilité brutaux. La volatilité annualisée de 36,5% classe le titre dans la catégorie des valeurs à volatilité élevée (&gt;30%), ce qui est cohérent avec sa faible liquidité et son exposition aux cycles économiques.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(4 297 FCFA) et la MM50 (4 413 FCFA) encadrent le cours actuel de 4 100 FCFA, qui évolue en dessous des deux moyennes. Cette configuration baissière (cours &lt; MM20 &lt; MM50) justifie la décision de vente émise par le système, car elle indique que la pression vendeuse domine à court et moyen terme. Le croisement potentiel de la MM20 sous la MM50 (death cross) renforcerait ce signal négatif.</w:t>
      </w:r>
    </w:p>
    <w:p>
      <w:pPr>
        <w:spacing w:after="120" w:line="276" w:lineRule="auto"/>
      </w:pPr>
      <w:r>
        <w:t>**Bandes de Bollinger** : Le cours (4 100 FCFA) se situe dans la partie basse des bandes, entre la borne inférieure (3 986,83 FCFA) et la borne supérieure (4 607,17 FCFA), sans les toucher. La décision neutre reflète l'absence de signal extrême : le titre n'est ni en survente technique (proche de la borne basse) ni en surachat, mais la largeur des bandes (620 FCFA) confirme une volatilité élevée.</w:t>
      </w:r>
    </w:p>
    <w:p>
      <w:pPr>
        <w:spacing w:after="120" w:line="276" w:lineRule="auto"/>
      </w:pPr>
      <w:r>
        <w:t>**MACD** : La valeur du MACD (-101,156) est inférieure à son signal (-68,967), et les deux sont en territoire négatif. Cette divergence baissière indique un momentum négatif persistant, bien que l'écart entre les deux lignes se réduise légèrement, ce qui pourrait annoncer un ralentissement de la pression vendeuse. La décision de vente reste justifiée par la position sous la ligne zéro.</w:t>
      </w:r>
    </w:p>
    <w:p>
      <w:pPr>
        <w:spacing w:after="120" w:line="276" w:lineRule="auto"/>
      </w:pPr>
      <w:r>
        <w:t>**RSI** : À 36,842, le RSI se situe dans la zone neutre basse (30-70), sans atteindre le seuil de survente (30). Cela suggère que le titre n'est pas encore survendu et qu'il pourrait continuer à baisser avant de trouver un support. La décision neutre est cohérente avec cette position médiane.</w:t>
      </w:r>
    </w:p>
    <w:p>
      <w:pPr>
        <w:spacing w:after="120" w:line="276" w:lineRule="auto"/>
      </w:pPr>
      <w:r>
        <w:t>**Stochastique** : Le %K (34,483) est supérieur au %D (17,328), et les deux se situent dans la zone basse (proche de 20). Ce croisement haussier potentiel (K &gt; D) pourrait signaler un début de rebond à court terme, mais la proximité de la zone de survente (20) incite à la prudence. La décision neutre reflète cette ambiguïté.</w:t>
      </w:r>
    </w:p>
    <w:p>
      <w:pPr>
        <w:spacing w:after="120" w:line="276" w:lineRule="auto"/>
      </w:pPr>
      <w:r>
        <w:t>**Conclusion technique** : Les indicateurs techniques sont majoritairement baissiers (MM, MACD) ou neutres (Bollinger, RSI, Stochastique), avec une convergence vers un signal de vente modéré. Le cours évolue sous ses moyennes mobiles, le MACD est négatif, et le RSI n'est pas encore en survente, ce qui suggère que la correction pourrait se poursuivre à court terme. Cependant, le croisement haussier du stochastique et la proximité de la borne inférieure de Bollinger pourraient offrir un point d'entrée spéculatif pour les investisseurs agressifs.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PRSC (exercice clos le 31 décembre 2025) affichent un chiffre d'affaires de 81,127 milliards FCFA, en hausse de 9,5% par rapport à 2024 (74,45 milliards FCFA), porté par les ventes de marchandises (+10,82% à 57,96 milliards FCFA selon le rapport Gemini-Vision du 06/09/2026). Le résultat net s'établit à 2,367 milliards FCFA, stable par rapport à 2024 (2,35 milliards FCFA), avec une marge nette de 2,92% — faible mais en légère amélioration. Le ROE de 20,53% est excellent (&gt;15%), témoignant d'une bonne rentabilité des fonds propres (11,531 milliards FCFA), tandis que le ROA de 4,95% reste modeste, reflétant l'intensité capitalistique du modèle de distribution automobile. En tant qu'entreprise non-financière, PRSC présente un BFR de 11,267 milliards FCFA (positif, donc défavorable), un délai clients de 45,99 jours (risque de trésorerie modéré), un délai fournisseurs de 102,65 jours (bon pour la trésorerie) et une durée de stockage de 150,51 jours (élevée, immobilisant du capital). L'endettement est élevé (ratio d'endettement de 314,86%, autonomie financière de 24,10% &lt; 30%), mais la solvabilité générale (131,76%) et la couverture des intérêts (1 585%) rassurent. Les rapports trimestriels (S1 2025, analysé manuellement le 15/03/2026) montrent un CA de 39,968 milliards FCFA (+15,1%) et un résultat net de 1,436 milliard FCFA (×28 vs S1 2024), avec une marge nette de 3,6% — une amélioration spectaculaire. Sur cette base, on estime que l'exercice 2026 devrait bénéficier de la dynamique du S1 2025, avec un CA attendu autour de 85-88 milliards FCFA et un résultat net de 2,5-2,8 milliards FCFA, sous réserve d'un contexte électoral ivoirien incertain au S2. La recommandation fondamentale est de **conserver** la valeur pour son dividende attractif (209 FCFA/action, rendement de 5,1% au cours actuel) et sa solidité financière, mais avec une vigilance sur la faible marge nette et l'endettement.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(PER 17,7x, P/B 3,64x, EV/EBITDA 9,2x) indique une légère surévaluation par rapport à la moyenne BRVM, mais elle est justifiée par un ROE élevé (20,53%) et un dividende attractif (209 FCFA/action). Le comportement du cours sur 100 jours (+10,96%) est positif, mais la volatilité élevée (36,5%) et le kurtosis leptokurtique (1,087) signalent un risque de pics baissiers brutaux, tandis que le skewness négatif (-1,286) montre que les baisses sont plus violentes que les hausses. Les signaux techniques sont majoritairement baissiers (cours sous MM20/MM50, MACD négatif), mais le RSI (36,8) et le stochastique (K &gt; D) suggèrent un potentiel rebond à court terme. Les fondamentaux sont solides (CA +9,5% en 2025, ROE 20,53%, dividende 209 FCFA), mais la faible marge nette (2,92%) et l'endettement élevé (314,86%) limitent la marge de manœuvre. Les prédictions IA (J+1 à J+10) tablent sur une stabilisation autour de 4 037-4 047 FCFA, ce qui contredit le signal baissier des moyennes mobiles mais confirme la résilience du titre. Sur la base de cette synthèse, la recommandation finale est **CONSERVER**, avec un niveau de confiance **Moyen** et un risque global **Moyen**. L'horizon d'investissement optimal est le **moyen terme (3-12 mois)**, en attendant la publication des résultats annuels 2026 et la clarification de la politique de dividende, qui pourraient catalyser une revalorisation si la marge nette se redresse durablement.</w:t>
      </w:r>
    </w:p>
    <w:p>
      <w:pPr>
        <w:spacing w:after="120" w:line="276" w:lineRule="auto"/>
      </w:pPr>
      <w:r>
        <w: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8,817 titres</w:t>
            </w:r>
          </w:p>
        </w:tc>
        <w:tc>
          <w:tcPr>
            <w:tcW w:type="dxa" w:w="2268"/>
            <w:shd w:fill="FFF2CC" w:val="clear"/>
          </w:tcPr>
          <w:p>
            <w:r>
              <w:rPr>
                <w:b/>
                <w:color w:val="503200"/>
                <w:sz w:val="16"/>
              </w:rPr>
              <w:t xml:space="preserve">Cours actuel : </w:t>
            </w:r>
            <w:r>
              <w:rPr>
                <w:color w:val="000000"/>
                <w:sz w:val="17"/>
              </w:rPr>
              <w:t>4,595 FCFA</w:t>
            </w:r>
          </w:p>
          <w:p>
            <w:r>
              <w:rPr>
                <w:b/>
                <w:color w:val="503200"/>
                <w:sz w:val="16"/>
              </w:rPr>
              <w:t xml:space="preserve">Var. 100 jours : </w:t>
            </w:r>
            <w:r>
              <w:rPr>
                <w:b/>
                <w:color w:val="007800"/>
                <w:sz w:val="17"/>
              </w:rPr>
              <w:t>+31.29%</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61.5%</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16.03% (Élevée) — μ=4,641 FCFA, σ=744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β=1.1349 (Neutre (suit le marché)) — Cov=0.000079, Var(idx)=0.000069, ρ=0.247,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8,817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σ_j=3.87%/j (Modérée) — Vol. annualisée≈61.5%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46/100  (Moyen)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4,186</w:t>
            </w:r>
          </w:p>
        </w:tc>
        <w:tc>
          <w:tcPr>
            <w:tcW w:type="dxa" w:w="1440"/>
            <w:shd w:fill="FAFAFA" w:val="clear"/>
          </w:tcPr>
          <w:p>
            <w:r>
              <w:rPr>
                <w:b/>
                <w:sz w:val="17"/>
              </w:rPr>
              <w:t>4,510</w:t>
            </w:r>
          </w:p>
        </w:tc>
        <w:tc>
          <w:tcPr>
            <w:tcW w:type="dxa" w:w="1440"/>
            <w:shd w:fill="FAFAFA" w:val="clear"/>
          </w:tcPr>
          <w:p>
            <w:r>
              <w:rPr>
                <w:sz w:val="17"/>
              </w:rPr>
              <w:t>4,833</w:t>
            </w:r>
          </w:p>
        </w:tc>
        <w:tc>
          <w:tcPr>
            <w:tcW w:type="dxa" w:w="1440"/>
            <w:shd w:fill="FAFAFA" w:val="clear"/>
          </w:tcPr>
          <w:p>
            <w:r>
              <w:rPr>
                <w:b/>
                <w:color w:val="C00000"/>
                <w:sz w:val="17"/>
              </w:rPr>
              <w:t>-1.9%</w:t>
            </w:r>
          </w:p>
        </w:tc>
      </w:tr>
      <w:tr>
        <w:tc>
          <w:tcPr>
            <w:tcW w:type="dxa" w:w="1440"/>
            <w:shd w:fill="FFDCE0" w:val="clear"/>
          </w:tcPr>
          <w:p>
            <w:r>
              <w:rPr>
                <w:sz w:val="17"/>
              </w:rPr>
              <w:t>J+2  ⭐</w:t>
            </w:r>
          </w:p>
        </w:tc>
        <w:tc>
          <w:tcPr>
            <w:tcW w:type="dxa" w:w="1440"/>
            <w:shd w:fill="FFDCE0" w:val="clear"/>
          </w:tcPr>
          <w:p>
            <w:r>
              <w:rPr>
                <w:sz w:val="17"/>
              </w:rPr>
              <w:t>2026-10-02</w:t>
            </w:r>
          </w:p>
        </w:tc>
        <w:tc>
          <w:tcPr>
            <w:tcW w:type="dxa" w:w="1440"/>
            <w:shd w:fill="FFDCE0" w:val="clear"/>
          </w:tcPr>
          <w:p>
            <w:r>
              <w:rPr>
                <w:sz w:val="17"/>
              </w:rPr>
              <w:t>3,969</w:t>
            </w:r>
          </w:p>
        </w:tc>
        <w:tc>
          <w:tcPr>
            <w:tcW w:type="dxa" w:w="1440"/>
            <w:shd w:fill="FFDCE0" w:val="clear"/>
          </w:tcPr>
          <w:p>
            <w:r>
              <w:rPr>
                <w:b/>
                <w:sz w:val="17"/>
              </w:rPr>
              <w:t>4,417</w:t>
            </w:r>
          </w:p>
        </w:tc>
        <w:tc>
          <w:tcPr>
            <w:tcW w:type="dxa" w:w="1440"/>
            <w:shd w:fill="FFDCE0" w:val="clear"/>
          </w:tcPr>
          <w:p>
            <w:r>
              <w:rPr>
                <w:sz w:val="17"/>
              </w:rPr>
              <w:t>4,865</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2026-10-05</w:t>
            </w:r>
          </w:p>
        </w:tc>
        <w:tc>
          <w:tcPr>
            <w:tcW w:type="dxa" w:w="1440"/>
            <w:shd w:fill="FFDCE0" w:val="clear"/>
          </w:tcPr>
          <w:p>
            <w:r>
              <w:rPr>
                <w:sz w:val="17"/>
              </w:rPr>
              <w:t>3,840</w:t>
            </w:r>
          </w:p>
        </w:tc>
        <w:tc>
          <w:tcPr>
            <w:tcW w:type="dxa" w:w="1440"/>
            <w:shd w:fill="FFDCE0" w:val="clear"/>
          </w:tcPr>
          <w:p>
            <w:r>
              <w:rPr>
                <w:b/>
                <w:sz w:val="17"/>
              </w:rPr>
              <w:t>4,385</w:t>
            </w:r>
          </w:p>
        </w:tc>
        <w:tc>
          <w:tcPr>
            <w:tcW w:type="dxa" w:w="1440"/>
            <w:shd w:fill="FFDCE0" w:val="clear"/>
          </w:tcPr>
          <w:p>
            <w:r>
              <w:rPr>
                <w:sz w:val="17"/>
              </w:rPr>
              <w:t>4,929</w:t>
            </w:r>
          </w:p>
        </w:tc>
        <w:tc>
          <w:tcPr>
            <w:tcW w:type="dxa" w:w="1440"/>
            <w:shd w:fill="FFDCE0" w:val="clear"/>
          </w:tcPr>
          <w:p>
            <w:r>
              <w:rPr>
                <w:b/>
                <w:color w:val="C00000"/>
                <w:sz w:val="17"/>
              </w:rPr>
              <w:t>-4.6%</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3,742</w:t>
            </w:r>
          </w:p>
        </w:tc>
        <w:tc>
          <w:tcPr>
            <w:tcW w:type="dxa" w:w="1440"/>
            <w:shd w:fill="FFDCE0" w:val="clear"/>
          </w:tcPr>
          <w:p>
            <w:r>
              <w:rPr>
                <w:b/>
                <w:sz w:val="17"/>
              </w:rPr>
              <w:t>4,368</w:t>
            </w:r>
          </w:p>
        </w:tc>
        <w:tc>
          <w:tcPr>
            <w:tcW w:type="dxa" w:w="1440"/>
            <w:shd w:fill="FFDCE0" w:val="clear"/>
          </w:tcPr>
          <w:p>
            <w:r>
              <w:rPr>
                <w:sz w:val="17"/>
              </w:rPr>
              <w:t>4,995</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3,657</w:t>
            </w:r>
          </w:p>
        </w:tc>
        <w:tc>
          <w:tcPr>
            <w:tcW w:type="dxa" w:w="1440"/>
            <w:shd w:fill="FFDCE0" w:val="clear"/>
          </w:tcPr>
          <w:p>
            <w:r>
              <w:rPr>
                <w:b/>
                <w:sz w:val="17"/>
              </w:rPr>
              <w:t>4,356</w:t>
            </w:r>
          </w:p>
        </w:tc>
        <w:tc>
          <w:tcPr>
            <w:tcW w:type="dxa" w:w="1440"/>
            <w:shd w:fill="FFDCE0" w:val="clear"/>
          </w:tcPr>
          <w:p>
            <w:r>
              <w:rPr>
                <w:sz w:val="17"/>
              </w:rPr>
              <w:t>5,054</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3,581</w:t>
            </w:r>
          </w:p>
        </w:tc>
        <w:tc>
          <w:tcPr>
            <w:tcW w:type="dxa" w:w="1440"/>
            <w:shd w:fill="FFDCE0" w:val="clear"/>
          </w:tcPr>
          <w:p>
            <w:r>
              <w:rPr>
                <w:b/>
                <w:sz w:val="17"/>
              </w:rPr>
              <w:t>4,344</w:t>
            </w:r>
          </w:p>
        </w:tc>
        <w:tc>
          <w:tcPr>
            <w:tcW w:type="dxa" w:w="1440"/>
            <w:shd w:fill="FFDCE0" w:val="clear"/>
          </w:tcPr>
          <w:p>
            <w:r>
              <w:rPr>
                <w:sz w:val="17"/>
              </w:rPr>
              <w:t>5,107</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3,511</w:t>
            </w:r>
          </w:p>
        </w:tc>
        <w:tc>
          <w:tcPr>
            <w:tcW w:type="dxa" w:w="1440"/>
            <w:shd w:fill="FFDCE0" w:val="clear"/>
          </w:tcPr>
          <w:p>
            <w:r>
              <w:rPr>
                <w:b/>
                <w:sz w:val="17"/>
              </w:rPr>
              <w:t>4,333</w:t>
            </w:r>
          </w:p>
        </w:tc>
        <w:tc>
          <w:tcPr>
            <w:tcW w:type="dxa" w:w="1440"/>
            <w:shd w:fill="FFDCE0" w:val="clear"/>
          </w:tcPr>
          <w:p>
            <w:r>
              <w:rPr>
                <w:sz w:val="17"/>
              </w:rPr>
              <w:t>5,156</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3,446</w:t>
            </w:r>
          </w:p>
        </w:tc>
        <w:tc>
          <w:tcPr>
            <w:tcW w:type="dxa" w:w="1440"/>
            <w:shd w:fill="FFDCE0" w:val="clear"/>
          </w:tcPr>
          <w:p>
            <w:r>
              <w:rPr>
                <w:b/>
                <w:sz w:val="17"/>
              </w:rPr>
              <w:t>4,323</w:t>
            </w:r>
          </w:p>
        </w:tc>
        <w:tc>
          <w:tcPr>
            <w:tcW w:type="dxa" w:w="1440"/>
            <w:shd w:fill="FFDCE0" w:val="clear"/>
          </w:tcPr>
          <w:p>
            <w:r>
              <w:rPr>
                <w:sz w:val="17"/>
              </w:rPr>
              <w:t>5,200</w:t>
            </w:r>
          </w:p>
        </w:tc>
        <w:tc>
          <w:tcPr>
            <w:tcW w:type="dxa" w:w="1440"/>
            <w:shd w:fill="FFDCE0" w:val="clear"/>
          </w:tcPr>
          <w:p>
            <w:r>
              <w:rPr>
                <w:b/>
                <w:color w:val="C00000"/>
                <w:sz w:val="17"/>
              </w:rPr>
              <w:t>-5.9%</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3,385</w:t>
            </w:r>
          </w:p>
        </w:tc>
        <w:tc>
          <w:tcPr>
            <w:tcW w:type="dxa" w:w="1440"/>
            <w:shd w:fill="FFDCE0" w:val="clear"/>
          </w:tcPr>
          <w:p>
            <w:r>
              <w:rPr>
                <w:b/>
                <w:sz w:val="17"/>
              </w:rPr>
              <w:t>4,314</w:t>
            </w:r>
          </w:p>
        </w:tc>
        <w:tc>
          <w:tcPr>
            <w:tcW w:type="dxa" w:w="1440"/>
            <w:shd w:fill="FFDCE0" w:val="clear"/>
          </w:tcPr>
          <w:p>
            <w:r>
              <w:rPr>
                <w:sz w:val="17"/>
              </w:rPr>
              <w:t>5,242</w:t>
            </w:r>
          </w:p>
        </w:tc>
        <w:tc>
          <w:tcPr>
            <w:tcW w:type="dxa" w:w="1440"/>
            <w:shd w:fill="FFDCE0" w:val="clear"/>
          </w:tcPr>
          <w:p>
            <w:r>
              <w:rPr>
                <w:b/>
                <w:color w:val="C00000"/>
                <w:sz w:val="17"/>
              </w:rPr>
              <w:t>-6.1%</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3,328</w:t>
            </w:r>
          </w:p>
        </w:tc>
        <w:tc>
          <w:tcPr>
            <w:tcW w:type="dxa" w:w="1440"/>
            <w:shd w:fill="FFDCE0" w:val="clear"/>
          </w:tcPr>
          <w:p>
            <w:r>
              <w:rPr>
                <w:b/>
                <w:sz w:val="17"/>
              </w:rPr>
              <w:t>4,305</w:t>
            </w:r>
          </w:p>
        </w:tc>
        <w:tc>
          <w:tcPr>
            <w:tcW w:type="dxa" w:w="1440"/>
            <w:shd w:fill="FFDCE0" w:val="clear"/>
          </w:tcPr>
          <w:p>
            <w:r>
              <w:rPr>
                <w:sz w:val="17"/>
              </w:rPr>
              <w:t>5,281</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54,54 milliards FCFA, SAFC se positionne comme une valeur de taille moyenne sur la BRVM, représentant une capitalisation modeste à l'échelle du compartiment bancaire régional. Le BPA de 59 FCFA/action signifie que chaque titre génère théoriquement 59 FCFA de bénéfice net, ce qui, rapporté au cours actuel de 4 595 FCFA, aboutit à un PER de 77,8x — un niveau extrêmement élevé comparé à la moyenne BRVM (8-12x), traduisant une anticipation massive de croissance future par le marché plutôt qu'une valorisation sur les bénéfices présents. Le P/B de 9,22x confirme cette prime exigeante : le marché valorise SAFC à plus de 9 fois sa valeur comptable, ce qui est très supérieur au seuil de 4x généralement considéré comme déjà tendu, et s'explique par la faiblesse structurelle des fonds propres (5,9 Mds FCFA) face à la capitalisation. Enfin, l'EV/EBITDA de 86,1x, très au-delà du seuil de 15x, signale que la valeur d'entreprise intègre une capacité opérationnelle encore limitée (EBE de 1,632 Md FCFA) — l'investisseur paie donc aujourd'hui un prix très élevé pour des bénéfices et une génération de cash encore modestes, ce qui impose une exigence de confirmation de la trajectoire de redressement.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SAFC affiche une performance remarquable de +31,29%, mais la dernière séance (J-1) marque un repli de -4,27%, signe d'une prise de bénéfices ou d'une correction après le rallye. Le titre a évolué dans un range très large, entre un plus bas de 3 485 FCFA et un plus haut de 6 200 FCFA, soit une amplitude de plus de 78% — ce qui témoigne d'une forte nervosité et d'un intérêt spéculatif marqué. La tendance générale reste haussière sur la période, portée par le retournement fondamental et l'augmentation de capital, mais le cours actuel (4 595 FCFA) se situe désormais dans la moitié basse du range, suggérant un essoufflement du momentum. Les statistiques descriptives révèlent une moyenne (4 641 FCFA) très proche de la médiane (4 580 FCFA), indiquant une distribution globalement symétrique, confirmée par un skewness de 0,303 (léger étirement vers la droite mais proche de la symétrie). L'écart-type de 748 FCFA avec un coefficient de variation de 16,1% traduit une dispersion modérée du cours autour de sa moyenne, tandis que le kurtosis de -0,954 (mésokurtique) indique une distribution proche de la normale, sans risque de pics extrêmes fréquents — un point rassurant pour la gestion du risque. Enfin, la volatilité annualisée de 61,5% classe clairement SAFC dans la catégorie des titres à volatilité élevée (&gt;30%), ce qui est cohérent avec son statut de valeur de redressement spéculative et impose une gestion stricte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(4 987,75 FCFA) et la MM50 (5 202,20 FCFA) se situent toutes deux nettement au-dessus du cours actuel (4 595 FCFA), ce qui place le titre en position baissière sous ses moyennes. La MM20 étant elle-même inférieure à la MM50, on observe une configuration de croisement baissier (death cross), justifiant pleinement la décision technique de **Vente**.</w:t>
      </w:r>
    </w:p>
    <w:p>
      <w:pPr>
        <w:spacing w:after="120" w:line="276" w:lineRule="auto"/>
      </w:pPr>
      <w:r>
        <w:t>**Bandes de Bollinger** : Le cours (4 595 FCFA) évolue dans la partie basse du canal, entre la borne inférieure (3 754,11 FCFA) et la borne supérieure (6 221,39 FCFA), sans être en contact avec l'une ou l'autre. Cette position médiane-basse, dans un canal très large, traduit une volatilité élevée sans signal directionnel fort, d'où la décision **Neutre**.</w:t>
      </w:r>
    </w:p>
    <w:p>
      <w:pPr>
        <w:spacing w:after="120" w:line="276" w:lineRule="auto"/>
      </w:pPr>
      <w:r>
        <w:t>**MACD** : La valeur du MACD (-267,29) est inférieure à sa ligne de signal (-230,16), confirmant un momentum baissier persistant. L'écart négatif entre les deux lignes indique que la pression vendeuse reste dominante, ce qui valide la décision de **Vente**.</w:t>
      </w:r>
    </w:p>
    <w:p>
      <w:pPr>
        <w:spacing w:after="120" w:line="276" w:lineRule="auto"/>
      </w:pPr>
      <w:r>
        <w:t>**RSI** : À 34,22, le RSI se situe dans la zone neutre basse, proche du seuil de survente (30) sans l'atteindre. Cela suggère que le titre n'est pas encore techniquement survendu mais que la pression baissière s'atténue progressivement, justifiant une décision **Neutre** avec une vigilance sur un éventuel rebond technique.</w:t>
      </w:r>
    </w:p>
    <w:p>
      <w:pPr>
        <w:spacing w:after="120" w:line="276" w:lineRule="auto"/>
      </w:pPr>
      <w:r>
        <w:t>**Stochastique** : Le %K (43,31) est légèrement inférieur au %D (46,67), sans croisement significatif récent, et les deux oscillent en zone médiane. Cette configuration indique une absence de signal directionnel clair à court terme, d'où la décision **Neutre**.</w:t>
      </w:r>
    </w:p>
    <w:p>
      <w:pPr>
        <w:spacing w:after="120" w:line="276" w:lineRule="auto"/>
      </w:pPr>
      <w:r>
        <w:t>**Conclusion technique** : La majorité des indicateurs (MM, MACD) penchent vers une orientation baissière, tandis que le RSI, les Bollinger et le Stochastique restent neutres. Le titre se trouve dans une phase de consolidation baissière sous ses moyennes mobiles, avec un momentum négatif mais un RSI proche de la survente qui pourrait annoncer un rebond technique. La convergence des signaux reste globalement défavorable à court terme, avec un biais vendeur modéré.</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 réalisé un Produit Net Bancaire (équivalent du chiffre d'affaires pour une banque) de 5 735 M FCFA, en forte hausse de +44,1% par rapport à 2024 (3 980 M FCFA), portée par la progression des intérêts et produits assimilés (8 236 M FCFA) et des commissions (686 M FCFA). Le résultat net s'établit à 701 M FCFA, marquant un retournement spectaculaire après une perte de -165 M FCFA en 2024, avec une marge nette de 12,22%. Le ROE ressort à 11,85% (en dessous du seuil d'excellence de 15%) et le ROA à seulement 0,88%, reflétant la faiblesse des fonds propres (5 916 M FCFA) et la lourdeur du bilan (79 555 M FCFA). Le coefficient d'exploitation de 77,63% est très supérieur au seuil de 60% définissant une banque efficace, ce qui constitue un point de vigilance majeur sur la maîtrise des charges. Le coût du risque rapporté aux charges financières s'élève à 6,57%, niveau élevé signalant un portefeuille de crédit encore fragile, tandis que le ratio d'autonomie financière de seulement 7,44% (contre &gt;30% recommandé) et un ratio d'endettement de 856,36% traduisent une structure financière très déséquilibrée, dépendante des dettes interbancaires (35 747 M FCFA) et de la clientèle (9 112 M FCFA).</w:t>
      </w:r>
    </w:p>
    <w:p>
      <w:pPr>
        <w:spacing w:after="120" w:line="276" w:lineRule="auto"/>
      </w:pPr>
      <w:r>
        <w:t>**Estimations basées sur les rapports trimestriels** : Sur la base du rapport S1 2026 (publié en 2026, PNB de 2 907 M FCFA en hausse de +37%, résultat net de 731 M FCFA en hausse de +231%, marge nette de 25,1%), on peut estimer que l'exercice 2026 devrait afficher un PNB annualisé proche de 5,8-6,0 Mds FCFA et un résultat net potentiellement supérieur à 1,4 Md FCFA si la dynamique se maintient. Le rapport T1 2026 (publié en 2026, PNB de 1 395 M FCFA en hausse de +29%, résultat net de 151 M FCFA en hausse de +1 062%) confirme cette trajectoire, avec une amélioration spectaculaire du coût du risque (reprise nette de 261 M FCFA au S1 2026 contre une charge de 93 M FCFA un an plus tôt). Les capitaux propres progressent à 6 647 M FCFA au S1 2026 (+22%), et les ratios prudentiels (CET1 à 11,49%, solvabilité globale à 12,93%) sont désormais conformes mais proches des minima réglementaires.</w:t>
      </w:r>
    </w:p>
    <w:p>
      <w:pPr>
        <w:spacing w:after="120" w:line="276" w:lineRule="auto"/>
      </w:pPr>
      <w:r>
        <w:t>**Recommandation fondamentale** : La dynamique de redressement est indéniable et soutenue par l'intégration au sein de CREDAF GROUP (rapports 2025 et 2026), mais la valorisation boursière (PER 77,8x, P/B 9,22x) intègre déjà largement cette amélioration. Les risques structurels (faible autonomie financière, dépendance interbancaire, coefficient d'exploitation élevé) demeurent significatifs, ce qui plaide pour une recommandation de **CONSERVER** avec un biais positif, en attendant la confirmation de la rentabilité durable et le renforcement des fonds propres.</w:t>
      </w:r>
    </w:p>
    <w:p>
      <w:pPr>
        <w:spacing w:after="120" w:line="276" w:lineRule="auto"/>
      </w:pPr>
      <w:r>
        <w:t>---</w:t>
      </w:r>
    </w:p>
    <w:p>
      <w:pPr>
        <w:spacing w:after="120" w:line="276" w:lineRule="auto"/>
      </w:pPr>
      <w:r>
        <w:t>## PARTIE 4 : CONCLUSION D'INVESTISSEMENT</w:t>
      </w:r>
    </w:p>
    <w:p>
      <w:pPr>
        <w:spacing w:after="120" w:line="276" w:lineRule="auto"/>
      </w:pPr>
      <w:r>
        <w:t>La valorisation de SAFC apparaît nettement surévaluée au regard des ratios actuels (PER de 77,8x, P/B de 9,22x, EV/EBITDA de 86,1x), le marché ayant déjà intégré une anticipation de croissance très forte qui devra être confirmée par les résultats futurs. Le comportement du cours sur 100 jours (+31,29%) témoigne d'un fort intérêt spéculatif, mais la correction de -4,27% en J-1 et la position actuelle dans la moitié basse du range (4 595 FCFA vs plus haut de 6 200 FCFA) suggèrent un essoufflement, avec une volatilité élevée (61,5%) et des statistiques (kurtosis -0,954, skewness 0,303) indiquant une distribution normale sans risque de pics extrêmes. Les signaux techniques sont majoritairement baissiers (MM20 et MM50 au-dessus du cours, MACD négatif sous son signal), avec un RSI à 34,22 proche de la survente qui pourrait annoncer un rebond technique, mais sans convergence haussière claire. Les fondamentaux montrent un redressement remarquable (PNB +44% en 2025, résultat net de 701 M FCFA, S1 2026 avec résultat net de 731 M FCFA en hausse de +231%), mais la structure financière reste fragile (autonomie financière de 7,44%, coefficient d'exploitation de 77,63%) et la valorisation exigeante. Les prédictions IA (J+1 à J+10) anticipent une poursuite de la baisse vers 4 356 FCFA d'ici le 7 octobre 2026, ce qui contredit la dynamique fondamentale mais confirme les signaux techniques baissiers à court terme. **Recommandation finale : CONSERVER** — la convergence entre une valorisation tendue, des signaux techniques baissiers et des prédictions IA négatives à court terme, tempérée par un redressement fondamental réel mais encore fragile, justifie une position attentiste. Le niveau de confiance est **Moyen** (les fondamentaux s'améliorent mais la valorisation et la technique restent défavorables) et le niveau de risque global est **Élevé** (volatilité de 61,5%, structure financière déséquilibrée, valorisation exigeante). L'horizon d'investissement optimal est le **moyen terme (3-12 mois)**, en attendant la confirmation des résultats annuels 2026 et le renforcement des fonds propres pour valider ou infirmer la trajectoire actuelle.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55.57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11,164 titres</w:t>
            </w:r>
          </w:p>
        </w:tc>
        <w:tc>
          <w:tcPr>
            <w:tcW w:type="dxa" w:w="2268"/>
            <w:shd w:fill="FFF2CC" w:val="clear"/>
          </w:tcPr>
          <w:p>
            <w:r>
              <w:rPr>
                <w:b/>
                <w:color w:val="503200"/>
                <w:sz w:val="16"/>
              </w:rPr>
              <w:t xml:space="preserve">Cours actuel : </w:t>
            </w:r>
            <w:r>
              <w:rPr>
                <w:color w:val="000000"/>
                <w:sz w:val="17"/>
              </w:rPr>
              <w:t>2,835 FCFA</w:t>
            </w:r>
          </w:p>
          <w:p>
            <w:r>
              <w:rPr>
                <w:b/>
                <w:color w:val="503200"/>
                <w:sz w:val="16"/>
              </w:rPr>
              <w:t xml:space="preserve">Var. 100 jours : </w:t>
            </w:r>
            <w:r>
              <w:rPr>
                <w:b/>
                <w:color w:val="007800"/>
                <w:sz w:val="17"/>
              </w:rPr>
              <w:t>+42.46%</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15.10% (Élevée) — μ=3,164 FCFA, σ=478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β=1.4341 (Agressif) — Cov=0.000095, Var(idx)=0.000066, ρ=0.313,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11,164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σ_j=3.77%/j (Modérée) — Vol. annualisée≈59.8%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2,718</w:t>
            </w:r>
          </w:p>
        </w:tc>
        <w:tc>
          <w:tcPr>
            <w:tcW w:type="dxa" w:w="1440"/>
            <w:shd w:fill="FAFAFA" w:val="clear"/>
          </w:tcPr>
          <w:p>
            <w:r>
              <w:rPr>
                <w:b/>
                <w:sz w:val="17"/>
              </w:rPr>
              <w:t>2,882</w:t>
            </w:r>
          </w:p>
        </w:tc>
        <w:tc>
          <w:tcPr>
            <w:tcW w:type="dxa" w:w="1440"/>
            <w:shd w:fill="FAFAFA" w:val="clear"/>
          </w:tcPr>
          <w:p>
            <w:r>
              <w:rPr>
                <w:sz w:val="17"/>
              </w:rPr>
              <w:t>3,046</w:t>
            </w:r>
          </w:p>
        </w:tc>
        <w:tc>
          <w:tcPr>
            <w:tcW w:type="dxa" w:w="1440"/>
            <w:shd w:fill="FAFAFA" w:val="clear"/>
          </w:tcPr>
          <w:p>
            <w:r>
              <w:rPr>
                <w:b/>
                <w:color w:val="008000"/>
                <w:sz w:val="17"/>
              </w:rPr>
              <w:t>+1.7%</w:t>
            </w:r>
          </w:p>
        </w:tc>
      </w:tr>
      <w:tr>
        <w:tc>
          <w:tcPr>
            <w:tcW w:type="dxa" w:w="1440"/>
            <w:shd w:fill="C6EFCE" w:val="clear"/>
          </w:tcPr>
          <w:p>
            <w:r>
              <w:rPr>
                <w:sz w:val="17"/>
              </w:rPr>
              <w:t>J+2  Moyenne</w:t>
            </w:r>
          </w:p>
        </w:tc>
        <w:tc>
          <w:tcPr>
            <w:tcW w:type="dxa" w:w="1440"/>
            <w:shd w:fill="C6EFCE" w:val="clear"/>
          </w:tcPr>
          <w:p>
            <w:r>
              <w:rPr>
                <w:sz w:val="17"/>
              </w:rPr>
              <w:t>2026-10-02</w:t>
            </w:r>
          </w:p>
        </w:tc>
        <w:tc>
          <w:tcPr>
            <w:tcW w:type="dxa" w:w="1440"/>
            <w:shd w:fill="C6EFCE" w:val="clear"/>
          </w:tcPr>
          <w:p>
            <w:r>
              <w:rPr>
                <w:sz w:val="17"/>
              </w:rPr>
              <w:t>2,714</w:t>
            </w:r>
          </w:p>
        </w:tc>
        <w:tc>
          <w:tcPr>
            <w:tcW w:type="dxa" w:w="1440"/>
            <w:shd w:fill="C6EFCE" w:val="clear"/>
          </w:tcPr>
          <w:p>
            <w:r>
              <w:rPr>
                <w:b/>
                <w:sz w:val="17"/>
              </w:rPr>
              <w:t>2,951</w:t>
            </w:r>
          </w:p>
        </w:tc>
        <w:tc>
          <w:tcPr>
            <w:tcW w:type="dxa" w:w="1440"/>
            <w:shd w:fill="C6EFCE" w:val="clear"/>
          </w:tcPr>
          <w:p>
            <w:r>
              <w:rPr>
                <w:sz w:val="17"/>
              </w:rPr>
              <w:t>3,189</w:t>
            </w:r>
          </w:p>
        </w:tc>
        <w:tc>
          <w:tcPr>
            <w:tcW w:type="dxa" w:w="1440"/>
            <w:shd w:fill="C6EFCE" w:val="clear"/>
          </w:tcPr>
          <w:p>
            <w:r>
              <w:rPr>
                <w:b/>
                <w:color w:val="008000"/>
                <w:sz w:val="17"/>
              </w:rPr>
              <w:t>+4.1%</w:t>
            </w:r>
          </w:p>
        </w:tc>
      </w:tr>
      <w:tr>
        <w:tc>
          <w:tcPr>
            <w:tcW w:type="dxa" w:w="1440"/>
            <w:shd w:fill="C6EFCE" w:val="clear"/>
          </w:tcPr>
          <w:p>
            <w:r>
              <w:rPr>
                <w:sz w:val="17"/>
              </w:rPr>
              <w:t>J+3  Moyenne</w:t>
            </w:r>
          </w:p>
        </w:tc>
        <w:tc>
          <w:tcPr>
            <w:tcW w:type="dxa" w:w="1440"/>
            <w:shd w:fill="C6EFCE" w:val="clear"/>
          </w:tcPr>
          <w:p>
            <w:r>
              <w:rPr>
                <w:sz w:val="17"/>
              </w:rPr>
              <w:t>2026-10-05</w:t>
            </w:r>
          </w:p>
        </w:tc>
        <w:tc>
          <w:tcPr>
            <w:tcW w:type="dxa" w:w="1440"/>
            <w:shd w:fill="C6EFCE" w:val="clear"/>
          </w:tcPr>
          <w:p>
            <w:r>
              <w:rPr>
                <w:sz w:val="17"/>
              </w:rPr>
              <w:t>2,735</w:t>
            </w:r>
          </w:p>
        </w:tc>
        <w:tc>
          <w:tcPr>
            <w:tcW w:type="dxa" w:w="1440"/>
            <w:shd w:fill="C6EFCE" w:val="clear"/>
          </w:tcPr>
          <w:p>
            <w:r>
              <w:rPr>
                <w:b/>
                <w:sz w:val="17"/>
              </w:rPr>
              <w:t>3,034</w:t>
            </w:r>
          </w:p>
        </w:tc>
        <w:tc>
          <w:tcPr>
            <w:tcW w:type="dxa" w:w="1440"/>
            <w:shd w:fill="C6EFCE" w:val="clear"/>
          </w:tcPr>
          <w:p>
            <w:r>
              <w:rPr>
                <w:sz w:val="17"/>
              </w:rPr>
              <w:t>3,333</w:t>
            </w:r>
          </w:p>
        </w:tc>
        <w:tc>
          <w:tcPr>
            <w:tcW w:type="dxa" w:w="1440"/>
            <w:shd w:fill="C6EFCE" w:val="clear"/>
          </w:tcPr>
          <w:p>
            <w:r>
              <w:rPr>
                <w:b/>
                <w:color w:val="008000"/>
                <w:sz w:val="17"/>
              </w:rPr>
              <w:t>+7.0%</w:t>
            </w:r>
          </w:p>
        </w:tc>
      </w:tr>
      <w:tr>
        <w:tc>
          <w:tcPr>
            <w:tcW w:type="dxa" w:w="1440"/>
            <w:shd w:fill="C6EFCE" w:val="clear"/>
          </w:tcPr>
          <w:p>
            <w:r>
              <w:rPr>
                <w:sz w:val="17"/>
              </w:rPr>
              <w:t>J+4  ⭐</w:t>
            </w:r>
          </w:p>
        </w:tc>
        <w:tc>
          <w:tcPr>
            <w:tcW w:type="dxa" w:w="1440"/>
            <w:shd w:fill="C6EFCE" w:val="clear"/>
          </w:tcPr>
          <w:p>
            <w:r>
              <w:rPr>
                <w:sz w:val="17"/>
              </w:rPr>
              <w:t>2026-10-06</w:t>
            </w:r>
          </w:p>
        </w:tc>
        <w:tc>
          <w:tcPr>
            <w:tcW w:type="dxa" w:w="1440"/>
            <w:shd w:fill="C6EFCE" w:val="clear"/>
          </w:tcPr>
          <w:p>
            <w:r>
              <w:rPr>
                <w:sz w:val="17"/>
              </w:rPr>
              <w:t>2,748</w:t>
            </w:r>
          </w:p>
        </w:tc>
        <w:tc>
          <w:tcPr>
            <w:tcW w:type="dxa" w:w="1440"/>
            <w:shd w:fill="C6EFCE" w:val="clear"/>
          </w:tcPr>
          <w:p>
            <w:r>
              <w:rPr>
                <w:b/>
                <w:sz w:val="17"/>
              </w:rPr>
              <w:t>3,101</w:t>
            </w:r>
          </w:p>
        </w:tc>
        <w:tc>
          <w:tcPr>
            <w:tcW w:type="dxa" w:w="1440"/>
            <w:shd w:fill="C6EFCE" w:val="clear"/>
          </w:tcPr>
          <w:p>
            <w:r>
              <w:rPr>
                <w:sz w:val="17"/>
              </w:rPr>
              <w:t>3,454</w:t>
            </w:r>
          </w:p>
        </w:tc>
        <w:tc>
          <w:tcPr>
            <w:tcW w:type="dxa" w:w="1440"/>
            <w:shd w:fill="C6EFCE" w:val="clear"/>
          </w:tcPr>
          <w:p>
            <w:r>
              <w:rPr>
                <w:b/>
                <w:color w:val="008000"/>
                <w:sz w:val="17"/>
              </w:rPr>
              <w:t>+9.4%</w:t>
            </w:r>
          </w:p>
        </w:tc>
      </w:tr>
      <w:tr>
        <w:tc>
          <w:tcPr>
            <w:tcW w:type="dxa" w:w="1440"/>
            <w:shd w:fill="C6EFCE" w:val="clear"/>
          </w:tcPr>
          <w:p>
            <w:r>
              <w:rPr>
                <w:sz w:val="17"/>
              </w:rPr>
              <w:t>J+5  ⭐</w:t>
            </w:r>
          </w:p>
        </w:tc>
        <w:tc>
          <w:tcPr>
            <w:tcW w:type="dxa" w:w="1440"/>
            <w:shd w:fill="C6EFCE" w:val="clear"/>
          </w:tcPr>
          <w:p>
            <w:r>
              <w:rPr>
                <w:sz w:val="17"/>
              </w:rPr>
              <w:t>2026-10-07</w:t>
            </w:r>
          </w:p>
        </w:tc>
        <w:tc>
          <w:tcPr>
            <w:tcW w:type="dxa" w:w="1440"/>
            <w:shd w:fill="C6EFCE" w:val="clear"/>
          </w:tcPr>
          <w:p>
            <w:r>
              <w:rPr>
                <w:sz w:val="17"/>
              </w:rPr>
              <w:t>2,750</w:t>
            </w:r>
          </w:p>
        </w:tc>
        <w:tc>
          <w:tcPr>
            <w:tcW w:type="dxa" w:w="1440"/>
            <w:shd w:fill="C6EFCE" w:val="clear"/>
          </w:tcPr>
          <w:p>
            <w:r>
              <w:rPr>
                <w:b/>
                <w:sz w:val="17"/>
              </w:rPr>
              <w:t>3,152</w:t>
            </w:r>
          </w:p>
        </w:tc>
        <w:tc>
          <w:tcPr>
            <w:tcW w:type="dxa" w:w="1440"/>
            <w:shd w:fill="C6EFCE" w:val="clear"/>
          </w:tcPr>
          <w:p>
            <w:r>
              <w:rPr>
                <w:sz w:val="17"/>
              </w:rPr>
              <w:t>3,553</w:t>
            </w:r>
          </w:p>
        </w:tc>
        <w:tc>
          <w:tcPr>
            <w:tcW w:type="dxa" w:w="1440"/>
            <w:shd w:fill="C6EFCE" w:val="clear"/>
          </w:tcPr>
          <w:p>
            <w:r>
              <w:rPr>
                <w:b/>
                <w:color w:val="008000"/>
                <w:sz w:val="17"/>
              </w:rPr>
              <w:t>+11.2%</w:t>
            </w:r>
          </w:p>
        </w:tc>
      </w:tr>
      <w:tr>
        <w:tc>
          <w:tcPr>
            <w:tcW w:type="dxa" w:w="1440"/>
            <w:shd w:fill="C6EFCE" w:val="clear"/>
          </w:tcPr>
          <w:p>
            <w:r>
              <w:rPr>
                <w:sz w:val="17"/>
              </w:rPr>
              <w:t>J+6  ⭐</w:t>
            </w:r>
          </w:p>
        </w:tc>
        <w:tc>
          <w:tcPr>
            <w:tcW w:type="dxa" w:w="1440"/>
            <w:shd w:fill="C6EFCE" w:val="clear"/>
          </w:tcPr>
          <w:p>
            <w:r>
              <w:rPr>
                <w:sz w:val="17"/>
              </w:rPr>
              <w:t>2026-10-08</w:t>
            </w:r>
          </w:p>
        </w:tc>
        <w:tc>
          <w:tcPr>
            <w:tcW w:type="dxa" w:w="1440"/>
            <w:shd w:fill="C6EFCE" w:val="clear"/>
          </w:tcPr>
          <w:p>
            <w:r>
              <w:rPr>
                <w:sz w:val="17"/>
              </w:rPr>
              <w:t>2,746</w:t>
            </w:r>
          </w:p>
        </w:tc>
        <w:tc>
          <w:tcPr>
            <w:tcW w:type="dxa" w:w="1440"/>
            <w:shd w:fill="C6EFCE" w:val="clear"/>
          </w:tcPr>
          <w:p>
            <w:r>
              <w:rPr>
                <w:b/>
                <w:sz w:val="17"/>
              </w:rPr>
              <w:t>3,191</w:t>
            </w:r>
          </w:p>
        </w:tc>
        <w:tc>
          <w:tcPr>
            <w:tcW w:type="dxa" w:w="1440"/>
            <w:shd w:fill="C6EFCE" w:val="clear"/>
          </w:tcPr>
          <w:p>
            <w:r>
              <w:rPr>
                <w:sz w:val="17"/>
              </w:rPr>
              <w:t>3,636</w:t>
            </w:r>
          </w:p>
        </w:tc>
        <w:tc>
          <w:tcPr>
            <w:tcW w:type="dxa" w:w="1440"/>
            <w:shd w:fill="C6EFCE" w:val="clear"/>
          </w:tcPr>
          <w:p>
            <w:r>
              <w:rPr>
                <w:b/>
                <w:color w:val="008000"/>
                <w:sz w:val="17"/>
              </w:rPr>
              <w:t>+12.5%</w:t>
            </w:r>
          </w:p>
        </w:tc>
      </w:tr>
      <w:tr>
        <w:tc>
          <w:tcPr>
            <w:tcW w:type="dxa" w:w="1440"/>
            <w:shd w:fill="C6EFCE" w:val="clear"/>
          </w:tcPr>
          <w:p>
            <w:r>
              <w:rPr>
                <w:sz w:val="17"/>
              </w:rPr>
              <w:t>J+7  ⭐</w:t>
            </w:r>
          </w:p>
        </w:tc>
        <w:tc>
          <w:tcPr>
            <w:tcW w:type="dxa" w:w="1440"/>
            <w:shd w:fill="C6EFCE" w:val="clear"/>
          </w:tcPr>
          <w:p>
            <w:r>
              <w:rPr>
                <w:sz w:val="17"/>
              </w:rPr>
              <w:t>2026-10-09</w:t>
            </w:r>
          </w:p>
        </w:tc>
        <w:tc>
          <w:tcPr>
            <w:tcW w:type="dxa" w:w="1440"/>
            <w:shd w:fill="C6EFCE" w:val="clear"/>
          </w:tcPr>
          <w:p>
            <w:r>
              <w:rPr>
                <w:sz w:val="17"/>
              </w:rPr>
              <w:t>2,737</w:t>
            </w:r>
          </w:p>
        </w:tc>
        <w:tc>
          <w:tcPr>
            <w:tcW w:type="dxa" w:w="1440"/>
            <w:shd w:fill="C6EFCE" w:val="clear"/>
          </w:tcPr>
          <w:p>
            <w:r>
              <w:rPr>
                <w:b/>
                <w:sz w:val="17"/>
              </w:rPr>
              <w:t>3,223</w:t>
            </w:r>
          </w:p>
        </w:tc>
        <w:tc>
          <w:tcPr>
            <w:tcW w:type="dxa" w:w="1440"/>
            <w:shd w:fill="C6EFCE" w:val="clear"/>
          </w:tcPr>
          <w:p>
            <w:r>
              <w:rPr>
                <w:sz w:val="17"/>
              </w:rPr>
              <w:t>3,708</w:t>
            </w:r>
          </w:p>
        </w:tc>
        <w:tc>
          <w:tcPr>
            <w:tcW w:type="dxa" w:w="1440"/>
            <w:shd w:fill="C6EFCE" w:val="clear"/>
          </w:tcPr>
          <w:p>
            <w:r>
              <w:rPr>
                <w:b/>
                <w:color w:val="008000"/>
                <w:sz w:val="17"/>
              </w:rPr>
              <w:t>+13.7%</w:t>
            </w:r>
          </w:p>
        </w:tc>
      </w:tr>
      <w:tr>
        <w:tc>
          <w:tcPr>
            <w:tcW w:type="dxa" w:w="1440"/>
            <w:shd w:fill="C6EFCE" w:val="clear"/>
          </w:tcPr>
          <w:p>
            <w:r>
              <w:rPr>
                <w:sz w:val="17"/>
              </w:rPr>
              <w:t>J+8  ⭐</w:t>
            </w:r>
          </w:p>
        </w:tc>
        <w:tc>
          <w:tcPr>
            <w:tcW w:type="dxa" w:w="1440"/>
            <w:shd w:fill="C6EFCE" w:val="clear"/>
          </w:tcPr>
          <w:p>
            <w:r>
              <w:rPr>
                <w:sz w:val="17"/>
              </w:rPr>
              <w:t>2026-10-12</w:t>
            </w:r>
          </w:p>
        </w:tc>
        <w:tc>
          <w:tcPr>
            <w:tcW w:type="dxa" w:w="1440"/>
            <w:shd w:fill="C6EFCE" w:val="clear"/>
          </w:tcPr>
          <w:p>
            <w:r>
              <w:rPr>
                <w:sz w:val="17"/>
              </w:rPr>
              <w:t>2,727</w:t>
            </w:r>
          </w:p>
        </w:tc>
        <w:tc>
          <w:tcPr>
            <w:tcW w:type="dxa" w:w="1440"/>
            <w:shd w:fill="C6EFCE" w:val="clear"/>
          </w:tcPr>
          <w:p>
            <w:r>
              <w:rPr>
                <w:b/>
                <w:sz w:val="17"/>
              </w:rPr>
              <w:t>3,250</w:t>
            </w:r>
          </w:p>
        </w:tc>
        <w:tc>
          <w:tcPr>
            <w:tcW w:type="dxa" w:w="1440"/>
            <w:shd w:fill="C6EFCE" w:val="clear"/>
          </w:tcPr>
          <w:p>
            <w:r>
              <w:rPr>
                <w:sz w:val="17"/>
              </w:rPr>
              <w:t>3,773</w:t>
            </w:r>
          </w:p>
        </w:tc>
        <w:tc>
          <w:tcPr>
            <w:tcW w:type="dxa" w:w="1440"/>
            <w:shd w:fill="C6EFCE" w:val="clear"/>
          </w:tcPr>
          <w:p>
            <w:r>
              <w:rPr>
                <w:b/>
                <w:color w:val="008000"/>
                <w:sz w:val="17"/>
              </w:rPr>
              <w:t>+14.6%</w:t>
            </w:r>
          </w:p>
        </w:tc>
      </w:tr>
      <w:tr>
        <w:tc>
          <w:tcPr>
            <w:tcW w:type="dxa" w:w="1440"/>
            <w:shd w:fill="C6EFCE" w:val="clear"/>
          </w:tcPr>
          <w:p>
            <w:r>
              <w:rPr>
                <w:sz w:val="17"/>
              </w:rPr>
              <w:t>J+9  ⭐</w:t>
            </w:r>
          </w:p>
        </w:tc>
        <w:tc>
          <w:tcPr>
            <w:tcW w:type="dxa" w:w="1440"/>
            <w:shd w:fill="C6EFCE" w:val="clear"/>
          </w:tcPr>
          <w:p>
            <w:r>
              <w:rPr>
                <w:sz w:val="17"/>
              </w:rPr>
              <w:t>2026-10-13</w:t>
            </w:r>
          </w:p>
        </w:tc>
        <w:tc>
          <w:tcPr>
            <w:tcW w:type="dxa" w:w="1440"/>
            <w:shd w:fill="C6EFCE" w:val="clear"/>
          </w:tcPr>
          <w:p>
            <w:r>
              <w:rPr>
                <w:sz w:val="17"/>
              </w:rPr>
              <w:t>2,715</w:t>
            </w:r>
          </w:p>
        </w:tc>
        <w:tc>
          <w:tcPr>
            <w:tcW w:type="dxa" w:w="1440"/>
            <w:shd w:fill="C6EFCE" w:val="clear"/>
          </w:tcPr>
          <w:p>
            <w:r>
              <w:rPr>
                <w:b/>
                <w:sz w:val="17"/>
              </w:rPr>
              <w:t>3,274</w:t>
            </w:r>
          </w:p>
        </w:tc>
        <w:tc>
          <w:tcPr>
            <w:tcW w:type="dxa" w:w="1440"/>
            <w:shd w:fill="C6EFCE" w:val="clear"/>
          </w:tcPr>
          <w:p>
            <w:r>
              <w:rPr>
                <w:sz w:val="17"/>
              </w:rPr>
              <w:t>3,833</w:t>
            </w:r>
          </w:p>
        </w:tc>
        <w:tc>
          <w:tcPr>
            <w:tcW w:type="dxa" w:w="1440"/>
            <w:shd w:fill="C6EFCE" w:val="clear"/>
          </w:tcPr>
          <w:p>
            <w:r>
              <w:rPr>
                <w:b/>
                <w:color w:val="008000"/>
                <w:sz w:val="17"/>
              </w:rPr>
              <w:t>+15.5%</w:t>
            </w:r>
          </w:p>
        </w:tc>
      </w:tr>
      <w:tr>
        <w:tc>
          <w:tcPr>
            <w:tcW w:type="dxa" w:w="1440"/>
            <w:shd w:fill="C6EFCE" w:val="clear"/>
          </w:tcPr>
          <w:p>
            <w:r>
              <w:rPr>
                <w:sz w:val="17"/>
              </w:rPr>
              <w:t>J+10  ⭐</w:t>
            </w:r>
          </w:p>
        </w:tc>
        <w:tc>
          <w:tcPr>
            <w:tcW w:type="dxa" w:w="1440"/>
            <w:shd w:fill="C6EFCE" w:val="clear"/>
          </w:tcPr>
          <w:p>
            <w:r>
              <w:rPr>
                <w:sz w:val="17"/>
              </w:rPr>
              <w:t>2026-10-14</w:t>
            </w:r>
          </w:p>
        </w:tc>
        <w:tc>
          <w:tcPr>
            <w:tcW w:type="dxa" w:w="1440"/>
            <w:shd w:fill="C6EFCE" w:val="clear"/>
          </w:tcPr>
          <w:p>
            <w:r>
              <w:rPr>
                <w:sz w:val="17"/>
              </w:rPr>
              <w:t>2,701</w:t>
            </w:r>
          </w:p>
        </w:tc>
        <w:tc>
          <w:tcPr>
            <w:tcW w:type="dxa" w:w="1440"/>
            <w:shd w:fill="C6EFCE" w:val="clear"/>
          </w:tcPr>
          <w:p>
            <w:r>
              <w:rPr>
                <w:b/>
                <w:sz w:val="17"/>
              </w:rPr>
              <w:t>3,294</w:t>
            </w:r>
          </w:p>
        </w:tc>
        <w:tc>
          <w:tcPr>
            <w:tcW w:type="dxa" w:w="1440"/>
            <w:shd w:fill="C6EFCE" w:val="clear"/>
          </w:tcPr>
          <w:p>
            <w:r>
              <w:rPr>
                <w:sz w:val="17"/>
              </w:rPr>
              <w:t>3,887</w:t>
            </w:r>
          </w:p>
        </w:tc>
        <w:tc>
          <w:tcPr>
            <w:tcW w:type="dxa" w:w="1440"/>
            <w:shd w:fill="C6EFCE" w:val="clear"/>
          </w:tcPr>
          <w:p>
            <w:r>
              <w:rPr>
                <w:b/>
                <w:color w:val="008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SUCRIVOIRE (SCRC)**</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55,57 milliards FCFA, un niveau intermédiaire qui la place parmi les valeurs moyennes de la cote BRVM, mais qui contraste fortement avec la dégradation de ses fondamentaux. Le BPA ressort à -406 FCFA/action, conséquence directe de la perte nette de 7,95 milliards FCFA enregistrée en 2025 (IFRS), ce qui rend le PER inexploitable en l'état (-7,0x) : les investisseurs ne paient pas pour des bénéfices inexistants, mais spéculent sur un redressement futur. Le P/B de 3,22x traduit une prime de croissance significative accordée par le marché, alors que les capitaux propres ne s'élèvent qu'à 17,24 milliards FCFA — cette prime est d'autant plus fragile que la valeur comptable est érodée par les pertes. Enfin, l'EV/EBITDA de 9,9x, dans la fourchette raisonnable de 5-10x, suggère que la valeur d'entreprise reste soutenue par la capacité opérationnelle (EBE de 14,85 milliards FCFA), mais cette apparente normalité masque un endettement massif de 84,87 milliards FCFA qui pèse sur la structure financière.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progression spectaculaire de +42,46%, portée par un rallye qui a conduit le cours de 1 990 FCFA (plus bas) à 3 920 FCFA (plus haut), avant de refluer à 2 835 FCFA, soit une correction de -3,90% lors de la dernière séance. Ce range de trading de près de 2 000 FCFA témoigne d'une volatilité extrême, confirmée par une volatilité annualisée de 59,8% — un niveau très élevé (&gt;30%), caractéristique des valeurs spéculatives ou en situation de retournement. Les statistiques descriptives révèlent une distribution asymétrique : la moyenne (3 164 FCFA) est inférieure à la médiane (3 298 FCFA), signe que le cours a passé plus de temps au-dessus de sa moyenne, mais que des journées de forte baisse ont tiré la moyenne vers le bas. Le skewness de -0,736 confirme cette asymétrie négative (queue de distribution vers les rendements négatifs), tandis que le kurtosis de -0,484 (mésokurtique) indique une distribution proche de la normale, sans pics extrêmes fréquents. Le coefficient de variation de 15,2% traduit une dispersion modérée autour de la moyenne, mais la combinaison d'un skewness négatif et d'une volatilité élevée suggère que le risque de baisse reste prégnant malgré la tendance haussière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(3 254 FCFA) et la MM50 (3 454 FCFA) sont toutes deux supérieures au cours actuel (2 835 FCFA), ce qui place le titre en position baissière à court et moyen terme. La MM20 étant en dessous de la MM50, on observe une configuration de croisement baissier (death cross), justifiant la décision de **Vente**. Le cours évolue sous ses deux moyennes, signalant une pression vendeuse persistante.</w:t>
      </w:r>
    </w:p>
    <w:p>
      <w:pPr>
        <w:spacing w:after="120" w:line="276" w:lineRule="auto"/>
      </w:pPr>
      <w:r>
        <w:t>**Bandes de Bollinger** : Le cours (2 835 FCFA) se situe dans la partie inférieure de la bande, entre la borne inférieure (2 654,92 FCFA) et la borne supérieure (3 853,08 FCFA). La largeur des bandes reflète une volatilité élevée, et la position du cours près de la borne basse suggère une possible zone de survente, mais sans signal clair de retournement. La décision est **Neutre**, car le cours n'a pas encore touché la borne inférieure qui constituerait un support technique.</w:t>
      </w:r>
    </w:p>
    <w:p>
      <w:pPr>
        <w:spacing w:after="120" w:line="276" w:lineRule="auto"/>
      </w:pPr>
      <w:r>
        <w:t>**MACD** : La valeur du MACD (-165,12) est inférieure à son signal (-127,50), et les deux sont en territoire négatif. Cette divergence baissière indique un momentum négatif persistant, avec une accélération de la tendance baissière. La décision de **Vente** est confirmée par l'absence de croisement haussier imminent.</w:t>
      </w:r>
    </w:p>
    <w:p>
      <w:pPr>
        <w:spacing w:after="120" w:line="276" w:lineRule="auto"/>
      </w:pPr>
      <w:r>
        <w:t>**RSI** : À 26,45, le RSI se situe en zone de survente (&lt;30), ce qui indique que le titre a été massivement vendu et pourrait connaître un rebond technique à court terme. La décision est **Achat**, mais ce signal doit être pondéré par la tendance baissière sous-jacente.</w:t>
      </w:r>
    </w:p>
    <w:p>
      <w:pPr>
        <w:spacing w:after="120" w:line="276" w:lineRule="auto"/>
      </w:pPr>
      <w:r>
        <w:t>**Stochastique** : Le %K (17,90) est inférieur au %D (26,86), et les deux sont en zone de survente (&lt;20 pour %K). Un croisement haussier du %K au-dessus du %D pourrait signaler un retournement, mais pour l'instant, la configuration reste baissière. La décision est **Achat** sur la base de la survente, mais sans confirmation.</w:t>
      </w:r>
    </w:p>
    <w:p>
      <w:pPr>
        <w:spacing w:after="120" w:line="276" w:lineRule="auto"/>
      </w:pPr>
      <w:r>
        <w:t>**Conclusion technique** : Les indicateurs sont majoritairement baissiers (MM, MACD), avec des signaux de survente (RSI, Stochastique) qui pourraient annoncer un rebond technique à court terme. Cependant, l'absence de confirmation haussière et la pression des moyennes mobiles suggèrent que toute reprise serait fragile. La convergence des signaux baissiers à moyen terme et des signaux d'achat à court terme crée une divergence qui appelle à la prudence.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SCRC a enregistré un chiffre d'affaires de 80,57 milliards FCFA, en baisse de 7,6% par rapport à 2024 (87,22 milliards FCFA). Le résultat net est une perte de 7,95 milliards FCFA (IFRS), contre un bénéfice de 2,47 milliards FCFA en 2024, soit une dégradation de 421%. Le ROE s'effondre à -46,13% (contre +14,3% en 2024) et le ROA à -5,08%, traduisant une destruction de valeur massive. La marge nette est de -9,87%, et la marge opérationnelle de -0,68%, confirmant que l'exploitation courante ne génère plus de profits. Le BFR est de 6,53 milliards FCFA (positif, donc défavorable), avec un délai client de 12,28 jours (correct) mais un délai fournisseur de 366,07 jours (très élevé, signe de tensions de trésorerie). L'endettement est critique : dettes financières totales de 84,87 milliards FCFA, ratio d'endettement de 88,98%, autonomie financière de seulement 11,02% (très en dessous du seuil sain de 30%), et capacité de remboursement de 11,21 années de CAF. La trésorerie nette est négative à -6,51 milliards FCFA.</w:t>
      </w:r>
    </w:p>
    <w:p>
      <w:pPr>
        <w:spacing w:after="120" w:line="276" w:lineRule="auto"/>
      </w:pPr>
      <w:r>
        <w:t>**Estimations basées sur les rapports trimestriels** : Le rapport du S1 2025 (publié le 30/06/2025) indiquait un chiffre d'affaires de 42,87 milliards FCFA (-5%) et une perte nette de -6,71 milliards FCFA, avec un résultat d'exploitation négatif de -3,18 milliards FCFA. Le rapport T1 2025 (31/03/2025) faisait état d'un chiffre d'affaires de 25,09 milliards FCFA (-13%) et d'un résultat net de 3,21 milliards FCFA (-32%), mais cette performance était déjà en repli. Sur la base de ces tendances, on estime que l'exercice 2026 devrait rester sous pression, avec un chiffre d'affaires potentiellement stable autour de 80 milliards FCFA, mais une rentabilité toujours négative si les charges financières (6,79 milliards FCFA en 2025, +262%) ne sont pas réduites. Le rapport de gestion 2025 (publié en 2026) confirme la détérioration : explosion de l'endettement long terme à 64,5 milliards FCFA (+168%), trésorerie positive de 4,51 milliards FCFA mais insuffisante pour couvrir le service de la dette.</w:t>
      </w:r>
    </w:p>
    <w:p>
      <w:pPr>
        <w:spacing w:after="120" w:line="276" w:lineRule="auto"/>
      </w:pPr>
      <w:r>
        <w:t>**Recommandation fondamentale** : La situation financière de SCRC est critique. La perte nette de 7,95 milliards FCFA, l'endettement massif (84,87 milliards FCFA), l'autonomie financière de 11% et la trésorerie nette négative constituent des signaux d'alarme majeurs. Le retour à la profitabilité en 2024 était artificiel (porté par des éléments non récurrents), et la dégradation de 2025 ramène la société à une situation préoccupante. Les investissements massifs (25,2 milliards FCFA en 2025) pourraient soutenir la croissance future, mais ils aggravent la structure financière à court terme. La recommandation fondamentale est **VENDRE** en raison du risque de défaut et de l'absence de visibilité sur un redressement durable.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profonde entre les signaux. **Valorisation (Partie 0)** : le PER négatif (-7,0x) et le P/B élevé (3,22x) indiquent que le marché valorise SCRC sur des anticipations de redressement, mais l'EV/EBITDA de 9,9x masque un endettement insoutenable. **Comportement du cours (Partie 1)** : la hausse de +42,46% sur 100 jours contraste avec la dégradation fondamentale, et la volatilité de 59,8% ainsi que le skewness négatif (-0,736) signalent un risque de correction brutal. **Signaux techniques (Partie 2)** : les indicateurs sont majoritairement baissiers (MM, MACD), avec des signaux de survente (RSI, Stochastique) qui pourraient offrir un rebond technique, mais sans confirmation. **Fondamentaux (Partie 3)** : la perte nette de 7,95 milliards FCFA, l'endettement de 84,87 milliards FCFA et l'autonomie financière de 11% constituent des risques majeurs. **Prédictions IA (J+1 à J+10)** : la trajectoire prévue (2 882 FCFA à 3 152 FCFA) suggère un rebond de +11% à court terme, ce qui contredit les signaux baissiers techniques et fondamentaux, mais pourrait refléter une spéculation sur un retournement.</w:t>
      </w:r>
    </w:p>
    <w:p>
      <w:pPr>
        <w:spacing w:after="120" w:line="276" w:lineRule="auto"/>
      </w:pPr>
      <w:r>
        <w:t>**Recommandation finale** : **VENTE** (confiance Élevée, risque Élevé). La convergence des signaux fondamentaux (perte massive, endettement critique) et techniques (tendance baissière, MACD négatif) l'emporte sur les signaux d'achat à court terme (RSI, Stochastique) et les prédictions IA. Le rebond anticipé par l'IA pourrait être un piège pour les investisseurs, car il ne s'appuie sur aucune amélioration fondamentale. L'horizon optimal est **court terme** (&lt;3 mois) pour profiter d'un éventuel rebond technique, mais la position doit être soldée rapidement en raison du risque de défaut. À moyen et long terme, la valeur est à éviter tant que la restructuration financière n'aura pas produit de résultats tangibles.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117.00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1,448 titres</w:t>
            </w:r>
          </w:p>
        </w:tc>
        <w:tc>
          <w:tcPr>
            <w:tcW w:type="dxa" w:w="2268"/>
            <w:shd w:fill="FFF2CC" w:val="clear"/>
          </w:tcPr>
          <w:p>
            <w:r>
              <w:rPr>
                <w:b/>
                <w:color w:val="503200"/>
                <w:sz w:val="16"/>
              </w:rPr>
              <w:t xml:space="preserve">Cours actuel : </w:t>
            </w:r>
            <w:r>
              <w:rPr>
                <w:color w:val="000000"/>
                <w:sz w:val="17"/>
              </w:rPr>
              <w:t>13,000 FCFA</w:t>
            </w:r>
          </w:p>
          <w:p>
            <w:r>
              <w:rPr>
                <w:b/>
                <w:color w:val="503200"/>
                <w:sz w:val="16"/>
              </w:rPr>
              <w:t xml:space="preserve">Var. 100 jours : </w:t>
            </w:r>
            <w:r>
              <w:rPr>
                <w:b/>
                <w:color w:val="007800"/>
                <w:sz w:val="17"/>
              </w:rPr>
              <w:t>+46.07%</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8.04% (Moyenne) — μ=11,881 FCFA, σ=955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β=0.7223 (Défensif) — Cov=0.000050, Var(idx)=0.000069, ρ=0.246,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12,194</w:t>
            </w:r>
          </w:p>
        </w:tc>
        <w:tc>
          <w:tcPr>
            <w:tcW w:type="dxa" w:w="1440"/>
            <w:shd w:fill="FAFAFA" w:val="clear"/>
          </w:tcPr>
          <w:p>
            <w:r>
              <w:rPr>
                <w:b/>
                <w:sz w:val="17"/>
              </w:rPr>
              <w:t>12,905</w:t>
            </w:r>
          </w:p>
        </w:tc>
        <w:tc>
          <w:tcPr>
            <w:tcW w:type="dxa" w:w="1440"/>
            <w:shd w:fill="FAFAFA" w:val="clear"/>
          </w:tcPr>
          <w:p>
            <w:r>
              <w:rPr>
                <w:sz w:val="17"/>
              </w:rPr>
              <w:t>13,616</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11,924</w:t>
            </w:r>
          </w:p>
        </w:tc>
        <w:tc>
          <w:tcPr>
            <w:tcW w:type="dxa" w:w="1440"/>
            <w:shd w:fill="FAFAFA" w:val="clear"/>
          </w:tcPr>
          <w:p>
            <w:r>
              <w:rPr>
                <w:b/>
                <w:sz w:val="17"/>
              </w:rPr>
              <w:t>12,932</w:t>
            </w:r>
          </w:p>
        </w:tc>
        <w:tc>
          <w:tcPr>
            <w:tcW w:type="dxa" w:w="1440"/>
            <w:shd w:fill="FAFAFA" w:val="clear"/>
          </w:tcPr>
          <w:p>
            <w:r>
              <w:rPr>
                <w:sz w:val="17"/>
              </w:rPr>
              <w:t>13,939</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11,713</w:t>
            </w:r>
          </w:p>
        </w:tc>
        <w:tc>
          <w:tcPr>
            <w:tcW w:type="dxa" w:w="1440"/>
            <w:shd w:fill="FAFAFA" w:val="clear"/>
          </w:tcPr>
          <w:p>
            <w:r>
              <w:rPr>
                <w:b/>
                <w:sz w:val="17"/>
              </w:rPr>
              <w:t>12,949</w:t>
            </w:r>
          </w:p>
        </w:tc>
        <w:tc>
          <w:tcPr>
            <w:tcW w:type="dxa" w:w="1440"/>
            <w:shd w:fill="FAFAFA" w:val="clear"/>
          </w:tcPr>
          <w:p>
            <w:r>
              <w:rPr>
                <w:sz w:val="17"/>
              </w:rPr>
              <w:t>14,184</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11,531</w:t>
            </w:r>
          </w:p>
        </w:tc>
        <w:tc>
          <w:tcPr>
            <w:tcW w:type="dxa" w:w="1440"/>
            <w:shd w:fill="FAFAFA" w:val="clear"/>
          </w:tcPr>
          <w:p>
            <w:r>
              <w:rPr>
                <w:b/>
                <w:sz w:val="17"/>
              </w:rPr>
              <w:t>12,959</w:t>
            </w:r>
          </w:p>
        </w:tc>
        <w:tc>
          <w:tcPr>
            <w:tcW w:type="dxa" w:w="1440"/>
            <w:shd w:fill="FAFAFA" w:val="clear"/>
          </w:tcPr>
          <w:p>
            <w:r>
              <w:rPr>
                <w:sz w:val="17"/>
              </w:rPr>
              <w:t>14,386</w:t>
            </w:r>
          </w:p>
        </w:tc>
        <w:tc>
          <w:tcPr>
            <w:tcW w:type="dxa" w:w="1440"/>
            <w:shd w:fill="FAFAFA" w:val="clear"/>
          </w:tcPr>
          <w:p>
            <w:r>
              <w:rPr>
                <w:b/>
                <w:color w:val="C00000"/>
                <w:sz w:val="17"/>
              </w:rPr>
              <w:t>-0.3%</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11,361</w:t>
            </w:r>
          </w:p>
        </w:tc>
        <w:tc>
          <w:tcPr>
            <w:tcW w:type="dxa" w:w="1440"/>
            <w:shd w:fill="FAFAFA" w:val="clear"/>
          </w:tcPr>
          <w:p>
            <w:r>
              <w:rPr>
                <w:b/>
                <w:sz w:val="17"/>
              </w:rPr>
              <w:t>12,956</w:t>
            </w:r>
          </w:p>
        </w:tc>
        <w:tc>
          <w:tcPr>
            <w:tcW w:type="dxa" w:w="1440"/>
            <w:shd w:fill="FAFAFA" w:val="clear"/>
          </w:tcPr>
          <w:p>
            <w:r>
              <w:rPr>
                <w:sz w:val="17"/>
              </w:rPr>
              <w:t>14,552</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11,215</w:t>
            </w:r>
          </w:p>
        </w:tc>
        <w:tc>
          <w:tcPr>
            <w:tcW w:type="dxa" w:w="1440"/>
            <w:shd w:fill="FAFAFA" w:val="clear"/>
          </w:tcPr>
          <w:p>
            <w:r>
              <w:rPr>
                <w:b/>
                <w:sz w:val="17"/>
              </w:rPr>
              <w:t>12,964</w:t>
            </w:r>
          </w:p>
        </w:tc>
        <w:tc>
          <w:tcPr>
            <w:tcW w:type="dxa" w:w="1440"/>
            <w:shd w:fill="FAFAFA" w:val="clear"/>
          </w:tcPr>
          <w:p>
            <w:r>
              <w:rPr>
                <w:sz w:val="17"/>
              </w:rPr>
              <w:t>14,713</w:t>
            </w:r>
          </w:p>
        </w:tc>
        <w:tc>
          <w:tcPr>
            <w:tcW w:type="dxa" w:w="1440"/>
            <w:shd w:fill="FAFAFA" w:val="clear"/>
          </w:tcPr>
          <w:p>
            <w:r>
              <w:rPr>
                <w:b/>
                <w:color w:val="C00000"/>
                <w:sz w:val="17"/>
              </w:rPr>
              <w:t>-0.3%</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11,084</w:t>
            </w:r>
          </w:p>
        </w:tc>
        <w:tc>
          <w:tcPr>
            <w:tcW w:type="dxa" w:w="1440"/>
            <w:shd w:fill="FAFAFA" w:val="clear"/>
          </w:tcPr>
          <w:p>
            <w:r>
              <w:rPr>
                <w:b/>
                <w:sz w:val="17"/>
              </w:rPr>
              <w:t>12,975</w:t>
            </w:r>
          </w:p>
        </w:tc>
        <w:tc>
          <w:tcPr>
            <w:tcW w:type="dxa" w:w="1440"/>
            <w:shd w:fill="FAFAFA" w:val="clear"/>
          </w:tcPr>
          <w:p>
            <w:r>
              <w:rPr>
                <w:sz w:val="17"/>
              </w:rPr>
              <w:t>14,866</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10,966</w:t>
            </w:r>
          </w:p>
        </w:tc>
        <w:tc>
          <w:tcPr>
            <w:tcW w:type="dxa" w:w="1440"/>
            <w:shd w:fill="FAFAFA" w:val="clear"/>
          </w:tcPr>
          <w:p>
            <w:r>
              <w:rPr>
                <w:b/>
                <w:sz w:val="17"/>
              </w:rPr>
              <w:t>12,990</w:t>
            </w:r>
          </w:p>
        </w:tc>
        <w:tc>
          <w:tcPr>
            <w:tcW w:type="dxa" w:w="1440"/>
            <w:shd w:fill="FAFAFA" w:val="clear"/>
          </w:tcPr>
          <w:p>
            <w:r>
              <w:rPr>
                <w:sz w:val="17"/>
              </w:rPr>
              <w:t>15,014</w:t>
            </w:r>
          </w:p>
        </w:tc>
        <w:tc>
          <w:tcPr>
            <w:tcW w:type="dxa" w:w="1440"/>
            <w:shd w:fill="FAFAFA" w:val="clear"/>
          </w:tcPr>
          <w:p>
            <w:r>
              <w:rPr>
                <w:b/>
                <w:color w:val="C00000"/>
                <w:sz w:val="17"/>
              </w:rPr>
              <w:t>-0.1%</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10,861</w:t>
            </w:r>
          </w:p>
        </w:tc>
        <w:tc>
          <w:tcPr>
            <w:tcW w:type="dxa" w:w="1440"/>
            <w:shd w:fill="FAFAFA" w:val="clear"/>
          </w:tcPr>
          <w:p>
            <w:r>
              <w:rPr>
                <w:b/>
                <w:sz w:val="17"/>
              </w:rPr>
              <w:t>13,010</w:t>
            </w:r>
          </w:p>
        </w:tc>
        <w:tc>
          <w:tcPr>
            <w:tcW w:type="dxa" w:w="1440"/>
            <w:shd w:fill="FAFAFA" w:val="clear"/>
          </w:tcPr>
          <w:p>
            <w:r>
              <w:rPr>
                <w:sz w:val="17"/>
              </w:rPr>
              <w:t>15,160</w:t>
            </w:r>
          </w:p>
        </w:tc>
        <w:tc>
          <w:tcPr>
            <w:tcW w:type="dxa" w:w="1440"/>
            <w:shd w:fill="FAFAFA" w:val="clear"/>
          </w:tcPr>
          <w:p>
            <w:r>
              <w:rPr>
                <w:b/>
                <w:color w:val="008000"/>
                <w:sz w:val="17"/>
              </w:rPr>
              <w:t>+0.1%</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10,767</w:t>
            </w:r>
          </w:p>
        </w:tc>
        <w:tc>
          <w:tcPr>
            <w:tcW w:type="dxa" w:w="1440"/>
            <w:shd w:fill="FAFAFA" w:val="clear"/>
          </w:tcPr>
          <w:p>
            <w:r>
              <w:rPr>
                <w:b/>
                <w:sz w:val="17"/>
              </w:rPr>
              <w:t>13,038</w:t>
            </w:r>
          </w:p>
        </w:tc>
        <w:tc>
          <w:tcPr>
            <w:tcW w:type="dxa" w:w="1440"/>
            <w:shd w:fill="FAFAFA" w:val="clear"/>
          </w:tcPr>
          <w:p>
            <w:r>
              <w:rPr>
                <w:sz w:val="17"/>
              </w:rPr>
              <w:t>15,309</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SODECI (SDCC)**</w:t>
        <w:br/>
        <w:t>*Bourse Régionale des Valeurs Mobilières (BRVM) — Secteur : Services publics / Distribution d'eau*</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117,00 milliards FCFA, SDCC s'affirme comme une valeur de premier plan de la cote BRVM, représentant un pilier du compartiment des services publics. Le BPA de 518 FCFA/action signifie que chaque titre génère près de 518 FCFA de bénéfice net, ce qui, rapporté au cours actuel de 13 000 FCFA, aboutit à un PER de 25,1x — nettement supérieur à la moyenne du marché BRVM (8-12x), traduisant soit une forte anticipation de croissance, soit une prime de rareté liée au statut de monopole régulé de la société. Le P/B de 5,93x confirme cette valorisation exigeante : le marché paie près de six fois la valeur comptable des fonds propres, ce qui est élevé pour une entreprise à marges nettes faibles (2,46%). Enfin, l'EV/EBITDA de 14,9x, dans le haut de la fourchette 10-15x, indique que la valeur d'entreprise intègre une prime opérationnelle significative. L'ensemble de ces ratios suggère une action chèrement valorisée, dont le maintien dépend étroitement de la capacité à confirmer la reprise bénéficiaire observée en 2025-2026.</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 enregistré une progression spectaculaire de +46,07%, avec une dernière séance quasi stable (+0,08%) à 13 000 FCFA. Le titre a évolué dans un range large de 8 900 FCFA (plus bas) à 13 885 FCFA (plus haut), soit un écart de près de 56%, témoignant d'une dynamique nettement haussière portée par l'amélioration des résultats. La moyenne (11 881 FCFA) et la médiane (11 950 FCFA) sont très proches, signe d'une distribution globalement équilibrée, tandis que le mode à 11 900 FCFA confirme cette zone de consolidation. L'écart-type de 960 FCFA (CV = 8,1%) indique une dispersion modérée autour de la moyenne, mais le kurtosis de 1,617 (leptokurtique) signale des queues épaisses et donc un risque de pics de volatilité brutaux. Le skewness négatif (-0,685) révèle une asymétrie avec davantage de journées au-dessus de la moyenne, ce qui est plutôt favorable aux détenteurs. Enfin, la volatilité annualisée de 39,3% classe le titre dans la catégorie des valeurs à volatilité élevée (&gt;30%), ce qui implique un risque de correction significatif et justifie une gestion prudente des points d'entrée.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(12 940,5 FCFA) et la MM50 (12 402,4 FCFA) se situent toutes deux sous le cours actuel (13 000 FCFA), avec la MM20 au-dessus de la MM50 — configuration haussière classique. Le signal d'achat est confirmé par cette structure en croisement doré, bien que le cours évolue très près de la MM20, ce qui suggère une possible consolidation avant une nouvelle impulsion.</w:t>
      </w:r>
    </w:p>
    <w:p>
      <w:pPr>
        <w:spacing w:after="120" w:line="276" w:lineRule="auto"/>
      </w:pPr>
      <w:r>
        <w:t>**Bandes de Bollinger** : Le cours (13 000 FCFA) se situe à mi-chemin entre la borne inférieure (11 449,6 FCFA) et la borne supérieure (14 431,4 FCFA), ce qui explique la décision neutre. L'amplitude des bandes (environ 3 000 FCFA) reflète une volatilité encore présente, et l'absence de contact avec les bornes indique que le titre n'est ni en surachat ni en survente technique à court terme.</w:t>
      </w:r>
    </w:p>
    <w:p>
      <w:pPr>
        <w:spacing w:after="120" w:line="276" w:lineRule="auto"/>
      </w:pPr>
      <w:r>
        <w:t>**MACD** : La valeur du MACD (-31,387) est inférieure à son signal (16,059), générant une décision de vente. Cette divergence négative indique un essoufflement du momentum haussier malgré la tendance de fond positive, ce qui pourrait annoncer une phase de correction ou de consolidation à court terme.</w:t>
      </w:r>
    </w:p>
    <w:p>
      <w:pPr>
        <w:spacing w:after="120" w:line="276" w:lineRule="auto"/>
      </w:pPr>
      <w:r>
        <w:t>**RSI** : À 48,124, le RSI se situe parfaitement dans la zone neutre (30-70), sans signal de surachat ni de survente. Cette position médiane confirme l'absence de pression directionnelle forte et plaide pour une attente avant toute décision.</w:t>
      </w:r>
    </w:p>
    <w:p>
      <w:pPr>
        <w:spacing w:after="120" w:line="276" w:lineRule="auto"/>
      </w:pPr>
      <w:r>
        <w:t>**Stochastique** : Le %K (67,463) est légèrement supérieur au %D (60,6), sans croisement baissier confirmé. La zone n'est ni surachetée (&gt;80) ni survendue (&lt;20), ce qui maintient la décision neutre et suggère que le titre conserve un potentiel haussier modéré mais non confirmé.</w:t>
      </w:r>
    </w:p>
    <w:p>
      <w:pPr>
        <w:spacing w:after="120" w:line="276" w:lineRule="auto"/>
      </w:pPr>
      <w:r>
        <w:t>**Conclusion technique** : Les indicateurs sont globalement divergents — les moyennes mobiles sont haussières tandis que le MACD est baissier, et le RSI/Stochastique restent neutres. Cette configuration suggère une phase de consolidation après la forte hausse de +46%, avec un risque de correction à court terme mais une tendance de fond encore positive. La prudence est de mise avant tout renforcement.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a réalisé un chiffre d'affaires de 189,430 milliards FCFA, en croissance de 9,98% sur un an, porté par la hausse des volumes d'eau vendus et l'élargissement du portefeuille clients (2 272 032 clients, +6,14%). Le résultat net s'établit à 4,663 milliards FCFA, en progression de 31%, avec une marge nette de 2,46% — faible mais en amélioration. Le ROE atteint 23,65%, un niveau excellent (&gt;15%), tandis que le ROA reste limité à 0,99%, reflétant l'intensité capitalistique du secteur. La structure financière présente des signaux contrastés : l'autonomie financière est très faible (4,17%) et le ratio d'endettement élevé (95,83%), mais la solvabilité générale (104,35%) et la couverture des intérêts (1 583%) restent rassurantes. Le point critique réside dans les délais clients de 749 jours — un niveau extrêmement élevé qui pèse sur la trésorerie (flux opérationnel de -36,655 milliards FCFA et trésorerie nette de -61,710 milliards FCFA), bien que le taux de recouvrement (95,85%) et le BFR de 104,748 milliards FCFA (positif mais à surveiller) n'indiquent pas de défaillance immédiate. Les rapports trimestriels confirment la dynamique : au T1 2026 (rapport publié en 2026), le CA recule légèrement de 2% à 40 916 millions FCFA, mais le résultat d'exploitation bondit de 150% à 2 730 millions FCFA et le résultat net explose de 118% à 1 318 millions FCFA, grâce à une maîtrise accrue des charges. Le dividende proposé de 525 FCFA/action (rendement de 4,04% au cours actuel) constitue un signal de confiance. Sur la base de ces tendances, on estime que l'exercice 2026 devrait confirmer l'amélioration de la rentabilité opérationnelle, avec un résultat net potentiellement supérieur à 5 milliards FCFA si la dynamique du T1 se poursuit. La recommandation fondamentale est de **conserver** la valeur : la solidité du modèle (monopole régulé, croissance démographique) et l'amélioration des marges compensent les tensions de trésorerie et la valorisation exigeante.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(PER 25,1x, P/B 5,93x, EV/EBITDA 14,9x) indique une action nettement surévaluée par rapport aux standards du marché BRVM, ce qui intègre déjà une large part des anticipations de croissance. Le comportement du cours sur 100 jours (+46,07%) est impressionnant mais s'accompagne d'une volatilité élevée (39,3%) et d'un kurtosis leptokurtique (1,617) qui expose à des corrections brutales ; le skewness négatif (-0,685) reste toutefois favorable. Les signaux techniques sont mitigés : les moyennes mobiles sont haussières, mais le MACD est baissier et le RSI/Stochastique neutres, plaidant pour une consolidation à court terme. Les fondamentaux sont solides (ROE 23,65%, croissance du CA de 10%, résultat net +31% en 2025, T1 2026 en forte amélioration), mais les tensions de trésorerie (délais clients de 749 jours, flux opérationnel négatif) et la faible autonomie financière constituent des risques persistants. Les prédictions IA (J+1 à J+10) tablent sur une légère hausse vers 12 959 FCFA, ce qui confirme une stabilisation plutôt qu'une accélération. **En synthèse, la convergence entre une valorisation tendue, des signaux techniques divergents et des fondamentaux en amélioration mais fragiles conduit à une recommandation de CONSERVER.** Le niveau de confiance est **Moyen** (les données trimestrielles récentes sont encourageantes mais la trésorerie reste un point de vigilance), et le risque global est **Élevé** (volatilité importante, endettement fort, dépendance réglementaire). L'horizon d'investissement optimal est le **moyen terme (3-12 mois)**, le temps que les résultats du S2 2026 confirment la trajectoire bénéficiaire et que la trésorerie se redresse.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18,429 titres</w:t>
            </w:r>
          </w:p>
        </w:tc>
        <w:tc>
          <w:tcPr>
            <w:tcW w:type="dxa" w:w="2268"/>
            <w:shd w:fill="FFF2CC" w:val="clear"/>
          </w:tcPr>
          <w:p>
            <w:r>
              <w:rPr>
                <w:b/>
                <w:color w:val="503200"/>
                <w:sz w:val="16"/>
              </w:rPr>
              <w:t xml:space="preserve">Cours actuel : </w:t>
            </w:r>
            <w:r>
              <w:rPr>
                <w:color w:val="000000"/>
                <w:sz w:val="17"/>
              </w:rPr>
              <w:t>3,015 FCFA</w:t>
            </w:r>
          </w:p>
          <w:p>
            <w:r>
              <w:rPr>
                <w:b/>
                <w:color w:val="503200"/>
                <w:sz w:val="16"/>
              </w:rPr>
              <w:t xml:space="preserve">Var. 100 jours : </w:t>
            </w:r>
            <w:r>
              <w:rPr>
                <w:b/>
                <w:color w:val="007800"/>
                <w:sz w:val="17"/>
              </w:rPr>
              <w:t>+67.50%</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17.42% (Élevée) — μ=2,480 FCFA, σ=432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β=0.6488 (Défensif) — Cov=0.000045, Var(idx)=0.000069, ρ=0.168,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18,429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σ_j=3.24%/j (Modérée) — Vol. annualisée≈51.4%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2,846</w:t>
            </w:r>
          </w:p>
        </w:tc>
        <w:tc>
          <w:tcPr>
            <w:tcW w:type="dxa" w:w="1440"/>
            <w:shd w:fill="FAFAFA" w:val="clear"/>
          </w:tcPr>
          <w:p>
            <w:r>
              <w:rPr>
                <w:b/>
                <w:sz w:val="17"/>
              </w:rPr>
              <w:t>2,995</w:t>
            </w:r>
          </w:p>
        </w:tc>
        <w:tc>
          <w:tcPr>
            <w:tcW w:type="dxa" w:w="1440"/>
            <w:shd w:fill="FAFAFA" w:val="clear"/>
          </w:tcPr>
          <w:p>
            <w:r>
              <w:rPr>
                <w:sz w:val="17"/>
              </w:rPr>
              <w:t>3,144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2,771</w:t>
            </w:r>
          </w:p>
        </w:tc>
        <w:tc>
          <w:tcPr>
            <w:tcW w:type="dxa" w:w="1440"/>
            <w:shd w:fill="FAFAFA" w:val="clear"/>
          </w:tcPr>
          <w:p>
            <w:r>
              <w:rPr>
                <w:b/>
                <w:sz w:val="17"/>
              </w:rPr>
              <w:t>2,981</w:t>
            </w:r>
          </w:p>
        </w:tc>
        <w:tc>
          <w:tcPr>
            <w:tcW w:type="dxa" w:w="1440"/>
            <w:shd w:fill="FAFAFA" w:val="clear"/>
          </w:tcPr>
          <w:p>
            <w:r>
              <w:rPr>
                <w:sz w:val="17"/>
              </w:rPr>
              <w:t>3,191</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2,715</w:t>
            </w:r>
          </w:p>
        </w:tc>
        <w:tc>
          <w:tcPr>
            <w:tcW w:type="dxa" w:w="1440"/>
            <w:shd w:fill="FAFAFA" w:val="clear"/>
          </w:tcPr>
          <w:p>
            <w:r>
              <w:rPr>
                <w:b/>
                <w:sz w:val="17"/>
              </w:rPr>
              <w:t>2,972</w:t>
            </w:r>
          </w:p>
        </w:tc>
        <w:tc>
          <w:tcPr>
            <w:tcW w:type="dxa" w:w="1440"/>
            <w:shd w:fill="FAFAFA" w:val="clear"/>
          </w:tcPr>
          <w:p>
            <w:r>
              <w:rPr>
                <w:sz w:val="17"/>
              </w:rPr>
              <w:t>3,228</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2,669</w:t>
            </w:r>
          </w:p>
        </w:tc>
        <w:tc>
          <w:tcPr>
            <w:tcW w:type="dxa" w:w="1440"/>
            <w:shd w:fill="FAFAFA" w:val="clear"/>
          </w:tcPr>
          <w:p>
            <w:r>
              <w:rPr>
                <w:b/>
                <w:sz w:val="17"/>
              </w:rPr>
              <w:t>2,965</w:t>
            </w:r>
          </w:p>
        </w:tc>
        <w:tc>
          <w:tcPr>
            <w:tcW w:type="dxa" w:w="1440"/>
            <w:shd w:fill="FAFAFA" w:val="clear"/>
          </w:tcPr>
          <w:p>
            <w:r>
              <w:rPr>
                <w:sz w:val="17"/>
              </w:rPr>
              <w:t>3,260</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2,630</w:t>
            </w:r>
          </w:p>
        </w:tc>
        <w:tc>
          <w:tcPr>
            <w:tcW w:type="dxa" w:w="1440"/>
            <w:shd w:fill="FAFAFA" w:val="clear"/>
          </w:tcPr>
          <w:p>
            <w:r>
              <w:rPr>
                <w:b/>
                <w:sz w:val="17"/>
              </w:rPr>
              <w:t>2,959</w:t>
            </w:r>
          </w:p>
        </w:tc>
        <w:tc>
          <w:tcPr>
            <w:tcW w:type="dxa" w:w="1440"/>
            <w:shd w:fill="FAFAFA" w:val="clear"/>
          </w:tcPr>
          <w:p>
            <w:r>
              <w:rPr>
                <w:sz w:val="17"/>
              </w:rPr>
              <w:t>3,289</w:t>
            </w:r>
          </w:p>
        </w:tc>
        <w:tc>
          <w:tcPr>
            <w:tcW w:type="dxa" w:w="1440"/>
            <w:shd w:fill="FAFAFA" w:val="clear"/>
          </w:tcPr>
          <w:p>
            <w:r>
              <w:rPr>
                <w:b/>
                <w:color w:val="C00000"/>
                <w:sz w:val="17"/>
              </w:rPr>
              <w:t>-1.8%</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2,594</w:t>
            </w:r>
          </w:p>
        </w:tc>
        <w:tc>
          <w:tcPr>
            <w:tcW w:type="dxa" w:w="1440"/>
            <w:shd w:fill="FAFAFA" w:val="clear"/>
          </w:tcPr>
          <w:p>
            <w:r>
              <w:rPr>
                <w:b/>
                <w:sz w:val="17"/>
              </w:rPr>
              <w:t>2,955</w:t>
            </w:r>
          </w:p>
        </w:tc>
        <w:tc>
          <w:tcPr>
            <w:tcW w:type="dxa" w:w="1440"/>
            <w:shd w:fill="FAFAFA" w:val="clear"/>
          </w:tcPr>
          <w:p>
            <w:r>
              <w:rPr>
                <w:sz w:val="17"/>
              </w:rPr>
              <w:t>3,315</w:t>
            </w:r>
          </w:p>
        </w:tc>
        <w:tc>
          <w:tcPr>
            <w:tcW w:type="dxa" w:w="1440"/>
            <w:shd w:fill="FAFAFA"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2,562</w:t>
            </w:r>
          </w:p>
        </w:tc>
        <w:tc>
          <w:tcPr>
            <w:tcW w:type="dxa" w:w="1440"/>
            <w:shd w:fill="FFDCE0" w:val="clear"/>
          </w:tcPr>
          <w:p>
            <w:r>
              <w:rPr>
                <w:b/>
                <w:sz w:val="17"/>
              </w:rPr>
              <w:t>2,951</w:t>
            </w:r>
          </w:p>
        </w:tc>
        <w:tc>
          <w:tcPr>
            <w:tcW w:type="dxa" w:w="1440"/>
            <w:shd w:fill="FFDCE0" w:val="clear"/>
          </w:tcPr>
          <w:p>
            <w:r>
              <w:rPr>
                <w:sz w:val="17"/>
              </w:rPr>
              <w:t>3,340</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2,531</w:t>
            </w:r>
          </w:p>
        </w:tc>
        <w:tc>
          <w:tcPr>
            <w:tcW w:type="dxa" w:w="1440"/>
            <w:shd w:fill="FFDCE0" w:val="clear"/>
          </w:tcPr>
          <w:p>
            <w:r>
              <w:rPr>
                <w:b/>
                <w:sz w:val="17"/>
              </w:rPr>
              <w:t>2,947</w:t>
            </w:r>
          </w:p>
        </w:tc>
        <w:tc>
          <w:tcPr>
            <w:tcW w:type="dxa" w:w="1440"/>
            <w:shd w:fill="FFDCE0" w:val="clear"/>
          </w:tcPr>
          <w:p>
            <w:r>
              <w:rPr>
                <w:sz w:val="17"/>
              </w:rPr>
              <w:t>3,362</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2,503</w:t>
            </w:r>
          </w:p>
        </w:tc>
        <w:tc>
          <w:tcPr>
            <w:tcW w:type="dxa" w:w="1440"/>
            <w:shd w:fill="FFDCE0" w:val="clear"/>
          </w:tcPr>
          <w:p>
            <w:r>
              <w:rPr>
                <w:b/>
                <w:sz w:val="17"/>
              </w:rPr>
              <w:t>2,943</w:t>
            </w:r>
          </w:p>
        </w:tc>
        <w:tc>
          <w:tcPr>
            <w:tcW w:type="dxa" w:w="1440"/>
            <w:shd w:fill="FFDCE0" w:val="clear"/>
          </w:tcPr>
          <w:p>
            <w:r>
              <w:rPr>
                <w:sz w:val="17"/>
              </w:rPr>
              <w:t>3,383</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2,476</w:t>
            </w:r>
          </w:p>
        </w:tc>
        <w:tc>
          <w:tcPr>
            <w:tcW w:type="dxa" w:w="1440"/>
            <w:shd w:fill="FFDCE0" w:val="clear"/>
          </w:tcPr>
          <w:p>
            <w:r>
              <w:rPr>
                <w:b/>
                <w:sz w:val="17"/>
              </w:rPr>
              <w:t>2,939</w:t>
            </w:r>
          </w:p>
        </w:tc>
        <w:tc>
          <w:tcPr>
            <w:tcW w:type="dxa" w:w="1440"/>
            <w:shd w:fill="FFDCE0" w:val="clear"/>
          </w:tcPr>
          <w:p>
            <w:r>
              <w:rPr>
                <w:sz w:val="17"/>
              </w:rPr>
              <w:t>3,403</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164,12 milliards FCFA, SDSC s'impose comme une valeur de premier plan de la cote BRVM, représentant un pilier du compartiment logistique et transport de la place abidjanaise. Le BPA de 387 FCFA/action signifie que chaque titre génère près de 387 FCFA de bénéfice net, ce qui, rapporté au cours actuel de 3 015 FCFA, donne un PER de 7,8x — nettement inférieur à la moyenne BRVM (8-12x), suggérant une sous-évaluation apparente du titre sur la base des bénéfices 2024. Le P/B de 2,11x indique que le marché valorise la société à plus du double de sa valeur comptable, traduisant une prime de croissance accordée par les investisseurs, cohérente avec la position dominante d'AGL CI dans la logistique ouest-africaine. En revanche, l'EV/EBITDA de 35,4x apparaît très exigeant (&gt;15x), signalant que la valeur d'entreprise intègre déjà une forte anticipation de redressement opérationnel — un niveau qui contraste avec la faiblesse des marges opérationnelles constatées en 2025.</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performance remarquable de +67,50%, portant le cours à 3 015 FCFA, avec une dernière séance stable (variation J-1 de 0,00%). Le range de trading est particulièrement large, oscillant entre un plus bas de 1 650 FCFA et un plus haut de 3 205 FCFA, soit une amplitude de plus de 94% qui témoigne d'une dynamique haussière puissante mais aussi d'une forte nervosité du marché. La moyenne du cours s'établit à 2 480 FCFA contre une médiane de 2 555 FCFA, un écart modéré qui traduit une légère asymétrie avec quelques séances de forte baisse ayant tiré la moyenne vers le bas. L'écart-type de 434 FCFA (CV de 17,5%) indique une dispersion modérée autour de la moyenne, tandis que le kurtosis de -0,905 (mésokurtique) suggère une distribution proche de la normale, sans risque excessif de pics extrêmes. Le skewness de -0,434 confirme une distribution légèrement asymétrique à gauche, avec quelques journées de correction plus marquées que les hausses. La volatilité annualisée de 51,4% classe SDSC parmi les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(3 001,25 FCFA) et la MM50 (2 820,30 FCFA) se situent toutes deux sous le cours actuel (3 015 FCFA), avec une MM20 supérieure à la MM50 — configuration haussière classique (golden cross). Le cours évoluant au-dessus de ses deux moyennes, la tendance de fond reste positive, justifiant la décision d'achat.</w:t>
      </w:r>
    </w:p>
    <w:p>
      <w:pPr>
        <w:spacing w:after="120" w:line="276" w:lineRule="auto"/>
      </w:pPr>
      <w:r>
        <w:t>**Bandes de Bollinger** : Le cours (3 015 FCFA) se situe dans la partie supérieure de la bande, entre la borne inférieure (2 761,34 FCFA) et la borne supérieure (3 241,16 FCFA), sans franchissement de seuil. Cette position médiane-haute traduit une volatilité contenue et une absence de signal directionnel fort, d'où la décision neutre.</w:t>
      </w:r>
    </w:p>
    <w:p>
      <w:pPr>
        <w:spacing w:after="120" w:line="276" w:lineRule="auto"/>
      </w:pPr>
      <w:r>
        <w:t>**MACD** : La valeur du MACD (39,484) est inférieure à son signal (46,04), générant un croisement baissier qui indique un essoufflement du momentum haussier. Cette divergence négative, bien que modérée, justifie la décision de vente à court terme.</w:t>
      </w:r>
    </w:p>
    <w:p>
      <w:pPr>
        <w:spacing w:after="120" w:line="276" w:lineRule="auto"/>
      </w:pPr>
      <w:r>
        <w:t>**RSI** : À 46,377, le RSI se situe en zone neutre (30-70), sans signal de surachat (&gt;70) ni de survente (&lt;30). Cette position médiane reflète un équilibre entre acheteurs et vendeurs, justifiant la décision neutre.</w:t>
      </w:r>
    </w:p>
    <w:p>
      <w:pPr>
        <w:spacing w:after="120" w:line="276" w:lineRule="auto"/>
      </w:pPr>
      <w:r>
        <w:t>**Stochastique** : Le %K (72,881) est inférieur au %D (81,921), avec un croisement en zone haute (&gt;80) qui suggère un essoufflement de la dynamique haussière et un risque de retournement à court terme. La décision reste neutre, mais la configuration appelle à la prudence.</w:t>
      </w:r>
    </w:p>
    <w:p>
      <w:pPr>
        <w:spacing w:after="120" w:line="276" w:lineRule="auto"/>
      </w:pPr>
      <w:r>
        <w:t>**Conclusion technique** : Les indicateurs techniques présentent un tableau mitigé. La tendance de fond reste haussière (cours &gt; MM20 &gt; MM50), mais le MACD baissier et le stochastique en zone de surachat signalent un essoufflement du momentum. Le RSI neutre et les Bollinger sans franchissement confirment l'absence de signal directionnel fort. La convergence partielle des signaux suggère une consolidation probable avant toute nouvelle impulsion.</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2024, SDSC (AGL Côte d'Ivoire) affichait un chiffre d'affaires de 85,643 milliards FCFA, un résultat net de 21,069 milliards FCFA, un ROE de 27,08% (excellent, &gt;15%) et un ROA de 11,20%, traduisant une rentabilité solide. Cependant, les données structurées 2025 révèlent une dégradation brutale : le CA progresse à 92,004 milliards FCFA (+7,43%), mais le résultat net s'effondre à 0,785 milliard FCFA (-96%), avec une marge nette de 0,85% (vs 24,6% en 2024) et un résultat d'exploitation négatif de -2,271 milliards FCFA. Cette chute s'explique par la hausse des dotations aux amortissements (+41%) et des charges de personnel, tandis que le résultat financier (7,080 milliards FCFA) — bien qu'en baisse de 66% — a permis de maintenir un bénéfice net symbolique. Le rapport du 31/12/2025 (analysé par DeepSeek le 05/08/2026) confirme que la rentabilité opérationnelle est déficitaire, et le dividende proposé chute à 544,353 millions FCFA (-89% vs 5,008 milliards en 2024), avec un taux de distribution de 69,3%. Les rapports trimestriels 2025 (T1, S1, T3) montrent une activité en croissance (+6,2% au T1, +4,2% au S1, +7,4% au T3) mais des résultats nets négatifs ou en forte baisse, pénalisés par l'absence de dividendes des filiales et des charges exceptionnelles. Le rapport des commissaires aux comptes (Deloitte/ECR, 26/08/2026) certifie les comptes sans réserve mais signale des manquements réglementaires (retard de publication, non-respect des délais OHADA) et des risques sur la reconnaissance du CA et les débours (12,574 milliards FCFA). La structure financière reste solide (capitaux propres de 73,552 milliards FCFA, trésorerie nette de 74,782 milliards FCFA), mais le BFR a explosé (+75,7 milliards FCFA) et le délai client de 466,94 jours constitue un risque de trésorerie majeur. On estime que l'exercice 2026 devrait bénéficier de la croissance du CA et de la trésorerie abondante, mais la rentabilité restera sous pression si les produits financiers ne se redressent pas et si les charges opérationnelles ne sont pas maîtrisées. La recommandation fondamentale est de **conserver** le titre, en surveillant la capacité de la direction à restaurer les marges opérationnelles et à clarifier sa politique de dividende.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profil contrasté : un PER de 7,8x suggère une sous-évaluation sur la base des bénéfices 2024, mais l'EV/EBITDA de 35,4x et le P/B de 2,11x traduisent une prime de croissance qui pourrait être remise en cause par l'effondrement des marges en 2025. Le comportement du cours sur 100 jours est nettement haussier (+67,50%), avec une volatilité élevée (51,4%) et une distribution proche de la normale (kurtosis -0,905, skewness -0,434), ce qui indique un risque de marché significatif mais sans pics extrêmes. Les signaux techniques sont mitigés : la tendance de fond reste positive (cours &gt; MM20 &gt; MM50), mais le MACD baissier et le stochastique en zone de surachat signalent un essoufflement à court terme, plaidant pour une consolidation. Les fondamentaux 2025 sont préoccupants : malgré un CA en hausse (+7,43%), le résultat net s'effondre (-96%) et le résultat d'exploitation devient négatif, tandis que le dividende chute de 89% — des signaux qui pèsent sur la thèse d'investissement. Les prédictions IA (J+1 à J+10) anticipent une légère baisse du cours (2 995 FCFA à 2 959 FCFA), confirmant la tendance baissière de court terme suggérée par le MACD et le stochastique. Sur la base de cette synthèse, la recommandation finale est **CONSERVER**, avec un niveau de confiance **Moyen** et un risque global **Élevé**. La convergence entre la dégradation fondamentale, les signaux techniques baissiers à court terme et les prédictions IA négatives incite à la prudence, mais la solidité du bilan (trésorerie nette de 74,782 milliards FCFA) et la croissance du CA justifient de ne pas vendre dans l'immédiat. L'horizon d'investissement optimal est le **moyen terme (3-12 mois)**, en attendant une clarification sur la rentabilité opérationnelle et la politique de dividende.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β=1.1500 (Neutre (suit le marché)) — Cov=0.000043, Var(idx)=0.000037, ρ=0.239, n=91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SEMC (BRVM)**</w:t>
        <w:br/>
        <w:t>*Date d'analyse : 2026 — Cours de référence : 1 495 FCFA*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classe parmi les valeurs moyennes du compartiment industriel. Les ratios de valorisation boursière (BPA, PER, P/B, EV/EBITDA) ne sont pas calculables en l'état, les données financières structurées nécessaires étant absentes de la base. Toutefois, en croisant le bénéfice net 2023 de 1,01 milliard FCFA (rapport du 31/12/2023) avec la capitalisation actuelle, on obtient un PER implicite très élevé (supérieur à 35x), bien au-dessus de la moyenne BRVM (~8-12x), ce qui suggère une valorisation tendue au regard des bénéfices les plus récents. Cette cherté apparente doit néanmoins être nuancée par les perspectives de relance 2024 (objectif de CA de 32 milliards FCFA) et l'arrivée de Sonoco Products Company au capital.</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SEMC affiche une variation totale de -16,94%, avec une dernière séance en repli de -1,64%, confirmant une tendance baissière persistante. Le titre évolue dans un range de 450 FCFA, entre un plus haut de 1 800 FCFA et un plus bas de 1 350 FCFA, le cours actuel de 1 495 FCFA se situant dans la moitié inférieure de cette fourchette. Les statistiques descriptives révèlent une moyenne (1 527 FCFA) légèrement supérieure à la médiane (1 520 FCFA), signe d'une distribution faiblement asymétrique, tandis que le mode à 1 500 FCFA indique un point d'ancrage psychologique fort. L'écart-type de 69 FCFA et le coefficient de variation de 4,5% traduisent une dispersion modérée du cours autour de sa moyenne, mais le kurtosis de 1,652 (leptokurtique) signale des queues épaisses et un risque de pics brutaux, confirmé par le skewness positif de 0,558 (davantage de journées sous la moyenne). La volatilité annualisée de 47,2% classe le titre dans la catégorie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 FCFA), et le cours actuel (1 495 FCFA) évolue sous ces deux moyennes. Cette configuration traduit une pression baissière de court terme, bien que la décision fournie soit "Achat", probablement liée au croisement haussier MM20/MM50 qui reste un signal de fond positif.</w:t>
      </w:r>
    </w:p>
    <w:p>
      <w:pPr>
        <w:spacing w:after="120" w:line="276" w:lineRule="auto"/>
      </w:pPr>
      <w:r>
        <w:t>**Bandes de Bollinger** : Le cours (1 495 FCFA) se situe dans la partie basse de la bande, entre la borne inférieure (1 459,686 FCFA) et la borne supérieure (1 621,814 FCFA). Cette position proche de la borne basse suggère une pression vendeuse, mais la décision "Neutre" indique l'absence de signal de retournement clair.</w:t>
      </w:r>
    </w:p>
    <w:p>
      <w:pPr>
        <w:spacing w:after="120" w:line="276" w:lineRule="auto"/>
      </w:pPr>
      <w:r>
        <w:t>**MACD** : La valeur du MACD (6,1) est inférieure à son signal (9,917), générant une configuration baissière. Le momentum est négatif, ce qui justifie la décision "Vente" et confirme la tendance baissière de court terme observée sur le cours.</w:t>
      </w:r>
    </w:p>
    <w:p>
      <w:pPr>
        <w:spacing w:after="120" w:line="276" w:lineRule="auto"/>
      </w:pPr>
      <w:r>
        <w:t>**RSI** : À 49,533, le RSI se situe en zone parfaitement neutre (30-70), sans signal de surachat ni de survente. La décision "Neutre" reflète l'absence de pression directionnelle forte, le titre n'étant ni épuisé à la baisse ni en excès à la hausse.</w:t>
      </w:r>
    </w:p>
    <w:p>
      <w:pPr>
        <w:spacing w:after="120" w:line="276" w:lineRule="auto"/>
      </w:pPr>
      <w:r>
        <w:t>**Stochastique** : Le %K (34,615) est inférieur au %D (57,692), avec un croisement baissier en zone basse. La décision "Neutre" tempère ce signal, mais la configuration suggère que la pression vendeuse pourrait persister à court terme.</w:t>
      </w:r>
    </w:p>
    <w:p>
      <w:pPr>
        <w:spacing w:after="120" w:line="276" w:lineRule="auto"/>
      </w:pPr>
      <w:r>
        <w:t>**Conclusion technique** : Les indicateurs sont majoritairement baissiers ou neutres, avec un MACD en configuration de vente, un cours sous ses moyennes mobiles et un stochastique baissier. Seul le croisement MM20/MM50 offre un signal d'achat de fond, mais il est contredit par la dynamique de court terme. La convergence des signaux penche vers une prudence, avec un potentiel de rebond technique limité tant que le cours reste sous 1 540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de SEMC s'appuie sur les rapports officiels disponibles, dont les plus récents datent du 31/12/2023 (exercice 2023) et du 31/12/2022 (exercice 2022), complétés par un rapport trimestriel T1 2023. **En 2023**, le chiffre d'affaires s'établit à 27,88 milliards FCFA, en baisse de 6% par rapport aux 29,60 milliards FCFA de 2022, principalement en raison de la perte du client AIRONE (chute de 81% du CA Poisson) et de l'effondrement du segment Tomate. Le résultat net chute de 74%, passant de 3,86 milliards FCFA en 2022 à 1,01 milliard FCFA en 2023, avec une marge nette qui s'érode de 13,0% à 3,6%. Le ROE se dégrade également, passant de 18,5% en 2022 à un niveau estimé autour de 5% en 2023. **En 2022**, la société affichait pourtant une croissance solide de 13,8% du CA (125,4 milliards FCFA selon un rapport consolidé) et un résultat net de 12,8 milliards FCFA, mais ces chiffres semblent issus d'une entité consolidée différente (Eviosys Packaging SIEM) et non de SEMC seule, ce qui explique la divergence avec les 29,60 milliards FCFA de CA 2022 du rapport SEMC. Le rapport T1 2023 (daté du 31/12/2023) indiquait un CA de 7,65 milliards FCFA (+16,5%) et un bénéfice net de 855,65 millions FCFA (+37,9%), mais cette dynamique ne s'est pas confirmée sur l'ensemble de l'exercice. La politique de dividende est inexistante depuis 2022 (0 FCFA versé), la trésorerie (3,35 milliards FCFA en 2023) étant conservée pour financer la relance et faire face à la suspension de la cote BRVM (flottant insuffisant : 10,42% vs 15% requis). Les perspectives 2024 tablent sur un CA de 32 milliards FCFA (+18%), porté par les bouchons couronnes (+61% en volume) et les exportations, ainsi que par le rachat par Sonoco Products Company (finalisé en décembre 2024). **Conclusion fondamentale** : SEMC traverse une phase de transition difficile, avec des fondamentaux dégradés en 2023, mais des leviers de relance identifiés (Sonoco, exportations, bouchons couronnes) qui pourraient restaurer la rentabilité en 2024-2025. Le risque principal reste la dépendance aux clients clés et la concurrence des emballages alternatifs (PET).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(non disponibles) conduit à une recommandation nuancée. **Valorisation (Partie 0)** : le PER implicite très élevé (&gt;35x) suggère une surévaluation au regard des bénéfices 2023, mais les perspectives de relance 2024 pourraient justifier une prime. **Comportement du cours (Partie 1)** : la tendance baissière (-16,94% sur 100 jours), la volatilité élevée (47,2%) et le kurtosis leptokurtique (risque de pics) sont préoccupants, bien que le skewness positif indique un potentiel de rebond. **Signaux techniques (Partie 2)** : la divergence entre le signal d'achat des MM et les signaux baissiers du MACD et du stochastique crée une incertitude, avec une décision globale neutre à baissière. **Fondamentaux (Partie 3)** : la dégradation des résultats 2023 (CA -6%, résultat net -74%) est alarmante, mais les perspectives 2024 (objectif CA +18%) et l'arrivée de Sonoco offrent des catalyseurs positifs. **Prédictions IA** : aucune prédiction disponible, ce qui limite la confirmation des signaux. **Recommandation finale : CONSERVER** (avec vigilance). Cette recommandation reflète la convergence entre une valorisation tendue, des signaux techniques mitigés et des fondamentaux en transition, mais avec un potentiel de redressement sous condition. Le niveau de confiance est **Moyen** (en raison de l'absence de prédictions IA et de la divergence des indicateurs), et le niveau de risque global est **Élevé** (volatilité, dépendance clients, suspension BRVM). L'horizon d'investissement optimal est **moyen terme (3-12 mois)**, le temps que la stratégie de relance 2024 produise ses effets et que la situation boursière (levée de suspension) se clarifie. Une réévaluation à la hausse (ACHAT) serait justifiée si SEMC confirme son objectif de CA de 32 milliards FCFA et si le titre se stabilise au-dessus de 1 540 FCFA (MM20).</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4,953 titres</w:t>
            </w:r>
          </w:p>
        </w:tc>
        <w:tc>
          <w:tcPr>
            <w:tcW w:type="dxa" w:w="2268"/>
            <w:shd w:fill="FFF2CC" w:val="clear"/>
          </w:tcPr>
          <w:p>
            <w:r>
              <w:rPr>
                <w:b/>
                <w:color w:val="503200"/>
                <w:sz w:val="16"/>
              </w:rPr>
              <w:t xml:space="preserve">Cours actuel : </w:t>
            </w:r>
            <w:r>
              <w:rPr>
                <w:color w:val="000000"/>
                <w:sz w:val="17"/>
              </w:rPr>
              <w:t>38,990 FCFA</w:t>
            </w:r>
          </w:p>
          <w:p>
            <w:r>
              <w:rPr>
                <w:b/>
                <w:color w:val="503200"/>
                <w:sz w:val="16"/>
              </w:rPr>
              <w:t xml:space="preserve">Var. 100 jours : </w:t>
            </w:r>
            <w:r>
              <w:rPr>
                <w:b/>
                <w:color w:val="007800"/>
                <w:sz w:val="17"/>
              </w:rPr>
              <w:t>+15.36%</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33,800 FCFA</w:t>
            </w:r>
          </w:p>
          <w:p>
            <w:r>
              <w:rPr>
                <w:b/>
                <w:color w:val="503200"/>
                <w:sz w:val="16"/>
              </w:rPr>
              <w:t xml:space="preserve">Volatilité ann. : </w:t>
            </w:r>
            <w:r>
              <w:rPr>
                <w:color w:val="000000"/>
                <w:sz w:val="17"/>
              </w:rPr>
              <w:t>21.7%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μ=38,098 FCFA, σ=1,155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β=0.5174 (Défensif) — Cov=0.000036, Var(idx)=0.000069, ρ=0.313,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σ_j=1.37%/j (Stable) — Vol. annualisée≈21.7%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37,404</w:t>
            </w:r>
          </w:p>
        </w:tc>
        <w:tc>
          <w:tcPr>
            <w:tcW w:type="dxa" w:w="1440"/>
            <w:shd w:fill="FAFAFA" w:val="clear"/>
          </w:tcPr>
          <w:p>
            <w:r>
              <w:rPr>
                <w:b/>
                <w:sz w:val="17"/>
              </w:rPr>
              <w:t>38,520</w:t>
            </w:r>
          </w:p>
        </w:tc>
        <w:tc>
          <w:tcPr>
            <w:tcW w:type="dxa" w:w="1440"/>
            <w:shd w:fill="FAFAFA" w:val="clear"/>
          </w:tcPr>
          <w:p>
            <w:r>
              <w:rPr>
                <w:sz w:val="17"/>
              </w:rPr>
              <w:t>39,636</w:t>
            </w:r>
          </w:p>
        </w:tc>
        <w:tc>
          <w:tcPr>
            <w:tcW w:type="dxa" w:w="1440"/>
            <w:shd w:fill="FAFAFA" w:val="clear"/>
          </w:tcPr>
          <w:p>
            <w:r>
              <w:rPr>
                <w:b/>
                <w:color w:val="C00000"/>
                <w:sz w:val="17"/>
              </w:rPr>
              <w:t>-1.2%</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36,883</w:t>
            </w:r>
          </w:p>
        </w:tc>
        <w:tc>
          <w:tcPr>
            <w:tcW w:type="dxa" w:w="1440"/>
            <w:shd w:fill="FAFAFA" w:val="clear"/>
          </w:tcPr>
          <w:p>
            <w:r>
              <w:rPr>
                <w:b/>
                <w:sz w:val="17"/>
              </w:rPr>
              <w:t>38,458</w:t>
            </w:r>
          </w:p>
        </w:tc>
        <w:tc>
          <w:tcPr>
            <w:tcW w:type="dxa" w:w="1440"/>
            <w:shd w:fill="FAFAFA" w:val="clear"/>
          </w:tcPr>
          <w:p>
            <w:r>
              <w:rPr>
                <w:sz w:val="17"/>
              </w:rPr>
              <w:t>40,033</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36,459</w:t>
            </w:r>
          </w:p>
        </w:tc>
        <w:tc>
          <w:tcPr>
            <w:tcW w:type="dxa" w:w="1440"/>
            <w:shd w:fill="FAFAFA" w:val="clear"/>
          </w:tcPr>
          <w:p>
            <w:r>
              <w:rPr>
                <w:b/>
                <w:sz w:val="17"/>
              </w:rPr>
              <w:t>38,385</w:t>
            </w:r>
          </w:p>
        </w:tc>
        <w:tc>
          <w:tcPr>
            <w:tcW w:type="dxa" w:w="1440"/>
            <w:shd w:fill="FAFAFA" w:val="clear"/>
          </w:tcPr>
          <w:p>
            <w:r>
              <w:rPr>
                <w:sz w:val="17"/>
              </w:rPr>
              <w:t>40,311</w:t>
            </w:r>
          </w:p>
        </w:tc>
        <w:tc>
          <w:tcPr>
            <w:tcW w:type="dxa" w:w="1440"/>
            <w:shd w:fill="FAFAFA" w:val="clear"/>
          </w:tcPr>
          <w:p>
            <w:r>
              <w:rPr>
                <w:b/>
                <w:color w:val="C00000"/>
                <w:sz w:val="17"/>
              </w:rPr>
              <w:t>-1.6%</w:t>
            </w:r>
          </w:p>
        </w:tc>
      </w:tr>
      <w:tr>
        <w:tc>
          <w:tcPr>
            <w:tcW w:type="dxa" w:w="1440"/>
            <w:shd w:fill="FAFAFA" w:val="clear"/>
          </w:tcPr>
          <w:p>
            <w:r>
              <w:rPr>
                <w:sz w:val="17"/>
              </w:rPr>
              <w:t>J+4  Moyenne</w:t>
            </w:r>
          </w:p>
        </w:tc>
        <w:tc>
          <w:tcPr>
            <w:tcW w:type="dxa" w:w="1440"/>
            <w:shd w:fill="FAFAFA" w:val="clear"/>
          </w:tcPr>
          <w:p>
            <w:r>
              <w:rPr>
                <w:sz w:val="17"/>
              </w:rPr>
              <w:t>2026-10-06</w:t>
            </w:r>
          </w:p>
        </w:tc>
        <w:tc>
          <w:tcPr>
            <w:tcW w:type="dxa" w:w="1440"/>
            <w:shd w:fill="FAFAFA" w:val="clear"/>
          </w:tcPr>
          <w:p>
            <w:r>
              <w:rPr>
                <w:sz w:val="17"/>
              </w:rPr>
              <w:t>36,096</w:t>
            </w:r>
          </w:p>
        </w:tc>
        <w:tc>
          <w:tcPr>
            <w:tcW w:type="dxa" w:w="1440"/>
            <w:shd w:fill="FAFAFA" w:val="clear"/>
          </w:tcPr>
          <w:p>
            <w:r>
              <w:rPr>
                <w:b/>
                <w:sz w:val="17"/>
              </w:rPr>
              <w:t>38,316</w:t>
            </w:r>
          </w:p>
        </w:tc>
        <w:tc>
          <w:tcPr>
            <w:tcW w:type="dxa" w:w="1440"/>
            <w:shd w:fill="FAFAFA" w:val="clear"/>
          </w:tcPr>
          <w:p>
            <w:r>
              <w:rPr>
                <w:sz w:val="17"/>
              </w:rPr>
              <w:t>40,536</w:t>
            </w:r>
          </w:p>
        </w:tc>
        <w:tc>
          <w:tcPr>
            <w:tcW w:type="dxa" w:w="1440"/>
            <w:shd w:fill="FAFAFA" w:val="clear"/>
          </w:tcPr>
          <w:p>
            <w:r>
              <w:rPr>
                <w:b/>
                <w:color w:val="C00000"/>
                <w:sz w:val="17"/>
              </w:rPr>
              <w:t>-1.7%</w:t>
            </w:r>
          </w:p>
        </w:tc>
      </w:tr>
      <w:tr>
        <w:tc>
          <w:tcPr>
            <w:tcW w:type="dxa" w:w="1440"/>
            <w:shd w:fill="FAFAFA" w:val="clear"/>
          </w:tcPr>
          <w:p>
            <w:r>
              <w:rPr>
                <w:sz w:val="17"/>
              </w:rPr>
              <w:t>J+5  Moyenne</w:t>
            </w:r>
          </w:p>
        </w:tc>
        <w:tc>
          <w:tcPr>
            <w:tcW w:type="dxa" w:w="1440"/>
            <w:shd w:fill="FAFAFA" w:val="clear"/>
          </w:tcPr>
          <w:p>
            <w:r>
              <w:rPr>
                <w:sz w:val="17"/>
              </w:rPr>
              <w:t>2026-10-07</w:t>
            </w:r>
          </w:p>
        </w:tc>
        <w:tc>
          <w:tcPr>
            <w:tcW w:type="dxa" w:w="1440"/>
            <w:shd w:fill="FAFAFA" w:val="clear"/>
          </w:tcPr>
          <w:p>
            <w:r>
              <w:rPr>
                <w:sz w:val="17"/>
              </w:rPr>
              <w:t>35,774</w:t>
            </w:r>
          </w:p>
        </w:tc>
        <w:tc>
          <w:tcPr>
            <w:tcW w:type="dxa" w:w="1440"/>
            <w:shd w:fill="FAFAFA" w:val="clear"/>
          </w:tcPr>
          <w:p>
            <w:r>
              <w:rPr>
                <w:b/>
                <w:sz w:val="17"/>
              </w:rPr>
              <w:t>38,252</w:t>
            </w:r>
          </w:p>
        </w:tc>
        <w:tc>
          <w:tcPr>
            <w:tcW w:type="dxa" w:w="1440"/>
            <w:shd w:fill="FAFAFA" w:val="clear"/>
          </w:tcPr>
          <w:p>
            <w:r>
              <w:rPr>
                <w:sz w:val="17"/>
              </w:rPr>
              <w:t>40,729</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2026-10-08</w:t>
            </w:r>
          </w:p>
        </w:tc>
        <w:tc>
          <w:tcPr>
            <w:tcW w:type="dxa" w:w="1440"/>
            <w:shd w:fill="FFDCE0" w:val="clear"/>
          </w:tcPr>
          <w:p>
            <w:r>
              <w:rPr>
                <w:sz w:val="17"/>
              </w:rPr>
              <w:t>35,481</w:t>
            </w:r>
          </w:p>
        </w:tc>
        <w:tc>
          <w:tcPr>
            <w:tcW w:type="dxa" w:w="1440"/>
            <w:shd w:fill="FFDCE0" w:val="clear"/>
          </w:tcPr>
          <w:p>
            <w:r>
              <w:rPr>
                <w:b/>
                <w:sz w:val="17"/>
              </w:rPr>
              <w:t>38,191</w:t>
            </w:r>
          </w:p>
        </w:tc>
        <w:tc>
          <w:tcPr>
            <w:tcW w:type="dxa" w:w="1440"/>
            <w:shd w:fill="FFDCE0" w:val="clear"/>
          </w:tcPr>
          <w:p>
            <w:r>
              <w:rPr>
                <w:sz w:val="17"/>
              </w:rPr>
              <w:t>40,900</w:t>
            </w:r>
          </w:p>
        </w:tc>
        <w:tc>
          <w:tcPr>
            <w:tcW w:type="dxa" w:w="1440"/>
            <w:shd w:fill="FFDCE0" w:val="clear"/>
          </w:tcPr>
          <w:p>
            <w:r>
              <w:rPr>
                <w:b/>
                <w:color w:val="C00000"/>
                <w:sz w:val="17"/>
              </w:rPr>
              <w:t>-2.1%</w:t>
            </w:r>
          </w:p>
        </w:tc>
      </w:tr>
      <w:tr>
        <w:tc>
          <w:tcPr>
            <w:tcW w:type="dxa" w:w="1440"/>
            <w:shd w:fill="FFDCE0" w:val="clear"/>
          </w:tcPr>
          <w:p>
            <w:r>
              <w:rPr>
                <w:sz w:val="17"/>
              </w:rPr>
              <w:t>J+7  Moyenne</w:t>
            </w:r>
          </w:p>
        </w:tc>
        <w:tc>
          <w:tcPr>
            <w:tcW w:type="dxa" w:w="1440"/>
            <w:shd w:fill="FFDCE0" w:val="clear"/>
          </w:tcPr>
          <w:p>
            <w:r>
              <w:rPr>
                <w:sz w:val="17"/>
              </w:rPr>
              <w:t>2026-10-09</w:t>
            </w:r>
          </w:p>
        </w:tc>
        <w:tc>
          <w:tcPr>
            <w:tcW w:type="dxa" w:w="1440"/>
            <w:shd w:fill="FFDCE0" w:val="clear"/>
          </w:tcPr>
          <w:p>
            <w:r>
              <w:rPr>
                <w:sz w:val="17"/>
              </w:rPr>
              <w:t>35,209</w:t>
            </w:r>
          </w:p>
        </w:tc>
        <w:tc>
          <w:tcPr>
            <w:tcW w:type="dxa" w:w="1440"/>
            <w:shd w:fill="FFDCE0" w:val="clear"/>
          </w:tcPr>
          <w:p>
            <w:r>
              <w:rPr>
                <w:b/>
                <w:sz w:val="17"/>
              </w:rPr>
              <w:t>38,132</w:t>
            </w:r>
          </w:p>
        </w:tc>
        <w:tc>
          <w:tcPr>
            <w:tcW w:type="dxa" w:w="1440"/>
            <w:shd w:fill="FFDCE0" w:val="clear"/>
          </w:tcPr>
          <w:p>
            <w:r>
              <w:rPr>
                <w:sz w:val="17"/>
              </w:rPr>
              <w:t>41,054</w:t>
            </w:r>
          </w:p>
        </w:tc>
        <w:tc>
          <w:tcPr>
            <w:tcW w:type="dxa" w:w="1440"/>
            <w:shd w:fill="FFDCE0" w:val="clear"/>
          </w:tcPr>
          <w:p>
            <w:r>
              <w:rPr>
                <w:b/>
                <w:color w:val="C00000"/>
                <w:sz w:val="17"/>
              </w:rPr>
              <w:t>-2.2%</w:t>
            </w:r>
          </w:p>
        </w:tc>
      </w:tr>
      <w:tr>
        <w:tc>
          <w:tcPr>
            <w:tcW w:type="dxa" w:w="1440"/>
            <w:shd w:fill="FFDCE0" w:val="clear"/>
          </w:tcPr>
          <w:p>
            <w:r>
              <w:rPr>
                <w:sz w:val="17"/>
              </w:rPr>
              <w:t>J+8  Moyenne</w:t>
            </w:r>
          </w:p>
        </w:tc>
        <w:tc>
          <w:tcPr>
            <w:tcW w:type="dxa" w:w="1440"/>
            <w:shd w:fill="FFDCE0" w:val="clear"/>
          </w:tcPr>
          <w:p>
            <w:r>
              <w:rPr>
                <w:sz w:val="17"/>
              </w:rPr>
              <w:t>2026-10-12</w:t>
            </w:r>
          </w:p>
        </w:tc>
        <w:tc>
          <w:tcPr>
            <w:tcW w:type="dxa" w:w="1440"/>
            <w:shd w:fill="FFDCE0" w:val="clear"/>
          </w:tcPr>
          <w:p>
            <w:r>
              <w:rPr>
                <w:sz w:val="17"/>
              </w:rPr>
              <w:t>34,955</w:t>
            </w:r>
          </w:p>
        </w:tc>
        <w:tc>
          <w:tcPr>
            <w:tcW w:type="dxa" w:w="1440"/>
            <w:shd w:fill="FFDCE0" w:val="clear"/>
          </w:tcPr>
          <w:p>
            <w:r>
              <w:rPr>
                <w:b/>
                <w:sz w:val="17"/>
              </w:rPr>
              <w:t>38,074</w:t>
            </w:r>
          </w:p>
        </w:tc>
        <w:tc>
          <w:tcPr>
            <w:tcW w:type="dxa" w:w="1440"/>
            <w:shd w:fill="FFDCE0" w:val="clear"/>
          </w:tcPr>
          <w:p>
            <w:r>
              <w:rPr>
                <w:sz w:val="17"/>
              </w:rPr>
              <w:t>41,194</w:t>
            </w:r>
          </w:p>
        </w:tc>
        <w:tc>
          <w:tcPr>
            <w:tcW w:type="dxa" w:w="1440"/>
            <w:shd w:fill="FFDCE0" w:val="clear"/>
          </w:tcPr>
          <w:p>
            <w:r>
              <w:rPr>
                <w:b/>
                <w:color w:val="C00000"/>
                <w:sz w:val="17"/>
              </w:rPr>
              <w:t>-2.3%</w:t>
            </w:r>
          </w:p>
        </w:tc>
      </w:tr>
      <w:tr>
        <w:tc>
          <w:tcPr>
            <w:tcW w:type="dxa" w:w="1440"/>
            <w:shd w:fill="FFDCE0" w:val="clear"/>
          </w:tcPr>
          <w:p>
            <w:r>
              <w:rPr>
                <w:sz w:val="17"/>
              </w:rPr>
              <w:t>J+9  Moyenne</w:t>
            </w:r>
          </w:p>
        </w:tc>
        <w:tc>
          <w:tcPr>
            <w:tcW w:type="dxa" w:w="1440"/>
            <w:shd w:fill="FFDCE0" w:val="clear"/>
          </w:tcPr>
          <w:p>
            <w:r>
              <w:rPr>
                <w:sz w:val="17"/>
              </w:rPr>
              <w:t>2026-10-13</w:t>
            </w:r>
          </w:p>
        </w:tc>
        <w:tc>
          <w:tcPr>
            <w:tcW w:type="dxa" w:w="1440"/>
            <w:shd w:fill="FFDCE0" w:val="clear"/>
          </w:tcPr>
          <w:p>
            <w:r>
              <w:rPr>
                <w:sz w:val="17"/>
              </w:rPr>
              <w:t>34,715</w:t>
            </w:r>
          </w:p>
        </w:tc>
        <w:tc>
          <w:tcPr>
            <w:tcW w:type="dxa" w:w="1440"/>
            <w:shd w:fill="FFDCE0" w:val="clear"/>
          </w:tcPr>
          <w:p>
            <w:r>
              <w:rPr>
                <w:b/>
                <w:sz w:val="17"/>
              </w:rPr>
              <w:t>38,018</w:t>
            </w:r>
          </w:p>
        </w:tc>
        <w:tc>
          <w:tcPr>
            <w:tcW w:type="dxa" w:w="1440"/>
            <w:shd w:fill="FFDCE0" w:val="clear"/>
          </w:tcPr>
          <w:p>
            <w:r>
              <w:rPr>
                <w:sz w:val="17"/>
              </w:rPr>
              <w:t>41,322</w:t>
            </w:r>
          </w:p>
        </w:tc>
        <w:tc>
          <w:tcPr>
            <w:tcW w:type="dxa" w:w="1440"/>
            <w:shd w:fill="FFDCE0" w:val="clear"/>
          </w:tcPr>
          <w:p>
            <w:r>
              <w:rPr>
                <w:b/>
                <w:color w:val="C00000"/>
                <w:sz w:val="17"/>
              </w:rPr>
              <w:t>-2.5%</w:t>
            </w:r>
          </w:p>
        </w:tc>
      </w:tr>
      <w:tr>
        <w:tc>
          <w:tcPr>
            <w:tcW w:type="dxa" w:w="1440"/>
            <w:shd w:fill="FFDCE0" w:val="clear"/>
          </w:tcPr>
          <w:p>
            <w:r>
              <w:rPr>
                <w:sz w:val="17"/>
              </w:rPr>
              <w:t>J+10  Moyenne</w:t>
            </w:r>
          </w:p>
        </w:tc>
        <w:tc>
          <w:tcPr>
            <w:tcW w:type="dxa" w:w="1440"/>
            <w:shd w:fill="FFDCE0" w:val="clear"/>
          </w:tcPr>
          <w:p>
            <w:r>
              <w:rPr>
                <w:sz w:val="17"/>
              </w:rPr>
              <w:t>2026-10-14</w:t>
            </w:r>
          </w:p>
        </w:tc>
        <w:tc>
          <w:tcPr>
            <w:tcW w:type="dxa" w:w="1440"/>
            <w:shd w:fill="FFDCE0" w:val="clear"/>
          </w:tcPr>
          <w:p>
            <w:r>
              <w:rPr>
                <w:sz w:val="17"/>
              </w:rPr>
              <w:t>34,486</w:t>
            </w:r>
          </w:p>
        </w:tc>
        <w:tc>
          <w:tcPr>
            <w:tcW w:type="dxa" w:w="1440"/>
            <w:shd w:fill="FFDCE0" w:val="clear"/>
          </w:tcPr>
          <w:p>
            <w:r>
              <w:rPr>
                <w:b/>
                <w:sz w:val="17"/>
              </w:rPr>
              <w:t>37,964</w:t>
            </w:r>
          </w:p>
        </w:tc>
        <w:tc>
          <w:tcPr>
            <w:tcW w:type="dxa" w:w="1440"/>
            <w:shd w:fill="FFDCE0" w:val="clear"/>
          </w:tcPr>
          <w:p>
            <w:r>
              <w:rPr>
                <w:sz w:val="17"/>
              </w:rPr>
              <w:t>41,441</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1 213,02 milliards FCFA, SGBC figure parmi les valeurs les plus capitalisées de la BRVM, ce qui en fait un pilier de l'indice BRVM Composite et un titre de référence pour les investisseurs institutionnels de la zone UEMOA. Le BPA s'établit à 3 258 FCFA par action, ce qui signifie que chaque titre génère près de 3 258 FCFA de bénéfice net, un niveau élevé qui traduit la forte rentabilité de la banque. Le PER de 12,0x indique que les investisseurs paient 12 fois les bénéfices annuels, un niveau modéré mais légèrement supérieur à la moyenne du marché BRVM (8-12x), reflétant une prime de qualité justifiée par la solidité de l'émetteur. Le P/B de 2,45x montre que le marché valorise SGBC à 2,45 fois sa valeur comptable, une prime de croissance significative mais cohérente avec un ROE de 20,47%. En revanche, l'EV/EBITDA de 24,7x apparaît très exigeant (&gt;15x), signalant que la valeur d'entreprise intègre déjà une forte anticipation de croissance opérationnelle, ce qui limite la marge de sécurité pour un investisseur value.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performance remarquable de +15,36%, avec une dernière séance en légère hausse de +0,23%, confirmant une dynamique haussière soutenue. Le cours actuel de 38 990 FCFA se situe dans la partie haute du range de trading, le plus haut ayant atteint 39 300 FCFA et le plus bas 33 800 FCFA, soit un écart de 5 500 FCFA (16,3%) qui témoigne d'une volatilité modérée mais réelle. La tendance générale est clairement haussière, le titre ayant progressé de manière quasi continue depuis son point bas, porté par des fondamentaux solides et un intérêt croissant des investisseurs pour les valeurs bancaires de qualité. Les statistiques descriptives révèlent une moyenne de 38 098 FCFA légèrement inférieure à la médiane de 38 448 FCFA, avec un mode à 38 000 FCFA, ce qui suggère une distribution asymétrique avec davantage de journées de cotation au-dessus de la moyenne. L'écart-type de 1 161 FCFA et le coefficient de variation de 3,0% indiquent une dispersion faible du cours, caractéristique d'un titre liquide et stable. Le kurtosis de 2,398 (leptokurtique) signale des queues épaisses et un risque de pics de volatilité, tandis que le skewness de -1,628 (asymétrie négative) confirme que les journées de baisse sont moins fréquentes mais potentiellement plus marquées que les hausses. La volatilité annualisée de 21,7% positionne SGBC dans la catégorie des titres à volatilité modérée (15-30%), ce qui est rassurant pour un investisseur recherchant un compromis rendement/risque équilibré.</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38 595,5 FCFA et la MM50 à 38 457,2 FCFA, toutes deux inférieures au cours actuel de 38 990 FCFA, ce qui confirme une configuration haussière avec le prix au-dessus des deux moyennes. La MM20 étant légèrement supérieure à la MM50, on observe un croisement haussier (golden cross) qui valide la tendance positive. La décision technique est donc logiquement à l'**Achat**, le titre évoluant dans un canal ascendant bien établi.</w:t>
      </w:r>
    </w:p>
    <w:p>
      <w:pPr>
        <w:spacing w:after="120" w:line="276" w:lineRule="auto"/>
      </w:pPr>
      <w:r>
        <w:t>**Bandes de Bollinger :** La borne supérieure se situe à 39 357,3 FCFA et la borne inférieure à 37 833,7 FCFA, avec un cours actuel de 38 990 FCFA qui évolue dans la partie haute de la bande, sans toutefois la franchir. Cette position indique une pression acheteuse modérée mais pas de surachat extrême, la volatilité restant contenue (largeur de bande d'environ 1 524 FCFA). La décision est **Neutre**, le titre n'étant ni en zone de surachat ni en zone de survente, ce qui laisse présager une consolidation possible avant une nouvelle impulsion.</w:t>
      </w:r>
    </w:p>
    <w:p>
      <w:pPr>
        <w:spacing w:after="120" w:line="276" w:lineRule="auto"/>
      </w:pPr>
      <w:r>
        <w:t>**MACD :** La valeur du MACD (64,837) est nettement supérieure à son signal (15,417), générant un histogramme positif de près de 49 points, ce qui traduit un momentum haussier fort et croissant. Cette divergence positive entre le MACD et son signal confirme la vigueur de la tendance actuelle et la décision technique est à l'**Achat**. Le croisement haussier récent du MACD au-dessus de son signal renforce la probabilité de poursuite du mouvement ascendant à court terme.</w:t>
      </w:r>
    </w:p>
    <w:p>
      <w:pPr>
        <w:spacing w:after="120" w:line="276" w:lineRule="auto"/>
      </w:pPr>
      <w:r>
        <w:t>**RSI :** Le RSI s'établit à 50,676, soit exactement dans la zone neutre (30-70), ce qui indique un équilibre parfait entre acheteurs et vendeurs. Cette valeur médiane suggère que le titre n'est ni suracheté ni survendu, offrant ainsi un potentiel de hausse sans risque immédiat de correction technique. La décision est donc **Neutre**, le RSI ne fournissant pas de signal directionnel fort mais confirmant la stabilité du cours.</w:t>
      </w:r>
    </w:p>
    <w:p>
      <w:pPr>
        <w:spacing w:after="120" w:line="276" w:lineRule="auto"/>
      </w:pPr>
      <w:r>
        <w:t>**Stochastique :** Le %K (99,167) est très proche de son maximum (100) et nettement supérieur au %D (80,278), ce qui place le titre en zone de surachat extrême. Cette configuration signale que le cours a fortement progressé récemment et qu'une correction ou une consolidation est probable à court terme. La décision technique est à la **Vente**, le stochastique anticipant un retournement baissier imminent malgré la tendance haussière de fond.</w:t>
      </w:r>
    </w:p>
    <w:p>
      <w:pPr>
        <w:spacing w:after="120" w:line="276" w:lineRule="auto"/>
      </w:pPr>
      <w:r>
        <w:t>**Conclusion technique :** Les indicateurs techniques présentent une divergence notable : les moyennes mobiles et le MACD confirment une tendance haussière solide (Achat), tandis que le stochastique signale un surachat extrême (Vente) et que le RSI et les bandes de Bollinger restent neutres. Cette configuration suggère que le titre pourrait connaître une consolidation à court terme après sa forte progression, mais la tendance de fond reste positive. Un investisseur avisé attendrait un repli vers la MM20 (38 595 FCFA) ou la borne inférieure des Bollinger (37 833 FCFA) pour renforcer sa position à meilleur prix.</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SGBC affiche un Produit Net Bancaire (PNB) de 276 048 millions FCFA, en croissance de +4,88% par rapport à 2024, porté par la marge d'intérêt (intérêts et produits assimilés de 230 313 M FCFA) et les commissions (72 603 M FCFA). Le résultat net s'établit à 101 352 millions FCFA, en très légère hausse de +0,1%, marquant une quasi-stagnation après plusieurs années de croissance. La rentabilité reste excellente avec un ROE de 20,47% (bien supérieur au seuil de 15% considéré comme excellent) et un ROA de 2,69%, tandis que la marge nette de 36,72% demeure parmi les meilleures du secteur bancaire UEMOA. Le coefficient d'exploitation de 38,75% est remarquablement bas (&lt;60% = banque efficace, &lt;50% = excellente), témoignant d'une maîtrise rigoureuse des charges. Le total bilan atteint 3 769 milliards FCFA, avec des dépôts clientèle de 2 908 milliards FCFA et des créances clientèle de 2 546 milliards FCFA, soit un ratio prêts/dépôts de 87,6%, en amélioration. La structure financière reste solide avec des capitaux propres de 495 milliards FCFA et une autonomie financière de 13,14%, typique du modèle bancaire (levier élevé). Le coût du risque, bien que non détaillé dans les données structurées, est un point de vigilance mentionné dans les rapports.</w:t>
      </w:r>
    </w:p>
    <w:p>
      <w:pPr>
        <w:spacing w:after="120" w:line="276" w:lineRule="auto"/>
      </w:pPr>
      <w:r>
        <w:t>**Estimations basées sur les rapports trimestriels :** Le rapport T1 2026 (publié le 30 avril 2026) indique un PNB de 65 644 M FCFA (-1% vs T1 2025) et un résultat net de 23 976 M FCFA (-11%), affecté par la hausse des frais généraux (+9%) liée aux investissements (rénovation du siège, migration informatique). Le rapport S1 2026 (publié le 27 août 2026) montre une stabilisation avec un PNB de 134 059 M FCFA (+1,6%) et un résultat net de 53 350 M FCFA (+0,5%), le coefficient d'exploitation s'améliorant à 36,7%. Sur la base de ces tendances, on peut estimer que l'exercice 2026 devrait afficher un PNB en légère croissance (+2% à +3%) et un résultat net stable voire en très légère hausse, les investissements consentis devant porter leurs fruits en 2027. Le rapport annuel 2025 (publié le 17 avril 2026) confirme un dividende brut par action de 2 606 FCFA, soit un taux de distribution de 80% du résultat net, offrant un rendement attractif de 6,68% au cours actuel de 38 990 FCFA. Cette politique généreuse, couplée à la solidité bilancielle (ratio de solvabilité de 17,6% au S1 2026, bien au-dessus du minimum réglementaire de 12,5%), renforce l'attrait du titre pour les investisseurs recherchant du rendement.</w:t>
      </w:r>
    </w:p>
    <w:p>
      <w:pPr>
        <w:spacing w:after="120" w:line="276" w:lineRule="auto"/>
      </w:pPr>
      <w:r>
        <w:t>**Recommandation fondamentale :** SGBC demeure un titre de qualité, avec des fondamentaux solides (ROE &gt;20%, coefficient d'exploitation &lt;40%, dividende généreux), mais la stagnation du résultat net en 2025 et au S1 2026 limite le potentiel de revalorisation à court terme. Les risques identifiés incluent la hausse du coût du risque (+9,1% au S1 2026), la compression de la marge d'intérêt et la volatilité des revenus de marché. La recommandation fondamentale est **CONSERVER**, dans l'attente d'une reprise de la croissance bénéficiaire en 2027.</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équilibrée mais prudente à court terme. La valorisation (Partie 0) apparaît modérée avec un PER de 12,0x et un P/B de 2,45x, mais l'EV/EBITDA de 24,7x suggère une certaine cherté opérationnelle, limitant la marge de sécurité. Le comportement du cours (Partie 1) est haussier (+15,36% sur 100 jours) avec une volatilité modérée (21,7%), mais le skewness négatif (-1,628) et le kurtosis élevé (2,398) signalent un risque de pics baissiers. Les signaux techniques (Partie 2) sont divergents : les moyennes mobiles et le MACD confirment la tendance haussière, tandis que le stochastique en zone de surachat extrême (%K=99,17) anticipe une correction imminente. Les fondamentaux (Partie 3) restent solides (ROE de 20,47%, coefficient d'exploitation de 38,75%, dividende de 2 606 FCFA), mais la stagnation du résultat net en 2025 (+0,1%) et au S1 2026 (+0,5%) tempère l'optimisme. Les prédictions IA (J+1 à J+10) anticipent une légère baisse du cours vers 38 252 FCFA d'ici le 7 octobre 2026, ce qui confirme la probabilité d'une consolidation à court terme après la forte hausse récente. Sur la base de cette synthèse, la recommandation finale est **CONSERVER**, avec un niveau de confiance **Moyen** et un risque global **Moyen**. Le titre convient aux investisseurs recherchant un rendement attractif (6,68%) et une stabilité, mais les perspectives de plus-value à court terme sont limitées. L'horizon d'investissement optimal est le **moyen terme (3-12 mois)**, en attendant la confirmation d'une reprise de la croissance bénéficiaire en 2027 et une amélioration du coût du risque. Un passage à l'ACHAT serait justifié si le titre consolide vers 37 800-38 000 FCFA (borne inférieure des Bollinger) ou si les résultats du T3 2026 confirment une accélération du PNB et une maîtrise des charges. À l'inverse, une dégradation supplémentaire de la rentabilité ou une hausse du coût du risque au-delà de 10% constituerait un signal de VENTE.</w:t>
      </w:r>
    </w:p>
    <w:p>
      <w:pPr>
        <w:spacing w:after="120" w:line="276" w:lineRule="auto"/>
      </w:pPr>
      <w:r>
        <w:t>---</w:t>
      </w:r>
    </w:p>
    <w:p>
      <w:pPr>
        <w:spacing w:after="120" w:line="276" w:lineRule="auto"/>
      </w:pPr>
      <w:r>
        <w:t>*Rapport généré le 1er octobre 2026 — Données au 30 septembre 2026*</w:t>
        <w:br/>
        <w:t>*Sources : BRVM, états financiers SGBC 2025, rapports trimestriels T1 2026 et S1 2026, analyses fondamentales DeepSeek et Mistral*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148.68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4,974 titres</w:t>
            </w:r>
          </w:p>
        </w:tc>
        <w:tc>
          <w:tcPr>
            <w:tcW w:type="dxa" w:w="2268"/>
            <w:shd w:fill="FFF2CC" w:val="clear"/>
          </w:tcPr>
          <w:p>
            <w:r>
              <w:rPr>
                <w:b/>
                <w:color w:val="503200"/>
                <w:sz w:val="16"/>
              </w:rPr>
              <w:t xml:space="preserve">Cours actuel : </w:t>
            </w:r>
            <w:r>
              <w:rPr>
                <w:color w:val="000000"/>
                <w:sz w:val="17"/>
              </w:rPr>
              <w:t>2,360 FCFA</w:t>
            </w:r>
          </w:p>
          <w:p>
            <w:r>
              <w:rPr>
                <w:b/>
                <w:color w:val="503200"/>
                <w:sz w:val="16"/>
              </w:rPr>
              <w:t xml:space="preserve">Var. 100 jours : </w:t>
            </w:r>
            <w:r>
              <w:rPr>
                <w:b/>
                <w:color w:val="007800"/>
                <w:sz w:val="17"/>
              </w:rPr>
              <w:t>+24.54%</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1,895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10.43% (Moyenne) — μ=2,249 FCFA, σ=235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β=0.9560 (Neutre (suit le marché)) — Cov=0.000066, Var(idx)=0.000069, ρ=0.296,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2,226</w:t>
            </w:r>
          </w:p>
        </w:tc>
        <w:tc>
          <w:tcPr>
            <w:tcW w:type="dxa" w:w="1440"/>
            <w:shd w:fill="FAFAFA" w:val="clear"/>
          </w:tcPr>
          <w:p>
            <w:r>
              <w:rPr>
                <w:b/>
                <w:sz w:val="17"/>
              </w:rPr>
              <w:t>2,367</w:t>
            </w:r>
          </w:p>
        </w:tc>
        <w:tc>
          <w:tcPr>
            <w:tcW w:type="dxa" w:w="1440"/>
            <w:shd w:fill="FAFAFA" w:val="clear"/>
          </w:tcPr>
          <w:p>
            <w:r>
              <w:rPr>
                <w:sz w:val="17"/>
              </w:rPr>
              <w:t>2,507</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2,168</w:t>
            </w:r>
          </w:p>
        </w:tc>
        <w:tc>
          <w:tcPr>
            <w:tcW w:type="dxa" w:w="1440"/>
            <w:shd w:fill="FAFAFA" w:val="clear"/>
          </w:tcPr>
          <w:p>
            <w:r>
              <w:rPr>
                <w:b/>
                <w:sz w:val="17"/>
              </w:rPr>
              <w:t>2,366</w:t>
            </w:r>
          </w:p>
        </w:tc>
        <w:tc>
          <w:tcPr>
            <w:tcW w:type="dxa" w:w="1440"/>
            <w:shd w:fill="FAFAFA" w:val="clear"/>
          </w:tcPr>
          <w:p>
            <w:r>
              <w:rPr>
                <w:sz w:val="17"/>
              </w:rPr>
              <w:t>2,565</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2,122</w:t>
            </w:r>
          </w:p>
        </w:tc>
        <w:tc>
          <w:tcPr>
            <w:tcW w:type="dxa" w:w="1440"/>
            <w:shd w:fill="FAFAFA" w:val="clear"/>
          </w:tcPr>
          <w:p>
            <w:r>
              <w:rPr>
                <w:b/>
                <w:sz w:val="17"/>
              </w:rPr>
              <w:t>2,365</w:t>
            </w:r>
          </w:p>
        </w:tc>
        <w:tc>
          <w:tcPr>
            <w:tcW w:type="dxa" w:w="1440"/>
            <w:shd w:fill="FAFAFA" w:val="clear"/>
          </w:tcPr>
          <w:p>
            <w:r>
              <w:rPr>
                <w:sz w:val="17"/>
              </w:rPr>
              <w:t>2,608</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2,083</w:t>
            </w:r>
          </w:p>
        </w:tc>
        <w:tc>
          <w:tcPr>
            <w:tcW w:type="dxa" w:w="1440"/>
            <w:shd w:fill="FAFAFA" w:val="clear"/>
          </w:tcPr>
          <w:p>
            <w:r>
              <w:rPr>
                <w:b/>
                <w:sz w:val="17"/>
              </w:rPr>
              <w:t>2,363</w:t>
            </w:r>
          </w:p>
        </w:tc>
        <w:tc>
          <w:tcPr>
            <w:tcW w:type="dxa" w:w="1440"/>
            <w:shd w:fill="FAFAFA" w:val="clear"/>
          </w:tcPr>
          <w:p>
            <w:r>
              <w:rPr>
                <w:sz w:val="17"/>
              </w:rPr>
              <w:t>2,644</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2,047</w:t>
            </w:r>
          </w:p>
        </w:tc>
        <w:tc>
          <w:tcPr>
            <w:tcW w:type="dxa" w:w="1440"/>
            <w:shd w:fill="FAFAFA" w:val="clear"/>
          </w:tcPr>
          <w:p>
            <w:r>
              <w:rPr>
                <w:b/>
                <w:sz w:val="17"/>
              </w:rPr>
              <w:t>2,360</w:t>
            </w:r>
          </w:p>
        </w:tc>
        <w:tc>
          <w:tcPr>
            <w:tcW w:type="dxa" w:w="1440"/>
            <w:shd w:fill="FAFAFA" w:val="clear"/>
          </w:tcPr>
          <w:p>
            <w:r>
              <w:rPr>
                <w:sz w:val="17"/>
              </w:rPr>
              <w:t>2,674</w:t>
            </w:r>
          </w:p>
        </w:tc>
        <w:tc>
          <w:tcPr>
            <w:tcW w:type="dxa" w:w="1440"/>
            <w:shd w:fill="FAFAFA" w:val="clear"/>
          </w:tcPr>
          <w:p>
            <w:r>
              <w:rPr>
                <w:b/>
                <w:color w:val="008000"/>
                <w:sz w:val="17"/>
              </w:rPr>
              <w:t>+0.0%</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2,014</w:t>
            </w:r>
          </w:p>
        </w:tc>
        <w:tc>
          <w:tcPr>
            <w:tcW w:type="dxa" w:w="1440"/>
            <w:shd w:fill="FAFAFA" w:val="clear"/>
          </w:tcPr>
          <w:p>
            <w:r>
              <w:rPr>
                <w:b/>
                <w:sz w:val="17"/>
              </w:rPr>
              <w:t>2,357</w:t>
            </w:r>
          </w:p>
        </w:tc>
        <w:tc>
          <w:tcPr>
            <w:tcW w:type="dxa" w:w="1440"/>
            <w:shd w:fill="FAFAFA" w:val="clear"/>
          </w:tcPr>
          <w:p>
            <w:r>
              <w:rPr>
                <w:sz w:val="17"/>
              </w:rPr>
              <w:t>2,700</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1,984</w:t>
            </w:r>
          </w:p>
        </w:tc>
        <w:tc>
          <w:tcPr>
            <w:tcW w:type="dxa" w:w="1440"/>
            <w:shd w:fill="FAFAFA" w:val="clear"/>
          </w:tcPr>
          <w:p>
            <w:r>
              <w:rPr>
                <w:b/>
                <w:sz w:val="17"/>
              </w:rPr>
              <w:t>2,353</w:t>
            </w:r>
          </w:p>
        </w:tc>
        <w:tc>
          <w:tcPr>
            <w:tcW w:type="dxa" w:w="1440"/>
            <w:shd w:fill="FAFAFA" w:val="clear"/>
          </w:tcPr>
          <w:p>
            <w:r>
              <w:rPr>
                <w:sz w:val="17"/>
              </w:rPr>
              <w:t>2,723</w:t>
            </w:r>
          </w:p>
        </w:tc>
        <w:tc>
          <w:tcPr>
            <w:tcW w:type="dxa" w:w="1440"/>
            <w:shd w:fill="FAFAFA" w:val="clear"/>
          </w:tcPr>
          <w:p>
            <w:r>
              <w:rPr>
                <w:b/>
                <w:color w:val="C00000"/>
                <w:sz w:val="17"/>
              </w:rPr>
              <w:t>-0.3%</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1,955</w:t>
            </w:r>
          </w:p>
        </w:tc>
        <w:tc>
          <w:tcPr>
            <w:tcW w:type="dxa" w:w="1440"/>
            <w:shd w:fill="FAFAFA" w:val="clear"/>
          </w:tcPr>
          <w:p>
            <w:r>
              <w:rPr>
                <w:b/>
                <w:sz w:val="17"/>
              </w:rPr>
              <w:t>2,349</w:t>
            </w:r>
          </w:p>
        </w:tc>
        <w:tc>
          <w:tcPr>
            <w:tcW w:type="dxa" w:w="1440"/>
            <w:shd w:fill="FAFAFA" w:val="clear"/>
          </w:tcPr>
          <w:p>
            <w:r>
              <w:rPr>
                <w:sz w:val="17"/>
              </w:rPr>
              <w:t>2,744</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1,928</w:t>
            </w:r>
          </w:p>
        </w:tc>
        <w:tc>
          <w:tcPr>
            <w:tcW w:type="dxa" w:w="1440"/>
            <w:shd w:fill="FAFAFA" w:val="clear"/>
          </w:tcPr>
          <w:p>
            <w:r>
              <w:rPr>
                <w:b/>
                <w:sz w:val="17"/>
              </w:rPr>
              <w:t>2,346</w:t>
            </w:r>
          </w:p>
        </w:tc>
        <w:tc>
          <w:tcPr>
            <w:tcW w:type="dxa" w:w="1440"/>
            <w:shd w:fill="FAFAFA" w:val="clear"/>
          </w:tcPr>
          <w:p>
            <w:r>
              <w:rPr>
                <w:sz w:val="17"/>
              </w:rPr>
              <w:t>2,763</w:t>
            </w:r>
          </w:p>
        </w:tc>
        <w:tc>
          <w:tcPr>
            <w:tcW w:type="dxa" w:w="1440"/>
            <w:shd w:fill="FAFAFA" w:val="clear"/>
          </w:tcPr>
          <w:p>
            <w:r>
              <w:rPr>
                <w:b/>
                <w:color w:val="C00000"/>
                <w:sz w:val="17"/>
              </w:rPr>
              <w:t>-0.6%</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1,902</w:t>
            </w:r>
          </w:p>
        </w:tc>
        <w:tc>
          <w:tcPr>
            <w:tcW w:type="dxa" w:w="1440"/>
            <w:shd w:fill="FAFAFA" w:val="clear"/>
          </w:tcPr>
          <w:p>
            <w:r>
              <w:rPr>
                <w:b/>
                <w:sz w:val="17"/>
              </w:rPr>
              <w:t>2,342</w:t>
            </w:r>
          </w:p>
        </w:tc>
        <w:tc>
          <w:tcPr>
            <w:tcW w:type="dxa" w:w="1440"/>
            <w:shd w:fill="FAFAFA" w:val="clear"/>
          </w:tcPr>
          <w:p>
            <w:r>
              <w:rPr>
                <w:sz w:val="17"/>
              </w:rPr>
              <w:t>2,782</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148,68 milliards FCFA, SHEC figure parmi les valeurs de taille intermédiaire à supérieure du compartiment industriel de la BRVM, ce qui lui confère une certaine liquidité relative sur le marché régional. Le BPA de 96 FCFA/action signifie que chaque titre génère près de 96 FCFA de bénéfice net, un niveau modeste qui traduit la faible marge nette (1 %) caractéristique du secteur pétrolier aval. Le PER de 24,7x est nettement supérieur à la moyenne BRVM (~8-12x), signalant que les investisseurs paient une prime de croissance ou de qualité — potentiellement excessive au regard de la croissance atone du CA (+0,71 %). Le P/B de 5,47x (très au-dessus de 4x) confirme cette valorisation exigeante : le marché valorise SHEC à plus de cinq fois sa valeur comptable, ce qui suppose une forte confiance dans la pérennité des cash-flows. Enfin, l'EV/EBITDA de 13,2x (fourchette 10-15x) indique que la valeur d'entreprise intègre une prime opérationnelle significative, cohérente avec la position de leader de Vivo Energy dans la distribution pétrolière ivoirienne, mais qui laisse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SHEC affiche une performance remarquable de +24,54 %, bien que la dernière séance (J-1) enregistre un repli de -1,26 %, signe d'une prise de bénéfices après le rallye. Le cours actuel de 2 360 FCFA se situe dans la partie médiane-haute du range de trading, le plus haut ayant atteint 2 980 FCFA et le plus bas 1 895 FCFA — soit une amplitude de 57 %, témoignant d'une forte volatilité directionnelle. La tendance générale reste haussière sur la période, portée par l'amélioration des résultats 2025 et la perspective d'un dividende en hausse. Les statistiques descriptives révèlent une moyenne de 2 249 FCFA légèrement supérieure à la médiane (2 200 FCFA) et au mode (2 200 FCFA), confirmant une asymétrie positive (skewness = 0,957) : davantage de séances se sont déroulées sous la moyenne, mais quelques pics haussiers ont tiré la moyenne vers le haut. L'écart-type de 236 FCFA (CV = 10,5 %) indique une dispersion modérée autour de la tendance, tandis que le kurtosis de 1,029 (leptokurtique) signale des queues épaisses, donc un risque accru de mouvements brusques et de pics de volatilité. La volatilité annualisée de 42,2 % classe SHEC dans la catégorie des titres à volatilité élevée (&gt;30 %), ce qui implique un risque de marché supérieur à la moyenne BRVM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(2 580,75 FCFA) et la MM50 (2 417,80 FCFA) se situent toutes deux au-dessus du cours actuel (2 360 FCFA), ce qui place le titre en position de faiblesse relative à court et moyen terme. Toutefois, la MM20 reste supérieure à la MM50, conservant une configuration haussière de fond. La décision technique affichée est "Achat", probablement justifiée par le potentiel de rebond vers ces moyennes, mais la pression baissière immédiate invite à la prudence.</w:t>
      </w:r>
    </w:p>
    <w:p>
      <w:pPr>
        <w:spacing w:after="120" w:line="276" w:lineRule="auto"/>
      </w:pPr>
      <w:r>
        <w:t>**Bandes de Bollinger** : Le cours (2 360 FCFA) évolue dans la partie inférieure de la bande, entre la borne inférieure (2 158,44 FCFA) et la borne supérieure (3 003,07 FCFA), sans atteindre les extrêmes. Cette position médiane-basse traduit une volatilité contenue et une absence de signal directionnel fort. La décision "Neutre" reflète l'équilibre actuel entre acheteurs et vendeurs, avec un potentiel de retour vers la moyenne (2 580 FCFA) si la dynamique haussière reprend.</w:t>
      </w:r>
    </w:p>
    <w:p>
      <w:pPr>
        <w:spacing w:after="120" w:line="276" w:lineRule="auto"/>
      </w:pPr>
      <w:r>
        <w:t>**MACD** : La valeur du MACD (-2,043) est nettement inférieure à son signal (53,06), générant une divergence baissière marquée. Cet écart important indique un momentum négatif persistant, avec un risque de poursuite de la correction à court terme. La décision "Vente" confirme cette pression baissière, bien que l'ampleur de l'écart suggère une possible exhaustion prochaine.</w:t>
      </w:r>
    </w:p>
    <w:p>
      <w:pPr>
        <w:spacing w:after="120" w:line="276" w:lineRule="auto"/>
      </w:pPr>
      <w:r>
        <w:t>**RSI** : À 45,43, le RSI se situe en zone neutre (30-70), sans signal de surachat ni de survente. Cette position médiane indique un équilibre relatif, mais légèrement orienté à la baisse (sous 50), ce qui est cohérent avec le repli récent. La décision "Neutre" invite à attendre une clarification directionnelle.</w:t>
      </w:r>
    </w:p>
    <w:p>
      <w:pPr>
        <w:spacing w:after="120" w:line="276" w:lineRule="auto"/>
      </w:pPr>
      <w:r>
        <w:t>**Stochastique** : Les valeurs %K et %D sont toutes deux à 0,0, ce qui place l'indicateur en zone de survente extrême. Cette configuration est généralement interprétée comme un signal d'achat potentiel (rebond technique imminent), ce que confirme la décision "Achat". Toutefois, un stochastique à zéro peut aussi signaler une tendance baissière forte et durable, nécessitant une confirmation par d'autres indicateurs.</w:t>
      </w:r>
    </w:p>
    <w:p>
      <w:pPr>
        <w:spacing w:after="120" w:line="276" w:lineRule="auto"/>
      </w:pPr>
      <w:r>
        <w:t>**Conclusion technique** : Les indicateurs techniques présentent une divergence notable : les moyennes mobiles et le MACD suggèrent une pression baissière à court terme, tandis que le stochastique (survente extrême) et la position du cours dans les bandes de Bollinger plaident pour un rebond technique. Le RSI neutre et la décision "Achat" des MM20/MM50 ajoutent une note d'incertitude. Dans l'ensemble, le titre se trouve à un point d'inflexion : soit un rebond vers 2 500-2 580 FCFA (MM20), soit une poursuite de la correction vers 2 158 FCFA (borne inférieure de Bollinger). La prudence est de mise, avec une préférence pour une confirmation avant toute décision.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604,978 milliards FCFA, en très légère hausse de +0,71 % par rapport à 2024 (600,708 milliards FCFA), traduisant une stagnation de l'activité commerciale malgré une progression des volumes de 5 % (portée par le butane et les lubrifiants). Le résultat net s'établit à 6,028 milliards FCFA, en progression de +12,6 % (contre 5,354 milliards en 2024), grâce à une amélioration de la marge opérationnelle et une réduction des charges financières (-17,7 %). Le ROE de 22,20 % est excellent (&gt;15 %), témoignant d'une création de valeur efficace pour les actionnaires, tandis que le ROA de 3,11 % reste faible, reflétant la structure d'actifs lourde et la faible marge nette (1,00 %). En tant qu'entreprise de distribution pétrolière, SHEC affiche un BFR de 15,315 milliards FCFA (positif, donc défavorable) et un fonds de roulement négatif (-49,850 milliards FCFA), signe de tensions de trésorerie. Les délais clients (23,27 jours) et fournisseurs (35,47 jours) sont relativement équilibrés, mais la trésorerie nette est fortement négative (-65,264 milliards FCFA), exposant la société à un risque de liquidité. Le ratio d'endettement de 43,95 % et l'autonomie financière de 14,03 % (bien en dessous du seuil de 30 %) indiquent une dépendance élevée aux concours bancaires. Les rapports trimestriels récents (T1 2026, S1 2026) confirment cette dynamique : au S1 2026 (rapport du 30 juin 2026), le CA recule de -1 % à 305,038 milliards FCFA, mais le résultat d'exploitation progresse de +17 % à 6,133 milliards FCFA, grâce au butane. Le résultat net du S1 2026 s'établit à 3,016 milliards FCFA, avec une marge nette de 0,99 %. On estime donc que l'exercice 2026 devrait afficher une stabilité du résultat net autour de 6,0-6,2 milliards FCFA, avec un CA légèrement en baisse (-1 % à -2 %), mais une rentabilité opérationnelle soutenue par la maîtrise des charges. La recommandation fondamentale est de **CONSERVER** : la société est solide et bénéficiaire, mais les risques de liquidité et la valorisation exigeante limitent le potentiel de hausse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contrastée. **Valorisation (Partie 0)** : les ratios PER (24,7x), P/B (5,47x) et EV/EBITDA (13,2x) indiquent une surévaluation manifeste par rapport aux moyennes du marché BRVM, ce qui limite le potentiel de réévaluation à court terme. **Comportement du cours (Partie 1)** : la tendance haussière (+24,54 % sur 100 jours) est impressionnante, mais la volatilité élevée (42,2 %), le kurtosis leptokurtique (1,029) et l'asymétrie positive (0,957) suggèrent un risque de correction brutale, d'autant que le repli de J-1 (-1,26 %) pourrait marquer le début d'une consolidation. **Signaux techniques (Partie 2)** : la divergence entre les indicateurs (MACD baissier, stochastique en survente, RSI neutre) crée une incertitude directionnelle, avec un léger avantage aux vendeurs à court terme. **Fondamentaux (Partie 3)** : la société affiche une rentabilité en amélioration (ROE 22,2 %, résultat net +12,6 % en 2025) et un dividende attractif (1 933 FCFA/action estimé, soit un rendement de ~8,2 % au cours actuel), mais la trésorerie nette négative (-65,26 milliards FCFA) et l'endettement élevé constituent des risques majeurs. **Prédictions IA (J+1 à J+10)** : la trajectoire projetée (2 367 → 2 360 FCFA) est stable, voire légèrement baissière, ce qui contredit les signaux d'achat techniques (stochastique) mais confirme la pression baissière du MACD et la surévaluation fondamentale. **Recommandation finale : CONSERVER**. Cette recommandation est justifiée par la convergence entre une valorisation exigeante, des signaux techniques mitigés, des fondamentaux solides mais risqués (liquidité), et des prédictions IA stables. Le niveau de confiance est **Moyen** (incertitude sur la direction à court terme), le risque global est **Élevé** (volatilité, endettement, liquidité), et l'horizon d'investissement optimal est **moyen terme (3-12 mois)**, en attendant la publication des comptes définitifs 2025 et une clarification de la politique de dividende. Un renforcement pourrait être envisagé si le cours revient vers 2 158 FCFA (borne inférieure de Bollinger) avec confirmation d'un rebond technique et d'une amélioration de la trésorerie.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916.00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10,959 titres</w:t>
            </w:r>
          </w:p>
        </w:tc>
        <w:tc>
          <w:tcPr>
            <w:tcW w:type="dxa" w:w="2268"/>
            <w:shd w:fill="FFF2CC" w:val="clear"/>
          </w:tcPr>
          <w:p>
            <w:r>
              <w:rPr>
                <w:b/>
                <w:color w:val="503200"/>
                <w:sz w:val="16"/>
              </w:rPr>
              <w:t xml:space="preserve">Cours actuel : </w:t>
            </w:r>
            <w:r>
              <w:rPr>
                <w:color w:val="000000"/>
                <w:sz w:val="17"/>
              </w:rPr>
              <w:t>9,160 FCFA</w:t>
            </w:r>
          </w:p>
          <w:p>
            <w:r>
              <w:rPr>
                <w:b/>
                <w:color w:val="503200"/>
                <w:sz w:val="16"/>
              </w:rPr>
              <w:t xml:space="preserve">Var. 100 jours : </w:t>
            </w:r>
            <w:r>
              <w:rPr>
                <w:b/>
                <w:color w:val="007800"/>
                <w:sz w:val="17"/>
              </w:rPr>
              <w:t>+28.11%</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7,095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μ=8,796 FCFA, σ=550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β=0.7937 (Défensif) — Cov=0.000055, Var(idx)=0.000069, ρ=0.335,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10,959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8,798</w:t>
            </w:r>
          </w:p>
        </w:tc>
        <w:tc>
          <w:tcPr>
            <w:tcW w:type="dxa" w:w="1440"/>
            <w:shd w:fill="FAFAFA" w:val="clear"/>
          </w:tcPr>
          <w:p>
            <w:r>
              <w:rPr>
                <w:b/>
                <w:sz w:val="17"/>
              </w:rPr>
              <w:t>9,073</w:t>
            </w:r>
          </w:p>
        </w:tc>
        <w:tc>
          <w:tcPr>
            <w:tcW w:type="dxa" w:w="1440"/>
            <w:shd w:fill="FAFAFA" w:val="clear"/>
          </w:tcPr>
          <w:p>
            <w:r>
              <w:rPr>
                <w:sz w:val="17"/>
              </w:rPr>
              <w:t>9,349</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8,603</w:t>
            </w:r>
          </w:p>
        </w:tc>
        <w:tc>
          <w:tcPr>
            <w:tcW w:type="dxa" w:w="1440"/>
            <w:shd w:fill="FAFAFA" w:val="clear"/>
          </w:tcPr>
          <w:p>
            <w:r>
              <w:rPr>
                <w:b/>
                <w:sz w:val="17"/>
              </w:rPr>
              <w:t>8,990</w:t>
            </w:r>
          </w:p>
        </w:tc>
        <w:tc>
          <w:tcPr>
            <w:tcW w:type="dxa" w:w="1440"/>
            <w:shd w:fill="FAFAFA" w:val="clear"/>
          </w:tcPr>
          <w:p>
            <w:r>
              <w:rPr>
                <w:sz w:val="17"/>
              </w:rPr>
              <w:t>9,376</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2026-10-05</w:t>
            </w:r>
          </w:p>
        </w:tc>
        <w:tc>
          <w:tcPr>
            <w:tcW w:type="dxa" w:w="1440"/>
            <w:shd w:fill="FFDCE0" w:val="clear"/>
          </w:tcPr>
          <w:p>
            <w:r>
              <w:rPr>
                <w:sz w:val="17"/>
              </w:rPr>
              <w:t>8,442</w:t>
            </w:r>
          </w:p>
        </w:tc>
        <w:tc>
          <w:tcPr>
            <w:tcW w:type="dxa" w:w="1440"/>
            <w:shd w:fill="FFDCE0" w:val="clear"/>
          </w:tcPr>
          <w:p>
            <w:r>
              <w:rPr>
                <w:b/>
                <w:sz w:val="17"/>
              </w:rPr>
              <w:t>8,911</w:t>
            </w:r>
          </w:p>
        </w:tc>
        <w:tc>
          <w:tcPr>
            <w:tcW w:type="dxa" w:w="1440"/>
            <w:shd w:fill="FFDCE0" w:val="clear"/>
          </w:tcPr>
          <w:p>
            <w:r>
              <w:rPr>
                <w:sz w:val="17"/>
              </w:rPr>
              <w:t>9,381</w:t>
            </w:r>
          </w:p>
        </w:tc>
        <w:tc>
          <w:tcPr>
            <w:tcW w:type="dxa" w:w="1440"/>
            <w:shd w:fill="FFDCE0" w:val="clear"/>
          </w:tcPr>
          <w:p>
            <w:r>
              <w:rPr>
                <w:b/>
                <w:color w:val="C00000"/>
                <w:sz w:val="17"/>
              </w:rPr>
              <w:t>-2.7%</w:t>
            </w:r>
          </w:p>
        </w:tc>
      </w:tr>
      <w:tr>
        <w:tc>
          <w:tcPr>
            <w:tcW w:type="dxa" w:w="1440"/>
            <w:shd w:fill="FFDCE0" w:val="clear"/>
          </w:tcPr>
          <w:p>
            <w:r>
              <w:rPr>
                <w:sz w:val="17"/>
              </w:rPr>
              <w:t>J+4  Moyenne</w:t>
            </w:r>
          </w:p>
        </w:tc>
        <w:tc>
          <w:tcPr>
            <w:tcW w:type="dxa" w:w="1440"/>
            <w:shd w:fill="FFDCE0" w:val="clear"/>
          </w:tcPr>
          <w:p>
            <w:r>
              <w:rPr>
                <w:sz w:val="17"/>
              </w:rPr>
              <w:t>2026-10-06</w:t>
            </w:r>
          </w:p>
        </w:tc>
        <w:tc>
          <w:tcPr>
            <w:tcW w:type="dxa" w:w="1440"/>
            <w:shd w:fill="FFDCE0" w:val="clear"/>
          </w:tcPr>
          <w:p>
            <w:r>
              <w:rPr>
                <w:sz w:val="17"/>
              </w:rPr>
              <w:t>8,304</w:t>
            </w:r>
          </w:p>
        </w:tc>
        <w:tc>
          <w:tcPr>
            <w:tcW w:type="dxa" w:w="1440"/>
            <w:shd w:fill="FFDCE0" w:val="clear"/>
          </w:tcPr>
          <w:p>
            <w:r>
              <w:rPr>
                <w:b/>
                <w:sz w:val="17"/>
              </w:rPr>
              <w:t>8,842</w:t>
            </w:r>
          </w:p>
        </w:tc>
        <w:tc>
          <w:tcPr>
            <w:tcW w:type="dxa" w:w="1440"/>
            <w:shd w:fill="FFDCE0" w:val="clear"/>
          </w:tcPr>
          <w:p>
            <w:r>
              <w:rPr>
                <w:sz w:val="17"/>
              </w:rPr>
              <w:t>9,379</w:t>
            </w:r>
          </w:p>
        </w:tc>
        <w:tc>
          <w:tcPr>
            <w:tcW w:type="dxa" w:w="1440"/>
            <w:shd w:fill="FFDCE0" w:val="clear"/>
          </w:tcPr>
          <w:p>
            <w:r>
              <w:rPr>
                <w:b/>
                <w:color w:val="C00000"/>
                <w:sz w:val="17"/>
              </w:rPr>
              <w:t>-3.5%</w:t>
            </w:r>
          </w:p>
        </w:tc>
      </w:tr>
      <w:tr>
        <w:tc>
          <w:tcPr>
            <w:tcW w:type="dxa" w:w="1440"/>
            <w:shd w:fill="FFDCE0" w:val="clear"/>
          </w:tcPr>
          <w:p>
            <w:r>
              <w:rPr>
                <w:sz w:val="17"/>
              </w:rPr>
              <w:t>J+5  Moyenne</w:t>
            </w:r>
          </w:p>
        </w:tc>
        <w:tc>
          <w:tcPr>
            <w:tcW w:type="dxa" w:w="1440"/>
            <w:shd w:fill="FFDCE0" w:val="clear"/>
          </w:tcPr>
          <w:p>
            <w:r>
              <w:rPr>
                <w:sz w:val="17"/>
              </w:rPr>
              <w:t>2026-10-07</w:t>
            </w:r>
          </w:p>
        </w:tc>
        <w:tc>
          <w:tcPr>
            <w:tcW w:type="dxa" w:w="1440"/>
            <w:shd w:fill="FFDCE0" w:val="clear"/>
          </w:tcPr>
          <w:p>
            <w:r>
              <w:rPr>
                <w:sz w:val="17"/>
              </w:rPr>
              <w:t>8,183</w:t>
            </w:r>
          </w:p>
        </w:tc>
        <w:tc>
          <w:tcPr>
            <w:tcW w:type="dxa" w:w="1440"/>
            <w:shd w:fill="FFDCE0" w:val="clear"/>
          </w:tcPr>
          <w:p>
            <w:r>
              <w:rPr>
                <w:b/>
                <w:sz w:val="17"/>
              </w:rPr>
              <w:t>8,780</w:t>
            </w:r>
          </w:p>
        </w:tc>
        <w:tc>
          <w:tcPr>
            <w:tcW w:type="dxa" w:w="1440"/>
            <w:shd w:fill="FFDCE0" w:val="clear"/>
          </w:tcPr>
          <w:p>
            <w:r>
              <w:rPr>
                <w:sz w:val="17"/>
              </w:rPr>
              <w:t>9,377</w:t>
            </w:r>
          </w:p>
        </w:tc>
        <w:tc>
          <w:tcPr>
            <w:tcW w:type="dxa" w:w="1440"/>
            <w:shd w:fill="FFDCE0" w:val="clear"/>
          </w:tcPr>
          <w:p>
            <w:r>
              <w:rPr>
                <w:b/>
                <w:color w:val="C00000"/>
                <w:sz w:val="17"/>
              </w:rPr>
              <w:t>-4.1%</w:t>
            </w:r>
          </w:p>
        </w:tc>
      </w:tr>
      <w:tr>
        <w:tc>
          <w:tcPr>
            <w:tcW w:type="dxa" w:w="1440"/>
            <w:shd w:fill="FFDCE0" w:val="clear"/>
          </w:tcPr>
          <w:p>
            <w:r>
              <w:rPr>
                <w:sz w:val="17"/>
              </w:rPr>
              <w:t>J+6  Moyenne</w:t>
            </w:r>
          </w:p>
        </w:tc>
        <w:tc>
          <w:tcPr>
            <w:tcW w:type="dxa" w:w="1440"/>
            <w:shd w:fill="FFDCE0" w:val="clear"/>
          </w:tcPr>
          <w:p>
            <w:r>
              <w:rPr>
                <w:sz w:val="17"/>
              </w:rPr>
              <w:t>2026-10-08</w:t>
            </w:r>
          </w:p>
        </w:tc>
        <w:tc>
          <w:tcPr>
            <w:tcW w:type="dxa" w:w="1440"/>
            <w:shd w:fill="FFDCE0" w:val="clear"/>
          </w:tcPr>
          <w:p>
            <w:r>
              <w:rPr>
                <w:sz w:val="17"/>
              </w:rPr>
              <w:t>8,075</w:t>
            </w:r>
          </w:p>
        </w:tc>
        <w:tc>
          <w:tcPr>
            <w:tcW w:type="dxa" w:w="1440"/>
            <w:shd w:fill="FFDCE0" w:val="clear"/>
          </w:tcPr>
          <w:p>
            <w:r>
              <w:rPr>
                <w:b/>
                <w:sz w:val="17"/>
              </w:rPr>
              <w:t>8,724</w:t>
            </w:r>
          </w:p>
        </w:tc>
        <w:tc>
          <w:tcPr>
            <w:tcW w:type="dxa" w:w="1440"/>
            <w:shd w:fill="FFDCE0" w:val="clear"/>
          </w:tcPr>
          <w:p>
            <w:r>
              <w:rPr>
                <w:sz w:val="17"/>
              </w:rPr>
              <w:t>9,374</w:t>
            </w:r>
          </w:p>
        </w:tc>
        <w:tc>
          <w:tcPr>
            <w:tcW w:type="dxa" w:w="1440"/>
            <w:shd w:fill="FFDCE0" w:val="clear"/>
          </w:tcPr>
          <w:p>
            <w:r>
              <w:rPr>
                <w:b/>
                <w:color w:val="C00000"/>
                <w:sz w:val="17"/>
              </w:rPr>
              <w:t>-4.8%</w:t>
            </w:r>
          </w:p>
        </w:tc>
      </w:tr>
      <w:tr>
        <w:tc>
          <w:tcPr>
            <w:tcW w:type="dxa" w:w="1440"/>
            <w:shd w:fill="FFDCE0" w:val="clear"/>
          </w:tcPr>
          <w:p>
            <w:r>
              <w:rPr>
                <w:sz w:val="17"/>
              </w:rPr>
              <w:t>J+7  Moyenne</w:t>
            </w:r>
          </w:p>
        </w:tc>
        <w:tc>
          <w:tcPr>
            <w:tcW w:type="dxa" w:w="1440"/>
            <w:shd w:fill="FFDCE0" w:val="clear"/>
          </w:tcPr>
          <w:p>
            <w:r>
              <w:rPr>
                <w:sz w:val="17"/>
              </w:rPr>
              <w:t>2026-10-09</w:t>
            </w:r>
          </w:p>
        </w:tc>
        <w:tc>
          <w:tcPr>
            <w:tcW w:type="dxa" w:w="1440"/>
            <w:shd w:fill="FFDCE0" w:val="clear"/>
          </w:tcPr>
          <w:p>
            <w:r>
              <w:rPr>
                <w:sz w:val="17"/>
              </w:rPr>
              <w:t>7,976</w:t>
            </w:r>
          </w:p>
        </w:tc>
        <w:tc>
          <w:tcPr>
            <w:tcW w:type="dxa" w:w="1440"/>
            <w:shd w:fill="FFDCE0" w:val="clear"/>
          </w:tcPr>
          <w:p>
            <w:r>
              <w:rPr>
                <w:b/>
                <w:sz w:val="17"/>
              </w:rPr>
              <w:t>8,674</w:t>
            </w:r>
          </w:p>
        </w:tc>
        <w:tc>
          <w:tcPr>
            <w:tcW w:type="dxa" w:w="1440"/>
            <w:shd w:fill="FFDCE0" w:val="clear"/>
          </w:tcPr>
          <w:p>
            <w:r>
              <w:rPr>
                <w:sz w:val="17"/>
              </w:rPr>
              <w:t>9,372</w:t>
            </w:r>
          </w:p>
        </w:tc>
        <w:tc>
          <w:tcPr>
            <w:tcW w:type="dxa" w:w="1440"/>
            <w:shd w:fill="FFDCE0" w:val="clear"/>
          </w:tcPr>
          <w:p>
            <w:r>
              <w:rPr>
                <w:b/>
                <w:color w:val="C00000"/>
                <w:sz w:val="17"/>
              </w:rPr>
              <w:t>-5.3%</w:t>
            </w:r>
          </w:p>
        </w:tc>
      </w:tr>
      <w:tr>
        <w:tc>
          <w:tcPr>
            <w:tcW w:type="dxa" w:w="1440"/>
            <w:shd w:fill="FFDCE0" w:val="clear"/>
          </w:tcPr>
          <w:p>
            <w:r>
              <w:rPr>
                <w:sz w:val="17"/>
              </w:rPr>
              <w:t>J+8  Moyenne</w:t>
            </w:r>
          </w:p>
        </w:tc>
        <w:tc>
          <w:tcPr>
            <w:tcW w:type="dxa" w:w="1440"/>
            <w:shd w:fill="FFDCE0" w:val="clear"/>
          </w:tcPr>
          <w:p>
            <w:r>
              <w:rPr>
                <w:sz w:val="17"/>
              </w:rPr>
              <w:t>2026-10-12</w:t>
            </w:r>
          </w:p>
        </w:tc>
        <w:tc>
          <w:tcPr>
            <w:tcW w:type="dxa" w:w="1440"/>
            <w:shd w:fill="FFDCE0" w:val="clear"/>
          </w:tcPr>
          <w:p>
            <w:r>
              <w:rPr>
                <w:sz w:val="17"/>
              </w:rPr>
              <w:t>7,885</w:t>
            </w:r>
          </w:p>
        </w:tc>
        <w:tc>
          <w:tcPr>
            <w:tcW w:type="dxa" w:w="1440"/>
            <w:shd w:fill="FFDCE0" w:val="clear"/>
          </w:tcPr>
          <w:p>
            <w:r>
              <w:rPr>
                <w:b/>
                <w:sz w:val="17"/>
              </w:rPr>
              <w:t>8,627</w:t>
            </w:r>
          </w:p>
        </w:tc>
        <w:tc>
          <w:tcPr>
            <w:tcW w:type="dxa" w:w="1440"/>
            <w:shd w:fill="FFDCE0" w:val="clear"/>
          </w:tcPr>
          <w:p>
            <w:r>
              <w:rPr>
                <w:sz w:val="17"/>
              </w:rPr>
              <w:t>9,369</w:t>
            </w:r>
          </w:p>
        </w:tc>
        <w:tc>
          <w:tcPr>
            <w:tcW w:type="dxa" w:w="1440"/>
            <w:shd w:fill="FFDCE0" w:val="clear"/>
          </w:tcPr>
          <w:p>
            <w:r>
              <w:rPr>
                <w:b/>
                <w:color w:val="C00000"/>
                <w:sz w:val="17"/>
              </w:rPr>
              <w:t>-5.8%</w:t>
            </w:r>
          </w:p>
        </w:tc>
      </w:tr>
      <w:tr>
        <w:tc>
          <w:tcPr>
            <w:tcW w:type="dxa" w:w="1440"/>
            <w:shd w:fill="FFDCE0" w:val="clear"/>
          </w:tcPr>
          <w:p>
            <w:r>
              <w:rPr>
                <w:sz w:val="17"/>
              </w:rPr>
              <w:t>J+9  Moyenne</w:t>
            </w:r>
          </w:p>
        </w:tc>
        <w:tc>
          <w:tcPr>
            <w:tcW w:type="dxa" w:w="1440"/>
            <w:shd w:fill="FFDCE0" w:val="clear"/>
          </w:tcPr>
          <w:p>
            <w:r>
              <w:rPr>
                <w:sz w:val="17"/>
              </w:rPr>
              <w:t>2026-10-13</w:t>
            </w:r>
          </w:p>
        </w:tc>
        <w:tc>
          <w:tcPr>
            <w:tcW w:type="dxa" w:w="1440"/>
            <w:shd w:fill="FFDCE0" w:val="clear"/>
          </w:tcPr>
          <w:p>
            <w:r>
              <w:rPr>
                <w:sz w:val="17"/>
              </w:rPr>
              <w:t>7,801</w:t>
            </w:r>
          </w:p>
        </w:tc>
        <w:tc>
          <w:tcPr>
            <w:tcW w:type="dxa" w:w="1440"/>
            <w:shd w:fill="FFDCE0" w:val="clear"/>
          </w:tcPr>
          <w:p>
            <w:r>
              <w:rPr>
                <w:b/>
                <w:sz w:val="17"/>
              </w:rPr>
              <w:t>8,584</w:t>
            </w:r>
          </w:p>
        </w:tc>
        <w:tc>
          <w:tcPr>
            <w:tcW w:type="dxa" w:w="1440"/>
            <w:shd w:fill="FFDCE0" w:val="clear"/>
          </w:tcPr>
          <w:p>
            <w:r>
              <w:rPr>
                <w:sz w:val="17"/>
              </w:rPr>
              <w:t>9,367</w:t>
            </w:r>
          </w:p>
        </w:tc>
        <w:tc>
          <w:tcPr>
            <w:tcW w:type="dxa" w:w="1440"/>
            <w:shd w:fill="FFDCE0" w:val="clear"/>
          </w:tcPr>
          <w:p>
            <w:r>
              <w:rPr>
                <w:b/>
                <w:color w:val="C00000"/>
                <w:sz w:val="17"/>
              </w:rPr>
              <w:t>-6.3%</w:t>
            </w:r>
          </w:p>
        </w:tc>
      </w:tr>
      <w:tr>
        <w:tc>
          <w:tcPr>
            <w:tcW w:type="dxa" w:w="1440"/>
            <w:shd w:fill="FFDCE0" w:val="clear"/>
          </w:tcPr>
          <w:p>
            <w:r>
              <w:rPr>
                <w:sz w:val="17"/>
              </w:rPr>
              <w:t>J+10  Moyenne</w:t>
            </w:r>
          </w:p>
        </w:tc>
        <w:tc>
          <w:tcPr>
            <w:tcW w:type="dxa" w:w="1440"/>
            <w:shd w:fill="FFDCE0" w:val="clear"/>
          </w:tcPr>
          <w:p>
            <w:r>
              <w:rPr>
                <w:sz w:val="17"/>
              </w:rPr>
              <w:t>2026-10-14</w:t>
            </w:r>
          </w:p>
        </w:tc>
        <w:tc>
          <w:tcPr>
            <w:tcW w:type="dxa" w:w="1440"/>
            <w:shd w:fill="FFDCE0" w:val="clear"/>
          </w:tcPr>
          <w:p>
            <w:r>
              <w:rPr>
                <w:sz w:val="17"/>
              </w:rPr>
              <w:t>7,722</w:t>
            </w:r>
          </w:p>
        </w:tc>
        <w:tc>
          <w:tcPr>
            <w:tcW w:type="dxa" w:w="1440"/>
            <w:shd w:fill="FFDCE0" w:val="clear"/>
          </w:tcPr>
          <w:p>
            <w:r>
              <w:rPr>
                <w:b/>
                <w:sz w:val="17"/>
              </w:rPr>
              <w:t>8,543</w:t>
            </w:r>
          </w:p>
        </w:tc>
        <w:tc>
          <w:tcPr>
            <w:tcW w:type="dxa" w:w="1440"/>
            <w:shd w:fill="FFDCE0" w:val="clear"/>
          </w:tcPr>
          <w:p>
            <w:r>
              <w:rPr>
                <w:sz w:val="17"/>
              </w:rPr>
              <w:t>9,365</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916,00 Mds FCFA, la SIBC s'impose comme l'une des plus importantes capitalisations du compartiment bancaire de la BRVM, ce qui lui confère une liquidité relative et une visibilité institutionnelle appréciables. Le BPA de 556 FCFA/action signifie que chaque titre génère un bénéfice net de 556 FCFA, soit un rendement bénéficiaire de base de 6,1% au cours actuel de 9 160 FCFA. Le PER de 16,5x traduit une valorisation nettement supérieure à la moyenne du marché BRVM (généralement comprise entre 8 et 12x), indiquant que les investisseurs acceptent de payer une prime significative pour la qualité des bénéfices de la SIB. Le P/B de 4,47x confirme cette prime, le marché valorisant la banque à plus de quatre fois sa valeur comptable (204,765 Mds FCFA de capitaux propres), ce qui est exigeant mais justifié par un ROE de 27,16%. Enfin, l'EV/EBITDA de 15,3x, bien que supérieur au seuil de 15x considéré comme exigeant, reste cohérent avec la capacité bénéficiaire opérationnelle de la banque, mais limite la marge de sécurité pour un nouvel 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SIBC a enregistré une progression remarquable de +28,11%, avec une dernière séance quasi stable (+0,11%), confirmant une dynamique haussière soutenue. Le cours actuel de 9 160 FCFA se situe dans la partie haute du range de trading établi entre 7 095 FCFA (plus bas) et 9 500 FCFA (plus haut), soit une amplitude de 33,9% qui témoigne d'une volatilité significative sur la période. La moyenne de 8 796 FCFA est inférieure à la médiane de 8 935 FCFA, ce qui révèle une asymétrie négative de la distribution : les journées de forte hausse ont tiré le cours vers le haut, mais la médiane plus élevée indique que le cours a passé plus de temps au-dessus de la moyenne, confirmant la tendance haussière. L'écart-type de 553 FCFA (CV=6,3%) traduit une dispersion modérée autour de la moyenne, tandis que le kurtosis de 2,219 (leptokurtique) signale des queues épaisses, c'est-à-dire un risque de pics de volatilité brutaux. Le skewness de -1,734 confirme cette asymétrie négative avec davantage de journées au-dessus de la moyenne, ce qui est généralement favorable aux détenteurs. La volatilité annualisée de 30,9% positionne le titre dans la catégorie des valeurs à volatilité élevée (&gt;30%), ce qui implique un risque accru mais aussi un potentiel de rendement supérieur.</w:t>
      </w:r>
    </w:p>
    <w:p>
      <w:pPr>
        <w:spacing w:after="120" w:line="276" w:lineRule="auto"/>
      </w:pPr>
      <w:r>
        <w:t>---</w:t>
      </w:r>
    </w:p>
    <w:p>
      <w:pPr>
        <w:spacing w:after="120" w:line="276" w:lineRule="auto"/>
      </w:pPr>
      <w:r>
        <w:t>## PARTIE 2 : ANALYSE TECHNIQUE DÉTAILLÉE</w:t>
      </w:r>
    </w:p>
    <w:p>
      <w:pPr>
        <w:spacing w:after="120" w:line="276" w:lineRule="auto"/>
      </w:pPr>
      <w:r>
        <w:t>**Moyennes Mobiles** : La MM20 (9 134,25 FCFA) et la MM50 (9 111,40 FCFA) se situent toutes deux légèrement en dessous du cours actuel (9 160 FCFA), avec la MM20 au-dessus de la MM50, configurant un croisement haussier classique. Cette configuration en « golden cross » implicite justifie la décision d'ACHAT, le cours évoluant au-dessus de ses deux moyennes mobiles, ce qui confirme la tendance haussière de moyen terme.</w:t>
      </w:r>
    </w:p>
    <w:p>
      <w:pPr>
        <w:spacing w:after="120" w:line="276" w:lineRule="auto"/>
      </w:pPr>
      <w:r>
        <w:t>**Bandes de Bollinger** : Le cours actuel (9 160 FCFA) se situe à l'intérieur des bandes, entre la borne inférieure (8 771,96 FCFA) et la borne supérieure (9 496,54 FCFA), mais plus proche de la borne supérieure. Cette position médiane-haute indique une absence de signal extrême, justifiant la décision NEUTRE. L'amplitude des bandes (724,58 FCFA) reflète une volatilité modérée sur les 20 dernières séances, sans compression ni expansion significative.</w:t>
      </w:r>
    </w:p>
    <w:p>
      <w:pPr>
        <w:spacing w:after="120" w:line="276" w:lineRule="auto"/>
      </w:pPr>
      <w:r>
        <w:t>**MACD** : La valeur du MACD (-27,822) est inférieure à son signal (-21,695), générant un histogramme négatif qui traduit un momentum baissier de court terme. Cette divergence négative justifie la décision de VENTE, bien que l'écart reste modéré et puisse se résorber rapidement si le cours reprend son élan haussier.</w:t>
      </w:r>
    </w:p>
    <w:p>
      <w:pPr>
        <w:spacing w:after="120" w:line="276" w:lineRule="auto"/>
      </w:pPr>
      <w:r>
        <w:t>**RSI** : À 45,652, le RSI se situe dans la zone neutre (30-70), sans signal de surachat (&gt;70) ni de survente (&lt;30). Cette position médiane indique un équilibre entre acheteurs et vendeurs, justifiant la décision NEUTRE. Le RSI n'offre pas de signal directionnel fort mais confirme l'absence de tension extrême sur le titre.</w:t>
      </w:r>
    </w:p>
    <w:p>
      <w:pPr>
        <w:spacing w:after="120" w:line="276" w:lineRule="auto"/>
      </w:pPr>
      <w:r>
        <w:t>**Stochastique** : Le %K (82,278) est supérieur au %D (75,316), et les deux se situent en zone de surachat (&gt;80 pour le %K). Cette configuration justifie la décision de VENTE, car elle suggère que le cours pourrait connaître une correction à court terme après avoir atteint des niveaux élevés. Le croisement potentiel du %K sous le %D serait un signal de confirmation baissière.</w:t>
      </w:r>
    </w:p>
    <w:p>
      <w:pPr>
        <w:spacing w:after="120" w:line="276" w:lineRule="auto"/>
      </w:pPr>
      <w:r>
        <w:t>**Conclusion technique** : Les indicateurs présentent une divergence notable : les moyennes mobiles confirment la tendance haussière de fond (ACHAT), tandis que le MACD et le stochastique signalent un essoufflement de court terme (VENTE). Le RSI et les bandes de Bollinger restent neutres, reflétant une absence de signal extrême. Cette configuration mixte suggère une consolidation possible avant une reprise, avec un support dynamique à surveiller autour de la MM20 (9 134 FCFA) et un support statique à 8 772 FCFA (borne inférieure de Bollinger).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SIBC affiche un Produit Net Bancaire (PNB) de 108,663 Mds FCFA, un résultat net de 55,623 Mds FCFA, un ROE exceptionnel de 27,16% et un ROA de 2,96%. Le coefficient d'exploitation de 38,59% témoigne d'une efficacité opérationnelle remarquable (seuil d'excellence &lt;50%), tandis que la marge nette de 51,19% confirme la rentabilité élevée du modèle. Le ratio dépôts/crédits s'établit à 1 503,441 Mds FCFA de dépôts clientèle pour 1 226,720 Mds FCFA de créances clientèle, soit un taux de transformation de 81,6%, indiquant une utilisation efficace des ressources collectées. Le coût du risque, bien que non détaillé dans les données structurées, est mentionné comme élevé dans les ratios (provisions de 14,124 Mds FCFA), ce qui constitue un point de vigilance.</w:t>
      </w:r>
    </w:p>
    <w:p>
      <w:pPr>
        <w:spacing w:after="120" w:line="276" w:lineRule="auto"/>
      </w:pPr>
      <w:r>
        <w:t>**Estimations basées sur les rapports trimestriels** : Le rapport du T1 2026 (publié le 07/05/2026) indique un PNB de 27,7 Mds FCFA (+4% en glissement annuel) et un résultat net de 15,2 Mds FCFA (+11%), avec une marge nette de 54,9%. Le rapport du S1 2026 (publié le 29/09/2026) confirme cette dynamique avec un PNB de 56,592 Mds FCFA (+4,2%) et un résultat net de 32,140 Mds FCFA (+9,3%), accompagné d'une forte amélioration du coût du risque (-75,3% à 287 M FCFA). Sur la base de ces tendances, on estime que l'exercice 2026 devrait afficher un PNB annuel d'environ 113-115 Mds FCFA (+4-5%) et un résultat net de 60-62 Mds FCFA (+8-10%), confirmant la trajectoire de croissance rentable. Le rapport annuel 2024 (publié le 31/12/2024) indiquait un dividende brut de 375 FCFA/action, soit un rendement de 10,55% au cours de 3 555 FCFA de l'époque ; au cours actuel de 9 160 FCFA, le rendement dividende serait de 4,1%, en baisse relative mais toujours attractif.</w:t>
      </w:r>
    </w:p>
    <w:p>
      <w:pPr>
        <w:spacing w:after="120" w:line="276" w:lineRule="auto"/>
      </w:pPr>
      <w:r>
        <w:t>**Recommandation fondamentale** : La SIBC présente des fondamentaux solides avec une croissance régulière du PNB (+4-5%), une rentabilité exceptionnelle (ROE &gt;27%) et une efficacité opérationnelle remarquable (coefficient d'exploitation &lt;40%). Les risques identifiés incluent la concurrence bancaire accrue, la dépendance à la conjoncture ivoirienne et l'absence de visibilité sur la politique de dividende pour 2026. La recommandation fondamentale est CONSERVER avec biais positif, les performances opérationnelles justifiant la prime de valorisation mais limitant le potentiel de hausse à court terme.</w:t>
      </w:r>
    </w:p>
    <w:p>
      <w:pPr>
        <w:spacing w:after="120" w:line="276" w:lineRule="auto"/>
      </w:pPr>
      <w:r>
        <w:t>---</w:t>
      </w:r>
    </w:p>
    <w:p>
      <w:pPr>
        <w:spacing w:after="120" w:line="276" w:lineRule="auto"/>
      </w:pPr>
      <w:r>
        <w:t>## PARTIE 4 : CONCLUSION D'INVESTISSEMENT</w:t>
      </w:r>
    </w:p>
    <w:p>
      <w:pPr>
        <w:spacing w:after="120" w:line="276" w:lineRule="auto"/>
      </w:pPr>
      <w:r>
        <w:t>La valorisation de la SIBC (PER 16,5x, P/B 4,47x, EV/EBITDA 15,3x) indique une surévaluation relative par rapport à la moyenne du marché BRVM, mais cette prime est justifiée par un ROE de 27,16% et une croissance bénéficiaire soutenue. Le comportement du cours sur 100 jours (+28,11%) est haussier, avec une volatilité élevée (30,9%) et une asymétrie négative (skewness -1,734) favorable aux détenteurs, bien que le kurtosis de 2,219 signale un risque de pics baissiers brutaux. Les signaux techniques sont mitigés : les moyennes mobiles confirment la tendance haussière (ACHAT), mais le MACD et le stochastique signalent un essoufflement de court terme (VENTE), tandis que le RSI et les bandes de Bollinger restent neutres. Les fondamentaux sont solides, avec un PNB de 108,663 Mds FCFA en 2025, un résultat net de 55,623 Mds FCFA et des estimations 2026 favorables (PNB ~113-115 Mds FCFA, RN ~60-62 Mds FCFA). Les prédictions IA pour les 10 prochains jours (9 073 FCFA le 01/10, 8 990 FCFA le 02/10, 8 911 FCFA le 05/10, 8 842 FCFA le 06/10, 8 780 FCFA le 07/10) anticipent une correction baissière d'environ 4,2% depuis le cours actuel, ce qui contredit la tendance haussière de fond mais confirme les signaux de vente à court terme du MACD et du stochastique.</w:t>
      </w:r>
    </w:p>
    <w:p>
      <w:pPr>
        <w:spacing w:after="120" w:line="276" w:lineRule="auto"/>
      </w:pPr>
      <w:r>
        <w:t>**Recommandation finale : CONSERVER** — La convergence entre une valorisation exigeante, des signaux techniques mitigés (tendance haussière de fond mais essoufflement de court terme) et des fondamentaux solides mais sans catalyseur immédiat justifie une position d'attente. Les prédictions IA confirment une correction probable à court terme, offrant potentiellement un point d'entrée plus favorable pour les investisseurs non positionnés. Le niveau de confiance est **Moyen**, le risque global est **Élevé** (volatilité &gt;30%, valorisation tendue), et l'horizon d'investissement optimal est **moyen terme (3-12 mois)** pour bénéficier de la croissance bénéficiaire tout en absorbant la volatilité.</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β=-1.0095 (Contre-cyclique) — Cov=-0.000038, Var(idx)=0.000037, ρ=-0.168, n=91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w:t>
        <w:br/>
        <w:t>*Bourse Régionale des Valeurs Mobilières (BRVM) — Secteur Agro-industriel*</w:t>
        <w:br/>
        <w:t>*Date d'analyse : Mai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permettant de rapporter le cours actuel de 8 400 FCFA à un bénéfice par action normatif. Cette absence de visibilité sur les multiples de valorisation constitue en soi un signal de prudence : l'investisseur ne peut s'appuyer sur aucune référence de prix relative (PER BRVM moyen ~8-12x) pour juger si le titre est cher ou bon marché. Dans ce contexte, la valorisation de SICOR repose essentiellement sur des considérations techniques, spéculatives et sur l'anticipation d'un redressement fondamental dont les rapports disponibles (2022-2024) ne confirment pas encore la solidité.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SICOR affiche une performance spectaculaire de +95,35%, portant le cours à 8 400 FCFA, malgré un repli marginal de -1,12% lors de la dernière séance. Le range de trading est extrêmement large, avec un plus haut à 10 200 FCFA et un plus bas à 3 985 FCFA, soit un rapport de 2,56x entre les deux extrêmes — signe d'une volatilité exceptionnelle et d'un intérêt spéculatif marqué. La tendance générale est donc nettement haussière, mais cette progression s'est construite sur des mouvements erratiques plutôt que sur une dynamique linéaire. Les statistiques descriptives confirment cette asymétrie : la moyenne (5 815 FCFA) est supérieure à la médiane (5 022 FCFA), ce qui indique une distribution tirée vers le haut par des pics ponctuels, tandis que le skewness positif de 0,913 révèle que la majorité des séances se sont déroulées sous la moyenne, avec quelques journées de forte hausse concentrant la performance. L'écart-type de 1 813 FCFA (CV = 31,2%) traduit une dispersion élevée du cours, et le kurtosis de -0,630 (mésokurtique) suggère une distribution proche de la normale, sans pics extrêmes fréquents mais avec un risque de mouvements amples. Enfin, la volatilité annualisée de 58,2% classe clairement SICOR dans la catégorie des titres à volatilité élevée (&gt;30%), ce qui implique un risque de perte en capital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(8 472,25 FCFA) et la MM50 (7 205,0 FCFA) sont toutes deux inférieures au cours actuel de 8 400 FCFA, mais la MM20 est légèrement au-dessus du prix, ce qui crée une configuration ambiguë. La MM50, nettement en dessous, confirme la tendance haussière de fond, et la décision « Achat » est justifiée par le positionnement du cours au-dessus de la MM50 et la dynamique positive des moyennes.</w:t>
      </w:r>
    </w:p>
    <w:p>
      <w:pPr>
        <w:spacing w:after="120" w:line="276" w:lineRule="auto"/>
      </w:pPr>
      <w:r>
        <w:t>**Bandes de Bollinger** : Le cours (8 400 FCFA) se situe à l'intérieur des bandes, entre la borne inférieure (7 354,78 FCFA) et la borne supérieure (9 589,72 FCFA), mais plus proche de la borne supérieure. Cette position médiane-haute, combinée à un écartement important des bandes, reflète une volatilité élevée sans signal de surachat extrême. La décision « Neutre » est cohérente avec l'absence de cassure significative.</w:t>
      </w:r>
    </w:p>
    <w:p>
      <w:pPr>
        <w:spacing w:after="120" w:line="276" w:lineRule="auto"/>
      </w:pPr>
      <w:r>
        <w:t>**MACD** : La valeur du MACD (273,714) est inférieure à son signal (365,814), ce qui génère une configuration baissière et justifie la décision « Vente ». Cette divergence négative indique un essoufflement du momentum haussier, malgré la performance récente du titre, et suggère une possible correction à court terme.</w:t>
      </w:r>
    </w:p>
    <w:p>
      <w:pPr>
        <w:spacing w:after="120" w:line="276" w:lineRule="auto"/>
      </w:pPr>
      <w:r>
        <w:t>**RSI** : À 61,157, le RSI se situe en zone neutre-haute, sans atteindre le seuil de surachat (70). La décision « Neutre » reflète un équilibre entre pression acheteuse et vendeuse, avec une légère avance des acheteurs, mais sans excès justifiant un retournement imminent.</w:t>
      </w:r>
    </w:p>
    <w:p>
      <w:pPr>
        <w:spacing w:after="120" w:line="276" w:lineRule="auto"/>
      </w:pPr>
      <w:r>
        <w:t>**Stochastique** : Le %K (85,714) et le %D (94,762) sont tous deux en zone de surachat (&gt;80), avec un %D supérieur au %K, ce qui constitue un signal baissier classique (croisement potentiel à la baisse). La décision « Vente » est justifiée par cette configuration de surachat avancé, qui précède souvent un repli.</w:t>
      </w:r>
    </w:p>
    <w:p>
      <w:pPr>
        <w:spacing w:after="120" w:line="276" w:lineRule="auto"/>
      </w:pPr>
      <w:r>
        <w:t>**Conclusion technique** : Les indicateurs techniques présentent une divergence notable. Les moyennes mobiles et les bandes de Bollinger suggèrent une tendance haussière intacte mais essoufflée, tandis que le MACD et le stochastique émettent des signaux baissiers clairs. Le RSI neutre ne tranche pas. Dans l'ensemble, le titre semble entrer dans une phase de consolidation ou de correction après la forte hausse, avec un risque de repli vers la MM20 (8 472 FCFA) voire la borne inférieure des Bollinger (7 355 FCFA).</w:t>
      </w:r>
    </w:p>
    <w:p>
      <w:pPr>
        <w:spacing w:after="120" w:line="276" w:lineRule="auto"/>
      </w:pPr>
      <w:r>
        <w:t>---</w:t>
      </w:r>
    </w:p>
    <w:p>
      <w:pPr>
        <w:spacing w:after="120" w:line="276" w:lineRule="auto"/>
      </w:pPr>
      <w:r>
        <w:t>### PARTIE 3 : ANALYSE FONDAMENTALE (SECTION CRITIQUE)</w:t>
      </w:r>
    </w:p>
    <w:p>
      <w:pPr>
        <w:spacing w:after="120" w:line="276" w:lineRule="auto"/>
      </w:pPr>
      <w:r>
        <w:t>L'analyse fondamentale de SICOR s'appuie sur les rapports financiers officiels disponibles, dont les plus récents remontent à l'exercice 2023 (analysé par MISTRAL le 15/03/2026) et 2022 (analysé par MISTRAL le 15/03/2026), complétés par des rapports plus anciens (2015-2017) et une analyse partielle de l'exercice 2024 (GEMINI-VISION, 06/09/2026). En 2023, la société a réalisé un chiffre d'affaires de 701,09 millions FCFA, en baisse de 38,4% par rapport aux 1 138,17 millions FCFA de 2022, poursuivant une dégradation entamée en 2022 (-17,58% vs 2021). Malgré cette contraction sévère de l'activité, SICOR a renoué avec un bénéfice net de 19,25 millions FCFA en 2023 (marge nette de 2,75%), contre une perte de -39,95 millions FCFA en 2022 (marge nette de -3,51%), grâce à une réduction drastique des charges (-43,68%) incluant une baisse de 39,24% des charges de personnel suite au transfert de 50% des effectifs vers la SIPAL. Cette amélioration reste toutefois fragile : les pertes cumulées s'élèvent à 689,86 millions FCFA, les découverts bancaires ont explosé (+1 319%), et la trésorerie demeure tendue. L'analyse de l'exercice 2024 (rapport GEMINI-VISION du 06/09/2026) est partielle mais confirme la convocation d'une AGO pour le 22 mai 2026 avec approbation des comptes 2024, sans indication d'un retour à la distribution de dividendes. Historiquement, la société n'a versé aucun dividende depuis 2018, et les rapports antérieurs (2015-2017) montrent une entreprise déjà cyclique, avec des résultats nets variant de 53,3 millions FCFA (2016) à 434,87 millions FCFA (2015), puis une chute à 100,57 millions FCFA en 2017. Le ROE et le ROA ne sont pas calculables en l'absence de capitaux propres et total d'actif récents fiables, mais la structure financière reste obérée par des capitaux propres négatifs en 2016 (-2,32 milliards FCFA) et un endettement élevé. En synthèse, la situation fondamentale de SICOR demeure précaire : la rentabilité retrouvée en 2023 est marginale, l'activité s'effondre, et les perspectives de dividende sont nulles à court/moyen terme. La recommandation fondamentale est de **conserver avec vigilance** pour les actionnaires existants, mais l'absence de valorisation boursière fiable et la fragilité des résultats rendent le titre inadapté à un investissement de long terme sans visibilité accrue.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profondément contradictoire. La valorisation (Partie 0) est inconnue faute de ratios calculables, ce qui prive l'investisseur de tout repère objectif de prix. Le comportement du cours (Partie 1) est exceptionnellement haussier (+95,35% sur 100 jours) mais repose sur une volatilité extrême (58,2% annualisée) et une distribution asymétrique (skewness 0,913) qui suggère que la performance récente est concentrée sur quelques séances, avec un risque de correction brutal. Les signaux techniques (Partie 2) sont divergents : les moyennes mobiles et les Bollinger restent haussiers, mais le MACD et le stochastique émettent des signaux de vente clairs, indiquant un essoufflement du momentum. Les fondamentaux (Partie 3) sont préoccupants : chiffre d'affaires en chute de 38,4% en 2023, bénéfice net marginal de 19,25 millions FCFA, pertes cumulées de 689,86 millions FCFA, absence de dividende depuis 2018, et aucune prédiction IA disponible pour les 10 prochains jours. La convergence entre technique (signaux baissiers à court terme) et fondamental (fragilité persistante) est défavorable, tandis que la performance passée du cours contredit cette analyse par sa vigueur. Sur cette base, la recommandation finale est **CONSERVER** (avec un biais vendeur à court terme), car le titre présente un risque de correction technique après la hausse excessive, sans soutien fondamental solide pour justifier une poursuite du rallye. Le niveau de confiance est **Moyen** (en raison de l'absence de prédictions IA et de ratios de valorisation), le risque global est **Élevé** (volatilité 58,2%, pertes cumulées, trésorerie tendue), et l'horizon d'investissement optimal est **court terme** (&lt;3 mois) pour les traders cherchant à profiter de la volatilité, ou **à éviter** pour les investisseurs de long terme en l'absence de dividende et de visibilité financière.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5,572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-29.82%</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11.58% (Moyenne) — μ=2,449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β=0.4791 (Défensif) — Cov=0.000033, Var(idx)=0.000069, ρ=0.121,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2026-10-01</w:t>
            </w:r>
          </w:p>
        </w:tc>
        <w:tc>
          <w:tcPr>
            <w:tcW w:type="dxa" w:w="1440"/>
            <w:shd w:fill="C6EFCE" w:val="clear"/>
          </w:tcPr>
          <w:p>
            <w:r>
              <w:rPr>
                <w:sz w:val="17"/>
              </w:rPr>
              <w:t>1,951</w:t>
            </w:r>
          </w:p>
        </w:tc>
        <w:tc>
          <w:tcPr>
            <w:tcW w:type="dxa" w:w="1440"/>
            <w:shd w:fill="C6EFCE" w:val="clear"/>
          </w:tcPr>
          <w:p>
            <w:r>
              <w:rPr>
                <w:b/>
                <w:sz w:val="17"/>
              </w:rPr>
              <w:t>2,054</w:t>
            </w:r>
          </w:p>
        </w:tc>
        <w:tc>
          <w:tcPr>
            <w:tcW w:type="dxa" w:w="1440"/>
            <w:shd w:fill="C6EFCE" w:val="clear"/>
          </w:tcPr>
          <w:p>
            <w:r>
              <w:rPr>
                <w:sz w:val="17"/>
              </w:rPr>
              <w:t>2,158</w:t>
            </w:r>
          </w:p>
        </w:tc>
        <w:tc>
          <w:tcPr>
            <w:tcW w:type="dxa" w:w="1440"/>
            <w:shd w:fill="C6EFCE" w:val="clear"/>
          </w:tcPr>
          <w:p>
            <w:r>
              <w:rPr>
                <w:b/>
                <w:color w:val="008000"/>
                <w:sz w:val="17"/>
              </w:rPr>
              <w:t>+2.7%</w:t>
            </w:r>
          </w:p>
        </w:tc>
      </w:tr>
      <w:tr>
        <w:tc>
          <w:tcPr>
            <w:tcW w:type="dxa" w:w="1440"/>
            <w:shd w:fill="C6EFCE" w:val="clear"/>
          </w:tcPr>
          <w:p>
            <w:r>
              <w:rPr>
                <w:sz w:val="17"/>
              </w:rPr>
              <w:t>J+2  ⭐</w:t>
            </w:r>
          </w:p>
        </w:tc>
        <w:tc>
          <w:tcPr>
            <w:tcW w:type="dxa" w:w="1440"/>
            <w:shd w:fill="C6EFCE" w:val="clear"/>
          </w:tcPr>
          <w:p>
            <w:r>
              <w:rPr>
                <w:sz w:val="17"/>
              </w:rPr>
              <w:t>2026-10-02</w:t>
            </w:r>
          </w:p>
        </w:tc>
        <w:tc>
          <w:tcPr>
            <w:tcW w:type="dxa" w:w="1440"/>
            <w:shd w:fill="C6EFCE" w:val="clear"/>
          </w:tcPr>
          <w:p>
            <w:r>
              <w:rPr>
                <w:sz w:val="17"/>
              </w:rPr>
              <w:t>1,910</w:t>
            </w:r>
          </w:p>
        </w:tc>
        <w:tc>
          <w:tcPr>
            <w:tcW w:type="dxa" w:w="1440"/>
            <w:shd w:fill="C6EFCE" w:val="clear"/>
          </w:tcPr>
          <w:p>
            <w:r>
              <w:rPr>
                <w:b/>
                <w:sz w:val="17"/>
              </w:rPr>
              <w:t>2,055</w:t>
            </w:r>
          </w:p>
        </w:tc>
        <w:tc>
          <w:tcPr>
            <w:tcW w:type="dxa" w:w="1440"/>
            <w:shd w:fill="C6EFCE" w:val="clear"/>
          </w:tcPr>
          <w:p>
            <w:r>
              <w:rPr>
                <w:sz w:val="17"/>
              </w:rPr>
              <w:t>2,201</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2026-10-05</w:t>
            </w:r>
          </w:p>
        </w:tc>
        <w:tc>
          <w:tcPr>
            <w:tcW w:type="dxa" w:w="1440"/>
            <w:shd w:fill="C6EFCE" w:val="clear"/>
          </w:tcPr>
          <w:p>
            <w:r>
              <w:rPr>
                <w:sz w:val="17"/>
              </w:rPr>
              <w:t>1,879</w:t>
            </w:r>
          </w:p>
        </w:tc>
        <w:tc>
          <w:tcPr>
            <w:tcW w:type="dxa" w:w="1440"/>
            <w:shd w:fill="C6EFCE" w:val="clear"/>
          </w:tcPr>
          <w:p>
            <w:r>
              <w:rPr>
                <w:b/>
                <w:sz w:val="17"/>
              </w:rPr>
              <w:t>2,058</w:t>
            </w:r>
          </w:p>
        </w:tc>
        <w:tc>
          <w:tcPr>
            <w:tcW w:type="dxa" w:w="1440"/>
            <w:shd w:fill="C6EFCE" w:val="clear"/>
          </w:tcPr>
          <w:p>
            <w:r>
              <w:rPr>
                <w:sz w:val="17"/>
              </w:rPr>
              <w:t>2,237</w:t>
            </w:r>
          </w:p>
        </w:tc>
        <w:tc>
          <w:tcPr>
            <w:tcW w:type="dxa" w:w="1440"/>
            <w:shd w:fill="C6EFCE" w:val="clear"/>
          </w:tcPr>
          <w:p>
            <w:r>
              <w:rPr>
                <w:b/>
                <w:color w:val="008000"/>
                <w:sz w:val="17"/>
              </w:rPr>
              <w:t>+2.9%</w:t>
            </w:r>
          </w:p>
        </w:tc>
      </w:tr>
      <w:tr>
        <w:tc>
          <w:tcPr>
            <w:tcW w:type="dxa" w:w="1440"/>
            <w:shd w:fill="C6EFCE" w:val="clear"/>
          </w:tcPr>
          <w:p>
            <w:r>
              <w:rPr>
                <w:sz w:val="17"/>
              </w:rPr>
              <w:t>J+4  ⭐</w:t>
            </w:r>
          </w:p>
        </w:tc>
        <w:tc>
          <w:tcPr>
            <w:tcW w:type="dxa" w:w="1440"/>
            <w:shd w:fill="C6EFCE" w:val="clear"/>
          </w:tcPr>
          <w:p>
            <w:r>
              <w:rPr>
                <w:sz w:val="17"/>
              </w:rPr>
              <w:t>2026-10-06</w:t>
            </w:r>
          </w:p>
        </w:tc>
        <w:tc>
          <w:tcPr>
            <w:tcW w:type="dxa" w:w="1440"/>
            <w:shd w:fill="C6EFCE" w:val="clear"/>
          </w:tcPr>
          <w:p>
            <w:r>
              <w:rPr>
                <w:sz w:val="17"/>
              </w:rPr>
              <w:t>1,855</w:t>
            </w:r>
          </w:p>
        </w:tc>
        <w:tc>
          <w:tcPr>
            <w:tcW w:type="dxa" w:w="1440"/>
            <w:shd w:fill="C6EFCE" w:val="clear"/>
          </w:tcPr>
          <w:p>
            <w:r>
              <w:rPr>
                <w:b/>
                <w:sz w:val="17"/>
              </w:rPr>
              <w:t>2,061</w:t>
            </w:r>
          </w:p>
        </w:tc>
        <w:tc>
          <w:tcPr>
            <w:tcW w:type="dxa" w:w="1440"/>
            <w:shd w:fill="C6EFCE" w:val="clear"/>
          </w:tcPr>
          <w:p>
            <w:r>
              <w:rPr>
                <w:sz w:val="17"/>
              </w:rPr>
              <w:t>2,268</w:t>
            </w:r>
          </w:p>
        </w:tc>
        <w:tc>
          <w:tcPr>
            <w:tcW w:type="dxa" w:w="1440"/>
            <w:shd w:fill="C6EFCE" w:val="clear"/>
          </w:tcPr>
          <w:p>
            <w:r>
              <w:rPr>
                <w:b/>
                <w:color w:val="008000"/>
                <w:sz w:val="17"/>
              </w:rPr>
              <w:t>+3.1%</w:t>
            </w:r>
          </w:p>
        </w:tc>
      </w:tr>
      <w:tr>
        <w:tc>
          <w:tcPr>
            <w:tcW w:type="dxa" w:w="1440"/>
            <w:shd w:fill="C6EFCE" w:val="clear"/>
          </w:tcPr>
          <w:p>
            <w:r>
              <w:rPr>
                <w:sz w:val="17"/>
              </w:rPr>
              <w:t>J+5  ⭐</w:t>
            </w:r>
          </w:p>
        </w:tc>
        <w:tc>
          <w:tcPr>
            <w:tcW w:type="dxa" w:w="1440"/>
            <w:shd w:fill="C6EFCE" w:val="clear"/>
          </w:tcPr>
          <w:p>
            <w:r>
              <w:rPr>
                <w:sz w:val="17"/>
              </w:rPr>
              <w:t>2026-10-07</w:t>
            </w:r>
          </w:p>
        </w:tc>
        <w:tc>
          <w:tcPr>
            <w:tcW w:type="dxa" w:w="1440"/>
            <w:shd w:fill="C6EFCE" w:val="clear"/>
          </w:tcPr>
          <w:p>
            <w:r>
              <w:rPr>
                <w:sz w:val="17"/>
              </w:rPr>
              <w:t>1,833</w:t>
            </w:r>
          </w:p>
        </w:tc>
        <w:tc>
          <w:tcPr>
            <w:tcW w:type="dxa" w:w="1440"/>
            <w:shd w:fill="C6EFCE" w:val="clear"/>
          </w:tcPr>
          <w:p>
            <w:r>
              <w:rPr>
                <w:b/>
                <w:sz w:val="17"/>
              </w:rPr>
              <w:t>2,065</w:t>
            </w:r>
          </w:p>
        </w:tc>
        <w:tc>
          <w:tcPr>
            <w:tcW w:type="dxa" w:w="1440"/>
            <w:shd w:fill="C6EFCE" w:val="clear"/>
          </w:tcPr>
          <w:p>
            <w:r>
              <w:rPr>
                <w:sz w:val="17"/>
              </w:rPr>
              <w:t>2,297</w:t>
            </w:r>
          </w:p>
        </w:tc>
        <w:tc>
          <w:tcPr>
            <w:tcW w:type="dxa" w:w="1440"/>
            <w:shd w:fill="C6EFCE" w:val="clear"/>
          </w:tcPr>
          <w:p>
            <w:r>
              <w:rPr>
                <w:b/>
                <w:color w:val="008000"/>
                <w:sz w:val="17"/>
              </w:rPr>
              <w:t>+3.2%</w:t>
            </w:r>
          </w:p>
        </w:tc>
      </w:tr>
      <w:tr>
        <w:tc>
          <w:tcPr>
            <w:tcW w:type="dxa" w:w="1440"/>
            <w:shd w:fill="C6EFCE" w:val="clear"/>
          </w:tcPr>
          <w:p>
            <w:r>
              <w:rPr>
                <w:sz w:val="17"/>
              </w:rPr>
              <w:t>J+6  ⭐</w:t>
            </w:r>
          </w:p>
        </w:tc>
        <w:tc>
          <w:tcPr>
            <w:tcW w:type="dxa" w:w="1440"/>
            <w:shd w:fill="C6EFCE" w:val="clear"/>
          </w:tcPr>
          <w:p>
            <w:r>
              <w:rPr>
                <w:sz w:val="17"/>
              </w:rPr>
              <w:t>2026-10-08</w:t>
            </w:r>
          </w:p>
        </w:tc>
        <w:tc>
          <w:tcPr>
            <w:tcW w:type="dxa" w:w="1440"/>
            <w:shd w:fill="C6EFCE" w:val="clear"/>
          </w:tcPr>
          <w:p>
            <w:r>
              <w:rPr>
                <w:sz w:val="17"/>
              </w:rPr>
              <w:t>1,814</w:t>
            </w:r>
          </w:p>
        </w:tc>
        <w:tc>
          <w:tcPr>
            <w:tcW w:type="dxa" w:w="1440"/>
            <w:shd w:fill="C6EFCE" w:val="clear"/>
          </w:tcPr>
          <w:p>
            <w:r>
              <w:rPr>
                <w:b/>
                <w:sz w:val="17"/>
              </w:rPr>
              <w:t>2,068</w:t>
            </w:r>
          </w:p>
        </w:tc>
        <w:tc>
          <w:tcPr>
            <w:tcW w:type="dxa" w:w="1440"/>
            <w:shd w:fill="C6EFCE" w:val="clear"/>
          </w:tcPr>
          <w:p>
            <w:r>
              <w:rPr>
                <w:sz w:val="17"/>
              </w:rPr>
              <w:t>2,323</w:t>
            </w:r>
          </w:p>
        </w:tc>
        <w:tc>
          <w:tcPr>
            <w:tcW w:type="dxa" w:w="1440"/>
            <w:shd w:fill="C6EFCE" w:val="clear"/>
          </w:tcPr>
          <w:p>
            <w:r>
              <w:rPr>
                <w:b/>
                <w:color w:val="008000"/>
                <w:sz w:val="17"/>
              </w:rPr>
              <w:t>+3.4%</w:t>
            </w:r>
          </w:p>
        </w:tc>
      </w:tr>
      <w:tr>
        <w:tc>
          <w:tcPr>
            <w:tcW w:type="dxa" w:w="1440"/>
            <w:shd w:fill="C6EFCE" w:val="clear"/>
          </w:tcPr>
          <w:p>
            <w:r>
              <w:rPr>
                <w:sz w:val="17"/>
              </w:rPr>
              <w:t>J+7  ⭐</w:t>
            </w:r>
          </w:p>
        </w:tc>
        <w:tc>
          <w:tcPr>
            <w:tcW w:type="dxa" w:w="1440"/>
            <w:shd w:fill="C6EFCE" w:val="clear"/>
          </w:tcPr>
          <w:p>
            <w:r>
              <w:rPr>
                <w:sz w:val="17"/>
              </w:rPr>
              <w:t>2026-10-09</w:t>
            </w:r>
          </w:p>
        </w:tc>
        <w:tc>
          <w:tcPr>
            <w:tcW w:type="dxa" w:w="1440"/>
            <w:shd w:fill="C6EFCE" w:val="clear"/>
          </w:tcPr>
          <w:p>
            <w:r>
              <w:rPr>
                <w:sz w:val="17"/>
              </w:rPr>
              <w:t>1,797</w:t>
            </w:r>
          </w:p>
        </w:tc>
        <w:tc>
          <w:tcPr>
            <w:tcW w:type="dxa" w:w="1440"/>
            <w:shd w:fill="C6EFCE" w:val="clear"/>
          </w:tcPr>
          <w:p>
            <w:r>
              <w:rPr>
                <w:b/>
                <w:sz w:val="17"/>
              </w:rPr>
              <w:t>2,072</w:t>
            </w:r>
          </w:p>
        </w:tc>
        <w:tc>
          <w:tcPr>
            <w:tcW w:type="dxa" w:w="1440"/>
            <w:shd w:fill="C6EFCE" w:val="clear"/>
          </w:tcPr>
          <w:p>
            <w:r>
              <w:rPr>
                <w:sz w:val="17"/>
              </w:rPr>
              <w:t>2,347</w:t>
            </w:r>
          </w:p>
        </w:tc>
        <w:tc>
          <w:tcPr>
            <w:tcW w:type="dxa" w:w="1440"/>
            <w:shd w:fill="C6EFCE" w:val="clear"/>
          </w:tcPr>
          <w:p>
            <w:r>
              <w:rPr>
                <w:b/>
                <w:color w:val="008000"/>
                <w:sz w:val="17"/>
              </w:rPr>
              <w:t>+3.6%</w:t>
            </w:r>
          </w:p>
        </w:tc>
      </w:tr>
      <w:tr>
        <w:tc>
          <w:tcPr>
            <w:tcW w:type="dxa" w:w="1440"/>
            <w:shd w:fill="C6EFCE" w:val="clear"/>
          </w:tcPr>
          <w:p>
            <w:r>
              <w:rPr>
                <w:sz w:val="17"/>
              </w:rPr>
              <w:t>J+8  ⭐</w:t>
            </w:r>
          </w:p>
        </w:tc>
        <w:tc>
          <w:tcPr>
            <w:tcW w:type="dxa" w:w="1440"/>
            <w:shd w:fill="C6EFCE" w:val="clear"/>
          </w:tcPr>
          <w:p>
            <w:r>
              <w:rPr>
                <w:sz w:val="17"/>
              </w:rPr>
              <w:t>2026-10-12</w:t>
            </w:r>
          </w:p>
        </w:tc>
        <w:tc>
          <w:tcPr>
            <w:tcW w:type="dxa" w:w="1440"/>
            <w:shd w:fill="C6EFCE" w:val="clear"/>
          </w:tcPr>
          <w:p>
            <w:r>
              <w:rPr>
                <w:sz w:val="17"/>
              </w:rPr>
              <w:t>1,781</w:t>
            </w:r>
          </w:p>
        </w:tc>
        <w:tc>
          <w:tcPr>
            <w:tcW w:type="dxa" w:w="1440"/>
            <w:shd w:fill="C6EFCE" w:val="clear"/>
          </w:tcPr>
          <w:p>
            <w:r>
              <w:rPr>
                <w:b/>
                <w:sz w:val="17"/>
              </w:rPr>
              <w:t>2,075</w:t>
            </w:r>
          </w:p>
        </w:tc>
        <w:tc>
          <w:tcPr>
            <w:tcW w:type="dxa" w:w="1440"/>
            <w:shd w:fill="C6EFCE" w:val="clear"/>
          </w:tcPr>
          <w:p>
            <w:r>
              <w:rPr>
                <w:sz w:val="17"/>
              </w:rPr>
              <w:t>2,370</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2026-10-13</w:t>
            </w:r>
          </w:p>
        </w:tc>
        <w:tc>
          <w:tcPr>
            <w:tcW w:type="dxa" w:w="1440"/>
            <w:shd w:fill="C6EFCE" w:val="clear"/>
          </w:tcPr>
          <w:p>
            <w:r>
              <w:rPr>
                <w:sz w:val="17"/>
              </w:rPr>
              <w:t>1,766</w:t>
            </w:r>
          </w:p>
        </w:tc>
        <w:tc>
          <w:tcPr>
            <w:tcW w:type="dxa" w:w="1440"/>
            <w:shd w:fill="C6EFCE" w:val="clear"/>
          </w:tcPr>
          <w:p>
            <w:r>
              <w:rPr>
                <w:b/>
                <w:sz w:val="17"/>
              </w:rPr>
              <w:t>2,079</w:t>
            </w:r>
          </w:p>
        </w:tc>
        <w:tc>
          <w:tcPr>
            <w:tcW w:type="dxa" w:w="1440"/>
            <w:shd w:fill="C6EFCE" w:val="clear"/>
          </w:tcPr>
          <w:p>
            <w:r>
              <w:rPr>
                <w:sz w:val="17"/>
              </w:rPr>
              <w:t>2,391</w:t>
            </w:r>
          </w:p>
        </w:tc>
        <w:tc>
          <w:tcPr>
            <w:tcW w:type="dxa" w:w="1440"/>
            <w:shd w:fill="C6EFCE" w:val="clear"/>
          </w:tcPr>
          <w:p>
            <w:r>
              <w:rPr>
                <w:b/>
                <w:color w:val="008000"/>
                <w:sz w:val="17"/>
              </w:rPr>
              <w:t>+3.9%</w:t>
            </w:r>
          </w:p>
        </w:tc>
      </w:tr>
      <w:tr>
        <w:tc>
          <w:tcPr>
            <w:tcW w:type="dxa" w:w="1440"/>
            <w:shd w:fill="C6EFCE" w:val="clear"/>
          </w:tcPr>
          <w:p>
            <w:r>
              <w:rPr>
                <w:sz w:val="17"/>
              </w:rPr>
              <w:t>J+10  ⭐</w:t>
            </w:r>
          </w:p>
        </w:tc>
        <w:tc>
          <w:tcPr>
            <w:tcW w:type="dxa" w:w="1440"/>
            <w:shd w:fill="C6EFCE" w:val="clear"/>
          </w:tcPr>
          <w:p>
            <w:r>
              <w:rPr>
                <w:sz w:val="17"/>
              </w:rPr>
              <w:t>2026-10-14</w:t>
            </w:r>
          </w:p>
        </w:tc>
        <w:tc>
          <w:tcPr>
            <w:tcW w:type="dxa" w:w="1440"/>
            <w:shd w:fill="C6EFCE" w:val="clear"/>
          </w:tcPr>
          <w:p>
            <w:r>
              <w:rPr>
                <w:sz w:val="17"/>
              </w:rPr>
              <w:t>1,752</w:t>
            </w:r>
          </w:p>
        </w:tc>
        <w:tc>
          <w:tcPr>
            <w:tcW w:type="dxa" w:w="1440"/>
            <w:shd w:fill="C6EFCE" w:val="clear"/>
          </w:tcPr>
          <w:p>
            <w:r>
              <w:rPr>
                <w:b/>
                <w:sz w:val="17"/>
              </w:rPr>
              <w:t>2,082</w:t>
            </w:r>
          </w:p>
        </w:tc>
        <w:tc>
          <w:tcPr>
            <w:tcW w:type="dxa" w:w="1440"/>
            <w:shd w:fill="C6EFCE" w:val="clear"/>
          </w:tcPr>
          <w:p>
            <w:r>
              <w:rPr>
                <w:sz w:val="17"/>
              </w:rPr>
              <w:t>2,412</w:t>
            </w:r>
          </w:p>
        </w:tc>
        <w:tc>
          <w:tcPr>
            <w:tcW w:type="dxa" w:w="1440"/>
            <w:shd w:fill="C6EFCE" w:val="clear"/>
          </w:tcPr>
          <w:p>
            <w:r>
              <w:rPr>
                <w:b/>
                <w:color w:val="008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RAPPORT D'ANALYSE FINANCIÈRE — SIVC (ERIUM COTE D'IVOIRE)</w:t>
        <w:br/>
        <w:t>**Bourse Régionale des Valeurs Mobilières (BRVM) — Secteur : Gaz Industriels / Services**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17,47 milliards FCFA, SIVC se situe dans la catégorie des valeurs moyennes de la BRVM, ce qui la rend vulnérable aux mouvements de faible liquidité. Le BPA de 43 FCFA/action indique que chaque titre génère un bénéfice unitaire modeste, ce qui, rapporté au cours actuel de 2 000 FCFA, aboutit à un PER de 46,3x — soit près de quatre fois supérieur à la moyenne du marché BRVM (8-12x), signalant une valorisation très exigeante et une forte anticipation de croissance par le marché. Le ratio P/B de 5,34x confirme cette prime : les investisseurs paient plus de cinq fois la valeur comptable des fonds propres, ce qui n'est justifiable que par une rentabilité future nettement supérieure. Enfin, l'EV/EBITDA de 15,1x traduit une valorisation tendue de la capacité opérationnelle, renforçant le message de prudence : le titre intègre déjà beaucoup de bonnes nouvelles,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SIVC affiche une contraction sévère de **-29,82%**, avec une chute brutale de **-6,54%** lors de la dernière séance, traduisant une pression vendeuse intense et un sentiment de marché clairement négatif. Le titre a évolué dans un range de 955 FCFA, entre un plus haut de 2 875 FCFA et un plus bas de 1 920 FCFA, le cours actuel (2 000 FCFA) se situant dangereusement proche du plancher, ce qui confirme une tendance baissière dominante. Les statistiques descriptives révèlent une moyenne de 2 449 FCFA légèrement supérieure à la médiane de 2 388 FCFA, avec un mode à 2 000 FCFA — signe que la distribution est faiblement asymétrique à droite (skewness de 0,196, quasi symétrique) mais que le cours actuel s'est installé sous ses niveaux centraux historiques. L'écart-type de 285 FCFA et le coefficient de variation de 11,6% indiquent une dispersion modérée autour de la moyenne, mais la volatilité annualisée de **53,7%** classe le titre dans la catégorie **très volatile** (&gt;30%), exposant l'investisseur à des fluctuations erratiques. Le kurtosis négatif (-1,188, distribution platykurtique) suggère une faible concentration des rendements extrêmes — les mouvements violents sont moins fréquents qu'une loi normale ne le prédirait, mais la chute récente de -6,54% en une séance démontre que le risque de pics baissiers demeure bien réel.</w:t>
      </w:r>
    </w:p>
    <w:p>
      <w:pPr>
        <w:spacing w:after="120" w:line="276" w:lineRule="auto"/>
      </w:pPr>
      <w:r>
        <w:t>---</w:t>
      </w:r>
    </w:p>
    <w:p>
      <w:pPr>
        <w:spacing w:after="120" w:line="276" w:lineRule="auto"/>
      </w:pPr>
      <w:r>
        <w:t>## PARTIE 2 : ANALYSE TECHNIQUE DÉTAILLÉE</w:t>
      </w:r>
    </w:p>
    <w:p>
      <w:pPr>
        <w:spacing w:after="120" w:line="276" w:lineRule="auto"/>
      </w:pPr>
      <w:r>
        <w:t>**Moyennes Mobiles** : La MM20 (2 197,5 FCFA) et la MM50 (2 256,8 FCFA) se situent toutes deux au-dessus du cours actuel (2 000 FCFA), confirmant une configuration baissière où le prix évolue sous ses références moyennes. La MM20 étant inférieure à la MM50, on observe un croisement baissier (death cross) caractéristique d'un momentum négatif persistant. La décision technique qui en découle est logiquement **Vente**, le titre n'ayant pas encore trouvé de support durable pour inverser cette dynamique.</w:t>
      </w:r>
    </w:p>
    <w:p>
      <w:pPr>
        <w:spacing w:after="120" w:line="276" w:lineRule="auto"/>
      </w:pPr>
      <w:r>
        <w:t>**Bandes de Bollinger** : Le cours (2 000 FCFA) se situe dans la moitié inférieure de la bande, entre la borne inférieure (1 893,62 FCFA) et la borne supérieure (2 501,38 FCFA), sans toucher les extrêmes, ce qui traduit une volatilité en cours de normalisation après la chute récente. L'absence de contact avec la borne inférieure écarte pour l'instant un signal de survente technique extrême, mais la position basse du cours dans le canal confirme la pression baissière. La décision **Neutre** reflète cette situation d'équilibre précaire, le marché attendant un catalyseur directionnel.</w:t>
      </w:r>
    </w:p>
    <w:p>
      <w:pPr>
        <w:spacing w:after="120" w:line="276" w:lineRule="auto"/>
      </w:pPr>
      <w:r>
        <w:t>**MACD** : La valeur du MACD (-82,693) est nettement inférieure à sa ligne de signal (-65,704), avec un histogramme négatif — configuration baissière classique indiquant que le momentum à court terme reste défavorablement orienté. Cette divergence négative persistante suggère que la pression vendeuse n'est pas encore épuisée, bien que l'écart entre les deux lignes commence à se stabiliser. La décision **Vente** est cohérente avec cette dynamique de fond.</w:t>
      </w:r>
    </w:p>
    <w:p>
      <w:pPr>
        <w:spacing w:after="120" w:line="276" w:lineRule="auto"/>
      </w:pPr>
      <w:r>
        <w:t>**RSI** : À 35,437, le RSI se situe dans la zone neutre basse (30-70), sans atteindre le seuil de survente (&lt;30) qui déclencherait un signal d'achat contrarian. Cette position indique que le titre n'est pas encore techniquement "survendu" au sens strict, laissant la porte ouverte à une poursuite de la baisse avant un éventuel rebond. La décision **Neutre** traduit cette absence de signal extrême.</w:t>
      </w:r>
    </w:p>
    <w:p>
      <w:pPr>
        <w:spacing w:after="120" w:line="276" w:lineRule="auto"/>
      </w:pPr>
      <w:r>
        <w:t>**Stochastique** : Le %K à 0,0 et le %D à 11,667 affichent une configuration de survente marquée, le %K ayant touché son plancher absolu — signal potentiel de retournement à court terme si un croisement haussier se matérialise. La décision **Achat** qui en résulte est contrebalancée par la faiblesse des autres indicateurs, ce qui en fait un signal isolé à confirmer. Cette divergence entre le stochastique (achat) et les autres indicateurs (vente/neutre) illustre la phase d'incertitude actuelle.</w:t>
      </w:r>
    </w:p>
    <w:p>
      <w:pPr>
        <w:spacing w:after="120" w:line="276" w:lineRule="auto"/>
      </w:pPr>
      <w:r>
        <w:t>**Conclusion technique** : La convergence des signaux baissiers (MM, MACD) et neutres (Bollinger, RSI) domine largement le tableau, le stochastique en survente constituant le seul signal d'achat isolé. Le titre évolue sous ses moyennes mobiles avec un momentum négatif, mais la proximité du support des 1 920 FCFA et la survente stochastique pourraient favoriser un rebond technique à court terme. La prudence reste de mise tant que le cours n'aura pas reconquis la MM20 (2 197,5 FCFA).</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2024 (base brvm_donnees_financieres) révèlent une société au profil paradoxal : un chiffre d'affaires/PNB de **9,283 milliards FCFA** en croissance de **+9,05%**, mais un résultat net de seulement **376,96 millions FCFA**, soit une marge nette de **4,06%** — faible pour le secteur. Le ROE de **11,52%** reste correct sans être excellent (&lt;15%), tandis que le ROA de **2,69%** traduit une rentabilité des actifs modeste. Le coefficient d'exploitation de **95,83%** est particulièrement préoccupant : très au-dessus du seuil de 60% recommandé pour une banque efficace, il indique que les charges absorbent la quasi-totalité du PNB, ne laissant qu'une marge opérationnelle résiduelle. Le coût du risque de **3,10%** (provisions/charges financières) signale un portefeuille exposé, tandis que l'autonomie financière de **23,34%** (&lt;30%) et le ratio d'endettement de **80,09%** témoignent d'une structure financière fragile. La trésorerie nette est négative à **-2,143 milliards FCFA** et le fonds de roulement négatif (-3,883 Mds), exposant la société à un risque de liquidité réel.</w:t>
      </w:r>
    </w:p>
    <w:p>
      <w:pPr>
        <w:spacing w:after="120" w:line="276" w:lineRule="auto"/>
      </w:pPr>
      <w:r>
        <w:t>L'analyse des rapports narratifs officiels confirme et aggrave ce diagnostic. Le **rapport annuel 2025 (daté du 31/12/2025, analysé le 29/06/2026)** indique un CA de **10,075 milliards FCFA** (+8,53%) mais un résultat net en chute de **-52,4% à 179,29 millions FCFA**, avec une marge nette divisée par deux à **1,78%**. Le rapport souligne une dégradation du résultat financier (passé de +316 M à -114 M FCFA) et une trésorerie nette toujours négative (-1,660 Md FCFA, en amélioration toutefois). Le **rapport S1 2025 (daté du 30/06/2025)** affichait pourtant un résultat net de **512,9 millions FCFA** (+4,6%) et une marge nette de 10,5%, tandis que le **rapport T3 2025 (date inconnue)** confirmait une dynamique positive avec un résultat net de **832,5 millions FCFA** (+58%) et une marge nette de 11,0%. Cette divergence entre les performances trimestrielles 2025 (excellentes) et le résultat annuel 2025 (catastrophique) suggère un effondrement au T4 2025, probablement lié à des éléments non récurrents ou à une dégradation brutale des charges. **On estime** que si la dynamique des trois premiers trimestres 2025 s'était maintenue, le résultat net annuel aurait dû approcher 1,1 milliard FCFA — l'écart de près de 900 millions FCFA avec le chiffre publié constitue un signal d'alerte majeur sur la qualité des résultats et la gouvernance.</w:t>
      </w:r>
    </w:p>
    <w:p>
      <w:pPr>
        <w:spacing w:after="120" w:line="276" w:lineRule="auto"/>
      </w:pPr>
      <w:r>
        <w:t>Le changement de dénomination sociale (Air Liquide CI → Erium CI) et la cession complète de la participation d'Air Liquide International (72,08% à 0%, au cours de 230 FCFA/action en novembre 2025) ajoutent une incertitude stratégique majeure : le retrait de la maison mère française, historiquement garante de la solidité opérationnelle, au profit d'ERIUM LTD, laisse planer un doute sur la pérennité du modèle et la discipline financière. **Recommandation fondamentale** : la société présente un profil de croissance commerciale réelle mais une rentabilité et une structure financière dégradées, avec des risques de liquidité et de gouvernance élevés — la prudence est impérative.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baissière préoccupante. **En valorisation (Partie 0)**, les ratios PER (46,3x), P/B (5,34x) et EV/EBITDA (15,1x) indiquent une surévaluation manifeste au regard des fondamentaux, le marché intégrant des anticipations de croissance que les résultats 2025 ne confirment pas. **Le comportement du cours (Partie 1)** est franchement négatif (-29,82% sur 100 jours, -6,54% en J-1), avec une volatilité très élevée (53,7%) et une distribution platykurtique qui n'exclut pas des chocs baissiers brutaux. **Les signaux techniques (Partie 2)** sont majoritairement baissiers (MM, MACD) ou neutres (Bollinger, RSI), seul le stochastique en survente extrême (%K=0) offrant un espoir de rebond technique isolé et fragile. **Les fondamentaux (Partie 3)** sont alarmants : malgré un CA de 10,075 Mds FCFA en 2025 (+8,53%), le résultat net s'est effondré de -52,4% à 179,29 M FCFA, la marge nette à 1,78%, le coefficient d'exploitation à 95,83% et la trésorerie nette reste négative (-1,660 Md FCFA), le tout dans un contexte de changement d'actionnaire majoritaire (Air Liquide → Erium Ltd) générant une incertitude stratégique majeure. **Les prédictions IA (J+1 à J+10)** anticipent une légère reprise (2 054 → 2 065 FCFA, soit +3,25% sur 10 jours), ce qui contredit la tendance baissière récente mais reste cohérent avec un rebond technique post-survente stochastique — cette trajectoire haussière modérée ne suffit toutefois pas à inverser le tableau d'ensemble.</w:t>
      </w:r>
    </w:p>
    <w:p>
      <w:pPr>
        <w:spacing w:after="120" w:line="276" w:lineRule="auto"/>
      </w:pPr>
      <w:r>
        <w:t>**Recommandation finale : VENTE** (avec possibilité de CONSERVER pour les investisseurs déjà en position et tolérant le risque, dans l'attente d'une clarification stratégique post-changement d'actionnaire). La convergence des signaux baissiers — valorisation exigeante, technique dégradée, fondamentaux fragilisés et incertitude stratégique — l'emporte largement sur le rebond technique isolé du stochastique et les prédictions IA à court terme. **Niveau de confiance : Moyen** (les rapports trimestriels 2025 positifs créent une incertitude sur la capacité de rebond, mais le T4 2025 catastrophique et le changement d'actionnaire pèsent lourdement). **Niveau de risque global : Élevé** (volatilité 53,7%, trésorerie négative, endettement 80%, gouvernance en transition). **Horizon d'investissement suggéré : Court terme** pour les positions vendeuses (tirer parti du rebond technique vers 2 050-2 065 FCFA avant reprise de la baisse), **Moyen terme** pour une éventuelle réévaluation après publication des résultats 2026 et clarification de la stratégie d'ERIUM LTD — aucun horizon long terme n'est justifié en l'état actuel des fondamentaux.</w:t>
      </w:r>
    </w:p>
    <w:p>
      <w:pPr>
        <w:spacing w:after="120" w:line="276" w:lineRule="auto"/>
      </w:pPr>
      <w:r>
        <w:t>---</w:t>
      </w:r>
    </w:p>
    <w:p>
      <w:pPr>
        <w:spacing w:after="120" w:line="276" w:lineRule="auto"/>
      </w:pPr>
      <w:r>
        <w:t>*Rapport généré le 1er octobre 2026 — Sources : BRVM, états financiers 2024-2025, rapports trimestriels S1/T3 2025, communiqués officiels (changement de dénomination, franchissement de seuil). Les prédictions IA sont fournies à titre indicatif et ne constituent pas une garantie de performance.*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617.28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1,392 titres</w:t>
            </w:r>
          </w:p>
        </w:tc>
        <w:tc>
          <w:tcPr>
            <w:tcW w:type="dxa" w:w="2268"/>
            <w:shd w:fill="FFF2CC" w:val="clear"/>
          </w:tcPr>
          <w:p>
            <w:r>
              <w:rPr>
                <w:b/>
                <w:color w:val="503200"/>
                <w:sz w:val="16"/>
              </w:rPr>
              <w:t xml:space="preserve">Cours actuel : </w:t>
            </w:r>
            <w:r>
              <w:rPr>
                <w:color w:val="000000"/>
                <w:sz w:val="17"/>
              </w:rPr>
              <w:t>37,500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2.20% (Faible) — μ=38,283 FCFA, σ=844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β=0.0639 (Défensif) — Cov=0.000004, Var(idx)=0.000069, ρ=0.034,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σ_j=1.53%/j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37,387</w:t>
            </w:r>
          </w:p>
        </w:tc>
        <w:tc>
          <w:tcPr>
            <w:tcW w:type="dxa" w:w="1440"/>
            <w:shd w:fill="FAFAFA" w:val="clear"/>
          </w:tcPr>
          <w:p>
            <w:r>
              <w:rPr>
                <w:b/>
                <w:sz w:val="17"/>
              </w:rPr>
              <w:t>37,965</w:t>
            </w:r>
          </w:p>
        </w:tc>
        <w:tc>
          <w:tcPr>
            <w:tcW w:type="dxa" w:w="1440"/>
            <w:shd w:fill="FAFAFA" w:val="clear"/>
          </w:tcPr>
          <w:p>
            <w:r>
              <w:rPr>
                <w:sz w:val="17"/>
              </w:rPr>
              <w:t>38,542</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37,239</w:t>
            </w:r>
          </w:p>
        </w:tc>
        <w:tc>
          <w:tcPr>
            <w:tcW w:type="dxa" w:w="1440"/>
            <w:shd w:fill="FAFAFA" w:val="clear"/>
          </w:tcPr>
          <w:p>
            <w:r>
              <w:rPr>
                <w:b/>
                <w:sz w:val="17"/>
              </w:rPr>
              <w:t>38,057</w:t>
            </w:r>
          </w:p>
        </w:tc>
        <w:tc>
          <w:tcPr>
            <w:tcW w:type="dxa" w:w="1440"/>
            <w:shd w:fill="FAFAFA" w:val="clear"/>
          </w:tcPr>
          <w:p>
            <w:r>
              <w:rPr>
                <w:sz w:val="17"/>
              </w:rPr>
              <w:t>38,876</w:t>
            </w:r>
          </w:p>
        </w:tc>
        <w:tc>
          <w:tcPr>
            <w:tcW w:type="dxa" w:w="1440"/>
            <w:shd w:fill="FAFAFA" w:val="clear"/>
          </w:tcPr>
          <w:p>
            <w:r>
              <w:rPr>
                <w:b/>
                <w:color w:val="008000"/>
                <w:sz w:val="17"/>
              </w:rPr>
              <w:t>+1.5%</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37,203</w:t>
            </w:r>
          </w:p>
        </w:tc>
        <w:tc>
          <w:tcPr>
            <w:tcW w:type="dxa" w:w="1440"/>
            <w:shd w:fill="FAFAFA" w:val="clear"/>
          </w:tcPr>
          <w:p>
            <w:r>
              <w:rPr>
                <w:b/>
                <w:sz w:val="17"/>
              </w:rPr>
              <w:t>38,209</w:t>
            </w:r>
          </w:p>
        </w:tc>
        <w:tc>
          <w:tcPr>
            <w:tcW w:type="dxa" w:w="1440"/>
            <w:shd w:fill="FAFAFA" w:val="clear"/>
          </w:tcPr>
          <w:p>
            <w:r>
              <w:rPr>
                <w:sz w:val="17"/>
              </w:rPr>
              <w:t>39,216</w:t>
            </w:r>
          </w:p>
        </w:tc>
        <w:tc>
          <w:tcPr>
            <w:tcW w:type="dxa" w:w="1440"/>
            <w:shd w:fill="FAFAFA" w:val="clear"/>
          </w:tcPr>
          <w:p>
            <w:r>
              <w:rPr>
                <w:b/>
                <w:color w:val="008000"/>
                <w:sz w:val="17"/>
              </w:rPr>
              <w:t>+1.9%</w:t>
            </w:r>
          </w:p>
        </w:tc>
      </w:tr>
      <w:tr>
        <w:tc>
          <w:tcPr>
            <w:tcW w:type="dxa" w:w="1440"/>
            <w:shd w:fill="C6EFCE" w:val="clear"/>
          </w:tcPr>
          <w:p>
            <w:r>
              <w:rPr>
                <w:sz w:val="17"/>
              </w:rPr>
              <w:t>J+4  Moyenne</w:t>
            </w:r>
          </w:p>
        </w:tc>
        <w:tc>
          <w:tcPr>
            <w:tcW w:type="dxa" w:w="1440"/>
            <w:shd w:fill="C6EFCE" w:val="clear"/>
          </w:tcPr>
          <w:p>
            <w:r>
              <w:rPr>
                <w:sz w:val="17"/>
              </w:rPr>
              <w:t>2026-10-06</w:t>
            </w:r>
          </w:p>
        </w:tc>
        <w:tc>
          <w:tcPr>
            <w:tcW w:type="dxa" w:w="1440"/>
            <w:shd w:fill="C6EFCE" w:val="clear"/>
          </w:tcPr>
          <w:p>
            <w:r>
              <w:rPr>
                <w:sz w:val="17"/>
              </w:rPr>
              <w:t>37,201</w:t>
            </w:r>
          </w:p>
        </w:tc>
        <w:tc>
          <w:tcPr>
            <w:tcW w:type="dxa" w:w="1440"/>
            <w:shd w:fill="C6EFCE" w:val="clear"/>
          </w:tcPr>
          <w:p>
            <w:r>
              <w:rPr>
                <w:b/>
                <w:sz w:val="17"/>
              </w:rPr>
              <w:t>38,368</w:t>
            </w:r>
          </w:p>
        </w:tc>
        <w:tc>
          <w:tcPr>
            <w:tcW w:type="dxa" w:w="1440"/>
            <w:shd w:fill="C6EFCE" w:val="clear"/>
          </w:tcPr>
          <w:p>
            <w:r>
              <w:rPr>
                <w:sz w:val="17"/>
              </w:rPr>
              <w:t>39,535</w:t>
            </w:r>
          </w:p>
        </w:tc>
        <w:tc>
          <w:tcPr>
            <w:tcW w:type="dxa" w:w="1440"/>
            <w:shd w:fill="C6EFCE" w:val="clear"/>
          </w:tcPr>
          <w:p>
            <w:r>
              <w:rPr>
                <w:b/>
                <w:color w:val="008000"/>
                <w:sz w:val="17"/>
              </w:rPr>
              <w:t>+2.3%</w:t>
            </w:r>
          </w:p>
        </w:tc>
      </w:tr>
      <w:tr>
        <w:tc>
          <w:tcPr>
            <w:tcW w:type="dxa" w:w="1440"/>
            <w:shd w:fill="C6EFCE" w:val="clear"/>
          </w:tcPr>
          <w:p>
            <w:r>
              <w:rPr>
                <w:sz w:val="17"/>
              </w:rPr>
              <w:t>J+5  Moyenne</w:t>
            </w:r>
          </w:p>
        </w:tc>
        <w:tc>
          <w:tcPr>
            <w:tcW w:type="dxa" w:w="1440"/>
            <w:shd w:fill="C6EFCE" w:val="clear"/>
          </w:tcPr>
          <w:p>
            <w:r>
              <w:rPr>
                <w:sz w:val="17"/>
              </w:rPr>
              <w:t>2026-10-07</w:t>
            </w:r>
          </w:p>
        </w:tc>
        <w:tc>
          <w:tcPr>
            <w:tcW w:type="dxa" w:w="1440"/>
            <w:shd w:fill="C6EFCE" w:val="clear"/>
          </w:tcPr>
          <w:p>
            <w:r>
              <w:rPr>
                <w:sz w:val="17"/>
              </w:rPr>
              <w:t>37,212</w:t>
            </w:r>
          </w:p>
        </w:tc>
        <w:tc>
          <w:tcPr>
            <w:tcW w:type="dxa" w:w="1440"/>
            <w:shd w:fill="C6EFCE" w:val="clear"/>
          </w:tcPr>
          <w:p>
            <w:r>
              <w:rPr>
                <w:b/>
                <w:sz w:val="17"/>
              </w:rPr>
              <w:t>38,522</w:t>
            </w:r>
          </w:p>
        </w:tc>
        <w:tc>
          <w:tcPr>
            <w:tcW w:type="dxa" w:w="1440"/>
            <w:shd w:fill="C6EFCE" w:val="clear"/>
          </w:tcPr>
          <w:p>
            <w:r>
              <w:rPr>
                <w:sz w:val="17"/>
              </w:rPr>
              <w:t>39,832</w:t>
            </w:r>
          </w:p>
        </w:tc>
        <w:tc>
          <w:tcPr>
            <w:tcW w:type="dxa" w:w="1440"/>
            <w:shd w:fill="C6EFCE" w:val="clear"/>
          </w:tcPr>
          <w:p>
            <w:r>
              <w:rPr>
                <w:b/>
                <w:color w:val="008000"/>
                <w:sz w:val="17"/>
              </w:rPr>
              <w:t>+2.7%</w:t>
            </w:r>
          </w:p>
        </w:tc>
      </w:tr>
      <w:tr>
        <w:tc>
          <w:tcPr>
            <w:tcW w:type="dxa" w:w="1440"/>
            <w:shd w:fill="C6EFCE" w:val="clear"/>
          </w:tcPr>
          <w:p>
            <w:r>
              <w:rPr>
                <w:sz w:val="17"/>
              </w:rPr>
              <w:t>J+6  Moyenne</w:t>
            </w:r>
          </w:p>
        </w:tc>
        <w:tc>
          <w:tcPr>
            <w:tcW w:type="dxa" w:w="1440"/>
            <w:shd w:fill="C6EFCE" w:val="clear"/>
          </w:tcPr>
          <w:p>
            <w:r>
              <w:rPr>
                <w:sz w:val="17"/>
              </w:rPr>
              <w:t>2026-10-08</w:t>
            </w:r>
          </w:p>
        </w:tc>
        <w:tc>
          <w:tcPr>
            <w:tcW w:type="dxa" w:w="1440"/>
            <w:shd w:fill="C6EFCE" w:val="clear"/>
          </w:tcPr>
          <w:p>
            <w:r>
              <w:rPr>
                <w:sz w:val="17"/>
              </w:rPr>
              <w:t>37,230</w:t>
            </w:r>
          </w:p>
        </w:tc>
        <w:tc>
          <w:tcPr>
            <w:tcW w:type="dxa" w:w="1440"/>
            <w:shd w:fill="C6EFCE" w:val="clear"/>
          </w:tcPr>
          <w:p>
            <w:r>
              <w:rPr>
                <w:b/>
                <w:sz w:val="17"/>
              </w:rPr>
              <w:t>38,671</w:t>
            </w:r>
          </w:p>
        </w:tc>
        <w:tc>
          <w:tcPr>
            <w:tcW w:type="dxa" w:w="1440"/>
            <w:shd w:fill="C6EFCE" w:val="clear"/>
          </w:tcPr>
          <w:p>
            <w:r>
              <w:rPr>
                <w:sz w:val="17"/>
              </w:rPr>
              <w:t>40,111</w:t>
            </w:r>
          </w:p>
        </w:tc>
        <w:tc>
          <w:tcPr>
            <w:tcW w:type="dxa" w:w="1440"/>
            <w:shd w:fill="C6EFCE" w:val="clear"/>
          </w:tcPr>
          <w:p>
            <w:r>
              <w:rPr>
                <w:b/>
                <w:color w:val="008000"/>
                <w:sz w:val="17"/>
              </w:rPr>
              <w:t>+3.1%</w:t>
            </w:r>
          </w:p>
        </w:tc>
      </w:tr>
      <w:tr>
        <w:tc>
          <w:tcPr>
            <w:tcW w:type="dxa" w:w="1440"/>
            <w:shd w:fill="C6EFCE" w:val="clear"/>
          </w:tcPr>
          <w:p>
            <w:r>
              <w:rPr>
                <w:sz w:val="17"/>
              </w:rPr>
              <w:t>J+7  Moyenne</w:t>
            </w:r>
          </w:p>
        </w:tc>
        <w:tc>
          <w:tcPr>
            <w:tcW w:type="dxa" w:w="1440"/>
            <w:shd w:fill="C6EFCE" w:val="clear"/>
          </w:tcPr>
          <w:p>
            <w:r>
              <w:rPr>
                <w:sz w:val="17"/>
              </w:rPr>
              <w:t>2026-10-09</w:t>
            </w:r>
          </w:p>
        </w:tc>
        <w:tc>
          <w:tcPr>
            <w:tcW w:type="dxa" w:w="1440"/>
            <w:shd w:fill="C6EFCE" w:val="clear"/>
          </w:tcPr>
          <w:p>
            <w:r>
              <w:rPr>
                <w:sz w:val="17"/>
              </w:rPr>
              <w:t>37,253</w:t>
            </w:r>
          </w:p>
        </w:tc>
        <w:tc>
          <w:tcPr>
            <w:tcW w:type="dxa" w:w="1440"/>
            <w:shd w:fill="C6EFCE" w:val="clear"/>
          </w:tcPr>
          <w:p>
            <w:r>
              <w:rPr>
                <w:b/>
                <w:sz w:val="17"/>
              </w:rPr>
              <w:t>38,815</w:t>
            </w:r>
          </w:p>
        </w:tc>
        <w:tc>
          <w:tcPr>
            <w:tcW w:type="dxa" w:w="1440"/>
            <w:shd w:fill="C6EFCE" w:val="clear"/>
          </w:tcPr>
          <w:p>
            <w:r>
              <w:rPr>
                <w:sz w:val="17"/>
              </w:rPr>
              <w:t>40,376</w:t>
            </w:r>
          </w:p>
        </w:tc>
        <w:tc>
          <w:tcPr>
            <w:tcW w:type="dxa" w:w="1440"/>
            <w:shd w:fill="C6EFCE" w:val="clear"/>
          </w:tcPr>
          <w:p>
            <w:r>
              <w:rPr>
                <w:b/>
                <w:color w:val="008000"/>
                <w:sz w:val="17"/>
              </w:rPr>
              <w:t>+3.5%</w:t>
            </w:r>
          </w:p>
        </w:tc>
      </w:tr>
      <w:tr>
        <w:tc>
          <w:tcPr>
            <w:tcW w:type="dxa" w:w="1440"/>
            <w:shd w:fill="C6EFCE" w:val="clear"/>
          </w:tcPr>
          <w:p>
            <w:r>
              <w:rPr>
                <w:sz w:val="17"/>
              </w:rPr>
              <w:t>J+8  Moyenne</w:t>
            </w:r>
          </w:p>
        </w:tc>
        <w:tc>
          <w:tcPr>
            <w:tcW w:type="dxa" w:w="1440"/>
            <w:shd w:fill="C6EFCE" w:val="clear"/>
          </w:tcPr>
          <w:p>
            <w:r>
              <w:rPr>
                <w:sz w:val="17"/>
              </w:rPr>
              <w:t>2026-10-12</w:t>
            </w:r>
          </w:p>
        </w:tc>
        <w:tc>
          <w:tcPr>
            <w:tcW w:type="dxa" w:w="1440"/>
            <w:shd w:fill="C6EFCE" w:val="clear"/>
          </w:tcPr>
          <w:p>
            <w:r>
              <w:rPr>
                <w:sz w:val="17"/>
              </w:rPr>
              <w:t>37,279</w:t>
            </w:r>
          </w:p>
        </w:tc>
        <w:tc>
          <w:tcPr>
            <w:tcW w:type="dxa" w:w="1440"/>
            <w:shd w:fill="C6EFCE" w:val="clear"/>
          </w:tcPr>
          <w:p>
            <w:r>
              <w:rPr>
                <w:b/>
                <w:sz w:val="17"/>
              </w:rPr>
              <w:t>38,954</w:t>
            </w:r>
          </w:p>
        </w:tc>
        <w:tc>
          <w:tcPr>
            <w:tcW w:type="dxa" w:w="1440"/>
            <w:shd w:fill="C6EFCE" w:val="clear"/>
          </w:tcPr>
          <w:p>
            <w:r>
              <w:rPr>
                <w:sz w:val="17"/>
              </w:rPr>
              <w:t>40,630</w:t>
            </w:r>
          </w:p>
        </w:tc>
        <w:tc>
          <w:tcPr>
            <w:tcW w:type="dxa" w:w="1440"/>
            <w:shd w:fill="C6EFCE" w:val="clear"/>
          </w:tcPr>
          <w:p>
            <w:r>
              <w:rPr>
                <w:b/>
                <w:color w:val="008000"/>
                <w:sz w:val="17"/>
              </w:rPr>
              <w:t>+3.9%</w:t>
            </w:r>
          </w:p>
        </w:tc>
      </w:tr>
      <w:tr>
        <w:tc>
          <w:tcPr>
            <w:tcW w:type="dxa" w:w="1440"/>
            <w:shd w:fill="C6EFCE" w:val="clear"/>
          </w:tcPr>
          <w:p>
            <w:r>
              <w:rPr>
                <w:sz w:val="17"/>
              </w:rPr>
              <w:t>J+9  Moyenne</w:t>
            </w:r>
          </w:p>
        </w:tc>
        <w:tc>
          <w:tcPr>
            <w:tcW w:type="dxa" w:w="1440"/>
            <w:shd w:fill="C6EFCE" w:val="clear"/>
          </w:tcPr>
          <w:p>
            <w:r>
              <w:rPr>
                <w:sz w:val="17"/>
              </w:rPr>
              <w:t>2026-10-13</w:t>
            </w:r>
          </w:p>
        </w:tc>
        <w:tc>
          <w:tcPr>
            <w:tcW w:type="dxa" w:w="1440"/>
            <w:shd w:fill="C6EFCE" w:val="clear"/>
          </w:tcPr>
          <w:p>
            <w:r>
              <w:rPr>
                <w:sz w:val="17"/>
              </w:rPr>
              <w:t>37,307</w:t>
            </w:r>
          </w:p>
        </w:tc>
        <w:tc>
          <w:tcPr>
            <w:tcW w:type="dxa" w:w="1440"/>
            <w:shd w:fill="C6EFCE" w:val="clear"/>
          </w:tcPr>
          <w:p>
            <w:r>
              <w:rPr>
                <w:b/>
                <w:sz w:val="17"/>
              </w:rPr>
              <w:t>39,090</w:t>
            </w:r>
          </w:p>
        </w:tc>
        <w:tc>
          <w:tcPr>
            <w:tcW w:type="dxa" w:w="1440"/>
            <w:shd w:fill="C6EFCE" w:val="clear"/>
          </w:tcPr>
          <w:p>
            <w:r>
              <w:rPr>
                <w:sz w:val="17"/>
              </w:rPr>
              <w:t>40,874</w:t>
            </w:r>
          </w:p>
        </w:tc>
        <w:tc>
          <w:tcPr>
            <w:tcW w:type="dxa" w:w="1440"/>
            <w:shd w:fill="C6EFCE" w:val="clear"/>
          </w:tcPr>
          <w:p>
            <w:r>
              <w:rPr>
                <w:b/>
                <w:color w:val="008000"/>
                <w:sz w:val="17"/>
              </w:rPr>
              <w:t>+4.2%</w:t>
            </w:r>
          </w:p>
        </w:tc>
      </w:tr>
      <w:tr>
        <w:tc>
          <w:tcPr>
            <w:tcW w:type="dxa" w:w="1440"/>
            <w:shd w:fill="C6EFCE" w:val="clear"/>
          </w:tcPr>
          <w:p>
            <w:r>
              <w:rPr>
                <w:sz w:val="17"/>
              </w:rPr>
              <w:t>J+10  Moyenne</w:t>
            </w:r>
          </w:p>
        </w:tc>
        <w:tc>
          <w:tcPr>
            <w:tcW w:type="dxa" w:w="1440"/>
            <w:shd w:fill="C6EFCE" w:val="clear"/>
          </w:tcPr>
          <w:p>
            <w:r>
              <w:rPr>
                <w:sz w:val="17"/>
              </w:rPr>
              <w:t>2026-10-14</w:t>
            </w:r>
          </w:p>
        </w:tc>
        <w:tc>
          <w:tcPr>
            <w:tcW w:type="dxa" w:w="1440"/>
            <w:shd w:fill="C6EFCE" w:val="clear"/>
          </w:tcPr>
          <w:p>
            <w:r>
              <w:rPr>
                <w:sz w:val="17"/>
              </w:rPr>
              <w:t>37,337</w:t>
            </w:r>
          </w:p>
        </w:tc>
        <w:tc>
          <w:tcPr>
            <w:tcW w:type="dxa" w:w="1440"/>
            <w:shd w:fill="C6EFCE" w:val="clear"/>
          </w:tcPr>
          <w:p>
            <w:r>
              <w:rPr>
                <w:b/>
                <w:sz w:val="17"/>
              </w:rPr>
              <w:t>39,224</w:t>
            </w:r>
          </w:p>
        </w:tc>
        <w:tc>
          <w:tcPr>
            <w:tcW w:type="dxa" w:w="1440"/>
            <w:shd w:fill="C6EFCE" w:val="clear"/>
          </w:tcPr>
          <w:p>
            <w:r>
              <w:rPr>
                <w:sz w:val="17"/>
              </w:rPr>
              <w:t>41,110</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Secteur : Entreprise non bancaire (Boissons)*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617,28 Mds FCFA, SLBC s'impose comme l'une des plus importantes capitalisations de la BRVM, ce qui en fait une valeur de premier plan pour les investisseurs institutionnels régionaux. Le BPA de 2 781 FCFA/action signifie que chaque titre génère près de 2 800 FCFA de bénéfice net, un niveau élevé qui traduit la forte rentabilité de l'entreprise. Le PER de 13,5x se situe légèrement au-dessus de la moyenne BRVM (8-12x), mais reste modéré au regard de la croissance exceptionnelle du résultat net (+113% en 2025), ce qui suggère que le marché n'intègre pas encore pleinement la dynamique bénéficiaire. Le P/B de 3,16x indique que le marché valorise l'action à plus de trois fois sa valeur comptable, une prime de croissance justifiée par un ROE de 23,46% et une structure financière solide. Enfin, l'EV/EBITDA de 7,3x, dans la fourchette raisonnable de 5-10x, confirme que la valeur d'entreprise reste cohérente avec la capacité opérationnelle de génération de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totale de +0,00%, traduisant une phase de stagnation, tandis que la dernière séance (J-1) enregistre un repli de -0,79% à 37 500 FCFA. Le range de trading est relativement étroit, avec un plus haut à 41 500 FCFA et un plus bas à 36 900 FCFA, soit une amplitude de seulement 12,5%, ce qui témoigne d'une certaine stabilité mais aussi d'un manque de catalyseurs haussiers récents. La tendance générale est donc stable, avec une légère pression baissière en fin de période. Les statistiques descriptives révèlent une moyenne de 38 283 FCFA légèrement supérieure à la médiane de 38 000 FCFA, et un mode identique à 38 000 FCFA, ce qui indique une distribution quasi-symétrique avec une très légère asymétrie positive (skewness de 0,861), signifiant que davantage de journées se sont négociées sous la moyenne. L'écart-type de 848 FCFA et le coefficient de variation de 2,2% confirment une dispersion très faible du cours, tandis que le kurtosis de 0,875 (mésokurtique) suggère une distribution proche de la normale, sans risque majeur de pics extrêmes. La volatilité annualisée de 24,4% positionne le titre dans la catégorie modérée (15-30%), ce qui est cohérent avec une valeur de fonds de pension plutôt qu'une valeur spéculative.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(37 836,5 FCFA) et la MM50 (37 892,0 FCFA) sont toutes deux supérieures au cours actuel de 37 500 FCFA, ce qui place le titre en position baissière à court et moyen terme. La MM20 étant légèrement en dessous de la MM50, on observe un croisement baissier (death cross) qui justifie la décision de vente.</w:t>
      </w:r>
    </w:p>
    <w:p>
      <w:pPr>
        <w:spacing w:after="120" w:line="276" w:lineRule="auto"/>
      </w:pPr>
      <w:r>
        <w:t>**Bandes de Bollinger** : Le cours actuel (37 500 FCFA) se situe dans la partie basse de la bande, entre la borne inférieure (37 342,28 FCFA) et la borne supérieure (38 330,72 FCFA). La largeur relativement étroite des bandes indique une faible volatilité, et la position du cours près de la borne inférieure suggère une pression vendeuse, mais la décision reste neutre car le cours n'a pas encore cassé la borne inférieure.</w:t>
      </w:r>
    </w:p>
    <w:p>
      <w:pPr>
        <w:spacing w:after="120" w:line="276" w:lineRule="auto"/>
      </w:pPr>
      <w:r>
        <w:t>**MACD** : La valeur du MACD (-27,131) est nettement inférieure à son signal (-3,442), avec un histogramme négatif, ce qui confirme un momentum baissier. La divergence entre les deux lignes justifie pleinement la décision de vente, bien que l'écart commence peut-être à se stabiliser.</w:t>
      </w:r>
    </w:p>
    <w:p>
      <w:pPr>
        <w:spacing w:after="120" w:line="276" w:lineRule="auto"/>
      </w:pPr>
      <w:r>
        <w:t>**RSI** : À 30,0, le RSI se situe exactement à la frontière de la zone de survente (seuil de 30), ce qui indique que le titre est proche d'un niveau de rebond potentiel. La décision est neutre car le RSI n'est pas encore en survente franche, mais cette valeur extrême mérite une surveillance attentive.</w:t>
      </w:r>
    </w:p>
    <w:p>
      <w:pPr>
        <w:spacing w:after="120" w:line="276" w:lineRule="auto"/>
      </w:pPr>
      <w:r>
        <w:t>**Stochastique** : Le %K et le %D sont tous deux à 0,0, ce qui est un signal extrême de survente. Cette configuration, bien que rare, suggère que le titre est survendu de manière significative et qu'un rebond technique est probable à très court terme, justifiant la décision d'achat.</w:t>
      </w:r>
    </w:p>
    <w:p>
      <w:pPr>
        <w:spacing w:after="120" w:line="276" w:lineRule="auto"/>
      </w:pPr>
      <w:r>
        <w:t>**Conclusion technique** : Les indicateurs sont majoritairement baissiers (MM, MACD), mais les oscillateurs (RSI à 30, Stochastique à 0) signalent une survente extrême qui pourrait précéder un rebond technique. La convergence entre le RSI et le Stochastique suggère que le potentiel de baisse est limité à court terme, mais la tendance de fond reste fragile tant que le cours ne repasse pas au-dessus des moyennes mobiles.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données structurées officielles de SLBC révèlent une performance exceptionnelle : le chiffre d'affaires s'établit à 378,123 Mds FCFA, en croissance de 22,08% par rapport à 2024, tandis que le résultat net atteint 45,781 Mds FCFA, soit une marge nette de 12,11%. Le ROE de 23,46% et le ROA de 13,48% confirment une rentabilité capitalistique excellente, bien supérieure aux standards du secteur. La structure financière est saine avec une autonomie financière de 57,48%, un ratio d'endettement de 42,52% et une trésorerie nette positive de 22,117 Mds FCFA. Concernant le besoin en fonds de roulement (BFR), il s'élève à 61,587 Mds FCFA, avec un délai client de 64,27 jours (risque de trésorerie modéré) et un délai fournisseur de 76,82 jours (favorable à la trésorerie), tandis que la durée de stockage de 117,32 jours reste élevée et immobilise du capital. Le rapport annuel 2025 (analysé le 20/05/2026) confirme cette dynamique, avec un EBE de 87,445 Mds FCFA (+52%) et une CAF de 69,895 Mds FCFA, permettant un free cash-flow de 60,867 Mds FCFA. Le rapport T1 2026 (publié en 2026) indique une poursuite de la croissance avec un CA de 93,46 Mds FCFA (+7,6%) et un résultat net de 16,26 Mds FCFA (+4,8%), ce qui permet d'estimer un exercice 2026 en croissance modérée mais durable, avec un résultat net annualisé potentiel autour de 65 Mds FCFA. La politique de dividende est très généreuse, avec un dividende proposé de 2 127 FCFA/action (rendement de 5,67% au cours actuel), représentant un payout de 76,5% du bénéfice net. Les risques identifiés incluent la dépendance aux matières premières (90 Mds FCFA d'achats exposés à la volatilité), la concentration géographique sur le marché ivoirien, et la soutenabilité de la croissance à deux chiffres. Néanmoins, la solidité du bilan, la position de leader et la dynamique commerciale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(PER 13,5x, P/B 3,16x, EV/EBITDA 7,3x) apparaît raisonnable au regard de la croissance bénéficiaire exceptionnelle de 2025 (+113%), suggérant une légère sous-évaluation si l'on considère le potentiel de poursuite de la dynamique en 2026. Le comportement du cours sur 100 jours est stable (+0,00%), avec une volatilité modérée (24,4%) et une distribution quasi-normale (kurtosis 0,875, skewness 0,861), ce qui est rassurant pour un investisseur averse au risque, mais le titre stagne sous ses moyennes mobiles. Les signaux techniques sont divergents : les indicateurs de tendance (MM, MACD) sont baissiers, tandis que les oscillateurs (RSI à 30, Stochastique à 0) signalent une survente extrême propice à un rebond technique à court terme. Les fondamentaux sont solides : croissance du CA (+22%), rentabilité élevée (ROE 23,46%, ROA 13,48%), structure financière saine (autonomie 57,48%) et dividende attractif (rendement 5,67%), avec une estimation de poursuite de la croissance en 2026 sur la base du T1 (+7,6% de CA). Les prédictions IA (J+1 à J+10) anticipent une trajectoire haussière modérée, avec un cours cible de 38 522 FCFA à J+10 (+2,7%), ce qui confirme le potentiel de rebond technique sans pour autant contredire la tendance de fond encore fragile. Sur la base de cette synthèse, la recommandation finale est **CONSERVER**, avec une convergence partielle entre la valorisation attractive, les fondamentaux solides et les prédictions haussières, mais une divergence avec les signaux techniques baissiers à court terme. Le niveau de confiance est **Moyen** (les fondamentaux sont excellents mais le momentum technique reste négatif) et le niveau de risque global est **Moyen** (volatilité modérée, dépendance aux matières premières et concentration géographique). L'horizon d'investissement optimal est le **moyen terme (3-12 mois)**, en attendant la confirmation d'un retournement technique au-dessus des moyennes mobiles et la validation des résultats semestriels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1,655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+38.66%</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11,900 FCFA</w:t>
            </w:r>
          </w:p>
          <w:p>
            <w:r>
              <w:rPr>
                <w:b/>
                <w:color w:val="503200"/>
                <w:sz w:val="16"/>
              </w:rPr>
              <w:t xml:space="preserve">Volatilité ann. : </w:t>
            </w:r>
            <w:r>
              <w:rPr>
                <w:color w:val="000000"/>
                <w:sz w:val="17"/>
              </w:rPr>
              <w:t>41.9%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10.49% (Moyenne) — μ=15,891 FCFA, σ=1,667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β=0.5056 (Défensif) — Cov=0.000035, Var(idx)=0.000069, ρ=0.159,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σ_j=2.64%/j (Stable) — Vol. annualisée≈41.9%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15,590</w:t>
            </w:r>
          </w:p>
        </w:tc>
        <w:tc>
          <w:tcPr>
            <w:tcW w:type="dxa" w:w="1440"/>
            <w:shd w:fill="FAFAFA" w:val="clear"/>
          </w:tcPr>
          <w:p>
            <w:r>
              <w:rPr>
                <w:b/>
                <w:sz w:val="17"/>
              </w:rPr>
              <w:t>16,317</w:t>
            </w:r>
          </w:p>
        </w:tc>
        <w:tc>
          <w:tcPr>
            <w:tcW w:type="dxa" w:w="1440"/>
            <w:shd w:fill="FAFAFA" w:val="clear"/>
          </w:tcPr>
          <w:p>
            <w:r>
              <w:rPr>
                <w:sz w:val="17"/>
              </w:rPr>
              <w:t>17,045</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15,252</w:t>
            </w:r>
          </w:p>
        </w:tc>
        <w:tc>
          <w:tcPr>
            <w:tcW w:type="dxa" w:w="1440"/>
            <w:shd w:fill="FAFAFA" w:val="clear"/>
          </w:tcPr>
          <w:p>
            <w:r>
              <w:rPr>
                <w:b/>
                <w:sz w:val="17"/>
              </w:rPr>
              <w:t>16,278</w:t>
            </w:r>
          </w:p>
        </w:tc>
        <w:tc>
          <w:tcPr>
            <w:tcW w:type="dxa" w:w="1440"/>
            <w:shd w:fill="FAFAFA" w:val="clear"/>
          </w:tcPr>
          <w:p>
            <w:r>
              <w:rPr>
                <w:sz w:val="17"/>
              </w:rPr>
              <w:t>17,305</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14,980</w:t>
            </w:r>
          </w:p>
        </w:tc>
        <w:tc>
          <w:tcPr>
            <w:tcW w:type="dxa" w:w="1440"/>
            <w:shd w:fill="FAFAFA" w:val="clear"/>
          </w:tcPr>
          <w:p>
            <w:r>
              <w:rPr>
                <w:b/>
                <w:sz w:val="17"/>
              </w:rPr>
              <w:t>16,234</w:t>
            </w:r>
          </w:p>
        </w:tc>
        <w:tc>
          <w:tcPr>
            <w:tcW w:type="dxa" w:w="1440"/>
            <w:shd w:fill="FAFAFA" w:val="clear"/>
          </w:tcPr>
          <w:p>
            <w:r>
              <w:rPr>
                <w:sz w:val="17"/>
              </w:rPr>
              <w:t>17,487</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14,752</w:t>
            </w:r>
          </w:p>
        </w:tc>
        <w:tc>
          <w:tcPr>
            <w:tcW w:type="dxa" w:w="1440"/>
            <w:shd w:fill="FAFAFA" w:val="clear"/>
          </w:tcPr>
          <w:p>
            <w:r>
              <w:rPr>
                <w:b/>
                <w:sz w:val="17"/>
              </w:rPr>
              <w:t>16,197</w:t>
            </w:r>
          </w:p>
        </w:tc>
        <w:tc>
          <w:tcPr>
            <w:tcW w:type="dxa" w:w="1440"/>
            <w:shd w:fill="FAFAFA" w:val="clear"/>
          </w:tcPr>
          <w:p>
            <w:r>
              <w:rPr>
                <w:sz w:val="17"/>
              </w:rPr>
              <w:t>17,641</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14,551</w:t>
            </w:r>
          </w:p>
        </w:tc>
        <w:tc>
          <w:tcPr>
            <w:tcW w:type="dxa" w:w="1440"/>
            <w:shd w:fill="FFDCE0" w:val="clear"/>
          </w:tcPr>
          <w:p>
            <w:r>
              <w:rPr>
                <w:b/>
                <w:sz w:val="17"/>
              </w:rPr>
              <w:t>16,162</w:t>
            </w:r>
          </w:p>
        </w:tc>
        <w:tc>
          <w:tcPr>
            <w:tcW w:type="dxa" w:w="1440"/>
            <w:shd w:fill="FFDCE0" w:val="clear"/>
          </w:tcPr>
          <w:p>
            <w:r>
              <w:rPr>
                <w:sz w:val="17"/>
              </w:rPr>
              <w:t>17,773</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14,367</w:t>
            </w:r>
          </w:p>
        </w:tc>
        <w:tc>
          <w:tcPr>
            <w:tcW w:type="dxa" w:w="1440"/>
            <w:shd w:fill="FFDCE0" w:val="clear"/>
          </w:tcPr>
          <w:p>
            <w:r>
              <w:rPr>
                <w:b/>
                <w:sz w:val="17"/>
              </w:rPr>
              <w:t>16,128</w:t>
            </w:r>
          </w:p>
        </w:tc>
        <w:tc>
          <w:tcPr>
            <w:tcW w:type="dxa" w:w="1440"/>
            <w:shd w:fill="FFDCE0" w:val="clear"/>
          </w:tcPr>
          <w:p>
            <w:r>
              <w:rPr>
                <w:sz w:val="17"/>
              </w:rPr>
              <w:t>17,890</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14,197</w:t>
            </w:r>
          </w:p>
        </w:tc>
        <w:tc>
          <w:tcPr>
            <w:tcW w:type="dxa" w:w="1440"/>
            <w:shd w:fill="FFDCE0" w:val="clear"/>
          </w:tcPr>
          <w:p>
            <w:r>
              <w:rPr>
                <w:b/>
                <w:sz w:val="17"/>
              </w:rPr>
              <w:t>16,095</w:t>
            </w:r>
          </w:p>
        </w:tc>
        <w:tc>
          <w:tcPr>
            <w:tcW w:type="dxa" w:w="1440"/>
            <w:shd w:fill="FFDCE0" w:val="clear"/>
          </w:tcPr>
          <w:p>
            <w:r>
              <w:rPr>
                <w:sz w:val="17"/>
              </w:rPr>
              <w:t>17,994</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14,037</w:t>
            </w:r>
          </w:p>
        </w:tc>
        <w:tc>
          <w:tcPr>
            <w:tcW w:type="dxa" w:w="1440"/>
            <w:shd w:fill="FFDCE0" w:val="clear"/>
          </w:tcPr>
          <w:p>
            <w:r>
              <w:rPr>
                <w:b/>
                <w:sz w:val="17"/>
              </w:rPr>
              <w:t>16,063</w:t>
            </w:r>
          </w:p>
        </w:tc>
        <w:tc>
          <w:tcPr>
            <w:tcW w:type="dxa" w:w="1440"/>
            <w:shd w:fill="FFDCE0" w:val="clear"/>
          </w:tcPr>
          <w:p>
            <w:r>
              <w:rPr>
                <w:sz w:val="17"/>
              </w:rPr>
              <w:t>18,088</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13,887</w:t>
            </w:r>
          </w:p>
        </w:tc>
        <w:tc>
          <w:tcPr>
            <w:tcW w:type="dxa" w:w="1440"/>
            <w:shd w:fill="FFDCE0" w:val="clear"/>
          </w:tcPr>
          <w:p>
            <w:r>
              <w:rPr>
                <w:b/>
                <w:sz w:val="17"/>
              </w:rPr>
              <w:t>16,030</w:t>
            </w:r>
          </w:p>
        </w:tc>
        <w:tc>
          <w:tcPr>
            <w:tcW w:type="dxa" w:w="1440"/>
            <w:shd w:fill="FFDCE0" w:val="clear"/>
          </w:tcPr>
          <w:p>
            <w:r>
              <w:rPr>
                <w:sz w:val="17"/>
              </w:rPr>
              <w:t>18,174</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13,743</w:t>
            </w:r>
          </w:p>
        </w:tc>
        <w:tc>
          <w:tcPr>
            <w:tcW w:type="dxa" w:w="1440"/>
            <w:shd w:fill="FFDCE0" w:val="clear"/>
          </w:tcPr>
          <w:p>
            <w:r>
              <w:rPr>
                <w:b/>
                <w:sz w:val="17"/>
              </w:rPr>
              <w:t>15,999</w:t>
            </w:r>
          </w:p>
        </w:tc>
        <w:tc>
          <w:tcPr>
            <w:tcW w:type="dxa" w:w="1440"/>
            <w:shd w:fill="FFDCE0" w:val="clear"/>
          </w:tcPr>
          <w:p>
            <w:r>
              <w:rPr>
                <w:sz w:val="17"/>
              </w:rPr>
              <w:t>18,254</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(bitumes/pétrochimie)**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128,62 milliards FCFA, SMBC se positionne comme une valeur de taille intermédiaire sur la BRVM, représentative du compartiment industriel de la cote. Le BPA de 1 677 FCFA/action signifie que chaque titre génère près de 1 677 FCFA de bénéfice net, ce qui, rapporté au cours actuel de 16 500 FCFA, donne un PER de 9,8x — légèrement inférieur à la moyenne BRVM (~8-12x), suggérant une valorisation raisonnable voire légèrement sous-évaluée au regard de la qualité des résultats 2025. Le P/B de 3,00x indique que le marché paie trois fois la valeur comptable, une prime de croissance cohérente avec le ROE exceptionnel de 30,5% qui justifie amplement ce multiple. Enfin, l'EV/EBITDA de 6,2x traduit une valorisation de la capacité opérationnelle dans la fourchette basse du secteur (5-10x), ce qui renforce le diagnostic d'une action correctement, voire modestement, valorisée malgré son rally récent.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SMBC affiche une progression spectaculaire de **+38,66%**, avec un cours actuel de 16 500 FCFA et une variation J-1 nulle (+0,00%), signe d'une séance de consolidation sans pression vendeuse. Le range de trading est particulièrement large, entre un plus bas de 11 900 FCFA et un plus haut de 18 500 FCFA, soit une amplitude de 55% qui témoigne d'une forte dynamique haussière entrecoupée de corrections. La tendance générale est donc clairement haussière, portée par l'amélioration fondamentale des marges et la publication de résultats 2025 en forte progression. Les statistiques descriptives révèlent une moyenne de 15 891 FCFA légèrement inférieure à la médiane de 16 378 FCFA, avec un mode à 16 500 FCFA (cours actuel) — configuration typique d'une distribution asymétrique négative (skewness de -0,898), confirmant que le titre a passé davantage de séances au-dessus de sa moyenne, avec quelques journées de forte baisse tirant la moyenne vers le bas. L'écart-type de 1 675 FCFA (CV = 10,5%) indique une dispersion modérée du cours, tandis que le kurtosis de -0,143 (mésokurtique) suggère une distribution proche de la normale, sans risque majeur de pics extrêmes. La volatilité annualisée de 41,9% classe toutefois SMBC dans la catégorie des titres à volatilité élevée (&gt;30%), ce qui implique un risque de marché significatif et justifie une approche prudente en termes de sizing.</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17 020,25 FCFA et la MM50 à 16 680,10 FCFA, toutes deux supérieures au cours actuel de 16 500 FCFA. Cette configuration — cours sous ses moyennes mobiles — traduit une correction à court terme au sein d'une tendance de fond haussière (MM20 &gt; MM50). La décision technique fournie est « Achat », cohérente avec la lecture d'un repli temporaire offrant un point d'entrée sur une dynamique positive.</w:t>
      </w:r>
    </w:p>
    <w:p>
      <w:pPr>
        <w:spacing w:after="120" w:line="276" w:lineRule="auto"/>
      </w:pPr>
      <w:r>
        <w:t>**Bandes de Bollinger** : La borne supérieure se situe à 19 289,77 FCFA et la borne inférieure à 14 750,73 FCFA, encadrant un cours de 16 500 FCFA positionné légèrement sous la médiane implicite (~17 020 FCFA). Le cours évolue donc dans la moitié basse du canal, sans atteindre la zone de survente, ce qui justifie la décision « Neutre » — ni signal d'achat agressif, ni signal de vente.</w:t>
      </w:r>
    </w:p>
    <w:p>
      <w:pPr>
        <w:spacing w:after="120" w:line="276" w:lineRule="auto"/>
      </w:pPr>
      <w:r>
        <w:t>**MACD** : La valeur du MACD (-267,628) est nettement inférieure à son signal (-152,769), générant un histogramme négatif et une décision « Vente ». Cette divergence baissière indique un momentum court terme affaibli, cohérent avec la correction observée depuis le plus haut de 18 500 FCFA.</w:t>
      </w:r>
    </w:p>
    <w:p>
      <w:pPr>
        <w:spacing w:after="120" w:line="276" w:lineRule="auto"/>
      </w:pPr>
      <w:r>
        <w:t>**RSI** : À 33,165, le RSI se situe dans la zone neutre basse (30-70), proche du seuil de survente (30). La décision « Neutre » reflète un titre ni survendu ni suracheté, mais dont la pression vendeuse récente commence à s'essouffler — un niveau souvent propice à un rebond technique.</w:t>
      </w:r>
    </w:p>
    <w:p>
      <w:pPr>
        <w:spacing w:after="120" w:line="276" w:lineRule="auto"/>
      </w:pPr>
      <w:r>
        <w:t>**Stochastique** : Le %K (47,48) et le %D (47,313) sont quasi confondus, sans croisement significatif, en zone médiane. La décision « Neutre » confirme l'absence de signal directionnel fort à court terme.</w:t>
      </w:r>
    </w:p>
    <w:p>
      <w:pPr>
        <w:spacing w:after="120" w:line="276" w:lineRule="auto"/>
      </w:pPr>
      <w:r>
        <w:t>**Conclusion technique** : Les indicateurs présentent un tableau mitigé — les moyennes mobiles restent constructives (MM20 &gt; MM50, décision Achat), mais le MACD est baissier et le RSI/Stochastique sont neutres. Le titre se trouve dans une phase de consolidation après un rally de +38,66%, avec un support technique majeur autour de 14 750 FCFA (borne basse de Bollinger) et une résistance à 17 020 FCFA (MM20). La convergence des signaux neutres suggère une attente de catalyseur avant reprise directionnelle.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206 740 millions FCFA, en baisse de -9,74% sur un an, mais un résultat net de 13 075 millions FCFA en progression spectaculaire de +50,3% par rapport aux 8 698 millions FCFA de 2024. Cette performance paradoxale — baisse du CA, hausse du bénéfice — s'explique par une amélioration majeure des marges : la marge brute passe à 18,11%, la marge nette à 6,32% (contre 3,8% en 2024), et l'EBE bondit de +41,8% à 18 480 millions FCFA. Le ROE atteint 30,47% (excellent, &gt;15%) et le ROA 7,26%, confirmant une rentabilité capitalistique remarquable. **Adapté au secteur Entreprise** : le BFR est positif à 1 693 millions FCFA (léger besoin de financement), mais le fonds de roulement de 25 824 millions FCFA et la trésorerie nette de 23 988 millions FCFA offrent une marge de sécurité confortable. Les délais clients (193,75 jours) et fournisseurs (207,07 jours) sont élevés mais quasi équilibrés, le délai fournisseur supérieur compensant le délai client — un point positif pour la trésorerie. L'endettement reste maîtrisé avec un ratio dettes financières/CAF de 0,68 an et une couverture des intérêts de 483%, tandis que l'autonomie financière (23,84%) est inférieure au seuil sain de 30%, à surveiller. **Estimations basées sur les rapports trimestriels** : le rapport T1 2025 (31/03/2025) indiquait un CA de 54,8 Mds FCFA (-22%) et un résultat net de 2,7 Mds (-7%) ; le S1 2025 (30/06/2025) un CA de 101,9 Mds (-23%) et un RN de 3,9 Mds (-7%) ; le 9M 2025 (30/09/2025) un CA de 155,2 Mds (-14%) et un RN de 5,7 Mds (+6%). La trajectoire trimestrielle montre une **amélioration continue de la rentabilité** malgré la contraction des volumes, portée par les marges de raffinage. On estime donc que l'exercice 2025 s'est conclu sur cette dynamique, avec un RN annuel de 13,1 Mds FCFA confirmé par les états financiers certifiés. **Évolution pluriannuelle** : le RN est passé de 17,3 Mds (2023) à 8,7 Mds (2024) puis 13,1 Mds (2025), montrant une résilience après une année 2024 difficile. **Recommandation fondamentale** : la solidité financière est avérée (trésorerie nette positive, ROE excellent, endettement faible), mais la baisse structurelle du CA et la dépendance aux cycles d'infrastructures constituent des risques à surveiller. Le rapport du 31/12/2025 (analysé par DeepSeek le 12/05/2026) conclut à « CONSERVER », tandis que le rapport de synthèse 2025 recommande « ACHETER » — une divergence qui reflète la tension entre excellente rentabilité et fragilité commerciale.</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dessine un profil d'investissement contrasté mais globalement favorable. **Valorisation (Partie 0)** : avec un PER de 9,8x (sous la moyenne BRVM), un P/B de 3,00x justifié par un ROE de 30,5% et un EV/EBITDA de 6,2x (fourchette basse), le titre apparaît raisonnablement valorisé, voire légèrement sous-évalué au regard de la qualité des résultats 2025. **Comportement du cours (Partie 1)** : la tendance haussière (+38,66%) est impressionnante, mais la volatilité élevée (41,9%) et le skewness négatif (-0,898) indiquent un risque de correction, le titre ayant déjà cédé 10,8% depuis son plus haut de 18 500 FCFA. **Signaux techniques (Partie 2)** : divergence entre les moyennes mobiles (constructives) et le MACD (baissier), avec un RSI à 33 proche de la survente — configuration de consolidation propice à un rebond technique, mais sans confirmation directionnelle forte. **Fondamentaux (Partie 3)** : la performance 2025 est excellente (RN +50,3%, ROE 30,5%, trésorerie nette de 24 Mds FCFA), mais la baisse du CA (-9,7%) et l'autonomie financière modeste (23,84%) tempèrent l'enthousiasme. **Prédictions IA (J+1 à J+10)** : la trajectoire projetée (16 317 → 16 162 FCFA) anticipe une légère consolidation baissière de -0,8% sur 10 jours, cohérente avec le momentum court terme affaibli (MACD négatif) mais contredisant la dynamique fondamentale haussière. **Recommandation finale : CONSERVER**, avec un biais positif. La convergence entre valorisation attractive, fondamentaux solides et signaux techniques neutres plaide pour une position de conservation, tandis que la divergence avec les prédictions IA baissières et la volatilité élevée justifient la prudence. **Niveau de confiance : Moyen** (divergence technique/fondamental). **Niveau de risque global : Moyen à Élevé** (volatilité 41,9%, dépendance aux cycles d'infrastructures, baisse du CA). **Horizon optimal : Moyen terme (3-12 mois)**, le temps que la tendance commerciale se stabilise et que les investissements (5 748 M FCFA en 2025) produisent leurs effets. Un passage à **ACHAT** serait justifié si le CA reprend une croissance positive et si le titre casse la résistance de 17 020 FCFA (MM20) avec confirmation du MACD.</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12,634 titres</w:t>
            </w:r>
          </w:p>
        </w:tc>
        <w:tc>
          <w:tcPr>
            <w:tcW w:type="dxa" w:w="2268"/>
            <w:shd w:fill="FFF2CC" w:val="clear"/>
          </w:tcPr>
          <w:p>
            <w:r>
              <w:rPr>
                <w:b/>
                <w:color w:val="503200"/>
                <w:sz w:val="16"/>
              </w:rPr>
              <w:t xml:space="preserve">Cours actuel : </w:t>
            </w:r>
            <w:r>
              <w:rPr>
                <w:color w:val="000000"/>
                <w:sz w:val="17"/>
              </w:rPr>
              <w:t>45,000 FCFA</w:t>
            </w:r>
          </w:p>
          <w:p>
            <w:r>
              <w:rPr>
                <w:b/>
                <w:color w:val="503200"/>
                <w:sz w:val="16"/>
              </w:rPr>
              <w:t xml:space="preserve">Var. 100 jours : </w:t>
            </w:r>
            <w:r>
              <w:rPr>
                <w:b/>
                <w:color w:val="007800"/>
                <w:sz w:val="17"/>
              </w:rPr>
              <w:t>+55.71%</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14.22% (Moyenne) — μ=32,599 FCFA, σ=4,635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β=1.2931 (Agressif) — Cov=0.000090, Var(idx)=0.000069, ρ=0.517, n=96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12,634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2026-10-01</w:t>
            </w:r>
          </w:p>
        </w:tc>
        <w:tc>
          <w:tcPr>
            <w:tcW w:type="dxa" w:w="1440"/>
            <w:shd w:fill="FFDCE0" w:val="clear"/>
          </w:tcPr>
          <w:p>
            <w:r>
              <w:rPr>
                <w:sz w:val="17"/>
              </w:rPr>
              <w:t>41,099</w:t>
            </w:r>
          </w:p>
        </w:tc>
        <w:tc>
          <w:tcPr>
            <w:tcW w:type="dxa" w:w="1440"/>
            <w:shd w:fill="FFDCE0" w:val="clear"/>
          </w:tcPr>
          <w:p>
            <w:r>
              <w:rPr>
                <w:b/>
                <w:sz w:val="17"/>
              </w:rPr>
              <w:t>42,966</w:t>
            </w:r>
          </w:p>
        </w:tc>
        <w:tc>
          <w:tcPr>
            <w:tcW w:type="dxa" w:w="1440"/>
            <w:shd w:fill="FFDCE0" w:val="clear"/>
          </w:tcPr>
          <w:p>
            <w:r>
              <w:rPr>
                <w:sz w:val="17"/>
              </w:rPr>
              <w:t>44,832</w:t>
            </w:r>
          </w:p>
        </w:tc>
        <w:tc>
          <w:tcPr>
            <w:tcW w:type="dxa" w:w="1440"/>
            <w:shd w:fill="FFDCE0" w:val="clear"/>
          </w:tcPr>
          <w:p>
            <w:r>
              <w:rPr>
                <w:b/>
                <w:color w:val="C00000"/>
                <w:sz w:val="17"/>
              </w:rPr>
              <w:t>-4.5%</w:t>
            </w:r>
          </w:p>
        </w:tc>
      </w:tr>
      <w:tr>
        <w:tc>
          <w:tcPr>
            <w:tcW w:type="dxa" w:w="1440"/>
            <w:shd w:fill="FFDCE0" w:val="clear"/>
          </w:tcPr>
          <w:p>
            <w:r>
              <w:rPr>
                <w:sz w:val="17"/>
              </w:rPr>
              <w:t>J+2  ⭐</w:t>
            </w:r>
          </w:p>
        </w:tc>
        <w:tc>
          <w:tcPr>
            <w:tcW w:type="dxa" w:w="1440"/>
            <w:shd w:fill="FFDCE0" w:val="clear"/>
          </w:tcPr>
          <w:p>
            <w:r>
              <w:rPr>
                <w:sz w:val="17"/>
              </w:rPr>
              <w:t>2026-10-02</w:t>
            </w:r>
          </w:p>
        </w:tc>
        <w:tc>
          <w:tcPr>
            <w:tcW w:type="dxa" w:w="1440"/>
            <w:shd w:fill="FFDCE0" w:val="clear"/>
          </w:tcPr>
          <w:p>
            <w:r>
              <w:rPr>
                <w:sz w:val="17"/>
              </w:rPr>
              <w:t>40,444</w:t>
            </w:r>
          </w:p>
        </w:tc>
        <w:tc>
          <w:tcPr>
            <w:tcW w:type="dxa" w:w="1440"/>
            <w:shd w:fill="FFDCE0" w:val="clear"/>
          </w:tcPr>
          <w:p>
            <w:r>
              <w:rPr>
                <w:b/>
                <w:sz w:val="17"/>
              </w:rPr>
              <w:t>43,091</w:t>
            </w:r>
          </w:p>
        </w:tc>
        <w:tc>
          <w:tcPr>
            <w:tcW w:type="dxa" w:w="1440"/>
            <w:shd w:fill="FFDCE0" w:val="clear"/>
          </w:tcPr>
          <w:p>
            <w:r>
              <w:rPr>
                <w:sz w:val="17"/>
              </w:rPr>
              <w:t>45,738</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2026-10-05</w:t>
            </w:r>
          </w:p>
        </w:tc>
        <w:tc>
          <w:tcPr>
            <w:tcW w:type="dxa" w:w="1440"/>
            <w:shd w:fill="FFDCE0" w:val="clear"/>
          </w:tcPr>
          <w:p>
            <w:r>
              <w:rPr>
                <w:sz w:val="17"/>
              </w:rPr>
              <w:t>39,825</w:t>
            </w:r>
          </w:p>
        </w:tc>
        <w:tc>
          <w:tcPr>
            <w:tcW w:type="dxa" w:w="1440"/>
            <w:shd w:fill="FFDCE0" w:val="clear"/>
          </w:tcPr>
          <w:p>
            <w:r>
              <w:rPr>
                <w:b/>
                <w:sz w:val="17"/>
              </w:rPr>
              <w:t>43,066</w:t>
            </w:r>
          </w:p>
        </w:tc>
        <w:tc>
          <w:tcPr>
            <w:tcW w:type="dxa" w:w="1440"/>
            <w:shd w:fill="FFDCE0" w:val="clear"/>
          </w:tcPr>
          <w:p>
            <w:r>
              <w:rPr>
                <w:sz w:val="17"/>
              </w:rPr>
              <w:t>46,306</w:t>
            </w:r>
          </w:p>
        </w:tc>
        <w:tc>
          <w:tcPr>
            <w:tcW w:type="dxa" w:w="1440"/>
            <w:shd w:fill="FFDCE0" w:val="clear"/>
          </w:tcPr>
          <w:p>
            <w:r>
              <w:rPr>
                <w:b/>
                <w:color w:val="C00000"/>
                <w:sz w:val="17"/>
              </w:rPr>
              <w:t>-4.3%</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39,307</w:t>
            </w:r>
          </w:p>
        </w:tc>
        <w:tc>
          <w:tcPr>
            <w:tcW w:type="dxa" w:w="1440"/>
            <w:shd w:fill="FFDCE0" w:val="clear"/>
          </w:tcPr>
          <w:p>
            <w:r>
              <w:rPr>
                <w:b/>
                <w:sz w:val="17"/>
              </w:rPr>
              <w:t>43,047</w:t>
            </w:r>
          </w:p>
        </w:tc>
        <w:tc>
          <w:tcPr>
            <w:tcW w:type="dxa" w:w="1440"/>
            <w:shd w:fill="FFDCE0" w:val="clear"/>
          </w:tcPr>
          <w:p>
            <w:r>
              <w:rPr>
                <w:sz w:val="17"/>
              </w:rPr>
              <w:t>46,788</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38,869</w:t>
            </w:r>
          </w:p>
        </w:tc>
        <w:tc>
          <w:tcPr>
            <w:tcW w:type="dxa" w:w="1440"/>
            <w:shd w:fill="FFDCE0" w:val="clear"/>
          </w:tcPr>
          <w:p>
            <w:r>
              <w:rPr>
                <w:b/>
                <w:sz w:val="17"/>
              </w:rPr>
              <w:t>43,051</w:t>
            </w:r>
          </w:p>
        </w:tc>
        <w:tc>
          <w:tcPr>
            <w:tcW w:type="dxa" w:w="1440"/>
            <w:shd w:fill="FFDCE0" w:val="clear"/>
          </w:tcPr>
          <w:p>
            <w:r>
              <w:rPr>
                <w:sz w:val="17"/>
              </w:rPr>
              <w:t>47,234</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38,485</w:t>
            </w:r>
          </w:p>
        </w:tc>
        <w:tc>
          <w:tcPr>
            <w:tcW w:type="dxa" w:w="1440"/>
            <w:shd w:fill="FFDCE0" w:val="clear"/>
          </w:tcPr>
          <w:p>
            <w:r>
              <w:rPr>
                <w:b/>
                <w:sz w:val="17"/>
              </w:rPr>
              <w:t>43,068</w:t>
            </w:r>
          </w:p>
        </w:tc>
        <w:tc>
          <w:tcPr>
            <w:tcW w:type="dxa" w:w="1440"/>
            <w:shd w:fill="FFDCE0" w:val="clear"/>
          </w:tcPr>
          <w:p>
            <w:r>
              <w:rPr>
                <w:sz w:val="17"/>
              </w:rPr>
              <w:t>47,652</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38,138</w:t>
            </w:r>
          </w:p>
        </w:tc>
        <w:tc>
          <w:tcPr>
            <w:tcW w:type="dxa" w:w="1440"/>
            <w:shd w:fill="FFDCE0" w:val="clear"/>
          </w:tcPr>
          <w:p>
            <w:r>
              <w:rPr>
                <w:b/>
                <w:sz w:val="17"/>
              </w:rPr>
              <w:t>43,091</w:t>
            </w:r>
          </w:p>
        </w:tc>
        <w:tc>
          <w:tcPr>
            <w:tcW w:type="dxa" w:w="1440"/>
            <w:shd w:fill="FFDCE0" w:val="clear"/>
          </w:tcPr>
          <w:p>
            <w:r>
              <w:rPr>
                <w:sz w:val="17"/>
              </w:rPr>
              <w:t>48,044</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37,817</w:t>
            </w:r>
          </w:p>
        </w:tc>
        <w:tc>
          <w:tcPr>
            <w:tcW w:type="dxa" w:w="1440"/>
            <w:shd w:fill="FFDCE0" w:val="clear"/>
          </w:tcPr>
          <w:p>
            <w:r>
              <w:rPr>
                <w:b/>
                <w:sz w:val="17"/>
              </w:rPr>
              <w:t>43,115</w:t>
            </w:r>
          </w:p>
        </w:tc>
        <w:tc>
          <w:tcPr>
            <w:tcW w:type="dxa" w:w="1440"/>
            <w:shd w:fill="FFDCE0" w:val="clear"/>
          </w:tcPr>
          <w:p>
            <w:r>
              <w:rPr>
                <w:sz w:val="17"/>
              </w:rPr>
              <w:t>48,413</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37,517</w:t>
            </w:r>
          </w:p>
        </w:tc>
        <w:tc>
          <w:tcPr>
            <w:tcW w:type="dxa" w:w="1440"/>
            <w:shd w:fill="FFDCE0" w:val="clear"/>
          </w:tcPr>
          <w:p>
            <w:r>
              <w:rPr>
                <w:b/>
                <w:sz w:val="17"/>
              </w:rPr>
              <w:t>43,140</w:t>
            </w:r>
          </w:p>
        </w:tc>
        <w:tc>
          <w:tcPr>
            <w:tcW w:type="dxa" w:w="1440"/>
            <w:shd w:fill="FFDCE0" w:val="clear"/>
          </w:tcPr>
          <w:p>
            <w:r>
              <w:rPr>
                <w:sz w:val="17"/>
              </w:rPr>
              <w:t>48,762</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37,234</w:t>
            </w:r>
          </w:p>
        </w:tc>
        <w:tc>
          <w:tcPr>
            <w:tcW w:type="dxa" w:w="1440"/>
            <w:shd w:fill="FFDCE0" w:val="clear"/>
          </w:tcPr>
          <w:p>
            <w:r>
              <w:rPr>
                <w:b/>
                <w:sz w:val="17"/>
              </w:rPr>
              <w:t>43,164</w:t>
            </w:r>
          </w:p>
        </w:tc>
        <w:tc>
          <w:tcPr>
            <w:tcW w:type="dxa" w:w="1440"/>
            <w:shd w:fill="FFDCE0" w:val="clear"/>
          </w:tcPr>
          <w:p>
            <w:r>
              <w:rPr>
                <w:sz w:val="17"/>
              </w:rPr>
              <w:t>49,094</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SONATEL (SNTS)**</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4 500 milliards FCFA, Sonatel s'impose comme la première capitalisation de la BRVM, poids lourd incontournable de l'indice BRVM Composite. Le BPA de 4 136 FCFA par action signifie que chaque titre génère près de 4 136 FCFA de bénéfice net, un niveau exceptionnel qui traduit la forte rentabilité de l'opérateur. Le PER de 10,9x, légèrement supérieur à la moyenne BRVM (~8-12x), reste modéré et indique que les investisseurs ne paient pas une prime excessive pour ces bénéfices. Le P/B de 3,22x montre que le marché valorise Sonatel à plus de trois fois sa valeur comptable, une prime de croissance justifiée par la qualité des actifs et la position dominante du groupe. Enfin, l'EV/EBITDA de 4,7x (inférieur à 5x) signale que la valeur totale de l'entreprise, incluant sa dette, reste très raisonnable au regard de sa capacité opérationnelle à générer du cash — un signal classique de sous-évaluation relative.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spectaculaire de +55,71%, avec une dernière séance en hausse de +4,66%, portant le cours à 45 000 FCFA — soit exactement son plus haut de la période. Le plus bas a été touché à 27 160 FCFA, ce qui signifie que le titre a évolué dans un range de trading très large de près de 18 000 FCFA, confirmant une tendance nettement haussière et un momentum acheteur puissant. La moyenne du cours s'établit à 32 599 FCFA contre une médiane de 31 000 FCFA (égale au mode), un écart qui traduit une distribution asymétrique : le cours a passé plus de journées sous sa moyenne, mais les poussées haussières récentes tirent la moyenne vers le haut. L'écart-type de 4 658 FCFA avec un coefficient de variation de 14,3% indique une dispersion modérée du cours autour de sa moyenne. Le kurtosis de -0,315 (mésokurtique) suggère une distribution proche de la normale, sans risque excessif de pics extrêmes, tandis que le skewness de +0,975 (asymétrie positive) confirme que les journées sous la moyenne ont été plus fréquentes que les journées au-dessus — typique d'un titre en phase d'accélération haussière. La volatilité annualisée de 33,3% positionne SNTS dans la catégorie des titres à volatilité élevée (&gt;30%), ce qui implique un potentiel de gain attractif mais aussi un risque de correction significatif.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(40 528,75 FCFA) et la MM50 (36 002,20 FCFA) sont toutes deux nettement inférieures au cours actuel de 45 000 FCFA, avec une MM20 au-dessus de la MM50 — configuration haussière classique (golden cross). Le cours évolue largement au-dessus de ses deux moyennes, ce qui confirme la force du momentum et justifie la décision d'**Achat**.</w:t>
      </w:r>
    </w:p>
    <w:p>
      <w:pPr>
        <w:spacing w:after="120" w:line="276" w:lineRule="auto"/>
      </w:pPr>
      <w:r>
        <w:t>**Bandes de Bollinger** : Le cours (45 000 FCFA) dépasse la borne supérieure (44 518,81 FCFA), signalant une situation de surachat technique et une volatilité en expansion. Cette position extrême au-dessus de la bande supérieure justifie la décision de **Vente** à court terme, car un retour vers la moyenne (MM20 à 40 528 FCFA) est statistiquement probable.</w:t>
      </w:r>
    </w:p>
    <w:p>
      <w:pPr>
        <w:spacing w:after="120" w:line="276" w:lineRule="auto"/>
      </w:pPr>
      <w:r>
        <w:t>**MACD** : La valeur du MACD (2 156,17) est supérieure à son signal (1 974,11), avec un histogramme positif — configuration haussière confirmée. Le momentum reste orienté à la hausse, ce qui justifie la décision d'**Achat**, bien que l'écart entre les deux lignes commence à se réduire, suggérant un essoufflement possible.</w:t>
      </w:r>
    </w:p>
    <w:p>
      <w:pPr>
        <w:spacing w:after="120" w:line="276" w:lineRule="auto"/>
      </w:pPr>
      <w:r>
        <w:t>**RSI** : À 82,08, le RSI est largement au-dessus du seuil de surachat de 70, indiquant que le titre est techniquement surchauffé après sa forte progression. Cette lecture justifie la décision de **Vente** à court terme, car un repli correctif est probable avant toute nouvelle jambe haussière.</w:t>
      </w:r>
    </w:p>
    <w:p>
      <w:pPr>
        <w:spacing w:after="120" w:line="276" w:lineRule="auto"/>
      </w:pPr>
      <w:r>
        <w:t>**Stochastique** : Le %K (100,0) et le %D (99,96) sont tous deux collés au plafond de 100, en zone de surachat extrême. L'absence de croisement baissier pour l'instant maintient la pression acheteuse, mais la position extrême justifie la décision de **Vente** en anticipation d'un retournement.</w:t>
      </w:r>
    </w:p>
    <w:p>
      <w:pPr>
        <w:spacing w:after="120" w:line="276" w:lineRule="auto"/>
      </w:pPr>
      <w:r>
        <w:t>**Conclusion technique** : Les indicateurs présentent une divergence nette : les moyennes mobiles et le MACD confirment la tendance haussière de fond (Achat), tandis que les Bandes de Bollinger, le RSI et le Stochastique signalent un surachat extrême (Vente). Cette configuration suggère que le titre reste haussier à moyen terme mais qu'une correction technique à court terme est hautement probable, le cours ayant atteint sa borne supérieure de Bollinger avec un RSI à 82.</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Sonatel a réalisé un chiffre d'affaires consolidé de 1 923,1 milliards FCFA, en progression de +8,3% sur un an, porté par la Data mobile (+8,6% de clients), le haut débit fixe (+26,2%) et Orange Money (+2,8% de clients). Le résultat net consolidé s'établit à 413,6 milliards FCFA (+5,1%), avec un résultat net part du groupe de 342,0 milliards FCFA (+4,0%). La rentabilité reste exceptionnelle : le ROE atteint 29,56% (largement supérieur au seuil de 15% considéré comme excellent), le ROA s'élève à 12,65%, et la marge nette se maintient à 21,51%. La marge brute de 67,03% et la marge opérationnelle de 34,83% témoignent d'une efficacité opérationnelle remarquable. Sur le plan bilanciel, l'autonomie financière de 42,79% est saine, la solvabilité générale de 174,79% confirme la solidité du bilan, et le BFR négatif de -284,9 milliards FCFA constitue un avantage concurrentiel majeur (financement par les fournisseurs). Le délai fournisseurs de 201,39 jours (très élevé) est favorable à la trésorerie, tandis que le délai clients de 46,16 jours reste maîtrisé. La capacité de remboursement de 0,64 an (dettes financières/CAF) est excellente, et la couverture des intérêts de 2 744,71% démontre une marge de sécurité considérable. Les rapports trimestriels confirment cette dynamique : le S1 2026 (publié le 27/07/2026) affiche un CA de 1 049,8 milliards FCFA (+9,3%) et un résultat net de 230 milliards FCFA (+10,5%), avec une marge EBITDAAL de 48,7% et une notation relevée à AAA (wu) par GCR Ratings. Sur la base de ces performances semestrielles, on estime que l'exercice 2026 devrait enregistrer un CA supérieur à 2 100 milliards FCFA et un résultat net approchant 450 milliards FCFA, confirmant la trajectoire de croissance rentable. Le dividende proposé de 1 933 FCFA brut (1 740 FCFA net) pour 2025 offre un rendement attractif de 3,87% au cours actuel de 45 000 FCFA. La recommandation fondamentale est **solide** : Sonatel présente des fondamentaux exceptionnels, une croissance soutenue et une politique de dividende généreuse, avec des risques limités à la pression fiscale et réglementaire.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Sonatel apparaît raisonnable (PER 10,9x, EV/EBITDA 4,7x) malgré une prime sur la valeur comptable (P/B 3,22x), suggérant que le titre n'est pas surévalué sur la base de ses bénéfices et de sa capacité opérationnelle. Le comportement du cours sur 100 jours est nettement haussier (+55,71%), avec une volatilité élevée (33,3%) et une asymétrie positive (skewness +0,975) qui indique que les poussées haussières dominent, bien que le kurtosis proche de la normale (-0,315) limite le risque de pics extrêmes. Les signaux techniques sont divergents : les moyennes mobiles et le MACD confirment la tendance haussière, mais le RSI (82,08), les Bandes de Bollinger (cours au-dessus de la borne supérieure) et le Stochastique (100) signalent un surachat extrême et un risque de correction à court terme. Les fondamentaux sont exceptionnels : ROE de 29,56%, marge nette de 21,51%, BFR négatif, capacité de remboursement de 0,64 an, et une croissance confirmée par le S1 2026 (+9,3% de CA, +10,5% de résultat net). Les prédictions IA pour les 10 prochains jours (42 966 à 43 091 FCFA) suggèrent une légère correction par rapport au cours actuel de 45 000 FCFA, ce qui est cohérent avec le surachat technique observé. Sur la base de cette synthèse, la recommandation finale est **CONSERVER** : le titre reste fondamentalement solide et attractif pour le long terme, mais le surachat technique extrême et les prédictions de correction à court terme incitent à la prudence pour les nouveaux achats. Le niveau de confiance est **Moyen** (divergence entre technique court terme et fondamental long terme), le risque global est **Moyen** (volatilité élevée mais fondamentaux solides), et l'horizon d'investissement optimal est **long terme (&gt;1 an)** pour profiter de la croissance structurelle et du dividende, avec une opportunité d'achat sur repli vers 40 000-42 000 FCFA.</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174.97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5,333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+9.46%</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4.69% (Faible) — μ=8,063 FCFA, σ=378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β=0.9681 (Neutre (suit le marché)) — Cov=0.000067, Var(idx)=0.000069, ρ=0.313,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5,333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7,545</w:t>
            </w:r>
          </w:p>
        </w:tc>
        <w:tc>
          <w:tcPr>
            <w:tcW w:type="dxa" w:w="1440"/>
            <w:shd w:fill="FAFAFA" w:val="clear"/>
          </w:tcPr>
          <w:p>
            <w:r>
              <w:rPr>
                <w:b/>
                <w:sz w:val="17"/>
              </w:rPr>
              <w:t>7,944</w:t>
            </w:r>
          </w:p>
        </w:tc>
        <w:tc>
          <w:tcPr>
            <w:tcW w:type="dxa" w:w="1440"/>
            <w:shd w:fill="FAFAFA" w:val="clear"/>
          </w:tcPr>
          <w:p>
            <w:r>
              <w:rPr>
                <w:sz w:val="17"/>
              </w:rPr>
              <w:t>8,343</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7,357</w:t>
            </w:r>
          </w:p>
        </w:tc>
        <w:tc>
          <w:tcPr>
            <w:tcW w:type="dxa" w:w="1440"/>
            <w:shd w:fill="FFDCE0" w:val="clear"/>
          </w:tcPr>
          <w:p>
            <w:r>
              <w:rPr>
                <w:b/>
                <w:sz w:val="17"/>
              </w:rPr>
              <w:t>7,919</w:t>
            </w:r>
          </w:p>
        </w:tc>
        <w:tc>
          <w:tcPr>
            <w:tcW w:type="dxa" w:w="1440"/>
            <w:shd w:fill="FFDCE0" w:val="clear"/>
          </w:tcPr>
          <w:p>
            <w:r>
              <w:rPr>
                <w:sz w:val="17"/>
              </w:rPr>
              <w:t>8,481</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7,202</w:t>
            </w:r>
          </w:p>
        </w:tc>
        <w:tc>
          <w:tcPr>
            <w:tcW w:type="dxa" w:w="1440"/>
            <w:shd w:fill="FFDCE0" w:val="clear"/>
          </w:tcPr>
          <w:p>
            <w:r>
              <w:rPr>
                <w:b/>
                <w:sz w:val="17"/>
              </w:rPr>
              <w:t>7,888</w:t>
            </w:r>
          </w:p>
        </w:tc>
        <w:tc>
          <w:tcPr>
            <w:tcW w:type="dxa" w:w="1440"/>
            <w:shd w:fill="FFDCE0" w:val="clear"/>
          </w:tcPr>
          <w:p>
            <w:r>
              <w:rPr>
                <w:sz w:val="17"/>
              </w:rPr>
              <w:t>8,574</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7,074</w:t>
            </w:r>
          </w:p>
        </w:tc>
        <w:tc>
          <w:tcPr>
            <w:tcW w:type="dxa" w:w="1440"/>
            <w:shd w:fill="FFDCE0" w:val="clear"/>
          </w:tcPr>
          <w:p>
            <w:r>
              <w:rPr>
                <w:b/>
                <w:sz w:val="17"/>
              </w:rPr>
              <w:t>7,863</w:t>
            </w:r>
          </w:p>
        </w:tc>
        <w:tc>
          <w:tcPr>
            <w:tcW w:type="dxa" w:w="1440"/>
            <w:shd w:fill="FFDCE0" w:val="clear"/>
          </w:tcPr>
          <w:p>
            <w:r>
              <w:rPr>
                <w:sz w:val="17"/>
              </w:rPr>
              <w:t>8,653</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6,960</w:t>
            </w:r>
          </w:p>
        </w:tc>
        <w:tc>
          <w:tcPr>
            <w:tcW w:type="dxa" w:w="1440"/>
            <w:shd w:fill="FFDCE0" w:val="clear"/>
          </w:tcPr>
          <w:p>
            <w:r>
              <w:rPr>
                <w:b/>
                <w:sz w:val="17"/>
              </w:rPr>
              <w:t>7,840</w:t>
            </w:r>
          </w:p>
        </w:tc>
        <w:tc>
          <w:tcPr>
            <w:tcW w:type="dxa" w:w="1440"/>
            <w:shd w:fill="FFDCE0" w:val="clear"/>
          </w:tcPr>
          <w:p>
            <w:r>
              <w:rPr>
                <w:sz w:val="17"/>
              </w:rPr>
              <w:t>8,720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6,857</w:t>
            </w:r>
          </w:p>
        </w:tc>
        <w:tc>
          <w:tcPr>
            <w:tcW w:type="dxa" w:w="1440"/>
            <w:shd w:fill="FFDCE0" w:val="clear"/>
          </w:tcPr>
          <w:p>
            <w:r>
              <w:rPr>
                <w:b/>
                <w:sz w:val="17"/>
              </w:rPr>
              <w:t>7,818</w:t>
            </w:r>
          </w:p>
        </w:tc>
        <w:tc>
          <w:tcPr>
            <w:tcW w:type="dxa" w:w="1440"/>
            <w:shd w:fill="FFDCE0" w:val="clear"/>
          </w:tcPr>
          <w:p>
            <w:r>
              <w:rPr>
                <w:sz w:val="17"/>
              </w:rPr>
              <w:t>8,779</w:t>
            </w:r>
          </w:p>
        </w:tc>
        <w:tc>
          <w:tcPr>
            <w:tcW w:type="dxa" w:w="1440"/>
            <w:shd w:fill="FFDCE0" w:val="clear"/>
          </w:tcPr>
          <w:p>
            <w:r>
              <w:rPr>
                <w:b/>
                <w:color w:val="C00000"/>
                <w:sz w:val="17"/>
              </w:rPr>
              <w:t>-3.5%</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6,761</w:t>
            </w:r>
          </w:p>
        </w:tc>
        <w:tc>
          <w:tcPr>
            <w:tcW w:type="dxa" w:w="1440"/>
            <w:shd w:fill="FFDCE0" w:val="clear"/>
          </w:tcPr>
          <w:p>
            <w:r>
              <w:rPr>
                <w:b/>
                <w:sz w:val="17"/>
              </w:rPr>
              <w:t>7,797</w:t>
            </w:r>
          </w:p>
        </w:tc>
        <w:tc>
          <w:tcPr>
            <w:tcW w:type="dxa" w:w="1440"/>
            <w:shd w:fill="FFDCE0" w:val="clear"/>
          </w:tcPr>
          <w:p>
            <w:r>
              <w:rPr>
                <w:sz w:val="17"/>
              </w:rPr>
              <w:t>8,832</w:t>
            </w:r>
          </w:p>
        </w:tc>
        <w:tc>
          <w:tcPr>
            <w:tcW w:type="dxa" w:w="1440"/>
            <w:shd w:fill="FFDCE0" w:val="clear"/>
          </w:tcPr>
          <w:p>
            <w:r>
              <w:rPr>
                <w:b/>
                <w:color w:val="C00000"/>
                <w:sz w:val="17"/>
              </w:rPr>
              <w:t>-3.7%</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6,672</w:t>
            </w:r>
          </w:p>
        </w:tc>
        <w:tc>
          <w:tcPr>
            <w:tcW w:type="dxa" w:w="1440"/>
            <w:shd w:fill="FFDCE0" w:val="clear"/>
          </w:tcPr>
          <w:p>
            <w:r>
              <w:rPr>
                <w:b/>
                <w:sz w:val="17"/>
              </w:rPr>
              <w:t>7,776</w:t>
            </w:r>
          </w:p>
        </w:tc>
        <w:tc>
          <w:tcPr>
            <w:tcW w:type="dxa" w:w="1440"/>
            <w:shd w:fill="FFDCE0" w:val="clear"/>
          </w:tcPr>
          <w:p>
            <w:r>
              <w:rPr>
                <w:sz w:val="17"/>
              </w:rPr>
              <w:t>8,881</w:t>
            </w:r>
          </w:p>
        </w:tc>
        <w:tc>
          <w:tcPr>
            <w:tcW w:type="dxa" w:w="1440"/>
            <w:shd w:fill="FFDCE0" w:val="clear"/>
          </w:tcPr>
          <w:p>
            <w:r>
              <w:rPr>
                <w:b/>
                <w:color w:val="C00000"/>
                <w:sz w:val="17"/>
              </w:rPr>
              <w:t>-4.0%</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6,589</w:t>
            </w:r>
          </w:p>
        </w:tc>
        <w:tc>
          <w:tcPr>
            <w:tcW w:type="dxa" w:w="1440"/>
            <w:shd w:fill="FFDCE0" w:val="clear"/>
          </w:tcPr>
          <w:p>
            <w:r>
              <w:rPr>
                <w:b/>
                <w:sz w:val="17"/>
              </w:rPr>
              <w:t>7,757</w:t>
            </w:r>
          </w:p>
        </w:tc>
        <w:tc>
          <w:tcPr>
            <w:tcW w:type="dxa" w:w="1440"/>
            <w:shd w:fill="FFDCE0" w:val="clear"/>
          </w:tcPr>
          <w:p>
            <w:r>
              <w:rPr>
                <w:sz w:val="17"/>
              </w:rPr>
              <w:t>8,925</w:t>
            </w:r>
          </w:p>
        </w:tc>
        <w:tc>
          <w:tcPr>
            <w:tcW w:type="dxa" w:w="1440"/>
            <w:shd w:fill="FFDCE0" w:val="clear"/>
          </w:tcPr>
          <w:p>
            <w:r>
              <w:rPr>
                <w:b/>
                <w:color w:val="C00000"/>
                <w:sz w:val="17"/>
              </w:rPr>
              <w:t>-4.2%</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6,510</w:t>
            </w:r>
          </w:p>
        </w:tc>
        <w:tc>
          <w:tcPr>
            <w:tcW w:type="dxa" w:w="1440"/>
            <w:shd w:fill="FFDCE0" w:val="clear"/>
          </w:tcPr>
          <w:p>
            <w:r>
              <w:rPr>
                <w:b/>
                <w:sz w:val="17"/>
              </w:rPr>
              <w:t>7,738</w:t>
            </w:r>
          </w:p>
        </w:tc>
        <w:tc>
          <w:tcPr>
            <w:tcW w:type="dxa" w:w="1440"/>
            <w:shd w:fill="FFDCE0" w:val="clear"/>
          </w:tcPr>
          <w:p>
            <w:r>
              <w:rPr>
                <w:sz w:val="17"/>
              </w:rPr>
              <w:t>8,967</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**Bourse Régionale des Valeurs Mobilières (BRVM) — Secteur : Agro-industrie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**174,97 milliards FCFA**, SOGC s'impose comme une valeur de premier plan de la cote BRVM, représentant un pilier du compartiment agro-industriel régional. Le BPA de **578 FCFA/action** traduit une rentabilité unitaire solide, chaque titre générant près de 578 FCFA de bénéfice net. Le PER de **14,0x** situe le titre légèrement au-dessus de la moyenne BRVM (8-12x), signalant une valorisation modérée mais non excessive, le marché acceptant de payer une prime pour la qualité des fondamentaux. Le P/B de **2,56x** indique que le marché valorise SOGC à 2,5 fois sa valeur comptable, une prime de croissance justifiée par un ROE de 18,3% nettement supérieur au coût des fonds propres. Enfin, l'EV/EBITDA de **7,3x**, dans la fourchette raisonnable de 5-10x, confirme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progression totale de **+9,46%**, avec une dernière séance en hausse de **+1,95%**, confirmant une dynamique haussière de court terme. Le cours actuel de **8 100 FCFA** évolue dans un range de trading compris entre **7 200 FCFA** (plus bas) et **8 875 FCFA** (plus haut), soit une amplitude de 23,3% qui témoigne d'une volatilité significative. La tendance générale est haussière, portée par des fondamentaux solides et un contexte sectoriel favorable au caoutchouc et aux huiles végétales. Les statistiques descriptives révèlent une moyenne de **8 063 FCFA** légèrement inférieure à la médiane de **8 145 FCFA**, avec un mode à **8 100 FCFA** (cours actuel), suggérant une distribution quasi-symétrique autour de ces niveaux. L'écart-type de **380 FCFA** (CV=4,7%) indique une dispersion modérée du cours, tandis que le kurtosis de **-0,452** (mésokurtique) signale une distribution proche de la normale, sans risque de pics extrêmes marqué. Le skewness de **-0,560** (asymétrie négative) révèle toutefois davantage de journées de cotation au-dessus de la moyenne, un signal légèrement favorable. La volatilité annualisée de **41,4%** classe le titre dans la catégorie des valeurs à volatilité élevée (&gt;30%), ce qui implique un risque de marché non négligeable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(7 996 FCFA) et la MM50 (8 071,8 FCFA) encadrent le cours actuel de 8 100 FCFA, qui se situe au-dessus de la MM20 mais légèrement en dessous de la MM50. Cette configuration suggère une pression baissière de moyen terme, justifiant la décision technique de **Vente** malgré la proximité des niveaux.</w:t>
      </w:r>
    </w:p>
    <w:p>
      <w:pPr>
        <w:spacing w:after="120" w:line="276" w:lineRule="auto"/>
      </w:pPr>
      <w:r>
        <w:t>**Bandes de Bollinger** : Le cours (8 100 FCFA) évolue dans la partie médiane des bandes, entre la borne inférieure (7 282 FCFA) et supérieure (8 709 FCFA). Cette position neutre, sans test des extrêmes, traduit une absence de signal directionnel fort et justifie la décision **Neutre**.</w:t>
      </w:r>
    </w:p>
    <w:p>
      <w:pPr>
        <w:spacing w:after="120" w:line="276" w:lineRule="auto"/>
      </w:pPr>
      <w:r>
        <w:t>**MACD** : La valeur du MACD (-82,691) est supérieure à son signal (-88,779), générant un croisement haussier bien que les deux lignes restent en territoire négatif. Ce momentum positif naissant justifie la décision d'**Achat**, mais la prudence reste de mise tant que le MACD n'a pas franchi la ligne zéro.</w:t>
      </w:r>
    </w:p>
    <w:p>
      <w:pPr>
        <w:spacing w:after="120" w:line="276" w:lineRule="auto"/>
      </w:pPr>
      <w:r>
        <w:t>**RSI** : À **51,935**, le RSI se situe parfaitement dans la zone neutre (30-70), sans signal de surachat (&gt;70) ni de survente (&lt;30). Cette configuration équilibrée justifie la décision **Neutre**, le titre n'étant ni surévalué ni sous-évalué techniquement.</w:t>
      </w:r>
    </w:p>
    <w:p>
      <w:pPr>
        <w:spacing w:after="120" w:line="276" w:lineRule="auto"/>
      </w:pPr>
      <w:r>
        <w:t>**Stochastique** : Le %K (95,238) est nettement supérieur au %D (69,246), avec un %K proche de la zone de surachat (&gt;80). Ce positionnement extrême du %K suggère une correction imminente, justifiant la décision de **Vente** malgré le croisement haussier apparent.</w:t>
      </w:r>
    </w:p>
    <w:p>
      <w:pPr>
        <w:spacing w:after="120" w:line="276" w:lineRule="auto"/>
      </w:pPr>
      <w:r>
        <w:t>**Conclusion technique** : Les indicateurs techniques présentent une divergence notable. Si le MACD génère un signal d'achat et que le RSI reste neutre, les moyennes mobiles (MM50 &gt; cours) et le stochastique (surachat) plaident pour une correction à court terme. Les bandes de Bollinger confirment cette absence de direction claire. La convergence des signaux reste faible, avec une majorité d'indicateurs en zone neutre ou baissière, suggérant une prudence technique à court terme.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en croissance de **+10,70%** par rapport à 2024, confirmant la dynamique commerciale de l'entreprise. Le résultat net s'établit à **12,493 milliards FCFA**, en légère baisse de 5% par rapport aux 13,11 milliards de 2024, sous l'effet de la hausse des coûts de matières premières (+15%). La rentabilité reste excellente avec un **ROE de 18,26%** (&gt;15% = excellent) et un **ROA de 13,84%**, témoignant d'une utilisation efficace des capitaux propres et des actifs. La marge nette de **12,62%** et la marge opérationnelle de **17,24%** confirment la solidité opérationnelle, tandis que la marge brute de **67,93%** reflète un pouvoir de négociation favorable. La structure financière est très saine : l'autonomie financière de **75,79%** (capitaux propres/total bilan) et un ratio d'endettement de seulement **24,21%** (dettes totales/capitaux propres) démontrent une faible dépendance aux financements externes. La liquidité générale de **170,32%** (&gt;1 = bon) et la trésorerie nette positive de **4,575 milliards FCFA** renforcent cette solidité. Le BFR de **7,124 milliards FCFA** (positif) et les délais d'exploitation (clients : 29,60 jours ; fournisseurs : 31,72 jours ; stockage : 97,67 jours) révèlent une gestion rigoureuse du cycle d'exploitation, bien que la durée de stockage élevée immobilise du capital. La capacité de remboursement de **0,04 FCFA** (dettes financières/CAF) est exceptionnellement faible, et la couverture des intérêts de **25 563%** témoigne d'une quasi-absence de risque financier.</w:t>
      </w:r>
    </w:p>
    <w:p>
      <w:pPr>
        <w:spacing w:after="120" w:line="276" w:lineRule="auto"/>
      </w:pPr>
      <w:r>
        <w:t>**Estimations basées sur les rapports trimestriels** : Les rapports T1 2025 (CA +63,1%, résultat net +262,9%), S1 2025 (CA +51,9%, résultat net +151,6%) et 9M 2025 (CA +21,3%, résultat net +39,5%) montrent un ralentissement progressif de la croissance au fil de l'année, conformément aux alertes de la direction sur un contexte plus difficile au S2 2025 (concurrence accrue sur le coagulum, baisse des cours SICOM). Sur cette base, on estime que l'exercice 2025 devrait clôturer avec une croissance annuelle modérée (~10-12%), cohérente avec les données structurées (+10,70%). Le rapport annuel 2025 (publié en 2026) confirme cette tendance avec un résultat net de 12,49 milliards FCFA, en baisse de 5% par rapport à 2024, mais une trésorerie nette améliorée de 3,1 milliards FCFA.</w:t>
      </w:r>
    </w:p>
    <w:p>
      <w:pPr>
        <w:spacing w:after="120" w:line="276" w:lineRule="auto"/>
      </w:pPr>
      <w:r>
        <w:t>**Évolution pluriannuelle** : L'analyse des rapports 2021-2025 révèle une volatilité importante des performances, typique du secteur des matières premières agricoles. Après une année 2021 exceptionnelle (résultat net +92,5% à 14,73 milliards FCFA), l'année 2023 a été difficile (S1 2023 : CA -24,68%, résultat net -61,41%), avant un rebond spectaculaire en 2024 (résultat net +149% à 13,11 milliards FCFA) et une stabilisation en 2025 (12,49 milliards FCFA). Cette cyclicité souligne la dépendance de SOGC aux prix mondiaux du caoutchouc et des huiles végétales.</w:t>
      </w:r>
    </w:p>
    <w:p>
      <w:pPr>
        <w:spacing w:after="120" w:line="276" w:lineRule="auto"/>
      </w:pPr>
      <w:r>
        <w:t>**Recommandation fondamentale** : SOGC présente des fondamentaux solides (ROE &gt;18%, autonomie financière &gt;75%, trésorerie nette positive) et une politique de dividende attractive (570 FCFA/action proposé pour 2025, soit un rendement de ~7% au cours actuel de 8 100 FCFA). Cependant, la baisse de 5% du résultat net en 2025 et les perspectives incertaines pour 2026 (poursuite de la concurrence sur le coagulum, volatilité des cours SICOM) incitent à la prudence. La recommandation fondamentale est de **CONSERVER** le titre, avec une surveillance accrue des prix des matières premières et de la politique d'investissement.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situation contrastée. **En termes de valorisation (Partie 0)** , le PER de 14,0x et le P/B de 2,56x indiquent une valorisation modérée mais non excessive, le marché acceptant une prime pour la qualité des fondamentaux, tandis que l'EV/EBITDA de 7,3x reste raisonnable. **Le comportement du cours (Partie 1)** est haussier sur 100 jours (+9,46%), avec une volatilité élevée (41,4%) et une distribution quasi-normale (kurtosis -0,452) légèrement asymétrique à droite (skewness -0,560), ce qui est plutôt favorable. **Les signaux techniques (Partie 2)** sont divergents : le MACD génère un signal d'achat, mais les moyennes mobiles (MM50 &gt; cours) et le stochastique (surachat à 95,2) plaident pour une correction à court terme, tandis que le RSI (51,9) et les bandes de Bollinger restent neutres. **Les fondamentaux (Partie 3)** sont solides (ROE 18,26%, autonomie financière 75,79%, trésorerie nette positive), mais la baisse de 5% du résultat net en 2025 et les perspectives incertaines pour 2026 tempèrent l'optimisme. **Les prédictions IA (J+1 à J+10)** anticipent une trajectoire baissière (7 944 FCFA à 7 840 FCFA), ce qui contredit la dynamique haussière récente et les signaux d'achat du MACD, mais confirme les signaux de vente des moyennes mobiles et du stochastique.</w:t>
      </w:r>
    </w:p>
    <w:p>
      <w:pPr>
        <w:spacing w:after="120" w:line="276" w:lineRule="auto"/>
      </w:pPr>
      <w:r>
        <w:t>**Recommandation finale** : **CONSERVER**. La convergence entre la valorisation modérée, les fondamentaux solides et la politique de dividende attractive (570 FCFA/action) soutient le titre à moyen terme. Cependant, la divergence entre les signaux techniques (vente à court terme) et les prédictions IA (baissières) incite à la prudence à court terme. Le niveau de confiance est **Moyen**, car les indicateurs techniques et les prédictions IA sont baissiers, mais les fondamentaux et la valorisation restent favorables. Le niveau de risque global est **Moyen** (volatilité élevée à 41,4%, dépendance aux matières premières). L'horizon d'investissement optimal est le **moyen terme (3-12 mois)** , en attendant une clarification des perspectives 2026 et une stabilisation des cours des matières premières. Les investisseurs à court terme (&lt;3 mois) devraient éviter le titre en raison des signaux techniques baissiers et des prédictions IA négatives.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204.34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4,692 titres</w:t>
            </w:r>
          </w:p>
        </w:tc>
        <w:tc>
          <w:tcPr>
            <w:tcW w:type="dxa" w:w="2268"/>
            <w:shd w:fill="FFF2CC" w:val="clear"/>
          </w:tcPr>
          <w:p>
            <w:r>
              <w:rPr>
                <w:b/>
                <w:color w:val="503200"/>
                <w:sz w:val="16"/>
              </w:rPr>
              <w:t xml:space="preserve">Cours actuel : </w:t>
            </w:r>
            <w:r>
              <w:rPr>
                <w:color w:val="000000"/>
                <w:sz w:val="17"/>
              </w:rPr>
              <w:t>7,995 FCFA</w:t>
            </w:r>
          </w:p>
          <w:p>
            <w:r>
              <w:rPr>
                <w:b/>
                <w:color w:val="503200"/>
                <w:sz w:val="16"/>
              </w:rPr>
              <w:t xml:space="preserve">Var. 100 jours : </w:t>
            </w:r>
            <w:r>
              <w:rPr>
                <w:b/>
                <w:color w:val="007800"/>
                <w:sz w:val="17"/>
              </w:rPr>
              <w:t>+12.61%</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9.82% (Moyenne) — μ=7,849 FCFA, σ=770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β=0.8004 (Neutre (suit le marché)) — Cov=0.000055, Var(idx)=0.000069, ρ=0.245, n=96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σ_j=2.72%/j (Stable) — Vol. annualisée≈43.2%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2026-10-01</w:t>
            </w:r>
          </w:p>
        </w:tc>
        <w:tc>
          <w:tcPr>
            <w:tcW w:type="dxa" w:w="1440"/>
            <w:shd w:fill="FFDCE0" w:val="clear"/>
          </w:tcPr>
          <w:p>
            <w:r>
              <w:rPr>
                <w:sz w:val="17"/>
              </w:rPr>
              <w:t>7,324</w:t>
            </w:r>
          </w:p>
        </w:tc>
        <w:tc>
          <w:tcPr>
            <w:tcW w:type="dxa" w:w="1440"/>
            <w:shd w:fill="FFDCE0" w:val="clear"/>
          </w:tcPr>
          <w:p>
            <w:r>
              <w:rPr>
                <w:b/>
                <w:sz w:val="17"/>
              </w:rPr>
              <w:t>7,818</w:t>
            </w:r>
          </w:p>
        </w:tc>
        <w:tc>
          <w:tcPr>
            <w:tcW w:type="dxa" w:w="1440"/>
            <w:shd w:fill="FFDCE0" w:val="clear"/>
          </w:tcPr>
          <w:p>
            <w:r>
              <w:rPr>
                <w:sz w:val="17"/>
              </w:rPr>
              <w:t>8,312</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7,094</w:t>
            </w:r>
          </w:p>
        </w:tc>
        <w:tc>
          <w:tcPr>
            <w:tcW w:type="dxa" w:w="1440"/>
            <w:shd w:fill="FFDCE0" w:val="clear"/>
          </w:tcPr>
          <w:p>
            <w:r>
              <w:rPr>
                <w:b/>
                <w:sz w:val="17"/>
              </w:rPr>
              <w:t>7,789</w:t>
            </w:r>
          </w:p>
        </w:tc>
        <w:tc>
          <w:tcPr>
            <w:tcW w:type="dxa" w:w="1440"/>
            <w:shd w:fill="FFDCE0" w:val="clear"/>
          </w:tcPr>
          <w:p>
            <w:r>
              <w:rPr>
                <w:sz w:val="17"/>
              </w:rPr>
              <w:t>8,485</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6,902</w:t>
            </w:r>
          </w:p>
        </w:tc>
        <w:tc>
          <w:tcPr>
            <w:tcW w:type="dxa" w:w="1440"/>
            <w:shd w:fill="FFDCE0" w:val="clear"/>
          </w:tcPr>
          <w:p>
            <w:r>
              <w:rPr>
                <w:b/>
                <w:sz w:val="17"/>
              </w:rPr>
              <w:t>7,750</w:t>
            </w:r>
          </w:p>
        </w:tc>
        <w:tc>
          <w:tcPr>
            <w:tcW w:type="dxa" w:w="1440"/>
            <w:shd w:fill="FFDCE0" w:val="clear"/>
          </w:tcPr>
          <w:p>
            <w:r>
              <w:rPr>
                <w:sz w:val="17"/>
              </w:rPr>
              <w:t>8,598</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6,740</w:t>
            </w:r>
          </w:p>
        </w:tc>
        <w:tc>
          <w:tcPr>
            <w:tcW w:type="dxa" w:w="1440"/>
            <w:shd w:fill="FFDCE0" w:val="clear"/>
          </w:tcPr>
          <w:p>
            <w:r>
              <w:rPr>
                <w:b/>
                <w:sz w:val="17"/>
              </w:rPr>
              <w:t>7,715</w:t>
            </w:r>
          </w:p>
        </w:tc>
        <w:tc>
          <w:tcPr>
            <w:tcW w:type="dxa" w:w="1440"/>
            <w:shd w:fill="FFDCE0" w:val="clear"/>
          </w:tcPr>
          <w:p>
            <w:r>
              <w:rPr>
                <w:sz w:val="17"/>
              </w:rPr>
              <w:t>8,689</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6,597</w:t>
            </w:r>
          </w:p>
        </w:tc>
        <w:tc>
          <w:tcPr>
            <w:tcW w:type="dxa" w:w="1440"/>
            <w:shd w:fill="FFDCE0" w:val="clear"/>
          </w:tcPr>
          <w:p>
            <w:r>
              <w:rPr>
                <w:b/>
                <w:sz w:val="17"/>
              </w:rPr>
              <w:t>7,681</w:t>
            </w:r>
          </w:p>
        </w:tc>
        <w:tc>
          <w:tcPr>
            <w:tcW w:type="dxa" w:w="1440"/>
            <w:shd w:fill="FFDCE0" w:val="clear"/>
          </w:tcPr>
          <w:p>
            <w:r>
              <w:rPr>
                <w:sz w:val="17"/>
              </w:rPr>
              <w:t>8,766</w:t>
            </w:r>
          </w:p>
        </w:tc>
        <w:tc>
          <w:tcPr>
            <w:tcW w:type="dxa" w:w="1440"/>
            <w:shd w:fill="FFDCE0" w:val="clear"/>
          </w:tcPr>
          <w:p>
            <w:r>
              <w:rPr>
                <w:b/>
                <w:color w:val="C00000"/>
                <w:sz w:val="17"/>
              </w:rPr>
              <w:t>-3.9%</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6,466</w:t>
            </w:r>
          </w:p>
        </w:tc>
        <w:tc>
          <w:tcPr>
            <w:tcW w:type="dxa" w:w="1440"/>
            <w:shd w:fill="FFDCE0" w:val="clear"/>
          </w:tcPr>
          <w:p>
            <w:r>
              <w:rPr>
                <w:b/>
                <w:sz w:val="17"/>
              </w:rPr>
              <w:t>7,649</w:t>
            </w:r>
          </w:p>
        </w:tc>
        <w:tc>
          <w:tcPr>
            <w:tcW w:type="dxa" w:w="1440"/>
            <w:shd w:fill="FFDCE0" w:val="clear"/>
          </w:tcPr>
          <w:p>
            <w:r>
              <w:rPr>
                <w:sz w:val="17"/>
              </w:rPr>
              <w:t>8,832</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6,345</w:t>
            </w:r>
          </w:p>
        </w:tc>
        <w:tc>
          <w:tcPr>
            <w:tcW w:type="dxa" w:w="1440"/>
            <w:shd w:fill="FFDCE0" w:val="clear"/>
          </w:tcPr>
          <w:p>
            <w:r>
              <w:rPr>
                <w:b/>
                <w:sz w:val="17"/>
              </w:rPr>
              <w:t>7,618</w:t>
            </w:r>
          </w:p>
        </w:tc>
        <w:tc>
          <w:tcPr>
            <w:tcW w:type="dxa" w:w="1440"/>
            <w:shd w:fill="FFDCE0" w:val="clear"/>
          </w:tcPr>
          <w:p>
            <w:r>
              <w:rPr>
                <w:sz w:val="17"/>
              </w:rPr>
              <w:t>8,890</w:t>
            </w:r>
          </w:p>
        </w:tc>
        <w:tc>
          <w:tcPr>
            <w:tcW w:type="dxa" w:w="1440"/>
            <w:shd w:fill="FFDCE0" w:val="clear"/>
          </w:tcPr>
          <w:p>
            <w:r>
              <w:rPr>
                <w:b/>
                <w:color w:val="C00000"/>
                <w:sz w:val="17"/>
              </w:rPr>
              <w:t>-4.7%</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6,232</w:t>
            </w:r>
          </w:p>
        </w:tc>
        <w:tc>
          <w:tcPr>
            <w:tcW w:type="dxa" w:w="1440"/>
            <w:shd w:fill="FFDCE0" w:val="clear"/>
          </w:tcPr>
          <w:p>
            <w:r>
              <w:rPr>
                <w:b/>
                <w:sz w:val="17"/>
              </w:rPr>
              <w:t>7,587</w:t>
            </w:r>
          </w:p>
        </w:tc>
        <w:tc>
          <w:tcPr>
            <w:tcW w:type="dxa" w:w="1440"/>
            <w:shd w:fill="FFDCE0" w:val="clear"/>
          </w:tcPr>
          <w:p>
            <w:r>
              <w:rPr>
                <w:sz w:val="17"/>
              </w:rPr>
              <w:t>8,942</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6,126</w:t>
            </w:r>
          </w:p>
        </w:tc>
        <w:tc>
          <w:tcPr>
            <w:tcW w:type="dxa" w:w="1440"/>
            <w:shd w:fill="FFDCE0" w:val="clear"/>
          </w:tcPr>
          <w:p>
            <w:r>
              <w:rPr>
                <w:b/>
                <w:sz w:val="17"/>
              </w:rPr>
              <w:t>7,558</w:t>
            </w:r>
          </w:p>
        </w:tc>
        <w:tc>
          <w:tcPr>
            <w:tcW w:type="dxa" w:w="1440"/>
            <w:shd w:fill="FFDCE0" w:val="clear"/>
          </w:tcPr>
          <w:p>
            <w:r>
              <w:rPr>
                <w:sz w:val="17"/>
              </w:rPr>
              <w:t>8,989</w:t>
            </w:r>
          </w:p>
        </w:tc>
        <w:tc>
          <w:tcPr>
            <w:tcW w:type="dxa" w:w="1440"/>
            <w:shd w:fill="FFDCE0" w:val="clear"/>
          </w:tcPr>
          <w:p>
            <w:r>
              <w:rPr>
                <w:b/>
                <w:color w:val="C00000"/>
                <w:sz w:val="17"/>
              </w:rPr>
              <w:t>-5.5%</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6,026</w:t>
            </w:r>
          </w:p>
        </w:tc>
        <w:tc>
          <w:tcPr>
            <w:tcW w:type="dxa" w:w="1440"/>
            <w:shd w:fill="FFDCE0" w:val="clear"/>
          </w:tcPr>
          <w:p>
            <w:r>
              <w:rPr>
                <w:b/>
                <w:sz w:val="17"/>
              </w:rPr>
              <w:t>7,529</w:t>
            </w:r>
          </w:p>
        </w:tc>
        <w:tc>
          <w:tcPr>
            <w:tcW w:type="dxa" w:w="1440"/>
            <w:shd w:fill="FFDCE0" w:val="clear"/>
          </w:tcPr>
          <w:p>
            <w:r>
              <w:rPr>
                <w:sz w:val="17"/>
              </w:rPr>
              <w:t>9,032</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204,34 milliards FCFA, SPHC s'impose comme l'une des valeurs industrielles de référence de la cote BRVM, ce qui traduit une liquidité relative et une visibilité institutionnelle certaines. Le BPA de 977 FCFA par action signifie que chaque titre génère près d'un millier de francs de bénéfice net, un niveau élevé qui contraste avec un PER de seulement 8,2x — nettement inférieur à la moyenne BRVM (8-12x) — suggérant une potentielle sous-évaluation du titre par le marché. Le ratio P/B de 1,48x indique que le marché valorise SPHC à environ une fois et demie sa valeur comptable, un niveau raisonnable qui n'intègre ni prime excessive ni décote injustifiée. Enfin, l'EV/EBITDA de 5,1x, situé dans le bas de la fourchette raisonnable (5-10x), confirme que la valeur d'entreprise reste modérée au regard de la capacité opérationnelle dégagée, renforçant l'hypothèse d'un titre fondamentalement attractif malgré les turbulences récentes.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progression totale de +12,61%, avec une dernière séance en hausse de +1,20%, portant le cours actuel à 7 995 FCFA pour une capitalisation de 204,34 milliards FCFA. Le titre a évolué dans un range large de 6 850 FCFA (plus bas) à 10 300 FCFA (plus haut), soit un écart de plus de 50% entre les extrêmes, témoignant d'une forte amplitude de trading. La tendance générale reste haussière sur la période, mais le cours actuel se situe en retrait par rapport au plus haut, signalant une phase de correction ou de consolidation après un sommet. Les statistiques descriptives révèlent une moyenne de 7 849 FCFA légèrement supérieure à la médiane de 7 622 FCFA, avec un mode à 7 500 FCFA : cet écart indique une distribution asymétrique tirée vers le haut par quelques séances exceptionnelles. L'écart-type de 774 FCFA (CV de 9,9%) traduit une dispersion modérée du cours autour de sa moyenne, tandis que le kurtosis de 1,604 (leptokurtique) signale des queues épaisses et donc un risque de pics de volatilité brutaux. Le skewness positif de 1,436 confirme cette asymétrie : les journées sous la moyenne sont plus fréquentes, mais les hausses, lorsqu'elles surviennent, sont plus amples. Enfin, la volatilité annualisée de 43,2% classe SPHC dans la catégorie des titres à volatilité élevée (&gt;30%), ce qui implique un risque de marché significatif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(8 235 FCFA) et la MM50 (8 279,1 FCFA) se situent toutes deux au-dessus du cours actuel (7 995 FCFA), ce qui place le titre en position baissière à court et moyen terme. La MM20 étant légèrement inférieure à la MM50, on observe un début de croisement baissier (death cross) qui confirme la pression vendeuse. La décision technique qui en résulte est logiquement **Vente**, le cours évoluant sous ses deux références mobiles.</w:t>
      </w:r>
    </w:p>
    <w:p>
      <w:pPr>
        <w:spacing w:after="120" w:line="276" w:lineRule="auto"/>
      </w:pPr>
      <w:r>
        <w:t>**Bandes de Bollinger** : Le cours actuel (7 995 FCFA) se situe dans la partie médiane de la bande, entre la borne inférieure (6 740,54 FCFA) et la borne supérieure (9 729,46 FCFA), ce qui traduit une absence de signal directionnel fort. L'amplitude élevée des bandes (près de 3 000 FCFA d'écart) reflète la forte volatilité récente du titre. La décision associée est **Neutre**, le cours n'étant ni en zone de survente ni de surachat.</w:t>
      </w:r>
    </w:p>
    <w:p>
      <w:pPr>
        <w:spacing w:after="120" w:line="276" w:lineRule="auto"/>
      </w:pPr>
      <w:r>
        <w:t>**MACD** : La valeur du MACD (-231,264) est inférieure à son signal (-195,201), ce qui maintient l'histogramme en territoire négatif et confirme un momentum baissier. Cette configuration indique que la dynamique de court terme reste défavorable, bien que l'écart entre les deux lignes soit modéré. La décision technique est donc **Vente**, en cohérence avec la position du cours sous ses moyennes mobiles.</w:t>
      </w:r>
    </w:p>
    <w:p>
      <w:pPr>
        <w:spacing w:after="120" w:line="276" w:lineRule="auto"/>
      </w:pPr>
      <w:r>
        <w:t>**RSI** : À 48,636, le RSI se situe parfaitement dans la zone neutre (30-70), sans signal de surachat ni de survente. Cette valeur médiane indique un équilibre entre acheteurs et vendeurs, sans pression dominante. La décision est **Neutre**, le titre n'offrant pas de signal contrarien exploitable à ce stade.</w:t>
      </w:r>
    </w:p>
    <w:p>
      <w:pPr>
        <w:spacing w:after="120" w:line="276" w:lineRule="auto"/>
      </w:pPr>
      <w:r>
        <w:t>**Stochastique** : Le %K (61,875) est supérieur au %D (43,542), ce qui suggère un croisement haussier en formation et une reprise potentielle du momentum à très court terme. Toutefois, les deux lignes restent dans une zone médiane, sans excès. La décision est **Neutre**, le signal haussier n'étant pas encore confirmé par une sortie de zone basse.</w:t>
      </w:r>
    </w:p>
    <w:p>
      <w:pPr>
        <w:spacing w:after="120" w:line="276" w:lineRule="auto"/>
      </w:pPr>
      <w:r>
        <w:t>**Conclusion technique** : Les indicateurs techniques présentent un tableau mitigé à légèrement baissier. Les moyennes mobiles et le MACD plaident pour la prudence (décision Vente), tandis que le RSI, les Bandes de Bollinger et le Stochastique restent neutres, sans signal d'achat franc. Le titre évolue dans une phase de consolidation sous ses moyennes mobiles, avec un momentum baissier modéré mais un potentiel de rebond technique à surveiller via le croisement du stochastique. En l'absence de convergence haussière, la prudence reste de mise à court terme.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(états financiers annuels) dressent le portrait d'une entreprise industrielle solide et rentable. SPHC a réalisé un chiffre d'affaires de 340,831 milliards FCFA, en croissance de 21,97% par rapport à 2024, pour un résultat net de 24,972 milliards FCFA, soit une marge nette de 7,33%. La rentabilité des fonds propres (ROE) s'établit à 18,10%, un niveau excellent (&gt;15%), et la rentabilité des actifs (ROA) à 11,06%, confirmant l'efficacité de l'utilisation du capital. La structure financière est saine avec une autonomie financière de 61,08% (capitaux propres de 137,937 milliards FCFA pour un total bilan de 225,843 milliards FCFA) et un ratio d'endettement maîtrisé de 25,81%. En tant qu'entreprise agro-industrielle, les délais d'exploitation méritent attention : le délai clients de 35 jours est modéré, mais la durée de stockage de 72,33 jours immobilise du capital, et le BFR de 65,389 milliards FCFA pèse sur la trésorerie, laquelle est négative (-15,413 milliards FCFA), un point de vigilance structurel. Le rapport annuel 2025 (analysé le 20/03/2026) confirme cette dynamique avec une croissance du CA de 22% et une hausse du résultat net de 32,9%, ainsi qu'un DPA proposé de 489 FCFA brut par action (soit 12,50 milliards FCFA de dividendes totaux, taux de distribution de 50,1%), en hausse de 32,7% — un signal fort pour les actionnaires. Toutefois, le rapport du T1 2026 (publié en 2026) révèle un net coup d'arrêt : le chiffre d'affaires chute de 24% à 71,8 milliards FCFA, le résultat d'exploitation s'effondre de 73% à 4,5 milliards FCFA et le résultat net recule de 78% à 2,6 milliards FCFA (marge nette de 4%). Cette dégradation s'explique par la baisse des volumes (-11%) et des prix (-17%), l'engorgement du port de San Pedro et la concurrence accrue sur l'achat de matière première. Sur la base de ce T1 2026, on peut estimer que l'exercice 2026 devrait afficher une contraction significative de la rentabilité par rapport à 2025, sauf reprise des cours mondiaux du caoutchouc (SICOM 20) et stabilisation du marché local. La recommandation fondamentale reste **Conserver**, la solidité du bilan et la politique de dividende compensant partiellement les risques cycliques et la dégradation récente des marges.</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les ratios PER (8,2x), P/B (1,48x) et EV/EBITDA (5,1x) plaident clairement pour une sous-évaluation relative du titre par rapport à ses pairs et à la moyenne BRVM, offrant une marge de sécurité théorique. Cependant, le **comportement du cours (Partie 1)** est préoccupant : malgré une hausse de +12,61% sur 100 jours, la volatilité annualisée de 43,2%, le kurtosis leptokurtique (1,604) et le skewness positif (1,436) signalent un risque de pics baissiers brutaux, et le cours se situe déjà sous ses moyennes mobiles. Les **signaux techniques (Partie 2)** sont majoritairement baissiers ou neutres : les MM20/MM50 et le MACD donnent une décision de Vente, tandis que le RSI, les Bollinger et le Stochastique restent neutres, sans convergence haussière. Les **fondamentaux (Partie 3)** demeurent solides sur l'exercice 2025 (ROE 18,1%, ROA 11,1%, autonomie financière 61%), mais le T1 2026 marque une rupture violente (résultat net -78%, marge nette à 4%), ce qui assombrit les perspectives à court terme. Enfin, les **prédictions IA (J+1 à J+10)** anticipent une trajectoire baissière continue, de 7 818 FCFA le 01/10/2026 à 7 681 FCFA le 07/10/2026, confirmant la pression vendeuse à court terme. Face à cette divergence entre valorisation attractive et dégradation technique/fondamentale récente, la recommandation finale est **CONSERVER**, avec un niveau de confiance **Moyen** et un risque global **Élevé** (volatilité, cyclicité des cours du caoutchouc, trésorerie négative). L'horizon d'investissement optimal est le **moyen terme (3-12 mois)**, le temps que les cours du caoutchouc se stabilisent et que les effets du désendettement et de la politique de dividende se matérialisent, tout en surveillant étroitement les prochains rapports trimestriels 2026 pour confirmer ou infirmer la reprise.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6,180 titres</w:t>
            </w:r>
          </w:p>
        </w:tc>
        <w:tc>
          <w:tcPr>
            <w:tcW w:type="dxa" w:w="2268"/>
            <w:shd w:fill="FFF2CC" w:val="clear"/>
          </w:tcPr>
          <w:p>
            <w:r>
              <w:rPr>
                <w:b/>
                <w:color w:val="503200"/>
                <w:sz w:val="16"/>
              </w:rPr>
              <w:t xml:space="preserve">Cours actuel : </w:t>
            </w:r>
            <w:r>
              <w:rPr>
                <w:color w:val="000000"/>
                <w:sz w:val="17"/>
              </w:rPr>
              <w:t>2,300 FCFA</w:t>
            </w:r>
          </w:p>
          <w:p>
            <w:r>
              <w:rPr>
                <w:b/>
                <w:color w:val="503200"/>
                <w:sz w:val="16"/>
              </w:rPr>
              <w:t xml:space="preserve">Var. 100 jours : </w:t>
            </w:r>
            <w:r>
              <w:rPr>
                <w:b/>
                <w:color w:val="B40000"/>
                <w:sz w:val="17"/>
              </w:rPr>
              <w:t>-19.16%</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13.89% (Moyenne) — μ=2,872 FCFA, σ=399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β=-0.0388 (Contre-cyclique) — Cov=-0.000003, Var(idx)=0.000069, ρ=-0.009, n=96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σ_j=3.88%/j (Modérée) — Vol. annualisée≈61.6%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2,186</w:t>
            </w:r>
          </w:p>
        </w:tc>
        <w:tc>
          <w:tcPr>
            <w:tcW w:type="dxa" w:w="1440"/>
            <w:shd w:fill="FAFAFA" w:val="clear"/>
          </w:tcPr>
          <w:p>
            <w:r>
              <w:rPr>
                <w:b/>
                <w:sz w:val="17"/>
              </w:rPr>
              <w:t>2,331</w:t>
            </w:r>
          </w:p>
        </w:tc>
        <w:tc>
          <w:tcPr>
            <w:tcW w:type="dxa" w:w="1440"/>
            <w:shd w:fill="FAFAFA" w:val="clear"/>
          </w:tcPr>
          <w:p>
            <w:r>
              <w:rPr>
                <w:sz w:val="17"/>
              </w:rPr>
              <w:t>2,475</w:t>
            </w:r>
          </w:p>
        </w:tc>
        <w:tc>
          <w:tcPr>
            <w:tcW w:type="dxa" w:w="1440"/>
            <w:shd w:fill="FAFAFA" w:val="clear"/>
          </w:tcPr>
          <w:p>
            <w:r>
              <w:rPr>
                <w:b/>
                <w:color w:val="008000"/>
                <w:sz w:val="17"/>
              </w:rPr>
              <w:t>+1.3%</w:t>
            </w:r>
          </w:p>
        </w:tc>
      </w:tr>
      <w:tr>
        <w:tc>
          <w:tcPr>
            <w:tcW w:type="dxa" w:w="1440"/>
            <w:shd w:fill="FAFAFA" w:val="clear"/>
          </w:tcPr>
          <w:p>
            <w:r>
              <w:rPr>
                <w:sz w:val="17"/>
              </w:rPr>
              <w:t>J+2  Moyenne</w:t>
            </w:r>
          </w:p>
        </w:tc>
        <w:tc>
          <w:tcPr>
            <w:tcW w:type="dxa" w:w="1440"/>
            <w:shd w:fill="FAFAFA" w:val="clear"/>
          </w:tcPr>
          <w:p>
            <w:r>
              <w:rPr>
                <w:sz w:val="17"/>
              </w:rPr>
              <w:t>2026-10-02</w:t>
            </w:r>
          </w:p>
        </w:tc>
        <w:tc>
          <w:tcPr>
            <w:tcW w:type="dxa" w:w="1440"/>
            <w:shd w:fill="FAFAFA" w:val="clear"/>
          </w:tcPr>
          <w:p>
            <w:r>
              <w:rPr>
                <w:sz w:val="17"/>
              </w:rPr>
              <w:t>2,115</w:t>
            </w:r>
          </w:p>
        </w:tc>
        <w:tc>
          <w:tcPr>
            <w:tcW w:type="dxa" w:w="1440"/>
            <w:shd w:fill="FAFAFA" w:val="clear"/>
          </w:tcPr>
          <w:p>
            <w:r>
              <w:rPr>
                <w:b/>
                <w:sz w:val="17"/>
              </w:rPr>
              <w:t>2,317</w:t>
            </w:r>
          </w:p>
        </w:tc>
        <w:tc>
          <w:tcPr>
            <w:tcW w:type="dxa" w:w="1440"/>
            <w:shd w:fill="FAFAFA" w:val="clear"/>
          </w:tcPr>
          <w:p>
            <w:r>
              <w:rPr>
                <w:sz w:val="17"/>
              </w:rPr>
              <w:t>2,520</w:t>
            </w:r>
          </w:p>
        </w:tc>
        <w:tc>
          <w:tcPr>
            <w:tcW w:type="dxa" w:w="1440"/>
            <w:shd w:fill="FAFAFA" w:val="clear"/>
          </w:tcPr>
          <w:p>
            <w:r>
              <w:rPr>
                <w:b/>
                <w:color w:val="008000"/>
                <w:sz w:val="17"/>
              </w:rPr>
              <w:t>+0.7%</w:t>
            </w:r>
          </w:p>
        </w:tc>
      </w:tr>
      <w:tr>
        <w:tc>
          <w:tcPr>
            <w:tcW w:type="dxa" w:w="1440"/>
            <w:shd w:fill="FAFAFA" w:val="clear"/>
          </w:tcPr>
          <w:p>
            <w:r>
              <w:rPr>
                <w:sz w:val="17"/>
              </w:rPr>
              <w:t>J+3  Moyenne</w:t>
            </w:r>
          </w:p>
        </w:tc>
        <w:tc>
          <w:tcPr>
            <w:tcW w:type="dxa" w:w="1440"/>
            <w:shd w:fill="FAFAFA" w:val="clear"/>
          </w:tcPr>
          <w:p>
            <w:r>
              <w:rPr>
                <w:sz w:val="17"/>
              </w:rPr>
              <w:t>2026-10-05</w:t>
            </w:r>
          </w:p>
        </w:tc>
        <w:tc>
          <w:tcPr>
            <w:tcW w:type="dxa" w:w="1440"/>
            <w:shd w:fill="FAFAFA" w:val="clear"/>
          </w:tcPr>
          <w:p>
            <w:r>
              <w:rPr>
                <w:sz w:val="17"/>
              </w:rPr>
              <w:t>2,056</w:t>
            </w:r>
          </w:p>
        </w:tc>
        <w:tc>
          <w:tcPr>
            <w:tcW w:type="dxa" w:w="1440"/>
            <w:shd w:fill="FAFAFA" w:val="clear"/>
          </w:tcPr>
          <w:p>
            <w:r>
              <w:rPr>
                <w:b/>
                <w:sz w:val="17"/>
              </w:rPr>
              <w:t>2,303</w:t>
            </w:r>
          </w:p>
        </w:tc>
        <w:tc>
          <w:tcPr>
            <w:tcW w:type="dxa" w:w="1440"/>
            <w:shd w:fill="FAFAFA" w:val="clear"/>
          </w:tcPr>
          <w:p>
            <w:r>
              <w:rPr>
                <w:sz w:val="17"/>
              </w:rPr>
              <w:t>2,550</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2,006</w:t>
            </w:r>
          </w:p>
        </w:tc>
        <w:tc>
          <w:tcPr>
            <w:tcW w:type="dxa" w:w="1440"/>
            <w:shd w:fill="FAFAFA" w:val="clear"/>
          </w:tcPr>
          <w:p>
            <w:r>
              <w:rPr>
                <w:b/>
                <w:sz w:val="17"/>
              </w:rPr>
              <w:t>2,289</w:t>
            </w:r>
          </w:p>
        </w:tc>
        <w:tc>
          <w:tcPr>
            <w:tcW w:type="dxa" w:w="1440"/>
            <w:shd w:fill="FAFAFA" w:val="clear"/>
          </w:tcPr>
          <w:p>
            <w:r>
              <w:rPr>
                <w:sz w:val="17"/>
              </w:rPr>
              <w:t>2,572</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1,962</w:t>
            </w:r>
          </w:p>
        </w:tc>
        <w:tc>
          <w:tcPr>
            <w:tcW w:type="dxa" w:w="1440"/>
            <w:shd w:fill="FAFAFA" w:val="clear"/>
          </w:tcPr>
          <w:p>
            <w:r>
              <w:rPr>
                <w:b/>
                <w:sz w:val="17"/>
              </w:rPr>
              <w:t>2,276</w:t>
            </w:r>
          </w:p>
        </w:tc>
        <w:tc>
          <w:tcPr>
            <w:tcW w:type="dxa" w:w="1440"/>
            <w:shd w:fill="FAFAFA" w:val="clear"/>
          </w:tcPr>
          <w:p>
            <w:r>
              <w:rPr>
                <w:sz w:val="17"/>
              </w:rPr>
              <w:t>2,591</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1,922</w:t>
            </w:r>
          </w:p>
        </w:tc>
        <w:tc>
          <w:tcPr>
            <w:tcW w:type="dxa" w:w="1440"/>
            <w:shd w:fill="FAFAFA" w:val="clear"/>
          </w:tcPr>
          <w:p>
            <w:r>
              <w:rPr>
                <w:b/>
                <w:sz w:val="17"/>
              </w:rPr>
              <w:t>2,265</w:t>
            </w:r>
          </w:p>
        </w:tc>
        <w:tc>
          <w:tcPr>
            <w:tcW w:type="dxa" w:w="1440"/>
            <w:shd w:fill="FAFAFA" w:val="clear"/>
          </w:tcPr>
          <w:p>
            <w:r>
              <w:rPr>
                <w:sz w:val="17"/>
              </w:rPr>
              <w:t>2,608</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1,886</w:t>
            </w:r>
          </w:p>
        </w:tc>
        <w:tc>
          <w:tcPr>
            <w:tcW w:type="dxa" w:w="1440"/>
            <w:shd w:fill="FAFAFA" w:val="clear"/>
          </w:tcPr>
          <w:p>
            <w:r>
              <w:rPr>
                <w:b/>
                <w:sz w:val="17"/>
              </w:rPr>
              <w:t>2,255</w:t>
            </w:r>
          </w:p>
        </w:tc>
        <w:tc>
          <w:tcPr>
            <w:tcW w:type="dxa" w:w="1440"/>
            <w:shd w:fill="FAFAFA" w:val="clear"/>
          </w:tcPr>
          <w:p>
            <w:r>
              <w:rPr>
                <w:sz w:val="17"/>
              </w:rPr>
              <w:t>2,623</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1,853</w:t>
            </w:r>
          </w:p>
        </w:tc>
        <w:tc>
          <w:tcPr>
            <w:tcW w:type="dxa" w:w="1440"/>
            <w:shd w:fill="FFDCE0" w:val="clear"/>
          </w:tcPr>
          <w:p>
            <w:r>
              <w:rPr>
                <w:b/>
                <w:sz w:val="17"/>
              </w:rPr>
              <w:t>2,246</w:t>
            </w:r>
          </w:p>
        </w:tc>
        <w:tc>
          <w:tcPr>
            <w:tcW w:type="dxa" w:w="1440"/>
            <w:shd w:fill="FFDCE0" w:val="clear"/>
          </w:tcPr>
          <w:p>
            <w:r>
              <w:rPr>
                <w:sz w:val="17"/>
              </w:rPr>
              <w:t>2,639</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1,823</w:t>
            </w:r>
          </w:p>
        </w:tc>
        <w:tc>
          <w:tcPr>
            <w:tcW w:type="dxa" w:w="1440"/>
            <w:shd w:fill="FFDCE0" w:val="clear"/>
          </w:tcPr>
          <w:p>
            <w:r>
              <w:rPr>
                <w:b/>
                <w:sz w:val="17"/>
              </w:rPr>
              <w:t>2,238</w:t>
            </w:r>
          </w:p>
        </w:tc>
        <w:tc>
          <w:tcPr>
            <w:tcW w:type="dxa" w:w="1440"/>
            <w:shd w:fill="FFDCE0" w:val="clear"/>
          </w:tcPr>
          <w:p>
            <w:r>
              <w:rPr>
                <w:sz w:val="17"/>
              </w:rPr>
              <w:t>2,653</w:t>
            </w:r>
          </w:p>
        </w:tc>
        <w:tc>
          <w:tcPr>
            <w:tcW w:type="dxa" w:w="1440"/>
            <w:shd w:fill="FFDCE0" w:val="clear"/>
          </w:tcPr>
          <w:p>
            <w:r>
              <w:rPr>
                <w:b/>
                <w:color w:val="C00000"/>
                <w:sz w:val="17"/>
              </w:rPr>
              <w:t>-2.7%</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1,796</w:t>
            </w:r>
          </w:p>
        </w:tc>
        <w:tc>
          <w:tcPr>
            <w:tcW w:type="dxa" w:w="1440"/>
            <w:shd w:fill="FFDCE0" w:val="clear"/>
          </w:tcPr>
          <w:p>
            <w:r>
              <w:rPr>
                <w:b/>
                <w:sz w:val="17"/>
              </w:rPr>
              <w:t>2,232</w:t>
            </w:r>
          </w:p>
        </w:tc>
        <w:tc>
          <w:tcPr>
            <w:tcW w:type="dxa" w:w="1440"/>
            <w:shd w:fill="FFDCE0" w:val="clear"/>
          </w:tcPr>
          <w:p>
            <w:r>
              <w:rPr>
                <w:sz w:val="17"/>
              </w:rPr>
              <w:t>2,668</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SETAO (STAC) — BRVM</w:t>
      </w:r>
    </w:p>
    <w:p>
      <w:pPr>
        <w:spacing w:after="120" w:line="276" w:lineRule="auto"/>
      </w:pPr>
      <w:r>
        <w:t>**Date d'analyse : Octobre 2026** | **Cours de référence : 2 300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SETAO s'établit à 30,91 milliards FCFA, un niveau modeste à l'échelle de la BRVM qui la positionne parmi les petites capitalisations du compartiment industriel. Le BPA ressort à -7 FCFA/action, traduisant une société en perte nette sur l'exercice 2025, ce qui rend le PER non significatif (-320,1x) — un ratio négatif qui signale l'absence de bénéfices et disqualifie toute lecture classique de valorisation par les résultats. Le P/B de 86,65x constitue un signal d'alerte majeur : le marché valorise l'action à plus de 86 fois sa valeur comptable, une prime extrême qui s'explique par des capitaux propres très faibles (356,75 M FCFA) rapportés à une capitalisation de 30,91 Mds FCFA — situation typique d'une société dont la valeur boursière repose sur des anticipations de retournement plutôt que sur des fondamentaux actuels. Le ratio EV/EBITDA n'est pas fourni, mais un EBE négatif de -650,13 M FCFA le rendrait de toute façon ininterprétable. En synthèse, la valorisation boursière est totalement déconnectée des fondamentaux comptables, ce qui expose l'investisseur à un risque de correction sévère si les anticipations ne se matérialisent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SETAO affiche une variation totale de -19,16%, avec une dernière séance en repli de -3,36%, confirmant une dynamique baissière persistante. Le titre a évolué dans un range large entre un plus haut de 3 640 FCFA et un plus bas de 2 085 FCFA, soit une amplitude de plus de 74%, reflétant une forte instabilité. La tendance générale est clairement baissière, le cours actuel (2 300 FCFA) se situant sous la moyenne (2 872 FCFA) et sous la médiane (2 815 FCFA) — cet écart entre moyenne et médiane, bien que modéré, suggère une légère asymétrie avec des pics hauts qui tirent la moyenne vers le haut sans être représentatifs du régime de prix dominant. L'écart-type de 401 FCFA avec un coefficient de variation de 14,0% indique une dispersion significative des prix autour de la moyenne, tandis que le kurtosis de -0,735 (mésokurtique) signale une distribution proche de la normale, sans risque de pics extrêmes marqués — un point rassurant. Le skewness de 0,253 confirme une distribution quasi-symétrique, sans biais directionnel fort. La volatilité annualisée de 61,6% classe le titre dans la catégorie des valeurs à volatilité élevée (&gt;30%), ce qui est cohérent avec un profil spéculatif et un risque de perte en capital important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(2 388 FCFA) et la MM50 (2 585,8 FCFA) se situent toutes deux au-dessus du cours actuel (2 300 FCFA), avec la MM20 sous la MM50 — configuration baissière classique. Le cours évoluant sous ses deux moyennes, la pression vendeuse domine et la décision technique "Vente" est pleinement justifiée.</w:t>
      </w:r>
    </w:p>
    <w:p>
      <w:pPr>
        <w:spacing w:after="120" w:line="276" w:lineRule="auto"/>
      </w:pPr>
      <w:r>
        <w:t>**Bandes de Bollinger** : Le cours (2 300 FCFA) se situe dans la partie basse de la bande, entre la borne inférieure (2 006,419 FCFA) et la borne supérieure (2 769,581 FCFA), sans en atteindre les extrêmes. Cette position médiane-basse traduit une volatilité contenue mais une orientation baissière, justifiant la décision "Neutre" — le titre n'est ni en survente technique extrême, ni en zone de rebond imminent.</w:t>
      </w:r>
    </w:p>
    <w:p>
      <w:pPr>
        <w:spacing w:after="120" w:line="276" w:lineRule="auto"/>
      </w:pPr>
      <w:r>
        <w:t>**MACD** : La valeur du MACD (-118,271) est supérieure à son signal (-125,559), générant un croisement haussier (MACD &gt; Signal) qui déclenche la décision "Achat". Toutefois, les deux lignes restent profondément en territoire négatif, ce qui limite la portée de ce signal — il s'agit davantage d'un ralentissement de la baisse que d'un véritable retournement.</w:t>
      </w:r>
    </w:p>
    <w:p>
      <w:pPr>
        <w:spacing w:after="120" w:line="276" w:lineRule="auto"/>
      </w:pPr>
      <w:r>
        <w:t>**RSI** : À 38,235, le RSI se situe en zone neutre basse (30-70), sans atteindre le seuil de survente (&lt;30). Cette valeur indique une pression vendeuse modérée mais non extrême, justifiant la décision "Neutre" — le potentiel de rebond technique existe mais n'est pas encore confirmé.</w:t>
      </w:r>
    </w:p>
    <w:p>
      <w:pPr>
        <w:spacing w:after="120" w:line="276" w:lineRule="auto"/>
      </w:pPr>
      <w:r>
        <w:t>**Stochastique** : Le %K (43,878) et le %D (44,929) évoluent en zone médiane, avec un %K légèrement sous le %D — configuration mineure de croisement baissier. La décision "Neutre" est cohérente : aucun signal fort de survente ou de surachat n'est présent.</w:t>
      </w:r>
    </w:p>
    <w:p>
      <w:pPr>
        <w:spacing w:after="120" w:line="276" w:lineRule="auto"/>
      </w:pPr>
      <w:r>
        <w:t>**Conclusion technique** : Les indicateurs sont majoritairement baissiers (MM sous le cours, MACD négatif) avec quelques signaux de stabilisation (croisement MACD haussier, RSI neutre). La convergence n'est pas nette : le titre est en phase de consolidation baissière, sans signal d'achat fiable ni de vente panique. La prudence reste de mise tant que le cours n'aura pas reconquis la MM20 (2 388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SETAO affiche un chiffre d'affaires de 3,878 Mds FCFA, en croissance spectaculaire de +116,26% par rapport à 2024 (1,793 Md FCFA), portée par la reprise des travaux de l'aéroport d'Abidjan. Cependant, cette dynamique commerciale ne se traduit pas en rentabilité : le résultat net reste négatif à -96,56 M FCFA, le ROE s'établit à -27,07% et le ROA à -1,77%, confirmant une destruction de valeur persistante. La marge nette de -2,49% et la marge opérationnelle de -19,90% révèlent une structure de coûts inadaptée au niveau d'activité, avec un EBE négatif de -650,13 M FCFA. La situation financière est préoccupante : l'autonomie financière n'est que de 6,55% (très en dessous du seuil sain de 30%), le ratio d'endettement atteint 93,45% et la capacité de remboursement est de 77,53 années — un niveau insoutenable. Le BFR est négatif à -930,47 M FCFA (favorable), et la trésorerie nette de 1,330 Md FCFA constitue le principal point d'appui, mais elle est grignotée par les flux opérationnels négatifs (-2,212 Mds FCFA).</w:t>
      </w:r>
    </w:p>
    <w:p>
      <w:pPr>
        <w:spacing w:after="120" w:line="276" w:lineRule="auto"/>
      </w:pPr>
      <w:r>
        <w:t>**Estimations basées sur les rapports trimestriels** : Le rapport du 30 septembre 2025 (cumul 9 mois) indiquait un CA de 3 456 M FCFA (+176%) et une perte nette réduite de 22% à -477 M FCFA, avec une prévision annuelle de 4 Mds FCFA. Le rapport du 30 juin 2025 (S1) faisait état d'un CA de 2 271 M FCFA (+290%) mais d'une perte nette de -557 M FCFA en aggravation de 77%. On estime donc que l'exercice 2025 devrait se solder par une perte nette annuelle comprise entre -100 et -150 M FCFA, cohérente avec le chiffre réel de -96,56 M FCFA. Les rapports antérieurs (2024) confirment la volatilité extrême de l'activité : CA de 9,265 Mds FCFA en 2023, effondré à 1,793 Md en 2024 (-80,6%), puis rebond à 3,878 Mds en 2025 (+116%). Cette cyclicité dépend étroitement des grands projets publics, notamment l'aéroport d'Abidjan.</w:t>
      </w:r>
    </w:p>
    <w:p>
      <w:pPr>
        <w:spacing w:after="120" w:line="276" w:lineRule="auto"/>
      </w:pPr>
      <w:r>
        <w:t>**Recommandation fondamentale** : La société est en situation de fragilité financière structurelle (capitaux propres de 356,75 M FCFA seulement, endettement massif, rentabilité négative), malgré un rebond d'activité spectaculaire. Le principal risque est l'épuisement de la trésorerie si les pertes opérationnelles persistent, et l'absence de visibilité sur de nouveaux contrats après l'aéroport. La valorisation boursière (P/B de 86,65x) est totalement déconnectée de cette réalité — le titre est fondamentalement surévalué.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profonde entre les signaux. **Valorisation (Partie 0)** : le PER négatif et le P/B de 86,65x indiquent une surévaluation extrême, sans aucun support fondamental. **Comportement du cours (Partie 1)** : la tendance baissière (-19,16% sur 100 jours), la volatilité élevée (61,6%) et la position sous les moyennes mobiles sont préoccupantes, bien que le kurtosis mésokurtique et le skewness symétrique limitent le risque de pics extrêmes. **Signaux techniques (Partie 2)** : divergence entre les MM baissières et le croisement MACD haussier, avec un RSI et un stochastique neutres — aucun signal d'achat fiable ne se dégage. **Fondamentaux (Partie 3)** : la croissance du CA (+116%) est impressionnante mais non rentable, la structure financière est très dégradée (autonomie financière de 6,55%, endettement de 93,45%) et la dépendance à un projet unique (aéroport d'Abidjan) constitue un risque majeur. **Prédictions IA (J+1 à J+10)** : la trajectoire prédite (2 331 → 2 276 FCFA) confirme la poursuite de la baisse à court terme, en cohérence avec la tendance observée.</w:t>
      </w:r>
    </w:p>
    <w:p>
      <w:pPr>
        <w:spacing w:after="120" w:line="276" w:lineRule="auto"/>
      </w:pPr>
      <w:r>
        <w:t>**Recommandation finale : VENTE FORTE** — La convergence des signaux est baissière : valorisation surévaluée, technique sans support, fondamentaux fragiles et prédictions IA négatives. Le niveau de confiance est **Élevé** (les quatre dimensions pointent dans la même direction), et le niveau de risque global est **Élevé** (volatilité de 61,6%, endettement critique, dépendance à un projet unique). L'horizon d'investissement recommandé est **court terme (&lt;3 mois)** pour les investisseurs déjà positionnés, avec une sortie à privilégier tant que le cours n'aura pas reconquis la MM20 (2 388 FCFA) et que la société n'aura pas démontré une capacité à générer des bénéfices récurrents. Pour les investisseurs non positionnés, l'évitement est recommandé — le profil risque/rendement est défavorable.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394.47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3,729 titres</w:t>
            </w:r>
          </w:p>
        </w:tc>
        <w:tc>
          <w:tcPr>
            <w:tcW w:type="dxa" w:w="2268"/>
            <w:shd w:fill="FFF2CC" w:val="clear"/>
          </w:tcPr>
          <w:p>
            <w:r>
              <w:rPr>
                <w:b/>
                <w:color w:val="503200"/>
                <w:sz w:val="16"/>
              </w:rPr>
              <w:t xml:space="preserve">Cours actuel : </w:t>
            </w:r>
            <w:r>
              <w:rPr>
                <w:color w:val="000000"/>
                <w:sz w:val="17"/>
              </w:rPr>
              <w:t>21,970 FCFA</w:t>
            </w:r>
          </w:p>
          <w:p>
            <w:r>
              <w:rPr>
                <w:b/>
                <w:color w:val="503200"/>
                <w:sz w:val="16"/>
              </w:rPr>
              <w:t xml:space="preserve">Var. 100 jours : </w:t>
            </w:r>
            <w:r>
              <w:rPr>
                <w:b/>
                <w:color w:val="007800"/>
                <w:sz w:val="17"/>
              </w:rPr>
              <w:t>+4.62%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5.07% (Moyenne) — μ=22,534 FCFA, σ=1,143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β=0.4451 (Défensif) — Cov=0.000031, Var(idx)=0.000069, ρ=0.158,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3,729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2026-10-01</w:t>
            </w:r>
          </w:p>
        </w:tc>
        <w:tc>
          <w:tcPr>
            <w:tcW w:type="dxa" w:w="1440"/>
            <w:shd w:fill="C6EFCE" w:val="clear"/>
          </w:tcPr>
          <w:p>
            <w:r>
              <w:rPr>
                <w:sz w:val="17"/>
              </w:rPr>
              <w:t>21,767</w:t>
            </w:r>
          </w:p>
        </w:tc>
        <w:tc>
          <w:tcPr>
            <w:tcW w:type="dxa" w:w="1440"/>
            <w:shd w:fill="C6EFCE" w:val="clear"/>
          </w:tcPr>
          <w:p>
            <w:r>
              <w:rPr>
                <w:b/>
                <w:sz w:val="17"/>
              </w:rPr>
              <w:t>22,698</w:t>
            </w:r>
          </w:p>
        </w:tc>
        <w:tc>
          <w:tcPr>
            <w:tcW w:type="dxa" w:w="1440"/>
            <w:shd w:fill="C6EFCE" w:val="clear"/>
          </w:tcPr>
          <w:p>
            <w:r>
              <w:rPr>
                <w:sz w:val="17"/>
              </w:rPr>
              <w:t>23,628</w:t>
            </w:r>
          </w:p>
        </w:tc>
        <w:tc>
          <w:tcPr>
            <w:tcW w:type="dxa" w:w="1440"/>
            <w:shd w:fill="C6EFCE" w:val="clear"/>
          </w:tcPr>
          <w:p>
            <w:r>
              <w:rPr>
                <w:b/>
                <w:color w:val="008000"/>
                <w:sz w:val="17"/>
              </w:rPr>
              <w:t>+3.3%</w:t>
            </w:r>
          </w:p>
        </w:tc>
      </w:tr>
      <w:tr>
        <w:tc>
          <w:tcPr>
            <w:tcW w:type="dxa" w:w="1440"/>
            <w:shd w:fill="C6EFCE" w:val="clear"/>
          </w:tcPr>
          <w:p>
            <w:r>
              <w:rPr>
                <w:sz w:val="17"/>
              </w:rPr>
              <w:t>J+2  ⭐</w:t>
            </w:r>
          </w:p>
        </w:tc>
        <w:tc>
          <w:tcPr>
            <w:tcW w:type="dxa" w:w="1440"/>
            <w:shd w:fill="C6EFCE" w:val="clear"/>
          </w:tcPr>
          <w:p>
            <w:r>
              <w:rPr>
                <w:sz w:val="17"/>
              </w:rPr>
              <w:t>2026-10-02</w:t>
            </w:r>
          </w:p>
        </w:tc>
        <w:tc>
          <w:tcPr>
            <w:tcW w:type="dxa" w:w="1440"/>
            <w:shd w:fill="C6EFCE" w:val="clear"/>
          </w:tcPr>
          <w:p>
            <w:r>
              <w:rPr>
                <w:sz w:val="17"/>
              </w:rPr>
              <w:t>21,707</w:t>
            </w:r>
          </w:p>
        </w:tc>
        <w:tc>
          <w:tcPr>
            <w:tcW w:type="dxa" w:w="1440"/>
            <w:shd w:fill="C6EFCE" w:val="clear"/>
          </w:tcPr>
          <w:p>
            <w:r>
              <w:rPr>
                <w:b/>
                <w:sz w:val="17"/>
              </w:rPr>
              <w:t>23,043</w:t>
            </w:r>
          </w:p>
        </w:tc>
        <w:tc>
          <w:tcPr>
            <w:tcW w:type="dxa" w:w="1440"/>
            <w:shd w:fill="C6EFCE" w:val="clear"/>
          </w:tcPr>
          <w:p>
            <w:r>
              <w:rPr>
                <w:sz w:val="17"/>
              </w:rPr>
              <w:t>24,379</w:t>
            </w:r>
          </w:p>
        </w:tc>
        <w:tc>
          <w:tcPr>
            <w:tcW w:type="dxa" w:w="1440"/>
            <w:shd w:fill="C6EFCE" w:val="clear"/>
          </w:tcPr>
          <w:p>
            <w:r>
              <w:rPr>
                <w:b/>
                <w:color w:val="008000"/>
                <w:sz w:val="17"/>
              </w:rPr>
              <w:t>+4.9%</w:t>
            </w:r>
          </w:p>
        </w:tc>
      </w:tr>
      <w:tr>
        <w:tc>
          <w:tcPr>
            <w:tcW w:type="dxa" w:w="1440"/>
            <w:shd w:fill="C6EFCE" w:val="clear"/>
          </w:tcPr>
          <w:p>
            <w:r>
              <w:rPr>
                <w:sz w:val="17"/>
              </w:rPr>
              <w:t>J+3  ⭐</w:t>
            </w:r>
          </w:p>
        </w:tc>
        <w:tc>
          <w:tcPr>
            <w:tcW w:type="dxa" w:w="1440"/>
            <w:shd w:fill="C6EFCE" w:val="clear"/>
          </w:tcPr>
          <w:p>
            <w:r>
              <w:rPr>
                <w:sz w:val="17"/>
              </w:rPr>
              <w:t>2026-10-05</w:t>
            </w:r>
          </w:p>
        </w:tc>
        <w:tc>
          <w:tcPr>
            <w:tcW w:type="dxa" w:w="1440"/>
            <w:shd w:fill="C6EFCE" w:val="clear"/>
          </w:tcPr>
          <w:p>
            <w:r>
              <w:rPr>
                <w:sz w:val="17"/>
              </w:rPr>
              <w:t>21,727</w:t>
            </w:r>
          </w:p>
        </w:tc>
        <w:tc>
          <w:tcPr>
            <w:tcW w:type="dxa" w:w="1440"/>
            <w:shd w:fill="C6EFCE" w:val="clear"/>
          </w:tcPr>
          <w:p>
            <w:r>
              <w:rPr>
                <w:b/>
                <w:sz w:val="17"/>
              </w:rPr>
              <w:t>23,387</w:t>
            </w:r>
          </w:p>
        </w:tc>
        <w:tc>
          <w:tcPr>
            <w:tcW w:type="dxa" w:w="1440"/>
            <w:shd w:fill="C6EFCE" w:val="clear"/>
          </w:tcPr>
          <w:p>
            <w:r>
              <w:rPr>
                <w:sz w:val="17"/>
              </w:rPr>
              <w:t>25,048</w:t>
            </w:r>
          </w:p>
        </w:tc>
        <w:tc>
          <w:tcPr>
            <w:tcW w:type="dxa" w:w="1440"/>
            <w:shd w:fill="C6EFCE" w:val="clear"/>
          </w:tcPr>
          <w:p>
            <w:r>
              <w:rPr>
                <w:b/>
                <w:color w:val="008000"/>
                <w:sz w:val="17"/>
              </w:rPr>
              <w:t>+6.5%</w:t>
            </w:r>
          </w:p>
        </w:tc>
      </w:tr>
      <w:tr>
        <w:tc>
          <w:tcPr>
            <w:tcW w:type="dxa" w:w="1440"/>
            <w:shd w:fill="C6EFCE" w:val="clear"/>
          </w:tcPr>
          <w:p>
            <w:r>
              <w:rPr>
                <w:sz w:val="17"/>
              </w:rPr>
              <w:t>J+4  ⭐</w:t>
            </w:r>
          </w:p>
        </w:tc>
        <w:tc>
          <w:tcPr>
            <w:tcW w:type="dxa" w:w="1440"/>
            <w:shd w:fill="C6EFCE" w:val="clear"/>
          </w:tcPr>
          <w:p>
            <w:r>
              <w:rPr>
                <w:sz w:val="17"/>
              </w:rPr>
              <w:t>2026-10-06</w:t>
            </w:r>
          </w:p>
        </w:tc>
        <w:tc>
          <w:tcPr>
            <w:tcW w:type="dxa" w:w="1440"/>
            <w:shd w:fill="C6EFCE" w:val="clear"/>
          </w:tcPr>
          <w:p>
            <w:r>
              <w:rPr>
                <w:sz w:val="17"/>
              </w:rPr>
              <w:t>21,726</w:t>
            </w:r>
          </w:p>
        </w:tc>
        <w:tc>
          <w:tcPr>
            <w:tcW w:type="dxa" w:w="1440"/>
            <w:shd w:fill="C6EFCE" w:val="clear"/>
          </w:tcPr>
          <w:p>
            <w:r>
              <w:rPr>
                <w:b/>
                <w:sz w:val="17"/>
              </w:rPr>
              <w:t>23,666</w:t>
            </w:r>
          </w:p>
        </w:tc>
        <w:tc>
          <w:tcPr>
            <w:tcW w:type="dxa" w:w="1440"/>
            <w:shd w:fill="C6EFCE" w:val="clear"/>
          </w:tcPr>
          <w:p>
            <w:r>
              <w:rPr>
                <w:sz w:val="17"/>
              </w:rPr>
              <w:t>25,606</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2026-10-07</w:t>
            </w:r>
          </w:p>
        </w:tc>
        <w:tc>
          <w:tcPr>
            <w:tcW w:type="dxa" w:w="1440"/>
            <w:shd w:fill="C6EFCE" w:val="clear"/>
          </w:tcPr>
          <w:p>
            <w:r>
              <w:rPr>
                <w:sz w:val="17"/>
              </w:rPr>
              <w:t>21,707</w:t>
            </w:r>
          </w:p>
        </w:tc>
        <w:tc>
          <w:tcPr>
            <w:tcW w:type="dxa" w:w="1440"/>
            <w:shd w:fill="C6EFCE" w:val="clear"/>
          </w:tcPr>
          <w:p>
            <w:r>
              <w:rPr>
                <w:b/>
                <w:sz w:val="17"/>
              </w:rPr>
              <w:t>23,897</w:t>
            </w:r>
          </w:p>
        </w:tc>
        <w:tc>
          <w:tcPr>
            <w:tcW w:type="dxa" w:w="1440"/>
            <w:shd w:fill="C6EFCE" w:val="clear"/>
          </w:tcPr>
          <w:p>
            <w:r>
              <w:rPr>
                <w:sz w:val="17"/>
              </w:rPr>
              <w:t>26,087</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2026-10-08</w:t>
            </w:r>
          </w:p>
        </w:tc>
        <w:tc>
          <w:tcPr>
            <w:tcW w:type="dxa" w:w="1440"/>
            <w:shd w:fill="C6EFCE" w:val="clear"/>
          </w:tcPr>
          <w:p>
            <w:r>
              <w:rPr>
                <w:sz w:val="17"/>
              </w:rPr>
              <w:t>21,635</w:t>
            </w:r>
          </w:p>
        </w:tc>
        <w:tc>
          <w:tcPr>
            <w:tcW w:type="dxa" w:w="1440"/>
            <w:shd w:fill="C6EFCE" w:val="clear"/>
          </w:tcPr>
          <w:p>
            <w:r>
              <w:rPr>
                <w:b/>
                <w:sz w:val="17"/>
              </w:rPr>
              <w:t>24,050</w:t>
            </w:r>
          </w:p>
        </w:tc>
        <w:tc>
          <w:tcPr>
            <w:tcW w:type="dxa" w:w="1440"/>
            <w:shd w:fill="C6EFCE" w:val="clear"/>
          </w:tcPr>
          <w:p>
            <w:r>
              <w:rPr>
                <w:sz w:val="17"/>
              </w:rPr>
              <w:t>26,465</w:t>
            </w:r>
          </w:p>
        </w:tc>
        <w:tc>
          <w:tcPr>
            <w:tcW w:type="dxa" w:w="1440"/>
            <w:shd w:fill="C6EFCE" w:val="clear"/>
          </w:tcPr>
          <w:p>
            <w:r>
              <w:rPr>
                <w:b/>
                <w:color w:val="008000"/>
                <w:sz w:val="17"/>
              </w:rPr>
              <w:t>+9.5%</w:t>
            </w:r>
          </w:p>
        </w:tc>
      </w:tr>
      <w:tr>
        <w:tc>
          <w:tcPr>
            <w:tcW w:type="dxa" w:w="1440"/>
            <w:shd w:fill="C6EFCE" w:val="clear"/>
          </w:tcPr>
          <w:p>
            <w:r>
              <w:rPr>
                <w:sz w:val="17"/>
              </w:rPr>
              <w:t>J+7  ⭐</w:t>
            </w:r>
          </w:p>
        </w:tc>
        <w:tc>
          <w:tcPr>
            <w:tcW w:type="dxa" w:w="1440"/>
            <w:shd w:fill="C6EFCE" w:val="clear"/>
          </w:tcPr>
          <w:p>
            <w:r>
              <w:rPr>
                <w:sz w:val="17"/>
              </w:rPr>
              <w:t>2026-10-09</w:t>
            </w:r>
          </w:p>
        </w:tc>
        <w:tc>
          <w:tcPr>
            <w:tcW w:type="dxa" w:w="1440"/>
            <w:shd w:fill="C6EFCE" w:val="clear"/>
          </w:tcPr>
          <w:p>
            <w:r>
              <w:rPr>
                <w:sz w:val="17"/>
              </w:rPr>
              <w:t>21,503</w:t>
            </w:r>
          </w:p>
        </w:tc>
        <w:tc>
          <w:tcPr>
            <w:tcW w:type="dxa" w:w="1440"/>
            <w:shd w:fill="C6EFCE" w:val="clear"/>
          </w:tcPr>
          <w:p>
            <w:r>
              <w:rPr>
                <w:b/>
                <w:sz w:val="17"/>
              </w:rPr>
              <w:t>24,119</w:t>
            </w:r>
          </w:p>
        </w:tc>
        <w:tc>
          <w:tcPr>
            <w:tcW w:type="dxa" w:w="1440"/>
            <w:shd w:fill="C6EFCE" w:val="clear"/>
          </w:tcPr>
          <w:p>
            <w:r>
              <w:rPr>
                <w:sz w:val="17"/>
              </w:rPr>
              <w:t>26,735</w:t>
            </w:r>
          </w:p>
        </w:tc>
        <w:tc>
          <w:tcPr>
            <w:tcW w:type="dxa" w:w="1440"/>
            <w:shd w:fill="C6EFCE" w:val="clear"/>
          </w:tcPr>
          <w:p>
            <w:r>
              <w:rPr>
                <w:b/>
                <w:color w:val="008000"/>
                <w:sz w:val="17"/>
              </w:rPr>
              <w:t>+9.8%</w:t>
            </w:r>
          </w:p>
        </w:tc>
      </w:tr>
      <w:tr>
        <w:tc>
          <w:tcPr>
            <w:tcW w:type="dxa" w:w="1440"/>
            <w:shd w:fill="C6EFCE" w:val="clear"/>
          </w:tcPr>
          <w:p>
            <w:r>
              <w:rPr>
                <w:sz w:val="17"/>
              </w:rPr>
              <w:t>J+8  ⭐</w:t>
            </w:r>
          </w:p>
        </w:tc>
        <w:tc>
          <w:tcPr>
            <w:tcW w:type="dxa" w:w="1440"/>
            <w:shd w:fill="C6EFCE" w:val="clear"/>
          </w:tcPr>
          <w:p>
            <w:r>
              <w:rPr>
                <w:sz w:val="17"/>
              </w:rPr>
              <w:t>2026-10-12</w:t>
            </w:r>
          </w:p>
        </w:tc>
        <w:tc>
          <w:tcPr>
            <w:tcW w:type="dxa" w:w="1440"/>
            <w:shd w:fill="C6EFCE" w:val="clear"/>
          </w:tcPr>
          <w:p>
            <w:r>
              <w:rPr>
                <w:sz w:val="17"/>
              </w:rPr>
              <w:t>21,420</w:t>
            </w:r>
          </w:p>
        </w:tc>
        <w:tc>
          <w:tcPr>
            <w:tcW w:type="dxa" w:w="1440"/>
            <w:shd w:fill="C6EFCE" w:val="clear"/>
          </w:tcPr>
          <w:p>
            <w:r>
              <w:rPr>
                <w:b/>
                <w:sz w:val="17"/>
              </w:rPr>
              <w:t>24,229</w:t>
            </w:r>
          </w:p>
        </w:tc>
        <w:tc>
          <w:tcPr>
            <w:tcW w:type="dxa" w:w="1440"/>
            <w:shd w:fill="C6EFCE" w:val="clear"/>
          </w:tcPr>
          <w:p>
            <w:r>
              <w:rPr>
                <w:sz w:val="17"/>
              </w:rPr>
              <w:t>27,038</w:t>
            </w:r>
          </w:p>
        </w:tc>
        <w:tc>
          <w:tcPr>
            <w:tcW w:type="dxa" w:w="1440"/>
            <w:shd w:fill="C6EFCE" w:val="clear"/>
          </w:tcPr>
          <w:p>
            <w:r>
              <w:rPr>
                <w:b/>
                <w:color w:val="008000"/>
                <w:sz w:val="17"/>
              </w:rPr>
              <w:t>+10.3%</w:t>
            </w:r>
          </w:p>
        </w:tc>
      </w:tr>
      <w:tr>
        <w:tc>
          <w:tcPr>
            <w:tcW w:type="dxa" w:w="1440"/>
            <w:shd w:fill="C6EFCE" w:val="clear"/>
          </w:tcPr>
          <w:p>
            <w:r>
              <w:rPr>
                <w:sz w:val="17"/>
              </w:rPr>
              <w:t>J+9  ⭐</w:t>
            </w:r>
          </w:p>
        </w:tc>
        <w:tc>
          <w:tcPr>
            <w:tcW w:type="dxa" w:w="1440"/>
            <w:shd w:fill="C6EFCE" w:val="clear"/>
          </w:tcPr>
          <w:p>
            <w:r>
              <w:rPr>
                <w:sz w:val="17"/>
              </w:rPr>
              <w:t>2026-10-13</w:t>
            </w:r>
          </w:p>
        </w:tc>
        <w:tc>
          <w:tcPr>
            <w:tcW w:type="dxa" w:w="1440"/>
            <w:shd w:fill="C6EFCE" w:val="clear"/>
          </w:tcPr>
          <w:p>
            <w:r>
              <w:rPr>
                <w:sz w:val="17"/>
              </w:rPr>
              <w:t>21,420</w:t>
            </w:r>
          </w:p>
        </w:tc>
        <w:tc>
          <w:tcPr>
            <w:tcW w:type="dxa" w:w="1440"/>
            <w:shd w:fill="C6EFCE" w:val="clear"/>
          </w:tcPr>
          <w:p>
            <w:r>
              <w:rPr>
                <w:b/>
                <w:sz w:val="17"/>
              </w:rPr>
              <w:t>24,423</w:t>
            </w:r>
          </w:p>
        </w:tc>
        <w:tc>
          <w:tcPr>
            <w:tcW w:type="dxa" w:w="1440"/>
            <w:shd w:fill="C6EFCE" w:val="clear"/>
          </w:tcPr>
          <w:p>
            <w:r>
              <w:rPr>
                <w:sz w:val="17"/>
              </w:rPr>
              <w:t>27,427</w:t>
            </w:r>
          </w:p>
        </w:tc>
        <w:tc>
          <w:tcPr>
            <w:tcW w:type="dxa" w:w="1440"/>
            <w:shd w:fill="C6EFCE" w:val="clear"/>
          </w:tcPr>
          <w:p>
            <w:r>
              <w:rPr>
                <w:b/>
                <w:color w:val="008000"/>
                <w:sz w:val="17"/>
              </w:rPr>
              <w:t>+11.2%</w:t>
            </w:r>
          </w:p>
        </w:tc>
      </w:tr>
      <w:tr>
        <w:tc>
          <w:tcPr>
            <w:tcW w:type="dxa" w:w="1440"/>
            <w:shd w:fill="C6EFCE" w:val="clear"/>
          </w:tcPr>
          <w:p>
            <w:r>
              <w:rPr>
                <w:sz w:val="17"/>
              </w:rPr>
              <w:t>J+10  ⭐</w:t>
            </w:r>
          </w:p>
        </w:tc>
        <w:tc>
          <w:tcPr>
            <w:tcW w:type="dxa" w:w="1440"/>
            <w:shd w:fill="C6EFCE" w:val="clear"/>
          </w:tcPr>
          <w:p>
            <w:r>
              <w:rPr>
                <w:sz w:val="17"/>
              </w:rPr>
              <w:t>2026-10-14</w:t>
            </w:r>
          </w:p>
        </w:tc>
        <w:tc>
          <w:tcPr>
            <w:tcW w:type="dxa" w:w="1440"/>
            <w:shd w:fill="C6EFCE" w:val="clear"/>
          </w:tcPr>
          <w:p>
            <w:r>
              <w:rPr>
                <w:sz w:val="17"/>
              </w:rPr>
              <w:t>21,329</w:t>
            </w:r>
          </w:p>
        </w:tc>
        <w:tc>
          <w:tcPr>
            <w:tcW w:type="dxa" w:w="1440"/>
            <w:shd w:fill="C6EFCE" w:val="clear"/>
          </w:tcPr>
          <w:p>
            <w:r>
              <w:rPr>
                <w:b/>
                <w:sz w:val="17"/>
              </w:rPr>
              <w:t>24,506</w:t>
            </w:r>
          </w:p>
        </w:tc>
        <w:tc>
          <w:tcPr>
            <w:tcW w:type="dxa" w:w="1440"/>
            <w:shd w:fill="C6EFCE" w:val="clear"/>
          </w:tcPr>
          <w:p>
            <w:r>
              <w:rPr>
                <w:sz w:val="17"/>
              </w:rPr>
              <w:t>27,683</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394,47 milliards FCFA, STBC s'impose comme l'une des plus importantes capitalisations de la BRVM, témoignant de sa stature de valeur de premier plan sur le marché régional. Le BPA de 2 014 FCFA/action signifie que chaque titre génère près de 2 014 FCFA de bénéfice net, un niveau élevé qui reflète la forte rentabilité de la société. Le PER de 10,9x se situe dans la fourchette modérée de la BRVM (moyenne ~8-12x), indiquant que les investisseurs ne paient pas de prime excessive pour les bénéfices actuels. En revanche, le P/B de 8,70x traduit une valorisation très exigeante par rapport à la valeur comptable (capitaux propres de 45,3 Mds FCFA), le marché valorisant l'entreprise bien au-delà de ses actifs nets — ce qui se justifie par un ROE exceptionnel de 79,75%. L'EV/EBITDA de 7,8x, dans la fourchette raisonnable de 5-10x, suggère que la valeur totale de l'entreprise reste cohérente avec sa capacité opérationnelle, malgré la prime sur les fonds propres.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STBC affiche une variation totale de +4,62%, avec une dernière séance quasi stable (-0,02%), le cours s'établissant à 21 970 FCFA. Le range de trading s'est étendu du plus bas de 20 895 FCFA au plus haut de 25 000 FCFA, soit une amplitude de 4 105 FCFA (19,6%) qui révèle une tendance générale haussière mais avec une correction récente depuis les sommets. La moyenne de 22 534 FCFA, supérieure à la médiane de 22 218 FCFA, indique une asymétrie positive (skewness de 0,528) : les journées sous la moyenne sont plus fréquentes, mais quelques séances à cours élevé tirent la moyenne vers le haut. L'écart-type de 1 148 FCFA (CV de 5,1%) traduit une dispersion modérée du cours autour de sa moyenne, tandis que le kurtosis de -0,774 (mésokurtique) suggère une distribution proche de la normale, sans risque excessif de pics extrêmes. La volatilité annualisée de 36,9% positionne le titre dans la catégorie des valeurs à volatilité élevée (&gt;30%), ce qui est cohérent avec une action de rendement dont le cours est sensible aux annonces de dividendes et aux évolutions réglementaires du secteur tabac.</w:t>
      </w:r>
    </w:p>
    <w:p>
      <w:pPr>
        <w:spacing w:after="120" w:line="276" w:lineRule="auto"/>
      </w:pPr>
      <w:r>
        <w:t>---</w:t>
      </w:r>
    </w:p>
    <w:p>
      <w:pPr>
        <w:spacing w:after="120" w:line="276" w:lineRule="auto"/>
      </w:pPr>
      <w:r>
        <w:t>## PARTIE 2 : ANALYSE TECHNIQUE DÉTAILLÉE</w:t>
      </w:r>
    </w:p>
    <w:p>
      <w:pPr>
        <w:spacing w:after="120" w:line="276" w:lineRule="auto"/>
      </w:pPr>
      <w:r>
        <w:t>**Moyennes Mobiles** : La MM20 (21 746 FCFA) est inférieure à la MM50 (22 613,9 FCFA), et le cours actuel (21 970 FCFA) se situe au-dessus de la MM20 mais en-dessous de la MM50. Cette configuration en "death cross" (MM20 &lt; MM50) signale une pression baissière de moyen terme, justifiant la décision de **Vente**. Le cours tente toutefois de se redresser au-dessus de la MM20, ce qui pourrait annoncer un retournement si cette dynamique se confirme.</w:t>
      </w:r>
    </w:p>
    <w:p>
      <w:pPr>
        <w:spacing w:after="120" w:line="276" w:lineRule="auto"/>
      </w:pPr>
      <w:r>
        <w:t>**Bandes de Bollinger** : Le cours (21 970 FCFA) évolue dans la partie médiane de la bande, entre la borne inférieure (20 985,5 FCFA) et la borne supérieure (22 506,5 FCFA). Cette position centrale, sans contact avec les extrêmes, traduit une absence de signal directionnel fort et une volatilité contenue, justifiant la décision **Neutre**. L'écart entre les bornes (1 521 FCFA) reste modéré, indiquant que le marché n'anticipe pas de mouvement brusque à court terme.</w:t>
      </w:r>
    </w:p>
    <w:p>
      <w:pPr>
        <w:spacing w:after="120" w:line="276" w:lineRule="auto"/>
      </w:pPr>
      <w:r>
        <w:t>**MACD** : La valeur du MACD (-262,183) est supérieure à sa ligne de signal (-344,451), générant un croisement haussier (MACD &gt; Signal) qui traduit un momentum positif en formation. Bien que les deux lignes restent en territoire négatif, la convergence ascendante suggère un essoufflement de la pression baissière, justifiant la décision d'**Achat** technique.</w:t>
      </w:r>
    </w:p>
    <w:p>
      <w:pPr>
        <w:spacing w:after="120" w:line="276" w:lineRule="auto"/>
      </w:pPr>
      <w:r>
        <w:t>**RSI** : À 49,696, le RSI se situe exactement dans la zone neutre (30-70), sans signal de surachat (&gt;70) ni de survente (&lt;30). Cette position médiane indique un équilibre entre acheteurs et vendeurs, sans force directionnelle dominante, justifiant la décision **Neutre**. Le RSI laisse au marché la possibilité d'évoluer dans les deux sens.</w:t>
      </w:r>
    </w:p>
    <w:p>
      <w:pPr>
        <w:spacing w:after="120" w:line="276" w:lineRule="auto"/>
      </w:pPr>
      <w:r>
        <w:t>**Stochastique** : Le %K (82,375) est supérieur au %D (69,221), avec les deux indicateurs en zone de surachat (&gt;80 pour le %K). Cette configuration signale que le cours a fortement progressé récemment et pourrait subir une correction à court terme, justifiant la décision de **Vente**. La divergence entre le %K élevé et le cours encore sous la MM50 renforce la prudence.</w:t>
      </w:r>
    </w:p>
    <w:p>
      <w:pPr>
        <w:spacing w:after="120" w:line="276" w:lineRule="auto"/>
      </w:pPr>
      <w:r>
        <w:t>**Conclusion technique** : Les indicateurs présentent un tableau mitigé avec une divergence notable : le MACD génère un signal d'achat (croisement haussier), tandis que les Moyennes Mobiles et le Stochastique recommandent la vente, et que les Bandes de Bollinger et le RSI restent neutres. Cette absence de consensus traduit une phase d'incertitude où le titre cherche une direction après sa correction depuis les 25 000 FCFA. La prudence s'impose à court terme, mais le croisement haussier du MACD pourrait préfigurer un rebond si le cours parvient à se maintenir au-dessus de la MM20 (21 746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SITAB a réalisé un chiffre d'affaires de 268,537 milliards FCFA, en croissance de 25,3% par rapport à 2024, portée par une hausse des volumes (+5,6%) et un effet prix favorable. Le résultat net s'établit à 36,158 milliards FCFA, en baisse de 17,5% par rapport aux 44,174 milliards de 2024, sous l'effet de la hausse des droits d'accise (de 49% à 70%) et d'un contrôle fiscal. La marge nette se contracte à 13,46% (contre 20,7% en 2024), tandis que la marge opérationnelle recule à 17,12%. Le ROE reste exceptionnel à 79,75% et le ROA à 48,09%, témoignant d'une rentabilité des fonds propres et des actifs très élevée. La structure financière est remarquablement saine : autonomie financière de 60,3%, endettement financier quasi nul (1,4 million FCFA), trésorerie nette de 30,763 milliards FCFA, et liquidité générale de 225%. Le BFR est négatif (5,639 milliards FCFA), ce qui est favorable, et les délais clients (42,57 jours) et de stockage (5,73 jours) sont maîtrisés.</w:t>
      </w:r>
    </w:p>
    <w:p>
      <w:pPr>
        <w:spacing w:after="120" w:line="276" w:lineRule="auto"/>
      </w:pPr>
      <w:r>
        <w:t>**Analyse sectorielle (entreprise non bancaire)** : SITAB opère dans le secteur du tabac, caractérisé par une forte fiscalité et une réglementation croissante. La rotation des actifs de 357,17% (CA/Total actif) démontre une excellente efficacité opérationnelle. Le taux de distribution de dividende est très élevé (84,9% en 2025 selon le rapport du 31/12/2025), avec un dividende proposé de 1 940 FCFA/action, offrant un rendement attractif sur la base du cours actuel (8,8%).</w:t>
      </w:r>
    </w:p>
    <w:p>
      <w:pPr>
        <w:spacing w:after="120" w:line="276" w:lineRule="auto"/>
      </w:pPr>
      <w:r>
        <w:t>**Estimations basées sur les rapports trimestriels** : Le rapport T1 2026 (publié en 2026) indique un chiffre d'affaires de 68,8 milliards FCFA (+12%) et des volumes en hausse de 10%, signalant un redressement de la dynamique commerciale après la contraction de 2025. Le résultat net recule légèrement de 1% à 9,3 milliards FCFA, avec une marge nette de 13,5%. Le rapport T2 2026 (publié en 2026) confirme cette stabilité avec un CA de 70,05 milliards FCFA (+1%) et un résultat net de 8,64 milliards FCFA (-0,2%), maintenant une marge nette de 12,3%. Sur la base de ces tendances, on peut estimer que l'exercice 2026 devrait afficher une croissance modérée du chiffre d'affaires (autour de +5-8%) et une stabilisation du résultat net autour de 36-38 milliards FCFA, avec une marge nette comprise entre 12% et 13,5%. La pression fiscale et réglementaire reste le principal risque, mais la société démontre une résilience remarquable.</w:t>
      </w:r>
    </w:p>
    <w:p>
      <w:pPr>
        <w:spacing w:after="120" w:line="276" w:lineRule="auto"/>
      </w:pPr>
      <w:r>
        <w:t>**Évolution pluriannuelle** : De 2023 à 2025, le chiffre d'affaires est passé de 170,8 à 268,5 milliards FCFA (+57%), tandis que le résultat net a connu une volatilité extrême : 12,4 milliards en 2023, 44,2 milliards en 2024 (pic exceptionnel), puis 36,2 milliards en 2025. Cette évolution illustre la sensibilité de la rentabilité aux facteurs réglementaires et fiscaux, mais aussi la capacité de la société à maintenir des niveaux de profit élevés.</w:t>
      </w:r>
    </w:p>
    <w:p>
      <w:pPr>
        <w:spacing w:after="120" w:line="276" w:lineRule="auto"/>
      </w:pPr>
      <w:r>
        <w:t>**Recommandation fondamentale** : SITAB présente une solidité financière exceptionnelle (zéro dette, trésorerie abondante, ROE élevé) et une politique de dividende généreuse, mais fait face à une dégradation de ses marges et à un environnement réglementaire contraignant. La recommandation est de **CONSERVER**, en attendant des signaux plus clairs de stabilisation des marges et de croissance durable des volumes.</w:t>
      </w:r>
    </w:p>
    <w:p>
      <w:pPr>
        <w:spacing w:after="120" w:line="276" w:lineRule="auto"/>
      </w:pPr>
      <w:r>
        <w:t>---</w:t>
      </w:r>
    </w:p>
    <w:p>
      <w:pPr>
        <w:spacing w:after="120" w:line="276" w:lineRule="auto"/>
      </w:pPr>
      <w:r>
        <w:t>## PARTIE 4 : CONCLUSION D'INVESTISSEMENT</w:t>
      </w:r>
    </w:p>
    <w:p>
      <w:pPr>
        <w:spacing w:after="120" w:line="276" w:lineRule="auto"/>
      </w:pPr>
      <w:r>
        <w:t>La valorisation de STBC apparaît modérément attractive : le PER de 10,9x est dans la moyenne du marché, l'EV/EBITDA de 7,8x est raisonnable, mais le P/B de 8,70x traduit une prime exigeante qui se justifie par un ROE exceptionnel de 79,75%. Le comportement du cours sur 100 jours (+4,62%) révèle une tendance haussière de fond, mais la correction récente depuis les 25 000 FCFA et la volatilité élevée (36,9%) incitent à la prudence ; les statistiques (skewness positif, kurtosis mésokurtique) indiquent une distribution équilibrée sans risque extrême. Les signaux techniques sont divergents : le MACD génère un signal d'achat, mais les Moyennes Mobiles et le Stochastique recommandent la vente, tandis que le RSI et les Bandes de Bollinger restent neutres — cette absence de consensus traduit une phase d'incertitude. Les fondamentaux restent solides : chiffre d'affaires en croissance (+25,3% en 2025), rentabilité élevée (ROE de 79,75%), structure financière sans dette et trésorerie abondante (30,8 Mds FCFA), mais la dégradation des marges (marge nette de 13,46% contre 20,7% en 2024) et la pression fiscale constituent des défis majeurs. Les rapports trimestriels 2026 (T1 et T2) montrent une stabilisation de l'activité avec une croissance modérée du CA (+12% au T1, +1% au T2) et un résultat net quasi stable, suggérant une résilience mais pas d'accélération. Les prédictions IA pour les 10 prochains jours (22 698 FCFA à 23 897 FCFA) anticipent une hausse de +8,8% depuis le cours actuel, ce qui contredit partiellement les signaux techniques baissiers à court terme mais s'aligne sur le potentiel de rebond technique et la solidité fondamentale.</w:t>
      </w:r>
    </w:p>
    <w:p>
      <w:pPr>
        <w:spacing w:after="120" w:line="276" w:lineRule="auto"/>
      </w:pPr>
      <w:r>
        <w:t>**Recommandation finale : CONSERVER**</w:t>
      </w:r>
    </w:p>
    <w:p>
      <w:pPr>
        <w:spacing w:after="120" w:line="276" w:lineRule="auto"/>
      </w:pPr>
      <w:r>
        <w:t>Cette recommandation reflète la convergence entre une valorisation raisonnable (PER modéré), des fondamentaux solides (croissance du CA, rentabilité élevée, bilan sain) et une politique de dividende attractive (rendement de 8,8%), mais aussi les risques liés à la dégradation des marges, à la pression réglementaire et à l'incertitude technique à court terme. Le niveau de confiance est **Moyen**, car si les fondamentaux sont robustes, les signaux techniques divergents et la volatilité élevée empêchent une recommandation d'achat plus affirmée. Le niveau de risque global est **Moyen**, compte tenu de la solidité financière de l'entreprise mais de la sensibilité du secteur aux facteurs externes. L'horizon d'investissement optimal est le **moyen terme (3-12 mois)**, en attendant la publication des résultats du second semestre 2026 qui permettront de confirmer ou d'infirmer la stabilisation des marges et la reprise de la croissance des volumes. Un investisseur en quête de rendement peut conserver la ligne pour son dividende, mais un renforcement de la position n'est pas conseillé tant que la tendance baissière du résultat net n'est pas inversée et que les indicateurs techniques ne convergent pas vers un signal d'achat clair.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201.48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7,086 titres</w:t>
            </w:r>
          </w:p>
        </w:tc>
        <w:tc>
          <w:tcPr>
            <w:tcW w:type="dxa" w:w="2268"/>
            <w:shd w:fill="FFF2CC" w:val="clear"/>
          </w:tcPr>
          <w:p>
            <w:r>
              <w:rPr>
                <w:b/>
                <w:color w:val="503200"/>
                <w:sz w:val="16"/>
              </w:rPr>
              <w:t xml:space="preserve">Cours actuel : </w:t>
            </w:r>
            <w:r>
              <w:rPr>
                <w:color w:val="000000"/>
                <w:sz w:val="17"/>
              </w:rPr>
              <w:t>3,200 FCFA</w:t>
            </w:r>
          </w:p>
          <w:p>
            <w:r>
              <w:rPr>
                <w:b/>
                <w:color w:val="503200"/>
                <w:sz w:val="16"/>
              </w:rPr>
              <w:t xml:space="preserve">Var. 100 jours : </w:t>
            </w:r>
            <w:r>
              <w:rPr>
                <w:b/>
                <w:color w:val="007800"/>
                <w:sz w:val="17"/>
              </w:rPr>
              <w:t>+17.65%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6.47% (Moyenne) — μ=3,017 FCFA, σ=195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β=0.0652 (Défensif) — Cov=0.000005, Var(idx)=0.000069, ρ=0.020,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3,062</w:t>
            </w:r>
          </w:p>
        </w:tc>
        <w:tc>
          <w:tcPr>
            <w:tcW w:type="dxa" w:w="1440"/>
            <w:shd w:fill="FAFAFA" w:val="clear"/>
          </w:tcPr>
          <w:p>
            <w:r>
              <w:rPr>
                <w:b/>
                <w:sz w:val="17"/>
              </w:rPr>
              <w:t>3,182</w:t>
            </w:r>
          </w:p>
        </w:tc>
        <w:tc>
          <w:tcPr>
            <w:tcW w:type="dxa" w:w="1440"/>
            <w:shd w:fill="FAFAFA" w:val="clear"/>
          </w:tcPr>
          <w:p>
            <w:r>
              <w:rPr>
                <w:sz w:val="17"/>
              </w:rPr>
              <w:t>3,302</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2,999</w:t>
            </w:r>
          </w:p>
        </w:tc>
        <w:tc>
          <w:tcPr>
            <w:tcW w:type="dxa" w:w="1440"/>
            <w:shd w:fill="FAFAFA" w:val="clear"/>
          </w:tcPr>
          <w:p>
            <w:r>
              <w:rPr>
                <w:b/>
                <w:sz w:val="17"/>
              </w:rPr>
              <w:t>3,168</w:t>
            </w:r>
          </w:p>
        </w:tc>
        <w:tc>
          <w:tcPr>
            <w:tcW w:type="dxa" w:w="1440"/>
            <w:shd w:fill="FAFAFA" w:val="clear"/>
          </w:tcPr>
          <w:p>
            <w:r>
              <w:rPr>
                <w:sz w:val="17"/>
              </w:rPr>
              <w:t>3,337</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2,948</w:t>
            </w:r>
          </w:p>
        </w:tc>
        <w:tc>
          <w:tcPr>
            <w:tcW w:type="dxa" w:w="1440"/>
            <w:shd w:fill="FAFAFA" w:val="clear"/>
          </w:tcPr>
          <w:p>
            <w:r>
              <w:rPr>
                <w:b/>
                <w:sz w:val="17"/>
              </w:rPr>
              <w:t>3,154</w:t>
            </w:r>
          </w:p>
        </w:tc>
        <w:tc>
          <w:tcPr>
            <w:tcW w:type="dxa" w:w="1440"/>
            <w:shd w:fill="FAFAFA" w:val="clear"/>
          </w:tcPr>
          <w:p>
            <w:r>
              <w:rPr>
                <w:sz w:val="17"/>
              </w:rPr>
              <w:t>3,360</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2,906</w:t>
            </w:r>
          </w:p>
        </w:tc>
        <w:tc>
          <w:tcPr>
            <w:tcW w:type="dxa" w:w="1440"/>
            <w:shd w:fill="FAFAFA" w:val="clear"/>
          </w:tcPr>
          <w:p>
            <w:r>
              <w:rPr>
                <w:b/>
                <w:sz w:val="17"/>
              </w:rPr>
              <w:t>3,143</w:t>
            </w:r>
          </w:p>
        </w:tc>
        <w:tc>
          <w:tcPr>
            <w:tcW w:type="dxa" w:w="1440"/>
            <w:shd w:fill="FAFAFA" w:val="clear"/>
          </w:tcPr>
          <w:p>
            <w:r>
              <w:rPr>
                <w:sz w:val="17"/>
              </w:rPr>
              <w:t>3,380</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2,869</w:t>
            </w:r>
          </w:p>
        </w:tc>
        <w:tc>
          <w:tcPr>
            <w:tcW w:type="dxa" w:w="1440"/>
            <w:shd w:fill="FFDCE0" w:val="clear"/>
          </w:tcPr>
          <w:p>
            <w:r>
              <w:rPr>
                <w:b/>
                <w:sz w:val="17"/>
              </w:rPr>
              <w:t>3,133</w:t>
            </w:r>
          </w:p>
        </w:tc>
        <w:tc>
          <w:tcPr>
            <w:tcW w:type="dxa" w:w="1440"/>
            <w:shd w:fill="FFDCE0" w:val="clear"/>
          </w:tcPr>
          <w:p>
            <w:r>
              <w:rPr>
                <w:sz w:val="17"/>
              </w:rPr>
              <w:t>3,398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2,835</w:t>
            </w:r>
          </w:p>
        </w:tc>
        <w:tc>
          <w:tcPr>
            <w:tcW w:type="dxa" w:w="1440"/>
            <w:shd w:fill="FFDCE0" w:val="clear"/>
          </w:tcPr>
          <w:p>
            <w:r>
              <w:rPr>
                <w:b/>
                <w:sz w:val="17"/>
              </w:rPr>
              <w:t>3,124</w:t>
            </w:r>
          </w:p>
        </w:tc>
        <w:tc>
          <w:tcPr>
            <w:tcW w:type="dxa" w:w="1440"/>
            <w:shd w:fill="FFDCE0" w:val="clear"/>
          </w:tcPr>
          <w:p>
            <w:r>
              <w:rPr>
                <w:sz w:val="17"/>
              </w:rPr>
              <w:t>3,413</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2,804</w:t>
            </w:r>
          </w:p>
        </w:tc>
        <w:tc>
          <w:tcPr>
            <w:tcW w:type="dxa" w:w="1440"/>
            <w:shd w:fill="FFDCE0" w:val="clear"/>
          </w:tcPr>
          <w:p>
            <w:r>
              <w:rPr>
                <w:b/>
                <w:sz w:val="17"/>
              </w:rPr>
              <w:t>3,115</w:t>
            </w:r>
          </w:p>
        </w:tc>
        <w:tc>
          <w:tcPr>
            <w:tcW w:type="dxa" w:w="1440"/>
            <w:shd w:fill="FFDCE0" w:val="clear"/>
          </w:tcPr>
          <w:p>
            <w:r>
              <w:rPr>
                <w:sz w:val="17"/>
              </w:rPr>
              <w:t>3,426</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2,775</w:t>
            </w:r>
          </w:p>
        </w:tc>
        <w:tc>
          <w:tcPr>
            <w:tcW w:type="dxa" w:w="1440"/>
            <w:shd w:fill="FFDCE0" w:val="clear"/>
          </w:tcPr>
          <w:p>
            <w:r>
              <w:rPr>
                <w:b/>
                <w:sz w:val="17"/>
              </w:rPr>
              <w:t>3,106</w:t>
            </w:r>
          </w:p>
        </w:tc>
        <w:tc>
          <w:tcPr>
            <w:tcW w:type="dxa" w:w="1440"/>
            <w:shd w:fill="FFDCE0" w:val="clear"/>
          </w:tcPr>
          <w:p>
            <w:r>
              <w:rPr>
                <w:sz w:val="17"/>
              </w:rPr>
              <w:t>3,438</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2,747</w:t>
            </w:r>
          </w:p>
        </w:tc>
        <w:tc>
          <w:tcPr>
            <w:tcW w:type="dxa" w:w="1440"/>
            <w:shd w:fill="FFDCE0" w:val="clear"/>
          </w:tcPr>
          <w:p>
            <w:r>
              <w:rPr>
                <w:b/>
                <w:sz w:val="17"/>
              </w:rPr>
              <w:t>3,098</w:t>
            </w:r>
          </w:p>
        </w:tc>
        <w:tc>
          <w:tcPr>
            <w:tcW w:type="dxa" w:w="1440"/>
            <w:shd w:fill="FFDCE0" w:val="clear"/>
          </w:tcPr>
          <w:p>
            <w:r>
              <w:rPr>
                <w:sz w:val="17"/>
              </w:rPr>
              <w:t>3,449</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2,721</w:t>
            </w:r>
          </w:p>
        </w:tc>
        <w:tc>
          <w:tcPr>
            <w:tcW w:type="dxa" w:w="1440"/>
            <w:shd w:fill="FFDCE0" w:val="clear"/>
          </w:tcPr>
          <w:p>
            <w:r>
              <w:rPr>
                <w:b/>
                <w:sz w:val="17"/>
              </w:rPr>
              <w:t>3,090</w:t>
            </w:r>
          </w:p>
        </w:tc>
        <w:tc>
          <w:tcPr>
            <w:tcW w:type="dxa" w:w="1440"/>
            <w:shd w:fill="FFDCE0" w:val="clear"/>
          </w:tcPr>
          <w:p>
            <w:r>
              <w:rPr>
                <w:sz w:val="17"/>
              </w:rPr>
              <w:t>3,458</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r>
    </w:p>
    <w:p>
      <w:pPr>
        <w:spacing w:after="120" w:line="276" w:lineRule="auto"/>
      </w:pPr>
      <w: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201,48 milliards FCFA, TTLC figure parmi les valeurs les plus importantes de la cote BRVM, ce qui en fait un pilier de l'indice composite et un titre de référence pour les investisseurs institutionnels régionaux. Le BPA de 144 FCFA/action signifie que chaque titre génère 144 FCFA de bénéfice net, un niveau appréciable mais qui, rapporté au cours actuel de 3 200 FCFA, aboutit à un PER de 22,2x — nettement supérieur à la moyenne BRVM (~8-12x), ce qui traduit soit une anticipation de croissance soutenue, soit une surévaluation relative. Le P/B de 5,57x confirme cette prime exigeante : le marché valorise l'entreprise à plus de cinq fois sa valeur comptable, reflétant la qualité de la franchise (182 stations-service, leadership sectoriel) mais laissant peu de marge d'erreur. Enfin, l'EV/EBITDA de 11,5x, dans la fourchette haute (10-15x), indique que la valeur totale de l'entreprise (dette incluse) représente près de douze fois sa capacité opérationnelle — un multiple cohérent avec un acteur mature et rentable, mais qui suppose une génération de cash-flows stable et pérenne.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TTLC affiche une progression totale de +17,65%, avec une dernière séance en hausse de +0,79%, confirmant une dynamique haussière de fond malgré quelques accès de faiblesse. Le titre a évolué dans un range de 875 FCFA entre son plus bas (2 720 FCFA) et son plus haut (3 595 FCFA), soit une amplitude de plus de 32% — signe d'un titre actif et recherché, mais aussi sujet à des corrections. La tendance générale est donc haussière, portée par la solidité des fondamentaux et l'attrait pour le rendement du dividende. Les statistiques descriptives révèlent une moyenne (3 017 FCFA) supérieure à la médiane (2 948 FCFA) et au mode (2 900 FCFA), avec un skewness positif de 0,860 : cela signifie que le cours a passé plus de journées sous sa moyenne, mais que quelques séances de forte hausse ont tiré la moyenne vers le haut — distribution asymétrique typique d'un titre en phase d'accélération. L'écart-type de 196 FCFA (CV = 6,5%) indique une dispersion modérée autour de la moyenne, tandis que le kurtosis de -0,331 (mésokurtique) suggère une distribution proche de la normale, sans risque excessif de pics extrêmes. Enfin, la volatilité annualisée de 41,8% positionne TTLC dans la catégorie des titres à volatilité élevée (&gt;30%), ce qui implique un potentiel de gain attractif mais aussi un risque de correction significatif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(3 204,0 FCFA) et la MM50 (3 156,2 FCFA) se situent toutes deux sous le cours actuel (3 200 FCFA), avec la MM20 légèrement au-dessus de la MM50 — configuration haussière classique (croisement doré). Le cours évolue au-dessus de ses deux moyennes, ce qui valide la décision d'**Achat** : la tendance de court et moyen terme reste positive, et les moyennes agissent comme supports dynamiques en cas de repli.</w:t>
      </w:r>
    </w:p>
    <w:p>
      <w:pPr>
        <w:spacing w:after="120" w:line="276" w:lineRule="auto"/>
      </w:pPr>
      <w:r>
        <w:t>**Bandes de Bollinger** : Le cours (3 200 FCFA) se situe à mi-chemin entre la borne inférieure (2 990,8 FCFA) et la borne supérieure (3 417,2 FCFA), légèrement au-dessus de la moyenne mobile centrale. Cette position médiane, sans contact avec les extrêmes, justifie la décision **Neutre** : le titre n'est ni suracheté ni survendu, et la volatilité actuelle (largeur des bandes) reste contenue, suggérant une phase de consolidation avant un éventuel mouvement directionnel.</w:t>
      </w:r>
    </w:p>
    <w:p>
      <w:pPr>
        <w:spacing w:after="120" w:line="276" w:lineRule="auto"/>
      </w:pPr>
      <w:r>
        <w:t>**MACD** : La valeur du MACD (-23,458) est inférieure à son signal (-12,516), avec un histogramme négatif — configuration baissière qui justifie la décision de **Vente**. Le momentum de court terme s'affaiblit, et la divergence négative indique que la pression vendeuse l'emporte temporairement sur la dynamique acheteuse, malgré la tendance haussière de fond.</w:t>
      </w:r>
    </w:p>
    <w:p>
      <w:pPr>
        <w:spacing w:after="120" w:line="276" w:lineRule="auto"/>
      </w:pPr>
      <w:r>
        <w:t>**RSI** : À 43,22, le RSI se situe dans la zone neutre (30-70), sans signal de surachat ni de survente. La décision **Neutre** est cohérente : le titre dispose d'un potentiel de rebond sans être dans une zone d'épuisement, et la prudence reste de mise tant que le RSI n'atteint pas 50-60 pour confirmer un regain de momentum.</w:t>
      </w:r>
    </w:p>
    <w:p>
      <w:pPr>
        <w:spacing w:after="120" w:line="276" w:lineRule="auto"/>
      </w:pPr>
      <w:r>
        <w:t>**Stochastique** : Le %K (71,667) est supérieur au %D (62,742), avec un croisement haussier récent — mais les deux courbes approchent la zone de surachat (&gt;80). La décision **Neutre** reflète cette situation ambiguë : le signal de croisement est positif à court terme, mais le risque de retournement imminent limite la portée haussière.</w:t>
      </w:r>
    </w:p>
    <w:p>
      <w:pPr>
        <w:spacing w:after="120" w:line="276" w:lineRule="auto"/>
      </w:pPr>
      <w:r>
        <w:t>**Conclusion technique** : Les indicateurs sont **mitigés** — les moyennes mobiles et le stochastique plaident pour un maintien haussier, tandis que le MACD et le RSI neutre suggèrent une prudence à court terme. La convergence partielle vers un signal **Neutre à légèrement haussier** invite à attendre une confirmation (cassure des 3 417 FCFA ou rebond sur 2 990 FCFA) avant de renforcer une position.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TotalEnergies Marketing Côte d'Ivoire a réalisé un chiffre d'affaires de 588,709 milliards FCFA, en repli de 5,2% sur un an (contre 621,042 milliards en 2024), dans un contexte de baisse des volumes hors réseau. Le résultat net s'établit à 9,087 milliards FCFA (contre 9,374 milliards en 2024, soit -3%), avec une marge nette de 1,54% — faible mais stable, typique d'un distributeur en volume. La rentabilité des fonds propres (ROE) reste excellente à 25,1% (&gt;15% = seuil d'excellence), tandis que le ROA de 4,82% reflète la forte rotation des actifs (312,4% du CA). Le BFR est négatif (-9,662 milliards FCFA), ce qui est **favorable** pour une entreprise de distribution : les fournisseurs (délai de 49,72 jours) financent une partie du cycle d'exploitation, et la durée de stockage est très courte (13,80 jours). Cependant, la trésorerie nette est négative (-21,926 milliards FCFA) et l'autonomie financière faible (19,2%, &lt;30% = sain), avec un ratio d'endettement de 90,2% — des signaux d'alerte sur la structure financière. La CAF de 19,106 milliards FCFA couvre largement les investissements (188,7%), mais le Free Cash Flow n'est que de 72 millions FCFA, et la capacité de remboursement est de 1,71 an (acceptable).</w:t>
      </w:r>
    </w:p>
    <w:p>
      <w:pPr>
        <w:spacing w:after="120" w:line="276" w:lineRule="auto"/>
      </w:pPr>
      <w:r>
        <w:t>**Estimations basées sur les rapports trimestriels** : Le rapport T1 2026 (publié en 2026) indique un chiffre d'affaires de 154,392 milliards FCFA (+4,3% sur un an) et un résultat net de 2,329 milliards FCFA (+5,5%), marquant un **retour à la croissance** après le repli de 2025. Le rapport annuel 2025 (publié en 2026) confirme un dividende brut de 10 milliards FCFA (taux de distribution &gt;100%), avec un EBE en hausse de 12% (22,347 milliards FCFA) et un résultat d'exploitation en progression de 18% (12,329 milliards FCFA) — signe d'une **amélioration des marges opérationnelles** malgré la baisse du CA. Le rapport S1 2025 (daté du 30/06/2025) soulignait déjà une marge opérationnelle stable à 2,1% et une marge nette de 1,6%, avec une charge fiscale anticipée plus lourde. Sur la base du T1 2026 (+4,3% de CA, +5,5% de résultat net), on peut **estimer** que l'exercice 2026 devrait renouer avec une croissance modérée du CA (autour de 600-610 milliards FCFA) et un résultat net en légère hausse (9,5-10 milliards FCFA), soutenu par l'expansion du réseau (182 stations) et la diversification vers le GPL et les lubrifiants.</w:t>
      </w:r>
    </w:p>
    <w:p>
      <w:pPr>
        <w:spacing w:after="120" w:line="276" w:lineRule="auto"/>
      </w:pPr>
      <w:r>
        <w:t>**Recommandation fondamentale** : TTLC présente une **solidité opérationnelle** (ROE élevé, marges en amélioration, BFR négatif) mais des **fragilités financières** (trésorerie nette négative, endettement élevé, payout &gt;100%). Le titre reste un **leader sectoriel** avec des perspectives de croissance modérée, mais la soutenabilité du dividende et la dépendance aux crédits court terme constituent des risques à surveiller. Recommandation : **CONSERVER**, avec un biais positif à moyen terme si la trésorerie s'améliore.</w:t>
      </w:r>
    </w:p>
    <w:p>
      <w:pPr>
        <w:spacing w:after="120" w:line="276" w:lineRule="auto"/>
      </w:pPr>
      <w:r>
        <w:t>---</w:t>
      </w:r>
    </w:p>
    <w:p>
      <w:pPr>
        <w:spacing w:after="120" w:line="276" w:lineRule="auto"/>
      </w:pPr>
      <w:r>
        <w:t>## PARTIE 4 : CONCLUSION D'INVESTISSEMENT</w:t>
      </w:r>
    </w:p>
    <w:p>
      <w:pPr>
        <w:spacing w:after="120" w:line="276" w:lineRule="auto"/>
      </w:pPr>
      <w:r>
        <w:t>La valorisation de TTLC (PER 22,2x, P/B 5,57x, EV/EBITDA 11,5x) indique une **surévaluation relative** par rapport à la moyenne BRVM, mais qui se justifie partiellement par la qualité de la franchise et le rendement du dividende. Le comportement du cours sur 100 jours (+17,65%, volatilité 41,8%, skewness positif) est **favorable** mais suggère une phase de consolidation après la forte hausse, avec un kurtosis mésokurtique qui limite le risque de pics extrêmes. Les signaux techniques sont **mitigés** : les moyennes mobiles et le stochastique plaident pour un maintien haussier, tandis que le MACD baissier et le RSI neutre invitent à la prudence à court terme. Les fondamentaux (2025) montrent une **rentabilité opérationnelle en amélioration** (EBE +12%, résultat d'exploitation +18%) mais une **trésorerie nette négative** (-21,9 milliards FCFA) et un payout &gt;100% qui fragilisent la soutenabilité du dividende ; le T1 2026 (+4,3% de CA, +5,5% de résultat net) confirme un **retour à la croissance**. Les prédictions IA (J+1 à J+10 : 3 182 → 3 133 FCFA) anticipent une **légère correction baissière** (-2,1% sur 10 jours), ce qui **contredit partiellement** les signaux haussiers des moyennes mobiles mais **confirme** le momentum négatif du MACD. Sur la base de cette synthèse globale, la recommandation finale est **CONSERVER** : le titre offre un bon potentiel de rendement (dividende attractif) et une solidité opérationnelle, mais la surévaluation, la trésorerie négative et la correction attendue à court terme limitent le potentiel de gain immédiat. Le niveau de confiance est **Moyen** (divergence entre technique et fondamental), le risque global est **Moyen à Élevé** (volatilité 41,8%, endettement 90,2%), et l'horizon d'investissement optimal est **moyen terme (3-12 mois)**, en attendant une amélioration de la trésorerie et une confirmation de la croissance du T1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118.58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2,631 titres</w:t>
            </w:r>
          </w:p>
        </w:tc>
        <w:tc>
          <w:tcPr>
            <w:tcW w:type="dxa" w:w="2268"/>
            <w:shd w:fill="FFF2CC" w:val="clear"/>
          </w:tcPr>
          <w:p>
            <w:r>
              <w:rPr>
                <w:b/>
                <w:color w:val="503200"/>
                <w:sz w:val="16"/>
              </w:rPr>
              <w:t xml:space="preserve">Cours actuel : </w:t>
            </w:r>
            <w:r>
              <w:rPr>
                <w:color w:val="000000"/>
                <w:sz w:val="17"/>
              </w:rPr>
              <w:t>3,640 FCFA</w:t>
            </w:r>
          </w:p>
          <w:p>
            <w:r>
              <w:rPr>
                <w:b/>
                <w:color w:val="503200"/>
                <w:sz w:val="16"/>
              </w:rPr>
              <w:t xml:space="preserve">Var. 100 jours : </w:t>
            </w:r>
            <w:r>
              <w:rPr>
                <w:b/>
                <w:color w:val="007800"/>
                <w:sz w:val="17"/>
              </w:rPr>
              <w:t>+21.33%</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9.19% (Moyenne) — μ=3,654 FCFA, σ=336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β=0.5214 (Défensif) — Cov=0.000036, Var(idx)=0.000069, ρ=0.160,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3,502</w:t>
            </w:r>
          </w:p>
        </w:tc>
        <w:tc>
          <w:tcPr>
            <w:tcW w:type="dxa" w:w="1440"/>
            <w:shd w:fill="FAFAFA" w:val="clear"/>
          </w:tcPr>
          <w:p>
            <w:r>
              <w:rPr>
                <w:b/>
                <w:sz w:val="17"/>
              </w:rPr>
              <w:t>3,640</w:t>
            </w:r>
          </w:p>
        </w:tc>
        <w:tc>
          <w:tcPr>
            <w:tcW w:type="dxa" w:w="1440"/>
            <w:shd w:fill="FAFAFA" w:val="clear"/>
          </w:tcPr>
          <w:p>
            <w:r>
              <w:rPr>
                <w:sz w:val="17"/>
              </w:rPr>
              <w:t>3,777</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3,442</w:t>
            </w:r>
          </w:p>
        </w:tc>
        <w:tc>
          <w:tcPr>
            <w:tcW w:type="dxa" w:w="1440"/>
            <w:shd w:fill="FAFAFA" w:val="clear"/>
          </w:tcPr>
          <w:p>
            <w:r>
              <w:rPr>
                <w:b/>
                <w:sz w:val="17"/>
              </w:rPr>
              <w:t>3,636</w:t>
            </w:r>
          </w:p>
        </w:tc>
        <w:tc>
          <w:tcPr>
            <w:tcW w:type="dxa" w:w="1440"/>
            <w:shd w:fill="FAFAFA" w:val="clear"/>
          </w:tcPr>
          <w:p>
            <w:r>
              <w:rPr>
                <w:sz w:val="17"/>
              </w:rPr>
              <w:t>3,830</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3,394</w:t>
            </w:r>
          </w:p>
        </w:tc>
        <w:tc>
          <w:tcPr>
            <w:tcW w:type="dxa" w:w="1440"/>
            <w:shd w:fill="FAFAFA" w:val="clear"/>
          </w:tcPr>
          <w:p>
            <w:r>
              <w:rPr>
                <w:b/>
                <w:sz w:val="17"/>
              </w:rPr>
              <w:t>3,630</w:t>
            </w:r>
          </w:p>
        </w:tc>
        <w:tc>
          <w:tcPr>
            <w:tcW w:type="dxa" w:w="1440"/>
            <w:shd w:fill="FAFAFA" w:val="clear"/>
          </w:tcPr>
          <w:p>
            <w:r>
              <w:rPr>
                <w:sz w:val="17"/>
              </w:rPr>
              <w:t>3,867</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3,351</w:t>
            </w:r>
          </w:p>
        </w:tc>
        <w:tc>
          <w:tcPr>
            <w:tcW w:type="dxa" w:w="1440"/>
            <w:shd w:fill="FAFAFA" w:val="clear"/>
          </w:tcPr>
          <w:p>
            <w:r>
              <w:rPr>
                <w:b/>
                <w:sz w:val="17"/>
              </w:rPr>
              <w:t>3,624</w:t>
            </w:r>
          </w:p>
        </w:tc>
        <w:tc>
          <w:tcPr>
            <w:tcW w:type="dxa" w:w="1440"/>
            <w:shd w:fill="FAFAFA" w:val="clear"/>
          </w:tcPr>
          <w:p>
            <w:r>
              <w:rPr>
                <w:sz w:val="17"/>
              </w:rPr>
              <w:t>3,897</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3,312</w:t>
            </w:r>
          </w:p>
        </w:tc>
        <w:tc>
          <w:tcPr>
            <w:tcW w:type="dxa" w:w="1440"/>
            <w:shd w:fill="FAFAFA" w:val="clear"/>
          </w:tcPr>
          <w:p>
            <w:r>
              <w:rPr>
                <w:b/>
                <w:sz w:val="17"/>
              </w:rPr>
              <w:t>3,617</w:t>
            </w:r>
          </w:p>
        </w:tc>
        <w:tc>
          <w:tcPr>
            <w:tcW w:type="dxa" w:w="1440"/>
            <w:shd w:fill="FAFAFA" w:val="clear"/>
          </w:tcPr>
          <w:p>
            <w:r>
              <w:rPr>
                <w:sz w:val="17"/>
              </w:rPr>
              <w:t>3,922</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3,277</w:t>
            </w:r>
          </w:p>
        </w:tc>
        <w:tc>
          <w:tcPr>
            <w:tcW w:type="dxa" w:w="1440"/>
            <w:shd w:fill="FAFAFA" w:val="clear"/>
          </w:tcPr>
          <w:p>
            <w:r>
              <w:rPr>
                <w:b/>
                <w:sz w:val="17"/>
              </w:rPr>
              <w:t>3,610</w:t>
            </w:r>
          </w:p>
        </w:tc>
        <w:tc>
          <w:tcPr>
            <w:tcW w:type="dxa" w:w="1440"/>
            <w:shd w:fill="FAFAFA" w:val="clear"/>
          </w:tcPr>
          <w:p>
            <w:r>
              <w:rPr>
                <w:sz w:val="17"/>
              </w:rPr>
              <w:t>3,943</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3,244</w:t>
            </w:r>
          </w:p>
        </w:tc>
        <w:tc>
          <w:tcPr>
            <w:tcW w:type="dxa" w:w="1440"/>
            <w:shd w:fill="FAFAFA" w:val="clear"/>
          </w:tcPr>
          <w:p>
            <w:r>
              <w:rPr>
                <w:b/>
                <w:sz w:val="17"/>
              </w:rPr>
              <w:t>3,604</w:t>
            </w:r>
          </w:p>
        </w:tc>
        <w:tc>
          <w:tcPr>
            <w:tcW w:type="dxa" w:w="1440"/>
            <w:shd w:fill="FAFAFA" w:val="clear"/>
          </w:tcPr>
          <w:p>
            <w:r>
              <w:rPr>
                <w:sz w:val="17"/>
              </w:rPr>
              <w:t>3,963</w:t>
            </w:r>
          </w:p>
        </w:tc>
        <w:tc>
          <w:tcPr>
            <w:tcW w:type="dxa" w:w="1440"/>
            <w:shd w:fill="FAFAFA" w:val="clear"/>
          </w:tcPr>
          <w:p>
            <w:r>
              <w:rPr>
                <w:b/>
                <w:color w:val="C00000"/>
                <w:sz w:val="17"/>
              </w:rPr>
              <w:t>-1.0%</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3,214</w:t>
            </w:r>
          </w:p>
        </w:tc>
        <w:tc>
          <w:tcPr>
            <w:tcW w:type="dxa" w:w="1440"/>
            <w:shd w:fill="FAFAFA" w:val="clear"/>
          </w:tcPr>
          <w:p>
            <w:r>
              <w:rPr>
                <w:b/>
                <w:sz w:val="17"/>
              </w:rPr>
              <w:t>3,597</w:t>
            </w:r>
          </w:p>
        </w:tc>
        <w:tc>
          <w:tcPr>
            <w:tcW w:type="dxa" w:w="1440"/>
            <w:shd w:fill="FAFAFA" w:val="clear"/>
          </w:tcPr>
          <w:p>
            <w:r>
              <w:rPr>
                <w:sz w:val="17"/>
              </w:rPr>
              <w:t>3,981</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3,185</w:t>
            </w:r>
          </w:p>
        </w:tc>
        <w:tc>
          <w:tcPr>
            <w:tcW w:type="dxa" w:w="1440"/>
            <w:shd w:fill="FAFAFA" w:val="clear"/>
          </w:tcPr>
          <w:p>
            <w:r>
              <w:rPr>
                <w:b/>
                <w:sz w:val="17"/>
              </w:rPr>
              <w:t>3,591</w:t>
            </w:r>
          </w:p>
        </w:tc>
        <w:tc>
          <w:tcPr>
            <w:tcW w:type="dxa" w:w="1440"/>
            <w:shd w:fill="FAFAFA" w:val="clear"/>
          </w:tcPr>
          <w:p>
            <w:r>
              <w:rPr>
                <w:sz w:val="17"/>
              </w:rPr>
              <w:t>3,997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3,158</w:t>
            </w:r>
          </w:p>
        </w:tc>
        <w:tc>
          <w:tcPr>
            <w:tcW w:type="dxa" w:w="1440"/>
            <w:shd w:fill="FAFAFA" w:val="clear"/>
          </w:tcPr>
          <w:p>
            <w:r>
              <w:rPr>
                <w:b/>
                <w:sz w:val="17"/>
              </w:rPr>
              <w:t>3,585</w:t>
            </w:r>
          </w:p>
        </w:tc>
        <w:tc>
          <w:tcPr>
            <w:tcW w:type="dxa" w:w="1440"/>
            <w:shd w:fill="FAFAFA" w:val="clear"/>
          </w:tcPr>
          <w:p>
            <w:r>
              <w:rPr>
                <w:sz w:val="17"/>
              </w:rPr>
              <w:t>4,012</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*Bourse Régionale des Valeurs Mobilières (BRVM) — Secteur : Distribution pétrolière et énergies*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118,58 milliards FCFA, TTLS figure parmi les valeurs moyennes-capitalisations de la cote BRVM, ce qui traduit une liquidité limitée mais une certaine stabilité institutionnelle. Le BPA de 208 FCFA/action signifie que chaque titre génère environ 208 FCFA de bénéfice net, un niveau cohérent avec la marge nette très faible du secteur (1,5 %). Le PER de 17,5x est nettement supérieur à la moyenne BRVM (~8-12x), ce qui indique que les investisseurs paient une prime de qualité pour ce leader sectoriel, sans que cela constitue une bulle manifeste. Le P/B de 4,20x est en revanche exigeant : le marché valorise la société à plus de quatre fois sa valeur comptable, ce qui reflète surtout la faiblesse des capitaux propres (28,2 Mds FCFA) face à un actif total de 171,8 Mds FCFA. Enfin, l'EV/EBITDA de 7,4x se situe dans la fourchette raisonnable de 5-10x, suggérant que la valeur d'entreprise reste correctement corrélée à la capacité opérationnelle de génération de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progression totale de +21,33 %, avec une dernière séance en hausse de +0,69 %, confirmant une dynamique haussière de fond malgré quelques accès de faiblesse. Le cours actuel de 3 640 FCFA se situe dans la partie médiane de la fourchette de trading, comprise entre un plus bas de 2 845 FCFA et un plus haut de 4 500 FCFA, soit un range de 1 655 FCFA (58 % d'amplitude) qui témoigne d'une réelle volatilité. La moyenne (3 654 FCFA) et la médiane (3 670 FCFA) sont quasi confondues, ce qui indique une distribution équilibrée du cours sur la période, sans biais directionnel marqué. L'écart-type de 338 FCFA avec un coefficient de variation de 9,2 % traduit une dispersion modérée autour de la moyenne, tandis que le kurtosis de 0,127 (mésokurtique) et le skewness de -0,164 (distribution symétrique) confirment un comportement proche d'une loi normale, sans risque de pics extrêmes ni d'asymétrie marquée. La volatilité annualisée de 43,1 % classe le titre dans la catégorie des valeurs à volatilité élevée (&gt;30 %), ce qui est cohérent avec la nature cyclique et réglementée du secteur pétrolier en Afrique de l'Ouest.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(3 824 FCFA) et la MM50 (3 754,6 FCFA) se situent toutes deux au-dessus du cours actuel (3 640 FCFA), ce qui place le titre en position de faiblesse relative à court terme. Toutefois, la MM20 reste supérieure à la MM50, signalant que la tendance de fond demeure haussière malgré la correction récente. La décision fournie est « Achat », probablement justifiée par le potentiel de rebond vers ces moyennes.</w:t>
      </w:r>
    </w:p>
    <w:p>
      <w:pPr>
        <w:spacing w:after="120" w:line="276" w:lineRule="auto"/>
      </w:pPr>
      <w:r>
        <w:t>**Bandes de Bollinger** : Le cours (3 640 FCFA) évolue juste au-dessus de la borne inférieure (3 608,31 FCFA) et très en dessous de la borne supérieure (4 039,69 FCFA), ce qui traduit une pression vendeuse récente et une volatilité en expansion. La décision « Neutre » reflète l'absence de signal directionnel fort, le titre étant proche d'une zone de support technique.</w:t>
      </w:r>
    </w:p>
    <w:p>
      <w:pPr>
        <w:spacing w:after="120" w:line="276" w:lineRule="auto"/>
      </w:pPr>
      <w:r>
        <w:t>**MACD** : La valeur du MACD (-32,094) est nettement inférieure à son signal (2,207), générant une divergence baissière marquée qui indique un momentum négatif persistant. La décision « Vente » est cohérente avec cette configuration, le croisement à la baisse étant déjà effectué.</w:t>
      </w:r>
    </w:p>
    <w:p>
      <w:pPr>
        <w:spacing w:after="120" w:line="276" w:lineRule="auto"/>
      </w:pPr>
      <w:r>
        <w:t>**RSI** : À 37,791, le RSI se situe dans la zone neutre basse (30-70), sans atteindre la zone de survente (&lt;30). La décision « Neutre » suggère que le titre n'est ni survendu ni suracheté, mais la proximité de la zone de survente pourrait attirer des acheteurs à moyen terme.</w:t>
      </w:r>
    </w:p>
    <w:p>
      <w:pPr>
        <w:spacing w:after="120" w:line="276" w:lineRule="auto"/>
      </w:pPr>
      <w:r>
        <w:t>**Stochastique** : Le %K (6,494) et le %D (2,165) sont tous deux en zone de survente extrême (&lt;20), avec un %K supérieur au %D, ce qui constitue un signal d'achat technique classique (croisement haussier en zone basse). La décision « Achat » est donc justifiée par ce potentiel de rebond à court terme.</w:t>
      </w:r>
    </w:p>
    <w:p>
      <w:pPr>
        <w:spacing w:after="120" w:line="276" w:lineRule="auto"/>
      </w:pPr>
      <w:r>
        <w:t>**Conclusion technique** : Les indicateurs sont divergents : le MACD est baissier, les Moyennes Mobiles sont sous pression, mais le Stochastique en survente extrême et le RSI proche de la survente suggèrent un rebond imminent. La configuration globale plaide pour une consolidation avant une reprise, avec un support clé à 3 608 FCFA (borne inférieure de Bollinger) et une résistance à 3 824 FCFA (MM20).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TotalEnergies Marketing Sénégal (TTLS) a réalisé un chiffre d'affaires de 455,209 milliards FCFA, en baisse de 6,1 % par rapport à 2024 (484,945 Mds FCFA), principalement en raison de l'arrêt stratégique de la commercialisation du fuel lourd (39,5 Mds FCFA de CA en 2024). Le résultat net s'établit à 6,779 milliards FCFA (contre 7,140 Mds en 2024, soit -5,1 %), avec une marge nette de 1,49 % — typique du secteur de distribution pétrolière. Le ROE de 24,0 % est excellent (&gt;15 %), porté par des capitaux propres relativement faibles (28,239 Mds FCFA) et une forte rotation des actifs (265 %), tandis que le ROA de 3,95 % reste modeste en raison de l'importance du bilan (171,778 Mds FCFA). Sur le plan de la structure financière, l'autonomie financière est faible (16,44 %), mais le BFR est négatif (-36,899 Mds FCFA), ce qui est favorable car il signifie que les fournisseurs financent une partie du cycle d'exploitation. Les délais clients (47,43 jours) et fournisseurs (97,76 jours) révèlent un bon pouvoir de négociation envers les fournisseurs, mais un risque de trésorerie modéré sur les créances clients. La trésorerie nette de 13,941 Mds FCFA et le free cash flow de 17,483 Mds FCFA confirment une génération de cash solide. Sur la base du rapport T1 2026 (publié le 31 mars 2026), le CA a chuté de 10 % à 99,9 Mds FCFA sous l'effet de la révision réglementaire des prix à la pompe, mais le résultat net a progressé de +5 % à 1,585 Mds FCFA grâce à une amélioration des marges sur les lubrifiants (+28 % de résultat d'exploitation). On estime donc que l'exercice 2026 devrait être marqué par une stabilisation du résultat net autour de 6,5-7 Mds FCFA, avec une marge nette légèrement supérieure à 1,5 %, à condition que la pression réglementaire sur les prix ne s'accentue pas. Les rapports antérieurs (T3 2025, S1 2025, T1 2025) confirment cette tendance de fond : sacrifice volontaire des volumes au profit de la rentabilité opérationnelle, avec un résultat d'exploitation en hausse de 22 % au S1 2025 et de 28 % au T1 2026. La recommandation fondamentale est donc **CONSERVER**, avec une vigilance sur la dépendance aux décisions étatiques et la volatilité des dividendes des participations.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TTLS présente un profil contrasté : le PER de 17,5x est supérieur à la moyenne BRVM, suggérant une prime de qualité, mais le P/B de 4,20x est exigeant et l'EV/EBITDA de 7,4x reste raisonnable. Le comportement du cours sur 100 jours est haussier (+21,33 %) avec une distribution symétrique (skewness -0,164) et une volatilité élevée (43,1 %), ce qui indique un titre dynamique mais risqué. Les signaux techniques sont divergents : le MACD est baissier et les Moyennes Mobiles sous pression, mais le Stochastique en survente extrême et le RSI proche de la survente plaident pour un rebond à court terme. Les fondamentaux sont solides : ROE de 24 %, BFR négatif, trésorerie nette positive, et une résilience opérationnelle démontrée au T1 2026 (+5 % de résultat net malgré -10 % de CA). Les prédictions IA (J+1 à J+10) anticipent une légère dérive baissière de 3 640 FCFA à 3 617 FCFA, ce qui contredit le signal d'achat du Stochastique mais confirme la pression baissière à court terme. Sur la base de cette synthèse, la recommandation finale est **CONSERVER**, avec un niveau de confiance **Moyen** et un risque global **Moyen**. L'horizon d'investissement optimal est le **moyen terme (3-12 mois)**, en attendant la confirmation d'un rebond technique et la publication des résultats semestriels 2026 pour évaluer l'impact réel de la baisse des prix à la pompe sur les volumes et les marges. Un achat spéculatif à court terme serait prématuré sans confirmation du retournement technique, tandis qu'une vente serait injustifiée compte tenu de la solidité opérationnelle et de la position de leader de TTLS sur le marché sénégalais.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436.21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47,500 FCFA</w:t>
            </w:r>
          </w:p>
          <w:p>
            <w:r>
              <w:rPr>
                <w:b/>
                <w:color w:val="503200"/>
                <w:sz w:val="16"/>
              </w:rPr>
              <w:t xml:space="preserve">Var. 100 jours : </w:t>
            </w:r>
            <w:r>
              <w:rPr>
                <w:b/>
                <w:color w:val="B40000"/>
                <w:sz w:val="17"/>
              </w:rPr>
              <w:t>-21.49%</w:t>
            </w:r>
          </w:p>
          <w:p>
            <w:r>
              <w:rPr>
                <w:b/>
                <w:color w:val="503200"/>
                <w:sz w:val="16"/>
              </w:rPr>
              <w:t xml:space="preserve">Plus haut 100j : </w:t>
            </w:r>
            <w:r>
              <w:rPr>
                <w:color w:val="000000"/>
                <w:sz w:val="17"/>
              </w:rPr>
              <w:t>60,500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5.55% (Moyenne) — μ=54,771 FCFA, σ=3,039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β=0.5362 (Défensif) — Cov=0.000038, Var(idx)=0.000071, ρ=0.124,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σ_j=3.65%/j (Modérée) — Vol. annualisée≈57.9%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2026-10-01</w:t>
            </w:r>
          </w:p>
        </w:tc>
        <w:tc>
          <w:tcPr>
            <w:tcW w:type="dxa" w:w="1440"/>
            <w:shd w:fill="FAFAFA" w:val="clear"/>
          </w:tcPr>
          <w:p>
            <w:r>
              <w:rPr>
                <w:sz w:val="17"/>
              </w:rPr>
              <w:t>45,146</w:t>
            </w:r>
          </w:p>
        </w:tc>
        <w:tc>
          <w:tcPr>
            <w:tcW w:type="dxa" w:w="1440"/>
            <w:shd w:fill="FAFAFA" w:val="clear"/>
          </w:tcPr>
          <w:p>
            <w:r>
              <w:rPr>
                <w:b/>
                <w:sz w:val="17"/>
              </w:rPr>
              <w:t>48,274</w:t>
            </w:r>
          </w:p>
        </w:tc>
        <w:tc>
          <w:tcPr>
            <w:tcW w:type="dxa" w:w="1440"/>
            <w:shd w:fill="FAFAFA" w:val="clear"/>
          </w:tcPr>
          <w:p>
            <w:r>
              <w:rPr>
                <w:sz w:val="17"/>
              </w:rPr>
              <w:t>51,402</w:t>
            </w:r>
          </w:p>
        </w:tc>
        <w:tc>
          <w:tcPr>
            <w:tcW w:type="dxa" w:w="1440"/>
            <w:shd w:fill="FAFAFA" w:val="clear"/>
          </w:tcPr>
          <w:p>
            <w:r>
              <w:rPr>
                <w:b/>
                <w:color w:val="008000"/>
                <w:sz w:val="17"/>
              </w:rPr>
              <w:t>+1.6%</w:t>
            </w:r>
          </w:p>
        </w:tc>
      </w:tr>
      <w:tr>
        <w:tc>
          <w:tcPr>
            <w:tcW w:type="dxa" w:w="1440"/>
            <w:shd w:fill="FAFAFA" w:val="clear"/>
          </w:tcPr>
          <w:p>
            <w:r>
              <w:rPr>
                <w:sz w:val="17"/>
              </w:rPr>
              <w:t>J+2  ⭐</w:t>
            </w:r>
          </w:p>
        </w:tc>
        <w:tc>
          <w:tcPr>
            <w:tcW w:type="dxa" w:w="1440"/>
            <w:shd w:fill="FAFAFA" w:val="clear"/>
          </w:tcPr>
          <w:p>
            <w:r>
              <w:rPr>
                <w:sz w:val="17"/>
              </w:rPr>
              <w:t>2026-10-02</w:t>
            </w:r>
          </w:p>
        </w:tc>
        <w:tc>
          <w:tcPr>
            <w:tcW w:type="dxa" w:w="1440"/>
            <w:shd w:fill="FAFAFA" w:val="clear"/>
          </w:tcPr>
          <w:p>
            <w:r>
              <w:rPr>
                <w:sz w:val="17"/>
              </w:rPr>
              <w:t>43,602</w:t>
            </w:r>
          </w:p>
        </w:tc>
        <w:tc>
          <w:tcPr>
            <w:tcW w:type="dxa" w:w="1440"/>
            <w:shd w:fill="FAFAFA" w:val="clear"/>
          </w:tcPr>
          <w:p>
            <w:r>
              <w:rPr>
                <w:b/>
                <w:sz w:val="17"/>
              </w:rPr>
              <w:t>48,001</w:t>
            </w:r>
          </w:p>
        </w:tc>
        <w:tc>
          <w:tcPr>
            <w:tcW w:type="dxa" w:w="1440"/>
            <w:shd w:fill="FAFAFA" w:val="clear"/>
          </w:tcPr>
          <w:p>
            <w:r>
              <w:rPr>
                <w:sz w:val="17"/>
              </w:rPr>
              <w:t>52,400</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2026-10-05</w:t>
            </w:r>
          </w:p>
        </w:tc>
        <w:tc>
          <w:tcPr>
            <w:tcW w:type="dxa" w:w="1440"/>
            <w:shd w:fill="FAFAFA" w:val="clear"/>
          </w:tcPr>
          <w:p>
            <w:r>
              <w:rPr>
                <w:sz w:val="17"/>
              </w:rPr>
              <w:t>42,527</w:t>
            </w:r>
          </w:p>
        </w:tc>
        <w:tc>
          <w:tcPr>
            <w:tcW w:type="dxa" w:w="1440"/>
            <w:shd w:fill="FAFAFA" w:val="clear"/>
          </w:tcPr>
          <w:p>
            <w:r>
              <w:rPr>
                <w:b/>
                <w:sz w:val="17"/>
              </w:rPr>
              <w:t>47,903</w:t>
            </w:r>
          </w:p>
        </w:tc>
        <w:tc>
          <w:tcPr>
            <w:tcW w:type="dxa" w:w="1440"/>
            <w:shd w:fill="FAFAFA" w:val="clear"/>
          </w:tcPr>
          <w:p>
            <w:r>
              <w:rPr>
                <w:sz w:val="17"/>
              </w:rPr>
              <w:t>53,279</w:t>
            </w:r>
          </w:p>
        </w:tc>
        <w:tc>
          <w:tcPr>
            <w:tcW w:type="dxa" w:w="1440"/>
            <w:shd w:fill="FAFAFA" w:val="clear"/>
          </w:tcPr>
          <w:p>
            <w:r>
              <w:rPr>
                <w:b/>
                <w:color w:val="008000"/>
                <w:sz w:val="17"/>
              </w:rPr>
              <w:t>+0.8%</w:t>
            </w:r>
          </w:p>
        </w:tc>
      </w:tr>
      <w:tr>
        <w:tc>
          <w:tcPr>
            <w:tcW w:type="dxa" w:w="1440"/>
            <w:shd w:fill="FAFAFA" w:val="clear"/>
          </w:tcPr>
          <w:p>
            <w:r>
              <w:rPr>
                <w:sz w:val="17"/>
              </w:rPr>
              <w:t>J+4  ⭐</w:t>
            </w:r>
          </w:p>
        </w:tc>
        <w:tc>
          <w:tcPr>
            <w:tcW w:type="dxa" w:w="1440"/>
            <w:shd w:fill="FAFAFA" w:val="clear"/>
          </w:tcPr>
          <w:p>
            <w:r>
              <w:rPr>
                <w:sz w:val="17"/>
              </w:rPr>
              <w:t>2026-10-06</w:t>
            </w:r>
          </w:p>
        </w:tc>
        <w:tc>
          <w:tcPr>
            <w:tcW w:type="dxa" w:w="1440"/>
            <w:shd w:fill="FAFAFA" w:val="clear"/>
          </w:tcPr>
          <w:p>
            <w:r>
              <w:rPr>
                <w:sz w:val="17"/>
              </w:rPr>
              <w:t>41,654</w:t>
            </w:r>
          </w:p>
        </w:tc>
        <w:tc>
          <w:tcPr>
            <w:tcW w:type="dxa" w:w="1440"/>
            <w:shd w:fill="FAFAFA" w:val="clear"/>
          </w:tcPr>
          <w:p>
            <w:r>
              <w:rPr>
                <w:b/>
                <w:sz w:val="17"/>
              </w:rPr>
              <w:t>47,856</w:t>
            </w:r>
          </w:p>
        </w:tc>
        <w:tc>
          <w:tcPr>
            <w:tcW w:type="dxa" w:w="1440"/>
            <w:shd w:fill="FAFAFA" w:val="clear"/>
          </w:tcPr>
          <w:p>
            <w:r>
              <w:rPr>
                <w:sz w:val="17"/>
              </w:rPr>
              <w:t>54,058</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2026-10-07</w:t>
            </w:r>
          </w:p>
        </w:tc>
        <w:tc>
          <w:tcPr>
            <w:tcW w:type="dxa" w:w="1440"/>
            <w:shd w:fill="FAFAFA" w:val="clear"/>
          </w:tcPr>
          <w:p>
            <w:r>
              <w:rPr>
                <w:sz w:val="17"/>
              </w:rPr>
              <w:t>40,900</w:t>
            </w:r>
          </w:p>
        </w:tc>
        <w:tc>
          <w:tcPr>
            <w:tcW w:type="dxa" w:w="1440"/>
            <w:shd w:fill="FAFAFA" w:val="clear"/>
          </w:tcPr>
          <w:p>
            <w:r>
              <w:rPr>
                <w:b/>
                <w:sz w:val="17"/>
              </w:rPr>
              <w:t>47,830</w:t>
            </w:r>
          </w:p>
        </w:tc>
        <w:tc>
          <w:tcPr>
            <w:tcW w:type="dxa" w:w="1440"/>
            <w:shd w:fill="FAFAFA" w:val="clear"/>
          </w:tcPr>
          <w:p>
            <w:r>
              <w:rPr>
                <w:sz w:val="17"/>
              </w:rPr>
              <w:t>54,760</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2026-10-08</w:t>
            </w:r>
          </w:p>
        </w:tc>
        <w:tc>
          <w:tcPr>
            <w:tcW w:type="dxa" w:w="1440"/>
            <w:shd w:fill="FAFAFA" w:val="clear"/>
          </w:tcPr>
          <w:p>
            <w:r>
              <w:rPr>
                <w:sz w:val="17"/>
              </w:rPr>
              <w:t>40,226</w:t>
            </w:r>
          </w:p>
        </w:tc>
        <w:tc>
          <w:tcPr>
            <w:tcW w:type="dxa" w:w="1440"/>
            <w:shd w:fill="FAFAFA" w:val="clear"/>
          </w:tcPr>
          <w:p>
            <w:r>
              <w:rPr>
                <w:b/>
                <w:sz w:val="17"/>
              </w:rPr>
              <w:t>47,815</w:t>
            </w:r>
          </w:p>
        </w:tc>
        <w:tc>
          <w:tcPr>
            <w:tcW w:type="dxa" w:w="1440"/>
            <w:shd w:fill="FAFAFA" w:val="clear"/>
          </w:tcPr>
          <w:p>
            <w:r>
              <w:rPr>
                <w:sz w:val="17"/>
              </w:rPr>
              <w:t>55,405</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2026-10-09</w:t>
            </w:r>
          </w:p>
        </w:tc>
        <w:tc>
          <w:tcPr>
            <w:tcW w:type="dxa" w:w="1440"/>
            <w:shd w:fill="FAFAFA" w:val="clear"/>
          </w:tcPr>
          <w:p>
            <w:r>
              <w:rPr>
                <w:sz w:val="17"/>
              </w:rPr>
              <w:t>39,611</w:t>
            </w:r>
          </w:p>
        </w:tc>
        <w:tc>
          <w:tcPr>
            <w:tcW w:type="dxa" w:w="1440"/>
            <w:shd w:fill="FAFAFA" w:val="clear"/>
          </w:tcPr>
          <w:p>
            <w:r>
              <w:rPr>
                <w:b/>
                <w:sz w:val="17"/>
              </w:rPr>
              <w:t>47,807</w:t>
            </w:r>
          </w:p>
        </w:tc>
        <w:tc>
          <w:tcPr>
            <w:tcW w:type="dxa" w:w="1440"/>
            <w:shd w:fill="FAFAFA" w:val="clear"/>
          </w:tcPr>
          <w:p>
            <w:r>
              <w:rPr>
                <w:sz w:val="17"/>
              </w:rPr>
              <w:t>56,003</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2026-10-12</w:t>
            </w:r>
          </w:p>
        </w:tc>
        <w:tc>
          <w:tcPr>
            <w:tcW w:type="dxa" w:w="1440"/>
            <w:shd w:fill="FAFAFA" w:val="clear"/>
          </w:tcPr>
          <w:p>
            <w:r>
              <w:rPr>
                <w:sz w:val="17"/>
              </w:rPr>
              <w:t>39,042</w:t>
            </w:r>
          </w:p>
        </w:tc>
        <w:tc>
          <w:tcPr>
            <w:tcW w:type="dxa" w:w="1440"/>
            <w:shd w:fill="FAFAFA" w:val="clear"/>
          </w:tcPr>
          <w:p>
            <w:r>
              <w:rPr>
                <w:b/>
                <w:sz w:val="17"/>
              </w:rPr>
              <w:t>47,803</w:t>
            </w:r>
          </w:p>
        </w:tc>
        <w:tc>
          <w:tcPr>
            <w:tcW w:type="dxa" w:w="1440"/>
            <w:shd w:fill="FAFAFA" w:val="clear"/>
          </w:tcPr>
          <w:p>
            <w:r>
              <w:rPr>
                <w:sz w:val="17"/>
              </w:rPr>
              <w:t>56,565</w:t>
            </w:r>
          </w:p>
        </w:tc>
        <w:tc>
          <w:tcPr>
            <w:tcW w:type="dxa" w:w="1440"/>
            <w:shd w:fill="FAFAFA" w:val="clear"/>
          </w:tcPr>
          <w:p>
            <w:r>
              <w:rPr>
                <w:b/>
                <w:color w:val="008000"/>
                <w:sz w:val="17"/>
              </w:rPr>
              <w:t>+0.6%</w:t>
            </w:r>
          </w:p>
        </w:tc>
      </w:tr>
      <w:tr>
        <w:tc>
          <w:tcPr>
            <w:tcW w:type="dxa" w:w="1440"/>
            <w:shd w:fill="FAFAFA" w:val="clear"/>
          </w:tcPr>
          <w:p>
            <w:r>
              <w:rPr>
                <w:sz w:val="17"/>
              </w:rPr>
              <w:t>J+9  ⭐</w:t>
            </w:r>
          </w:p>
        </w:tc>
        <w:tc>
          <w:tcPr>
            <w:tcW w:type="dxa" w:w="1440"/>
            <w:shd w:fill="FAFAFA" w:val="clear"/>
          </w:tcPr>
          <w:p>
            <w:r>
              <w:rPr>
                <w:sz w:val="17"/>
              </w:rPr>
              <w:t>2026-10-13</w:t>
            </w:r>
          </w:p>
        </w:tc>
        <w:tc>
          <w:tcPr>
            <w:tcW w:type="dxa" w:w="1440"/>
            <w:shd w:fill="FAFAFA" w:val="clear"/>
          </w:tcPr>
          <w:p>
            <w:r>
              <w:rPr>
                <w:sz w:val="17"/>
              </w:rPr>
              <w:t>38,510</w:t>
            </w:r>
          </w:p>
        </w:tc>
        <w:tc>
          <w:tcPr>
            <w:tcW w:type="dxa" w:w="1440"/>
            <w:shd w:fill="FAFAFA" w:val="clear"/>
          </w:tcPr>
          <w:p>
            <w:r>
              <w:rPr>
                <w:b/>
                <w:sz w:val="17"/>
              </w:rPr>
              <w:t>47,802</w:t>
            </w:r>
          </w:p>
        </w:tc>
        <w:tc>
          <w:tcPr>
            <w:tcW w:type="dxa" w:w="1440"/>
            <w:shd w:fill="FAFAFA" w:val="clear"/>
          </w:tcPr>
          <w:p>
            <w:r>
              <w:rPr>
                <w:sz w:val="17"/>
              </w:rPr>
              <w:t>57,094</w:t>
            </w:r>
          </w:p>
        </w:tc>
        <w:tc>
          <w:tcPr>
            <w:tcW w:type="dxa" w:w="1440"/>
            <w:shd w:fill="FAFAFA" w:val="clear"/>
          </w:tcPr>
          <w:p>
            <w:r>
              <w:rPr>
                <w:b/>
                <w:color w:val="008000"/>
                <w:sz w:val="17"/>
              </w:rPr>
              <w:t>+0.6%</w:t>
            </w:r>
          </w:p>
        </w:tc>
      </w:tr>
      <w:tr>
        <w:tc>
          <w:tcPr>
            <w:tcW w:type="dxa" w:w="1440"/>
            <w:shd w:fill="FAFAFA" w:val="clear"/>
          </w:tcPr>
          <w:p>
            <w:r>
              <w:rPr>
                <w:sz w:val="17"/>
              </w:rPr>
              <w:t>J+10  ⭐</w:t>
            </w:r>
          </w:p>
        </w:tc>
        <w:tc>
          <w:tcPr>
            <w:tcW w:type="dxa" w:w="1440"/>
            <w:shd w:fill="FAFAFA" w:val="clear"/>
          </w:tcPr>
          <w:p>
            <w:r>
              <w:rPr>
                <w:sz w:val="17"/>
              </w:rPr>
              <w:t>2026-10-14</w:t>
            </w:r>
          </w:p>
        </w:tc>
        <w:tc>
          <w:tcPr>
            <w:tcW w:type="dxa" w:w="1440"/>
            <w:shd w:fill="FAFAFA" w:val="clear"/>
          </w:tcPr>
          <w:p>
            <w:r>
              <w:rPr>
                <w:sz w:val="17"/>
              </w:rPr>
              <w:t>38,007</w:t>
            </w:r>
          </w:p>
        </w:tc>
        <w:tc>
          <w:tcPr>
            <w:tcW w:type="dxa" w:w="1440"/>
            <w:shd w:fill="FAFAFA" w:val="clear"/>
          </w:tcPr>
          <w:p>
            <w:r>
              <w:rPr>
                <w:b/>
                <w:sz w:val="17"/>
              </w:rPr>
              <w:t>47,802</w:t>
            </w:r>
          </w:p>
        </w:tc>
        <w:tc>
          <w:tcPr>
            <w:tcW w:type="dxa" w:w="1440"/>
            <w:shd w:fill="FAFAFA" w:val="clear"/>
          </w:tcPr>
          <w:p>
            <w:r>
              <w:rPr>
                <w:sz w:val="17"/>
              </w:rPr>
              <w:t>57,597</w:t>
            </w:r>
          </w:p>
        </w:tc>
        <w:tc>
          <w:tcPr>
            <w:tcW w:type="dxa" w:w="1440"/>
            <w:shd w:fill="FAFAFA" w:val="clear"/>
          </w:tcPr>
          <w:p>
            <w:r>
              <w:rPr>
                <w:b/>
                <w:color w:val="008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des Actions*</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s'élève à 436,21 milliards FCFA, un niveau qui place la société parmi les valeurs les plus importantes de la cote BRVM, bien que cette capitalisation soit à relativiser au regard de la faiblesse des volumes échangés (21 titres/jour en moyenne). Les ratios de valorisation boursière (BPA, PER, P/B, EV/EBITDA) ne sont pas calculables en l'absence de données financières structurées exploitables dans la base de données, ce qui limite l'appréciation directe du prix payé par les investisseurs par rapport aux bénéfices ou à la valeur comptable. Toutefois, en s'appuyant sur le bénéfice net de 640,3 millions FCFA publié au titre de l'exercice 2023 (dernier rapport officiel disponible, daté du 31 décembre 2024), le BPA implicite ressortirait à environ 69,7 FCFA par action (sur la base de 9,18 millions d'actions), ce qui, rapporté au cours actuel de 47 500 FCFA, impliquerait un PER théorique supérieur à 680x — un niveau exceptionnellement élevé qui traduit une décorrélation totale entre le prix de marché et la rentabilité effective de la société. Cette situation s'explique par la faiblesse structurelle des résultats et par la nature peu liquide du titre, dont le cours est davantage guidé par des anticipations que par des fondamentaux tangibles.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-21,49%, avec une légère reprise de +0,60% lors de la dernière séance (J-1), portant le cours actuel à 47 500 FCFA. Le titre a évolué dans un range relativement étroit entre un plus haut de 60 500 FCFA et un plus bas de 47 215 FCFA, ce qui témoigne d'une tendance baissière marquée mais contenue dans son amplitude. Les statistiques descriptives révèlent une moyenne de 54 771 FCFA légèrement supérieure à la médiane de 54 598 FCFA, suggérant une distribution quasi-symétrique sans asymétrie significative, confirmée par un skewness de -0,091. L'écart-type de 3 054 FCFA et le coefficient de variation de 5,6% indiquent une dispersion modérée du cours autour de sa moyenne, tandis que le kurtosis de -0,561 (mésokurtique) signale une distribution proche de la normale, sans risque de pics extrêmes prononcé. La volatilité annualisée de 57,9% positionne toutefois le titre dans la catégorie des valeurs à volatilité élevée (&gt;30%), ce qui implique un risque de fluctuation important pour les investisseurs. Le mode à 58 000 FCFA, nettement supérieur au cours actuel, confirme que le titre a évolué durablement au-dessus de son niveau présent avant de décrocher, ce qui pourrait indiquer une zone de résistance psychologique à surveiller.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(51 678 FCFA) et la MM50 (52 926,4 FCFA) se situent toutes deux nettement au-dessus du cours actuel (47 500 FCFA), avec une MM20 inférieure à la MM50, configuration typique d'une tendance baissière. Le cours évoluant sous ses deux moyennes, la décision technique est logiquement à la vente, confirmant la pression vendeuse persistante.</w:t>
      </w:r>
    </w:p>
    <w:p>
      <w:pPr>
        <w:spacing w:after="120" w:line="276" w:lineRule="auto"/>
      </w:pPr>
      <w:r>
        <w:t>**Bandes de Bollinger** : Le cours actuel (47 500 FCFA) se situe juste au-dessus de la borne inférieure (47 345 FCFA) et très en dessous de la borne supérieure (56 011 FCFA), ce qui indique une position proche de la zone de survente technique. La largeur des bandes reflète une volatilité encore élevée, et la décision neutre suggère une possible stabilisation à court terme sans signal directionnel fort.</w:t>
      </w:r>
    </w:p>
    <w:p>
      <w:pPr>
        <w:spacing w:after="120" w:line="276" w:lineRule="auto"/>
      </w:pPr>
      <w:r>
        <w:t>**MACD** : La valeur du MACD (-1 291,1) est inférieure à son signal (-857,4), avec un histogramme négatif, ce qui confirme un momentum baissier toujours actif. La divergence entre les deux lignes, bien que se réduisant, ne permet pas encore d'envisager un retournement haussier, justifiant la décision de vente.</w:t>
      </w:r>
    </w:p>
    <w:p>
      <w:pPr>
        <w:spacing w:after="120" w:line="276" w:lineRule="auto"/>
      </w:pPr>
      <w:r>
        <w:t>**RSI** : À 31,84, le RSI se situe juste au-dessus du seuil de survente (30), ce qui indique une pression vendeuse intense mais non encore extrême. La décision neutre reflète cette zone charnière où un rebond technique est possible, mais sans confirmation claire.</w:t>
      </w:r>
    </w:p>
    <w:p>
      <w:pPr>
        <w:spacing w:after="120" w:line="276" w:lineRule="auto"/>
      </w:pPr>
      <w:r>
        <w:t>**Stochastique** : Le %K (4,2) est très en dessous du %D (13,98), et les deux indicateurs évoluent en zone de survente profonde (&lt;20), ce qui génère une décision d'achat à contre-tendance. Ce signal suggère qu'un rebond technique à court terme est probable, mais il doit être confirmé par un croisement haussier du %K au-dessus du %D.</w:t>
      </w:r>
    </w:p>
    <w:p>
      <w:pPr>
        <w:spacing w:after="120" w:line="276" w:lineRule="auto"/>
      </w:pPr>
      <w:r>
        <w:t>**Conclusion technique** : Les indicateurs techniques présentent un tableau mitigé, avec une majorité de signaux baissiers (MM, MACD) mais des signaux de survente (RSI, Stochastique) qui plaident pour un rebond imminent. La convergence entre la position du cours sous les moyennes mobiles et le MACD négatif confirme la tendance baissière de fond, tandis que le stochastique en zone extrême suggère une opportunité tactique à court terme. Dans l'ensemble, la prudence reste de mise tant que le cours n'aura pas réintégré la MM20 (51 678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2022). **En 2023**, la société a réalisé un chiffre d'affaires de 24 336 010 000 FCFA, stable par rapport à 2022, et a dégagé un bénéfice net de 640 334 855 FCFA, en nette amélioration après la perte de 6 908 362 002 FCFA enregistrée en 2022. Cette performance reste toutefois fragile, avec une marge nette de seulement 2,63%, très en dessous de la moyenne sectorielle des biens de consommation (5-10%). Le résultat d'exploitation est redevenu positif à 3 340 millions FCFA en 2023 (contre -6 258 millions en 2022), grâce à une réduction des charges et une hausse des produits accessoires, mais les capitaux propres demeurent négatifs à -10 658 millions FCFA et le report à nouveau s'élève à -35 635 millions FCFA, ce qui traduit une structure financière toujours très dégradée. La dette financière a augmenté à 4 379 millions FCFA en 2023 (contre 3 827 millions en 2022), et l'absence de dividende depuis plusieurs exercices prive les actionnaires de tout rendement. **En 2022**, le chiffre d'affaires s'élevait à 24 336 010 000 FCFA (selon le rapport 2022), avec une perte nette de 6 382 600 386 FCFA et une marge nette de -26,2%, reflétant une crise profonde liée à la cession de l'activité "Thé" (Lipton) et à des charges exceptionnelles. **En 2021**, la société avait renoué avec un bénéfice de 6 090 755 732 FCFA (marge nette de 25%), mais ce résultat était porté par des produits exceptionnels non récurrents. L'évolution sur trois ans montre une extrême volatilité des résultats, avec une alternance de pertes massives et de bénéfices modestes, sans trajectoire de croissance stable. Les risques identifiés dans les rapports incluent la dépendance au marché ivoirien, la concurrence accrue (Nestlé, P&amp;G), l'endettement élevé et les capitaux propres négatifs. Les opportunités résident dans l'expansion régionale (UEMOA), l'innovation produit et l'optimisation des coûts, mais leur matérialisation reste incertaine à court terme. **En synthèse, la situation fondamentale d'UNLC demeure précaire malgré l'amélioration de 2023, et la recommandation des analystes est de "CONSERVER avec vigilance" ou "VENTE" selon les rapports, en attendant une stabilisation durable des capitaux propres et une reprise de la croissance.**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UNLC. **Sur le plan de la valorisation (Partie 0)**, l'absence de ratios calculables et le PER théorique très élevé (&gt;680x) suggèrent une surévaluation manifeste par rapport aux bénéfices, bien que cette analyse soit limitée par le manque de données structurées. **Le comportement du cours (Partie 1)** est clairement baissier sur 100 jours (-21,49%), avec une volatilité élevée (57,9%) et une distribution quasi-normale (kurtosis -0,561, skewness -0,091) qui n'annonce pas de retournement imminent, malgré un rebond technique de +0,60% en J-1. **Les signaux techniques (Partie 2)** sont majoritairement baissiers (MM20/MM50 au-dessus du cours, MACD négatif), mais le RSI (31,84) et le stochastique (%K=4,2) en zone de survente plaident pour un rebond à court terme, créant une divergence tactique. **Les fondamentaux (Partie 3)** restent fragiles : bénéfice net de 640 millions FCFA en 2023 (marge 2,63%), capitaux propres négatifs (-10 658 millions FCFA), absence de dividende, et endettement croissant, malgré l'amélioration du résultat d'exploitation. **Les prédictions IA (J+1 à J+10)** anticipent une légère baisse du cours de 48 274 FCFA à 47 830 FCFA, confirmant la tendance baissière de fond sans signal de retournement durable. **En conséquence, la recommandation finale est CONSERVER (avec vigilance)**, car la convergence entre la tendance baissière, les fondamentaux précaires et les prédictions IA négatives l'emporte sur les signaux tactiques de survente. Le niveau de confiance est **Moyen** (en raison de l'absence de données de valorisation et de la volatilité des résultats), et le risque global est **Élevé** (capitaux propres négatifs, endettement, faible liquidité du titre). L'horizon d'investissement optimal est **long terme (&gt;1 an)**, pour les investisseurs capables de supporter une volatilité élevée et parier sur un redressement structurel de la société, avec un suivi trimestriel rigoureux des indicateurs clés (marge, trésorerie, capitaux propres).</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13,739 titres</w:t>
            </w:r>
          </w:p>
        </w:tc>
        <w:tc>
          <w:tcPr>
            <w:tcW w:type="dxa" w:w="2268"/>
            <w:shd w:fill="FFF2CC" w:val="clear"/>
          </w:tcPr>
          <w:p>
            <w:r>
              <w:rPr>
                <w:b/>
                <w:color w:val="503200"/>
                <w:sz w:val="16"/>
              </w:rPr>
              <w:t xml:space="preserve">Cours actuel : </w:t>
            </w:r>
            <w:r>
              <w:rPr>
                <w:color w:val="000000"/>
                <w:sz w:val="17"/>
              </w:rPr>
              <w:t>2,425 FCFA</w:t>
            </w:r>
          </w:p>
          <w:p>
            <w:r>
              <w:rPr>
                <w:b/>
                <w:color w:val="503200"/>
                <w:sz w:val="16"/>
              </w:rPr>
              <w:t xml:space="preserve">Var. 100 jours : </w:t>
            </w:r>
            <w:r>
              <w:rPr>
                <w:b/>
                <w:color w:val="007800"/>
                <w:sz w:val="17"/>
              </w:rPr>
              <w:t>+33.61%</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15.07% (Élevée) — μ=1,994 FCFA, σ=301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β=0.4889 (Défensif) — Cov=0.000034, Var(idx)=0.000069, ρ=0.129,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13,739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2026-10-01</w:t>
            </w:r>
          </w:p>
        </w:tc>
        <w:tc>
          <w:tcPr>
            <w:tcW w:type="dxa" w:w="1440"/>
            <w:shd w:fill="FAFAFA" w:val="clear"/>
          </w:tcPr>
          <w:p>
            <w:r>
              <w:rPr>
                <w:sz w:val="17"/>
              </w:rPr>
              <w:t>2,283</w:t>
            </w:r>
          </w:p>
        </w:tc>
        <w:tc>
          <w:tcPr>
            <w:tcW w:type="dxa" w:w="1440"/>
            <w:shd w:fill="FAFAFA" w:val="clear"/>
          </w:tcPr>
          <w:p>
            <w:r>
              <w:rPr>
                <w:b/>
                <w:sz w:val="17"/>
              </w:rPr>
              <w:t>2,378</w:t>
            </w:r>
          </w:p>
        </w:tc>
        <w:tc>
          <w:tcPr>
            <w:tcW w:type="dxa" w:w="1440"/>
            <w:shd w:fill="FAFAFA" w:val="clear"/>
          </w:tcPr>
          <w:p>
            <w:r>
              <w:rPr>
                <w:sz w:val="17"/>
              </w:rPr>
              <w:t>2,474</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2026-10-02</w:t>
            </w:r>
          </w:p>
        </w:tc>
        <w:tc>
          <w:tcPr>
            <w:tcW w:type="dxa" w:w="1440"/>
            <w:shd w:fill="FFDCE0" w:val="clear"/>
          </w:tcPr>
          <w:p>
            <w:r>
              <w:rPr>
                <w:sz w:val="17"/>
              </w:rPr>
              <w:t>2,226</w:t>
            </w:r>
          </w:p>
        </w:tc>
        <w:tc>
          <w:tcPr>
            <w:tcW w:type="dxa" w:w="1440"/>
            <w:shd w:fill="FFDCE0" w:val="clear"/>
          </w:tcPr>
          <w:p>
            <w:r>
              <w:rPr>
                <w:b/>
                <w:sz w:val="17"/>
              </w:rPr>
              <w:t>2,360</w:t>
            </w:r>
          </w:p>
        </w:tc>
        <w:tc>
          <w:tcPr>
            <w:tcW w:type="dxa" w:w="1440"/>
            <w:shd w:fill="FFDCE0" w:val="clear"/>
          </w:tcPr>
          <w:p>
            <w:r>
              <w:rPr>
                <w:sz w:val="17"/>
              </w:rPr>
              <w:t>2,494</w:t>
            </w:r>
          </w:p>
        </w:tc>
        <w:tc>
          <w:tcPr>
            <w:tcW w:type="dxa" w:w="1440"/>
            <w:shd w:fill="FFDCE0" w:val="clear"/>
          </w:tcPr>
          <w:p>
            <w:r>
              <w:rPr>
                <w:b/>
                <w:color w:val="C00000"/>
                <w:sz w:val="17"/>
              </w:rPr>
              <w:t>-2.7%</w:t>
            </w:r>
          </w:p>
        </w:tc>
      </w:tr>
      <w:tr>
        <w:tc>
          <w:tcPr>
            <w:tcW w:type="dxa" w:w="1440"/>
            <w:shd w:fill="FFDCE0" w:val="clear"/>
          </w:tcPr>
          <w:p>
            <w:r>
              <w:rPr>
                <w:sz w:val="17"/>
              </w:rPr>
              <w:t>J+3  Moyenne</w:t>
            </w:r>
          </w:p>
        </w:tc>
        <w:tc>
          <w:tcPr>
            <w:tcW w:type="dxa" w:w="1440"/>
            <w:shd w:fill="FFDCE0" w:val="clear"/>
          </w:tcPr>
          <w:p>
            <w:r>
              <w:rPr>
                <w:sz w:val="17"/>
              </w:rPr>
              <w:t>2026-10-05</w:t>
            </w:r>
          </w:p>
        </w:tc>
        <w:tc>
          <w:tcPr>
            <w:tcW w:type="dxa" w:w="1440"/>
            <w:shd w:fill="FFDCE0" w:val="clear"/>
          </w:tcPr>
          <w:p>
            <w:r>
              <w:rPr>
                <w:sz w:val="17"/>
              </w:rPr>
              <w:t>2,176</w:t>
            </w:r>
          </w:p>
        </w:tc>
        <w:tc>
          <w:tcPr>
            <w:tcW w:type="dxa" w:w="1440"/>
            <w:shd w:fill="FFDCE0" w:val="clear"/>
          </w:tcPr>
          <w:p>
            <w:r>
              <w:rPr>
                <w:b/>
                <w:sz w:val="17"/>
              </w:rPr>
              <w:t>2,338</w:t>
            </w:r>
          </w:p>
        </w:tc>
        <w:tc>
          <w:tcPr>
            <w:tcW w:type="dxa" w:w="1440"/>
            <w:shd w:fill="FFDCE0" w:val="clear"/>
          </w:tcPr>
          <w:p>
            <w:r>
              <w:rPr>
                <w:sz w:val="17"/>
              </w:rPr>
              <w:t>2,500</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2026-10-06</w:t>
            </w:r>
          </w:p>
        </w:tc>
        <w:tc>
          <w:tcPr>
            <w:tcW w:type="dxa" w:w="1440"/>
            <w:shd w:fill="FFDCE0" w:val="clear"/>
          </w:tcPr>
          <w:p>
            <w:r>
              <w:rPr>
                <w:sz w:val="17"/>
              </w:rPr>
              <w:t>2,133</w:t>
            </w:r>
          </w:p>
        </w:tc>
        <w:tc>
          <w:tcPr>
            <w:tcW w:type="dxa" w:w="1440"/>
            <w:shd w:fill="FFDCE0" w:val="clear"/>
          </w:tcPr>
          <w:p>
            <w:r>
              <w:rPr>
                <w:b/>
                <w:sz w:val="17"/>
              </w:rPr>
              <w:t>2,318</w:t>
            </w:r>
          </w:p>
        </w:tc>
        <w:tc>
          <w:tcPr>
            <w:tcW w:type="dxa" w:w="1440"/>
            <w:shd w:fill="FFDCE0" w:val="clear"/>
          </w:tcPr>
          <w:p>
            <w:r>
              <w:rPr>
                <w:sz w:val="17"/>
              </w:rPr>
              <w:t>2,504</w:t>
            </w:r>
          </w:p>
        </w:tc>
        <w:tc>
          <w:tcPr>
            <w:tcW w:type="dxa" w:w="1440"/>
            <w:shd w:fill="FFDCE0" w:val="clear"/>
          </w:tcPr>
          <w:p>
            <w:r>
              <w:rPr>
                <w:b/>
                <w:color w:val="C00000"/>
                <w:sz w:val="17"/>
              </w:rPr>
              <w:t>-4.4%</w:t>
            </w:r>
          </w:p>
        </w:tc>
      </w:tr>
      <w:tr>
        <w:tc>
          <w:tcPr>
            <w:tcW w:type="dxa" w:w="1440"/>
            <w:shd w:fill="FFDCE0" w:val="clear"/>
          </w:tcPr>
          <w:p>
            <w:r>
              <w:rPr>
                <w:sz w:val="17"/>
              </w:rPr>
              <w:t>J+5  ⭐</w:t>
            </w:r>
          </w:p>
        </w:tc>
        <w:tc>
          <w:tcPr>
            <w:tcW w:type="dxa" w:w="1440"/>
            <w:shd w:fill="FFDCE0" w:val="clear"/>
          </w:tcPr>
          <w:p>
            <w:r>
              <w:rPr>
                <w:sz w:val="17"/>
              </w:rPr>
              <w:t>2026-10-07</w:t>
            </w:r>
          </w:p>
        </w:tc>
        <w:tc>
          <w:tcPr>
            <w:tcW w:type="dxa" w:w="1440"/>
            <w:shd w:fill="FFDCE0" w:val="clear"/>
          </w:tcPr>
          <w:p>
            <w:r>
              <w:rPr>
                <w:sz w:val="17"/>
              </w:rPr>
              <w:t>2,094</w:t>
            </w:r>
          </w:p>
        </w:tc>
        <w:tc>
          <w:tcPr>
            <w:tcW w:type="dxa" w:w="1440"/>
            <w:shd w:fill="FFDCE0" w:val="clear"/>
          </w:tcPr>
          <w:p>
            <w:r>
              <w:rPr>
                <w:b/>
                <w:sz w:val="17"/>
              </w:rPr>
              <w:t>2,299</w:t>
            </w:r>
          </w:p>
        </w:tc>
        <w:tc>
          <w:tcPr>
            <w:tcW w:type="dxa" w:w="1440"/>
            <w:shd w:fill="FFDCE0" w:val="clear"/>
          </w:tcPr>
          <w:p>
            <w:r>
              <w:rPr>
                <w:sz w:val="17"/>
              </w:rPr>
              <w:t>2,505</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2026-10-08</w:t>
            </w:r>
          </w:p>
        </w:tc>
        <w:tc>
          <w:tcPr>
            <w:tcW w:type="dxa" w:w="1440"/>
            <w:shd w:fill="FFDCE0" w:val="clear"/>
          </w:tcPr>
          <w:p>
            <w:r>
              <w:rPr>
                <w:sz w:val="17"/>
              </w:rPr>
              <w:t>2,058</w:t>
            </w:r>
          </w:p>
        </w:tc>
        <w:tc>
          <w:tcPr>
            <w:tcW w:type="dxa" w:w="1440"/>
            <w:shd w:fill="FFDCE0" w:val="clear"/>
          </w:tcPr>
          <w:p>
            <w:r>
              <w:rPr>
                <w:b/>
                <w:sz w:val="17"/>
              </w:rPr>
              <w:t>2,282</w:t>
            </w:r>
          </w:p>
        </w:tc>
        <w:tc>
          <w:tcPr>
            <w:tcW w:type="dxa" w:w="1440"/>
            <w:shd w:fill="FFDCE0" w:val="clear"/>
          </w:tcPr>
          <w:p>
            <w:r>
              <w:rPr>
                <w:sz w:val="17"/>
              </w:rPr>
              <w:t>2,505</w:t>
            </w:r>
          </w:p>
        </w:tc>
        <w:tc>
          <w:tcPr>
            <w:tcW w:type="dxa" w:w="1440"/>
            <w:shd w:fill="FFDCE0" w:val="clear"/>
          </w:tcPr>
          <w:p>
            <w:r>
              <w:rPr>
                <w:b/>
                <w:color w:val="C00000"/>
                <w:sz w:val="17"/>
              </w:rPr>
              <w:t>-5.9%</w:t>
            </w:r>
          </w:p>
        </w:tc>
      </w:tr>
      <w:tr>
        <w:tc>
          <w:tcPr>
            <w:tcW w:type="dxa" w:w="1440"/>
            <w:shd w:fill="FFDCE0" w:val="clear"/>
          </w:tcPr>
          <w:p>
            <w:r>
              <w:rPr>
                <w:sz w:val="17"/>
              </w:rPr>
              <w:t>J+7  ⭐</w:t>
            </w:r>
          </w:p>
        </w:tc>
        <w:tc>
          <w:tcPr>
            <w:tcW w:type="dxa" w:w="1440"/>
            <w:shd w:fill="FFDCE0" w:val="clear"/>
          </w:tcPr>
          <w:p>
            <w:r>
              <w:rPr>
                <w:sz w:val="17"/>
              </w:rPr>
              <w:t>2026-10-09</w:t>
            </w:r>
          </w:p>
        </w:tc>
        <w:tc>
          <w:tcPr>
            <w:tcW w:type="dxa" w:w="1440"/>
            <w:shd w:fill="FFDCE0" w:val="clear"/>
          </w:tcPr>
          <w:p>
            <w:r>
              <w:rPr>
                <w:sz w:val="17"/>
              </w:rPr>
              <w:t>2,025</w:t>
            </w:r>
          </w:p>
        </w:tc>
        <w:tc>
          <w:tcPr>
            <w:tcW w:type="dxa" w:w="1440"/>
            <w:shd w:fill="FFDCE0" w:val="clear"/>
          </w:tcPr>
          <w:p>
            <w:r>
              <w:rPr>
                <w:b/>
                <w:sz w:val="17"/>
              </w:rPr>
              <w:t>2,264</w:t>
            </w:r>
          </w:p>
        </w:tc>
        <w:tc>
          <w:tcPr>
            <w:tcW w:type="dxa" w:w="1440"/>
            <w:shd w:fill="FFDCE0" w:val="clear"/>
          </w:tcPr>
          <w:p>
            <w:r>
              <w:rPr>
                <w:sz w:val="17"/>
              </w:rPr>
              <w:t>2,504</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2026-10-12</w:t>
            </w:r>
          </w:p>
        </w:tc>
        <w:tc>
          <w:tcPr>
            <w:tcW w:type="dxa" w:w="1440"/>
            <w:shd w:fill="FFDCE0" w:val="clear"/>
          </w:tcPr>
          <w:p>
            <w:r>
              <w:rPr>
                <w:sz w:val="17"/>
              </w:rPr>
              <w:t>1,993</w:t>
            </w:r>
          </w:p>
        </w:tc>
        <w:tc>
          <w:tcPr>
            <w:tcW w:type="dxa" w:w="1440"/>
            <w:shd w:fill="FFDCE0" w:val="clear"/>
          </w:tcPr>
          <w:p>
            <w:r>
              <w:rPr>
                <w:b/>
                <w:sz w:val="17"/>
              </w:rPr>
              <w:t>2,248</w:t>
            </w:r>
          </w:p>
        </w:tc>
        <w:tc>
          <w:tcPr>
            <w:tcW w:type="dxa" w:w="1440"/>
            <w:shd w:fill="FFDCE0" w:val="clear"/>
          </w:tcPr>
          <w:p>
            <w:r>
              <w:rPr>
                <w:sz w:val="17"/>
              </w:rPr>
              <w:t>2,502</w:t>
            </w:r>
          </w:p>
        </w:tc>
        <w:tc>
          <w:tcPr>
            <w:tcW w:type="dxa" w:w="1440"/>
            <w:shd w:fill="FFDCE0" w:val="clear"/>
          </w:tcPr>
          <w:p>
            <w:r>
              <w:rPr>
                <w:b/>
                <w:color w:val="C00000"/>
                <w:sz w:val="17"/>
              </w:rPr>
              <w:t>-7.3%</w:t>
            </w:r>
          </w:p>
        </w:tc>
      </w:tr>
      <w:tr>
        <w:tc>
          <w:tcPr>
            <w:tcW w:type="dxa" w:w="1440"/>
            <w:shd w:fill="FFDCE0" w:val="clear"/>
          </w:tcPr>
          <w:p>
            <w:r>
              <w:rPr>
                <w:sz w:val="17"/>
              </w:rPr>
              <w:t>J+9  ⭐</w:t>
            </w:r>
          </w:p>
        </w:tc>
        <w:tc>
          <w:tcPr>
            <w:tcW w:type="dxa" w:w="1440"/>
            <w:shd w:fill="FFDCE0" w:val="clear"/>
          </w:tcPr>
          <w:p>
            <w:r>
              <w:rPr>
                <w:sz w:val="17"/>
              </w:rPr>
              <w:t>2026-10-13</w:t>
            </w:r>
          </w:p>
        </w:tc>
        <w:tc>
          <w:tcPr>
            <w:tcW w:type="dxa" w:w="1440"/>
            <w:shd w:fill="FFDCE0" w:val="clear"/>
          </w:tcPr>
          <w:p>
            <w:r>
              <w:rPr>
                <w:sz w:val="17"/>
              </w:rPr>
              <w:t>1,964</w:t>
            </w:r>
          </w:p>
        </w:tc>
        <w:tc>
          <w:tcPr>
            <w:tcW w:type="dxa" w:w="1440"/>
            <w:shd w:fill="FFDCE0" w:val="clear"/>
          </w:tcPr>
          <w:p>
            <w:r>
              <w:rPr>
                <w:b/>
                <w:sz w:val="17"/>
              </w:rPr>
              <w:t>2,232</w:t>
            </w:r>
          </w:p>
        </w:tc>
        <w:tc>
          <w:tcPr>
            <w:tcW w:type="dxa" w:w="1440"/>
            <w:shd w:fill="FFDCE0" w:val="clear"/>
          </w:tcPr>
          <w:p>
            <w:r>
              <w:rPr>
                <w:sz w:val="17"/>
              </w:rPr>
              <w:t>2,500</w:t>
            </w:r>
          </w:p>
        </w:tc>
        <w:tc>
          <w:tcPr>
            <w:tcW w:type="dxa" w:w="1440"/>
            <w:shd w:fill="FFDCE0" w:val="clear"/>
          </w:tcPr>
          <w:p>
            <w:r>
              <w:rPr>
                <w:b/>
                <w:color w:val="C00000"/>
                <w:sz w:val="17"/>
              </w:rPr>
              <w:t>-8.0%</w:t>
            </w:r>
          </w:p>
        </w:tc>
      </w:tr>
      <w:tr>
        <w:tc>
          <w:tcPr>
            <w:tcW w:type="dxa" w:w="1440"/>
            <w:shd w:fill="FFDCE0" w:val="clear"/>
          </w:tcPr>
          <w:p>
            <w:r>
              <w:rPr>
                <w:sz w:val="17"/>
              </w:rPr>
              <w:t>J+10  ⭐</w:t>
            </w:r>
          </w:p>
        </w:tc>
        <w:tc>
          <w:tcPr>
            <w:tcW w:type="dxa" w:w="1440"/>
            <w:shd w:fill="FFDCE0" w:val="clear"/>
          </w:tcPr>
          <w:p>
            <w:r>
              <w:rPr>
                <w:sz w:val="17"/>
              </w:rPr>
              <w:t>2026-10-14</w:t>
            </w:r>
          </w:p>
        </w:tc>
        <w:tc>
          <w:tcPr>
            <w:tcW w:type="dxa" w:w="1440"/>
            <w:shd w:fill="FFDCE0" w:val="clear"/>
          </w:tcPr>
          <w:p>
            <w:r>
              <w:rPr>
                <w:sz w:val="17"/>
              </w:rPr>
              <w:t>1,936</w:t>
            </w:r>
          </w:p>
        </w:tc>
        <w:tc>
          <w:tcPr>
            <w:tcW w:type="dxa" w:w="1440"/>
            <w:shd w:fill="FFDCE0" w:val="clear"/>
          </w:tcPr>
          <w:p>
            <w:r>
              <w:rPr>
                <w:b/>
                <w:sz w:val="17"/>
              </w:rPr>
              <w:t>2,216</w:t>
            </w:r>
          </w:p>
        </w:tc>
        <w:tc>
          <w:tcPr>
            <w:tcW w:type="dxa" w:w="1440"/>
            <w:shd w:fill="FFDCE0" w:val="clear"/>
          </w:tcPr>
          <w:p>
            <w:r>
              <w:rPr>
                <w:sz w:val="17"/>
              </w:rPr>
              <w:t>2,497</w:t>
            </w:r>
          </w:p>
        </w:tc>
        <w:tc>
          <w:tcPr>
            <w:tcW w:type="dxa" w:w="1440"/>
            <w:shd w:fill="FFDCE0" w:val="clear"/>
          </w:tcPr>
          <w:p>
            <w:r>
              <w:rPr>
                <w:b/>
                <w:color w:val="C00000"/>
                <w:sz w:val="17"/>
              </w:rPr>
              <w:t>-8.6%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 📊 RAPPORT D'ANALYSE FINANCIÈRE — UNIWAX (UNXC)</w:t>
        <w:br/>
        <w:t>### Bourse Régionale des Valeurs Mobilières (BRVM) — Secteur Textile / Entreprise non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50,32 milliards FCFA, UNXC se positionne comme une valeur de taille intermédiaire sur la BRVM, reflétant sa stature de leader historique du textile wax en Afrique de l'Ouest. Le BPA ressort à **-105 FCFA/action** (exercice 2024), ce qui rend le PER non significatif à **-23,0x** — un ratio négatif qui traduit mécaniquement une société déficitaire et non une anomalie de marché. Le P/B de **3,23x** situe le titre dans la fourchette 2-4x caractéristique d'une prime de croissance, ce qui est contre-intuitif pour une entreprise en perte : le marché valorise donc davantage le potentiel de redressement (retour à l'EBE positif en 2025, bénéfice opérationnel au S1 2026) que la valeur comptable stricte. L'EV/EBITDA n'est pas fourni, mais compte tenu de la dette financière quasi nulle (328,66 M FCFA) et de la trésorerie nette positive de 2,495 Mds FCFA, la valeur d'entreprise est proche de la capitalisation, ce qui relativise la cherté apparente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UNXC affiche une **variation totale de +33,61%**, portée par un net rebond depuis le plus bas de 1 250 FCFA jusqu'au plus haut de 2 495 FCFA, soit un range de trading de près de 100% — signe d'une forte reprise de confiance du marché. La dernière séance (J-1) marque toutefois une légère consolidation de **-0,82%**, le cours s'établissant à 2 425 FCFA, tout près du sommet récent. La tendance générale est donc nettement **haussière**, soutenue par l'amélioration des fondamentaux opérationnels (retour à un résultat d'exploitation positif au S1 2026). Les statistiques descriptives révèlent une **moyenne (1 994 FCFA) légèrement supérieure à la médiane (1 938 FCFA)**, avec un mode à 1 970 FCFA : l'écart modéré entre ces mesures suggère une distribution quasi symétrique, confirmée par un **skewness de -0,042** (distribution symétrique). L'écart-type de 302 FCFA et le **coefficient de variation de 15,1%** indiquent une dispersion modérée du cours autour de sa moyenne. Le **kurtosis de -0,491** (mésokurtique) signale une distribution proche de la normale, sans risque marqué de pics extrêmes. Enfin, la **volatilité annualisée de 49,4%** classe UNXC parmi les titres à volatilité **élevée** (&gt;30%), ce qui implique un risque de marché significatif et justifie une gestion prudente de la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(2 354,75 FCFA) et la MM50 (2 206,5 FCFA) se situent toutes deux sous le cours actuel (2 425 FCFA), et la MM20 est supérieure à la MM50, configuration classique de tendance haussière. Le cours évoluant au-dessus de ses deux moyennes, la décision technique est **Achat**, confirmant la dynamique positive de court et moyen terme.</w:t>
      </w:r>
    </w:p>
    <w:p>
      <w:pPr>
        <w:spacing w:after="120" w:line="276" w:lineRule="auto"/>
      </w:pPr>
      <w:r>
        <w:t>**Bandes de Bollinger** — Le cours (2 425 FCFA) se situe dans la partie haute du canal, entre la borne inférieure (2 223,46 FCFA) et la borne supérieure (2 486,04 FCFA), sans franchissement de cette dernière. La décision est **Neutre** : le titre n'est ni en surachat extrême ni en survente, la volatilité restant contenue dans le canal.</w:t>
      </w:r>
    </w:p>
    <w:p>
      <w:pPr>
        <w:spacing w:after="120" w:line="276" w:lineRule="auto"/>
      </w:pPr>
      <w:r>
        <w:t>**MACD** — La valeur du MACD (37,911) est légèrement inférieure à son signal (42,036), ce qui génère une décision de **Vente**. Cette divergence négative indique un essoufflement du momentum haussier à court terme, bien que le MACD reste en territoire positif, traduisant une tendance de fond encore favorable.</w:t>
      </w:r>
    </w:p>
    <w:p>
      <w:pPr>
        <w:spacing w:after="120" w:line="276" w:lineRule="auto"/>
      </w:pPr>
      <w:r>
        <w:t>**RSI** — À **52,577**, le RSI se situe parfaitement dans la zone neutre (30-70), sans signal de surachat ni de survente. La décision est **Neutre**, ce qui suggère que le titre dispose encore d'un potentiel de progression sans être techniquement épuisé.</w:t>
      </w:r>
    </w:p>
    <w:p>
      <w:pPr>
        <w:spacing w:after="120" w:line="276" w:lineRule="auto"/>
      </w:pPr>
      <w:r>
        <w:t>**Stochastique** — Le %K (91,837) et le %D (97,279) évoluent tous deux en zone de surachat (&gt;80), avec un %K légèrement inférieur au %D, signalant un possible croisement baissier imminent. La décision est **Vente**, indiquant un risque de correction à très court terme.</w:t>
      </w:r>
    </w:p>
    <w:p>
      <w:pPr>
        <w:spacing w:after="120" w:line="276" w:lineRule="auto"/>
      </w:pPr>
      <w:r>
        <w:t>**Conclusion technique** — Les indicateurs sont **mitigés** : les moyennes mobiles confirment la tendance haussière de fond, tandis que le MACD et le stochastique signalent un essoufflement à court terme. Le RSI et les bandes de Bollinger restent neutres, offrant une lecture équilibrée. La convergence partielle suggère une **consolidation probable avant reprise**, avec un support dynamique à surveiller autour de la MM20 (2 354 FCFA).</w:t>
      </w:r>
    </w:p>
    <w:p>
      <w:pPr>
        <w:spacing w:after="120" w:line="276" w:lineRule="auto"/>
      </w:pPr>
      <w:r>
        <w:t>---</w:t>
      </w:r>
    </w:p>
    <w:p>
      <w:pPr>
        <w:spacing w:after="120" w:line="276" w:lineRule="auto"/>
      </w:pPr>
      <w:r>
        <w:t>## PARTIE 3 : ANALYSE FONDAMENTALE</w:t>
      </w:r>
    </w:p>
    <w:p>
      <w:pPr>
        <w:spacing w:after="120" w:line="276" w:lineRule="auto"/>
      </w:pPr>
      <w:r>
        <w:t>**Données structurées (exercice 2024)** — En 2024, UNIWAX a enregistré un chiffre d'affaires de **27,333 Mds FCFA** (+15,4% selon le rapport annuel 2024), mais un **résultat net de -2,189 Mds FCFA**, soit une marge nette de **-8,01%**. Le ROE ressort à **-14,04%** et le ROA à **-6,39%**, traduisant une destruction de valeur sur l'exercice. La structure financière reste néanmoins solide : autonomie financière de **45,53%**, ratio d'endettement de 119,61% (dont dettes financières quasi nulles à 328,66 M FCFA), et liquidité générale de **126,23%**. En tant qu'entreprise textile, les délais d'exploitation sont préoccupants : **délai clients de 51 jours** (risque de trésorerie modéré), **durée de stockage de 254,72 jours** (immobilisation de capital très élevée) et **délai fournisseurs de 267,82 jours** (avantage de trésorerie). Le BFR de 2,149 Mds FCFA et le fonds de roulement de 4,027 Mds FCFA confirment une gestion du cycle d'exploitation globalement maîtrisée.</w:t>
      </w:r>
    </w:p>
    <w:p>
      <w:pPr>
        <w:spacing w:after="120" w:line="276" w:lineRule="auto"/>
      </w:pPr>
      <w:r>
        <w:t>**Évolution et estimations issues des rapports trimestriels** — Le rapport annuel 2025 (publié en 2025) montre un **redressement marqué** : CA de **29,03 Mds FCFA** (+6,2%), **EBE redevenu positif à 1,13 Md FCFA** (contre -0,35 Md en 2024), et **perte nette réduite de 71% à -624 M FCFA**. Le rapport S1 2026 (publié en 2026) confirme cette dynamique : **CA de 15,752 Mds FCFA** (+0,3%), **résultat d'exploitation positif à 771 M FCFA** (contre -314 M au S1 2025), et **résultat net de 771 M FCFA** — le S1 2025 ayant été artificiellement gonflé par une plus-value de cession de près de 10 Mds FCFA. On estime donc que l'exercice 2026 devrait confirmer le retour à une **rentabilité opérationnelle structurelle positive**, avec un résultat net annuel attendu autour de 1,5-2 Mds FCFA si la dynamique se poursuit. Le rapport T3 2025 (daté du 30/09/2025) soulignait déjà l'absence de perte au T3 seul, signal précurseur de cette inflexion.</w:t>
      </w:r>
    </w:p>
    <w:p>
      <w:pPr>
        <w:spacing w:after="120" w:line="276" w:lineRule="auto"/>
      </w:pPr>
      <w:r>
        <w:t>**Recommandation fondamentale** — La société présente une **solidité bilancielle réelle** (capitaux propres de 24,62 Mds FCFA en 2025, trésorerie nette positive) et un **redressement opérationnel crédible**, mais reste pénalisée par des **pertes cumulées élevées (-5,54 Mds FCFA de report à nouveau)** et l'absence de dividende depuis 2022. Le risque principal réside dans la **durabilité de la rentabilité opérationnelle** et la dépendance aux marchés d'exportation (Nigeria, Guinée).</w:t>
      </w:r>
    </w:p>
    <w:p>
      <w:pPr>
        <w:spacing w:after="120" w:line="276" w:lineRule="auto"/>
      </w:pPr>
      <w:r>
        <w:t>---</w:t>
      </w:r>
    </w:p>
    <w:p>
      <w:pPr>
        <w:spacing w:after="120" w:line="276" w:lineRule="auto"/>
      </w:pPr>
      <w:r>
        <w:t>## PARTIE 4 : CONCLUSION D'INVESTISSEMENT</w:t>
      </w:r>
    </w:p>
    <w:p>
      <w:pPr>
        <w:spacing w:after="120" w:line="276" w:lineRule="auto"/>
      </w:pPr>
      <w:r>
        <w:t>La **valorisation** (Partie 0) apparaît tendue avec un P/B de 3,23x et un PER négatif, mais s'explique par l'anticipation du redressement — le marché paie la prime de retournement, non la valeur comptable actuelle. Le **comportement du cours** (Partie 1) est nettement haussier (+33,61% sur 100 jours), avec une distribution symétrique (skewness -0,042) et une volatilité élevée (49,4%) qui appelle à la prudence. Les **signaux techniques** (Partie 2) sont mitigés : tendance de fond haussière (MM20 &gt; MM50 &gt; cours) mais essoufflement court terme (MACD vendeur, stochastique en surachat). Les **fondamentaux** (Partie 3) montrent un redressement réel et confirmé par les rapports S1 2026 (résultat d'exploitation positif à 771 M FCFA), mais une rentabilité encore fragile et des pertes cumulées importantes. Les **prédictions IA** (J+1 à J+10) anticipent une **correction baissière** de 2 378 FCFA à 2 299 FCFA, soit -5,2% sur 10 jours, ce qui **contredit partiellement** les signaux haussiers de fond mais **confirme** l'essoufflement technique détecté par le MACD et le stochastique.</w:t>
      </w:r>
    </w:p>
    <w:p>
      <w:pPr>
        <w:spacing w:after="120" w:line="276" w:lineRule="auto"/>
      </w:pPr>
      <w:r>
        <w:t>**Recommandation finale : CONSERVER** — La convergence entre la tendance haussière de fond (fondamentaux en amélioration, MM haussières) et les signaux de correction court terme (MACD, stochastique, prédictions IA) plaide pour une position d'attente. Un **achat** serait justifié sur repli vers 2 300-2 350 FCFA (zone MM20), tandis qu'une **vente** se justifierait en cas de rupture sous 2 200 FCFA. Le niveau de confiance est **Moyen** (redressement réel mais fragile, valorisation tendue) et le risque global **Élevé** (volatilité 49,4%, dépendance aux exportations, absence de dividende). L'horizon optimal est le **moyen terme (3-12 mois)**, le temps de confirmer la pérennité de la rentabilité opérationnelle sur l'exercice 2026 complet.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