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03/09/2026 à 08:56</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BNBC  (score 76/100)</w:t>
      </w:r>
    </w:p>
    <w:p>
      <w:pPr>
        <w:spacing w:before="20" w:after="20"/>
        <w:ind w:left="360" w:right="360"/>
        <w:shd w:val="clear" w:color="auto" w:fill="EBF5FB"/>
      </w:pPr>
      <w:r>
        <w:rPr>
          <w:b/>
          <w:sz w:val="19"/>
        </w:rPr>
        <w:t xml:space="preserve">Secteur surperformant :  </w:t>
      </w:r>
      <w:r>
        <w:rPr>
          <w:color w:val="008000"/>
          <w:sz w:val="19"/>
        </w:rPr>
        <w:t>SERVICES PUBLICS  (+85.0%)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537.67 points </w:t>
      </w:r>
      <w:r>
        <w:rPr>
          <w:color w:val="008000"/>
        </w:rPr>
        <w:t>(+0.08%)</w:t>
      </w:r>
      <w:r>
        <w:t xml:space="preserve"> sur la séance. </w:t>
      </w:r>
      <w:r>
        <w:t>La capitalisation globale du marché atteint 2 073,314 milliards FCFA.</w:t>
      </w:r>
    </w:p>
    <w:p/>
    <w:p>
      <w:pPr>
        <w:pStyle w:val="Heading3"/>
      </w:pPr>
      <w:r>
        <w:t>📊 Évolution de l'indice BRVM Composite (100 derniers jours)</w:t>
      </w:r>
    </w:p>
    <w:p>
      <w:r>
        <w:rPr>
          <w:b/>
        </w:rPr>
        <w:t xml:space="preserve">BRVM Composite — </w:t>
      </w:r>
      <w:r>
        <w:t xml:space="preserve">Sur les 100 derniers jours de cotation (2026-04-08 au 2026-09-02), l'indice BRVM Composite a évolué de </w:t>
      </w:r>
      <w:r>
        <w:rPr>
          <w:b/>
          <w:color w:val="008000"/>
        </w:rPr>
        <w:t>+32.29%</w:t>
      </w:r>
      <w:r>
        <w:t>, passant de 406.43 pts à 537.67 pts. Le plus haut atteint est 537.67 pts et le plus bas 397.33 pts. Sur l'ensemble de la période, la moyenne de l'indice s'établit à 451.42 pts, la médiane à 443.36 pts et le mode à 397.33 pts</w:t>
      </w:r>
      <w:r>
        <w:t xml:space="preserve"> (asymétrie positive — plus de jours sous la moyenne). </w:t>
      </w:r>
      <w:r>
        <w:t xml:space="preserve">L'écart-type de 40.72 pts (CV=9.0%) traduit une modérée dispersion des cotations. Le kurtosis de -0.91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-86.77%</w:t>
      </w:r>
      <w:r>
        <w:t xml:space="preserve"> sur la période, passant de 15 670,163 Mds FCFA à 2 073,314 Mds FCFA. Le pic de capitalisation observé est de 19 886,911 Mds FCFA et le plancher de 2 003,618 Mds FCFA. La moyenne de la capitalisation sur la période s'établit à 15 743,125 Mds FCFA, la médiane à 16 816,942 Mds FCFA et le mode à 2 003,618 Mds FCFA</w:t>
      </w:r>
      <w:r>
        <w:t xml:space="preserve"> (asymétrie négative). </w:t>
      </w:r>
      <w:r>
        <w:t>L'écart-type de 4 504,374 Mds FCFA (CV=28.6%) reflète une forte variabilité de la valorisation du marché. Le kurtosis de 4.92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BNBC - BNBC - BERNABE CI</w:t>
      </w:r>
      <w:r>
        <w:t xml:space="preserve"> | Prix: 2220 FCFA | </w:t>
      </w:r>
      <w:r>
        <w:rPr>
          <w:b/>
          <w:color w:val="008000"/>
        </w:rPr>
        <w:t>ACHAT FORT</w:t>
      </w:r>
      <w:r>
        <w:t xml:space="preserve"> | Confiance: Élevée | Risque: Faible</w:t>
      </w:r>
    </w:p>
    <w:p>
      <w:pPr>
        <w:pStyle w:val="ListNumber"/>
      </w:pPr>
      <w:r>
        <w:rPr>
          <w:b/>
        </w:rPr>
        <w:t>ABJC - ABJC - SERVAIR ABIDJAN CI</w:t>
      </w:r>
      <w:r>
        <w:t xml:space="preserve"> | Prix: 3790 FCFA | </w:t>
      </w:r>
      <w:r>
        <w:rPr>
          <w:b/>
          <w:color w:val="008000"/>
        </w:rPr>
        <w:t>ACHAT</w:t>
      </w:r>
      <w:r>
        <w:t xml:space="preserve"> | Confiance: Moyen | Risque: Moyen</w:t>
      </w:r>
    </w:p>
    <w:p>
      <w:pPr>
        <w:pStyle w:val="ListNumber"/>
      </w:pPr>
      <w:r>
        <w:rPr>
          <w:b/>
        </w:rPr>
        <w:t>BICB - BIIC BN - Banque internationale pour le commerce du benin</w:t>
      </w:r>
      <w:r>
        <w:t xml:space="preserve"> | Prix: 9600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30400 FCFA | </w:t>
      </w:r>
      <w:r>
        <w:rPr>
          <w:b/>
          <w:color w:val="008000"/>
        </w:rPr>
        <w:t>ACHAT</w:t>
      </w:r>
      <w:r>
        <w:t xml:space="preserve"> | Confiance: Moyen | Risque: Moyen</w:t>
      </w:r>
    </w:p>
    <w:p>
      <w:pPr>
        <w:pStyle w:val="ListNumber"/>
      </w:pPr>
      <w:r>
        <w:rPr>
          <w:b/>
        </w:rPr>
        <w:t>BOAB - BANK OF AFRICA BENIN</w:t>
      </w:r>
      <w:r>
        <w:t xml:space="preserve"> | Prix: 10245 FCFA | </w:t>
      </w:r>
      <w:r>
        <w:rPr>
          <w:b/>
          <w:color w:val="008000"/>
        </w:rPr>
        <w:t>ACHAT</w:t>
      </w:r>
      <w:r>
        <w:t xml:space="preserve"> | Confiance: Moyen | Risque: Moyen</w:t>
      </w:r>
    </w:p>
    <w:p>
      <w:pPr>
        <w:pStyle w:val="ListNumber"/>
      </w:pPr>
      <w:r>
        <w:rPr>
          <w:b/>
        </w:rPr>
        <w:t>BOABF - BANK OF AFRICA BURKINA FASO</w:t>
      </w:r>
      <w:r>
        <w:t xml:space="preserve"> | Prix: 8990 FCFA | </w:t>
      </w:r>
      <w:r>
        <w:rPr>
          <w:b/>
          <w:color w:val="008000"/>
        </w:rPr>
        <w:t>ACHAT</w:t>
      </w:r>
      <w:r>
        <w:t xml:space="preserve"> | Confiance: Moyen | Risque: Moyen</w:t>
      </w:r>
    </w:p>
    <w:p>
      <w:pPr>
        <w:pStyle w:val="ListNumber"/>
      </w:pPr>
      <w:r>
        <w:rPr>
          <w:b/>
        </w:rPr>
        <w:t>BOAC - BANK OF AFRICA COTE D'IVOIRE</w:t>
      </w:r>
      <w:r>
        <w:t xml:space="preserve"> | Prix: 12495 FCFA | </w:t>
      </w:r>
      <w:r>
        <w:rPr>
          <w:b/>
          <w:color w:val="008000"/>
        </w:rPr>
        <w:t>ACHAT</w:t>
      </w:r>
      <w:r>
        <w:t xml:space="preserve"> | Confiance: Élevée | Risque: Moyen</w:t>
      </w:r>
    </w:p>
    <w:p>
      <w:pPr>
        <w:pStyle w:val="ListNumber"/>
      </w:pPr>
      <w:r>
        <w:rPr>
          <w:b/>
        </w:rPr>
        <w:t>BOAM - BANK OF AFRICA MALI</w:t>
      </w:r>
      <w:r>
        <w:t xml:space="preserve"> | Prix: 6490 FCFA | </w:t>
      </w:r>
      <w:r>
        <w:rPr>
          <w:b/>
          <w:color w:val="008000"/>
        </w:rPr>
        <w:t>ACHAT</w:t>
      </w:r>
      <w:r>
        <w:t xml:space="preserve"> | Confiance: Faible | Risque: Faible</w:t>
      </w:r>
    </w:p>
    <w:p>
      <w:pPr>
        <w:pStyle w:val="ListNumber"/>
      </w:pPr>
      <w:r>
        <w:rPr>
          <w:b/>
        </w:rPr>
        <w:t>BOAN - BANK OF AFRICA NIGER</w:t>
      </w:r>
      <w:r>
        <w:t xml:space="preserve"> | Prix: 5395 FCFA | </w:t>
      </w:r>
      <w:r>
        <w:rPr>
          <w:b/>
          <w:color w:val="008000"/>
        </w:rPr>
        <w:t>ACHAT</w:t>
      </w:r>
      <w:r>
        <w:t xml:space="preserve"> | Confiance: Moyen | Risque: Moyen</w:t>
      </w:r>
    </w:p>
    <w:p>
      <w:pPr>
        <w:pStyle w:val="ListNumber"/>
      </w:pPr>
      <w:r>
        <w:rPr>
          <w:b/>
        </w:rPr>
        <w:t>BOAS - BANK OF AFRICA SENEGAL</w:t>
      </w:r>
      <w:r>
        <w:t xml:space="preserve"> | Prix: 8240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FTSC - FTSC - FILTISAC COTE D'IVOIRE</w:t>
      </w:r>
      <w:r>
        <w:t xml:space="preserve"> | Prix: 2180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85.03%</w:t>
      </w:r>
      <w:r>
        <w:t xml:space="preserve">  |  </w:t>
      </w:r>
      <w:r>
        <w:rPr>
          <w:b/>
        </w:rPr>
        <w:t xml:space="preserve">vs BRVM Composite: </w:t>
      </w:r>
      <w:r>
        <w:rPr>
          <w:b/>
          <w:color w:val="008000"/>
        </w:rPr>
        <w:t>+52.74%  🟢 Surperformance</w:t>
      </w:r>
      <w:r>
        <w:br/>
      </w:r>
      <w:r>
        <w:rPr>
          <w:b/>
        </w:rPr>
        <w:t xml:space="preserve">Sentiment général: </w:t>
      </w:r>
      <w:r>
        <w:t xml:space="preserve">ACHAT  |  </w:t>
      </w:r>
      <w:r>
        <w:rPr>
          <w:b/>
        </w:rPr>
        <w:t xml:space="preserve">Risque moyen: </w:t>
      </w:r>
      <w:r>
        <w:t xml:space="preserve">Moyen  |  </w:t>
      </w:r>
      <w:r>
        <w:rPr>
          <w:b/>
        </w:rPr>
        <w:t xml:space="preserve">Prix moyen: </w:t>
      </w:r>
      <w:r>
        <w:t>9675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44.47%</w:t>
      </w:r>
      <w:r>
        <w:t xml:space="preserve">  |  </w:t>
      </w:r>
      <w:r>
        <w:rPr>
          <w:b/>
        </w:rPr>
        <w:t xml:space="preserve">vs BRVM Composite: </w:t>
      </w:r>
      <w:r>
        <w:rPr>
          <w:b/>
          <w:color w:val="008000"/>
        </w:rPr>
        <w:t>+12.18%  🟢 Surperformance</w:t>
      </w:r>
      <w:r>
        <w:br/>
      </w:r>
      <w:r>
        <w:rPr>
          <w:b/>
        </w:rPr>
        <w:t xml:space="preserve">Sentiment général: </w:t>
      </w:r>
      <w:r>
        <w:t xml:space="preserve">ACHAT  |  </w:t>
      </w:r>
      <w:r>
        <w:rPr>
          <w:b/>
        </w:rPr>
        <w:t xml:space="preserve">Risque moyen: </w:t>
      </w:r>
      <w:r>
        <w:t xml:space="preserve">Moyen  |  </w:t>
      </w:r>
      <w:r>
        <w:rPr>
          <w:b/>
        </w:rPr>
        <w:t xml:space="preserve">Prix moyen: </w:t>
      </w:r>
      <w:r>
        <w:t>13822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30.16%</w:t>
      </w:r>
      <w:r>
        <w:t xml:space="preserve">  |  </w:t>
      </w:r>
      <w:r>
        <w:rPr>
          <w:b/>
        </w:rPr>
        <w:t xml:space="preserve">vs BRVM Composite: </w:t>
      </w:r>
      <w:r>
        <w:rPr>
          <w:b/>
          <w:color w:val="C00000"/>
        </w:rPr>
        <w:t>-2.13%  🔴 Sous-performance</w:t>
      </w:r>
      <w:r>
        <w:br/>
      </w:r>
      <w:r>
        <w:rPr>
          <w:b/>
        </w:rPr>
        <w:t xml:space="preserve">Sentiment général: </w:t>
      </w:r>
      <w:r>
        <w:t xml:space="preserve">ACHAT  |  </w:t>
      </w:r>
      <w:r>
        <w:rPr>
          <w:b/>
        </w:rPr>
        <w:t xml:space="preserve">Risque moyen: </w:t>
      </w:r>
      <w:r>
        <w:t xml:space="preserve">Moyen  |  </w:t>
      </w:r>
      <w:r>
        <w:rPr>
          <w:b/>
        </w:rPr>
        <w:t xml:space="preserve">Prix moyen: </w:t>
      </w:r>
      <w:r>
        <w:t>18899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26.65%</w:t>
      </w:r>
      <w:r>
        <w:t xml:space="preserve">  |  </w:t>
      </w:r>
      <w:r>
        <w:rPr>
          <w:b/>
        </w:rPr>
        <w:t xml:space="preserve">vs BRVM Composite: </w:t>
      </w:r>
      <w:r>
        <w:rPr>
          <w:b/>
          <w:color w:val="C00000"/>
        </w:rPr>
        <w:t>-5.64%  🔴 Sous-performance</w:t>
      </w:r>
      <w:r>
        <w:br/>
      </w:r>
      <w:r>
        <w:rPr>
          <w:b/>
        </w:rPr>
        <w:t xml:space="preserve">Sentiment général: </w:t>
      </w:r>
      <w:r>
        <w:t xml:space="preserve">ACHAT  |  </w:t>
      </w:r>
      <w:r>
        <w:rPr>
          <w:b/>
        </w:rPr>
        <w:t xml:space="preserve">Risque moyen: </w:t>
      </w:r>
      <w:r>
        <w:t xml:space="preserve">Moyen  |  </w:t>
      </w:r>
      <w:r>
        <w:rPr>
          <w:b/>
        </w:rPr>
        <w:t xml:space="preserve">Prix moyen: </w:t>
      </w:r>
      <w:r>
        <w:t>3088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25.13%</w:t>
      </w:r>
      <w:r>
        <w:t xml:space="preserve">  |  </w:t>
      </w:r>
      <w:r>
        <w:rPr>
          <w:b/>
        </w:rPr>
        <w:t xml:space="preserve">vs BRVM Composite: </w:t>
      </w:r>
      <w:r>
        <w:rPr>
          <w:b/>
          <w:color w:val="C00000"/>
        </w:rPr>
        <w:t>-7.16%  🔴 Sous-performance</w:t>
      </w:r>
      <w:r>
        <w:br/>
      </w:r>
      <w:r>
        <w:rPr>
          <w:b/>
        </w:rPr>
        <w:t xml:space="preserve">Sentiment général: </w:t>
      </w:r>
      <w:r>
        <w:t xml:space="preserve">ACHAT  |  </w:t>
      </w:r>
      <w:r>
        <w:rPr>
          <w:b/>
        </w:rPr>
        <w:t xml:space="preserve">Risque moyen: </w:t>
      </w:r>
      <w:r>
        <w:t xml:space="preserve">Moyen  |  </w:t>
      </w:r>
      <w:r>
        <w:rPr>
          <w:b/>
        </w:rPr>
        <w:t xml:space="preserve">Prix moyen: </w:t>
      </w:r>
      <w:r>
        <w:t>6724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22.49%</w:t>
      </w:r>
      <w:r>
        <w:t xml:space="preserve">  |  </w:t>
      </w:r>
      <w:r>
        <w:rPr>
          <w:b/>
        </w:rPr>
        <w:t xml:space="preserve">vs BRVM Composite: </w:t>
      </w:r>
      <w:r>
        <w:rPr>
          <w:b/>
          <w:color w:val="C00000"/>
        </w:rPr>
        <w:t>-9.80%  🔴 Sous-performance</w:t>
      </w:r>
      <w:r>
        <w:br/>
      </w:r>
      <w:r>
        <w:rPr>
          <w:b/>
        </w:rPr>
        <w:t xml:space="preserve">Sentiment général: </w:t>
      </w:r>
      <w:r>
        <w:t xml:space="preserve">ACHAT  |  </w:t>
      </w:r>
      <w:r>
        <w:rPr>
          <w:b/>
        </w:rPr>
        <w:t xml:space="preserve">Risque moyen: </w:t>
      </w:r>
      <w:r>
        <w:t xml:space="preserve">Moyen  |  </w:t>
      </w:r>
      <w:r>
        <w:rPr>
          <w:b/>
        </w:rPr>
        <w:t xml:space="preserve">Prix moyen: </w:t>
      </w:r>
      <w:r>
        <w:t>20322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-7.14%</w:t>
      </w:r>
      <w:r>
        <w:t xml:space="preserve">  |  </w:t>
      </w:r>
      <w:r>
        <w:rPr>
          <w:b/>
        </w:rPr>
        <w:t xml:space="preserve">vs BRVM Composite: </w:t>
      </w:r>
      <w:r>
        <w:rPr>
          <w:b/>
          <w:color w:val="C00000"/>
        </w:rPr>
        <w:t>-39.43%  🔴 Sous-performance</w:t>
      </w:r>
      <w:r>
        <w:br/>
      </w:r>
      <w:r>
        <w:rPr>
          <w:b/>
        </w:rPr>
        <w:t xml:space="preserve">Sentiment général: </w:t>
      </w:r>
      <w:r>
        <w:t xml:space="preserve">ACHAT  |  </w:t>
      </w:r>
      <w:r>
        <w:rPr>
          <w:b/>
        </w:rPr>
        <w:t xml:space="preserve">Risque moyen: </w:t>
      </w:r>
      <w:r>
        <w:t xml:space="preserve">Moyen  |  </w:t>
      </w:r>
      <w:r>
        <w:rPr>
          <w:b/>
        </w:rPr>
        <w:t xml:space="preserve">Prix moyen: </w:t>
      </w:r>
      <w:r>
        <w:t>2562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BOAC, BOAS, CABC, CFAC, CIEC, ECOC, ONTBF, PALC, SAFC, SCRC, SDSC, SICC, SIVC,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BICC, BOAB, BOABF, BOAN, ETIT, NEIC, NSBC, NTLC, ORAC, SDCC, SEMC, SGBC, SHEC, SMBC, SNTS, SPHC, TTLS,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BOAM, CBIBF, LNBB, ORGT, PRSC, SIBC, SLBC, SOGC, STAC, STBC</w:t>
            </w:r>
          </w:p>
        </w:tc>
        <w:tc>
          <w:tcPr>
            <w:tcW w:type="dxa" w:w="2160"/>
            <w:shd w:fill="FFC7CE" w:val="clear"/>
          </w:tcPr>
          <w:p>
            <w:pPr>
              <w:spacing w:before="40" w:after="40"/>
            </w:pPr>
            <w:r/>
            <w:r>
              <w:rPr>
                <w:b w:val="0"/>
                <w:sz w:val="16"/>
              </w:rPr>
              <w:t>FTSC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1492407</w:t>
            </w:r>
          </w:p>
        </w:tc>
        <w:tc>
          <w:tcPr>
            <w:tcW w:type="dxa" w:w="1728"/>
          </w:tcPr>
          <w:p>
            <w:r>
              <w:t>98371154 FCFA</w:t>
            </w:r>
          </w:p>
        </w:tc>
        <w:tc>
          <w:tcPr>
            <w:tcW w:type="dxa" w:w="1728"/>
          </w:tcPr>
          <w:p>
            <w:r>
              <w:t>94.12%</w:t>
            </w:r>
          </w:p>
        </w:tc>
        <w:tc>
          <w:tcPr>
            <w:tcW w:type="dxa" w:w="1728"/>
          </w:tcPr>
          <w:p>
            <w:r>
              <w:t>ACHAT</w:t>
            </w:r>
          </w:p>
        </w:tc>
      </w:tr>
      <w:tr>
        <w:tc>
          <w:tcPr>
            <w:tcW w:type="dxa" w:w="1728"/>
          </w:tcPr>
          <w:p>
            <w:r>
              <w:t>SDSC (SDSC - AFRICA GLOBAL LOGISTICS CI)</w:t>
            </w:r>
          </w:p>
        </w:tc>
        <w:tc>
          <w:tcPr>
            <w:tcW w:type="dxa" w:w="1728"/>
          </w:tcPr>
          <w:p>
            <w:r>
              <w:t>20549</w:t>
            </w:r>
          </w:p>
        </w:tc>
        <w:tc>
          <w:tcPr>
            <w:tcW w:type="dxa" w:w="1728"/>
          </w:tcPr>
          <w:p>
            <w:r>
              <w:t>53764754 FCFA</w:t>
            </w:r>
          </w:p>
        </w:tc>
        <w:tc>
          <w:tcPr>
            <w:tcW w:type="dxa" w:w="1728"/>
          </w:tcPr>
          <w:p>
            <w:r>
              <w:t>52.86%</w:t>
            </w:r>
          </w:p>
        </w:tc>
        <w:tc>
          <w:tcPr>
            <w:tcW w:type="dxa" w:w="1728"/>
          </w:tcPr>
          <w:p>
            <w:r>
              <w:t>ACHAT</w:t>
            </w:r>
          </w:p>
        </w:tc>
      </w:tr>
      <w:tr>
        <w:tc>
          <w:tcPr>
            <w:tcW w:type="dxa" w:w="1728"/>
          </w:tcPr>
          <w:p>
            <w:r>
              <w:t>BICB (BIIC BN - Banque internationale pour le commerce du benin)</w:t>
            </w:r>
          </w:p>
        </w:tc>
        <w:tc>
          <w:tcPr>
            <w:tcW w:type="dxa" w:w="1728"/>
          </w:tcPr>
          <w:p>
            <w:r>
              <w:t>19838</w:t>
            </w:r>
          </w:p>
        </w:tc>
        <w:tc>
          <w:tcPr>
            <w:tcW w:type="dxa" w:w="1728"/>
          </w:tcPr>
          <w:p>
            <w:r>
              <w:t>163139926 FCFA</w:t>
            </w:r>
          </w:p>
        </w:tc>
        <w:tc>
          <w:tcPr>
            <w:tcW w:type="dxa" w:w="1728"/>
          </w:tcPr>
          <w:p>
            <w:r>
              <w:t>87.87%</w:t>
            </w:r>
          </w:p>
        </w:tc>
        <w:tc>
          <w:tcPr>
            <w:tcW w:type="dxa" w:w="1728"/>
          </w:tcPr>
          <w:p>
            <w:r>
              <w:t>ACHAT</w:t>
            </w:r>
          </w:p>
        </w:tc>
      </w:tr>
      <w:tr>
        <w:tc>
          <w:tcPr>
            <w:tcW w:type="dxa" w:w="1728"/>
          </w:tcPr>
          <w:p>
            <w:r>
              <w:t>UNXC (UNXC - UNIWAX COTE D'IVOIRE)</w:t>
            </w:r>
          </w:p>
        </w:tc>
        <w:tc>
          <w:tcPr>
            <w:tcW w:type="dxa" w:w="1728"/>
          </w:tcPr>
          <w:p>
            <w:r>
              <w:t>15231</w:t>
            </w:r>
          </w:p>
        </w:tc>
        <w:tc>
          <w:tcPr>
            <w:tcW w:type="dxa" w:w="1728"/>
          </w:tcPr>
          <w:p>
            <w:r>
              <w:t>34525052 FCFA</w:t>
            </w:r>
          </w:p>
        </w:tc>
        <w:tc>
          <w:tcPr>
            <w:tcW w:type="dxa" w:w="1728"/>
          </w:tcPr>
          <w:p>
            <w:r>
              <w:t>26.61%</w:t>
            </w:r>
          </w:p>
        </w:tc>
        <w:tc>
          <w:tcPr>
            <w:tcW w:type="dxa" w:w="1728"/>
          </w:tcPr>
          <w:p>
            <w:r>
              <w:t>ACHAT</w:t>
            </w:r>
          </w:p>
        </w:tc>
      </w:tr>
      <w:tr>
        <w:tc>
          <w:tcPr>
            <w:tcW w:type="dxa" w:w="1728"/>
          </w:tcPr>
          <w:p>
            <w:r>
              <w:t>BOAS (BANK OF AFRICA SENEGAL)</w:t>
            </w:r>
          </w:p>
        </w:tc>
        <w:tc>
          <w:tcPr>
            <w:tcW w:type="dxa" w:w="1728"/>
          </w:tcPr>
          <w:p>
            <w:r>
              <w:t>14078</w:t>
            </w:r>
          </w:p>
        </w:tc>
        <w:tc>
          <w:tcPr>
            <w:tcW w:type="dxa" w:w="1728"/>
          </w:tcPr>
          <w:p>
            <w:r>
              <w:t>111861561 FCFA</w:t>
            </w:r>
          </w:p>
        </w:tc>
        <w:tc>
          <w:tcPr>
            <w:tcW w:type="dxa" w:w="1728"/>
          </w:tcPr>
          <w:p>
            <w:r>
              <w:t>23.26%</w:t>
            </w:r>
          </w:p>
        </w:tc>
        <w:tc>
          <w:tcPr>
            <w:tcW w:type="dxa" w:w="1728"/>
          </w:tcPr>
          <w:p>
            <w:r>
              <w:t>ACHAT</w:t>
            </w:r>
          </w:p>
        </w:tc>
      </w:tr>
      <w:tr>
        <w:tc>
          <w:tcPr>
            <w:tcW w:type="dxa" w:w="1728"/>
          </w:tcPr>
          <w:p>
            <w:r>
              <w:t>SNTS (SNTS - SONATEL SN)</w:t>
            </w:r>
          </w:p>
        </w:tc>
        <w:tc>
          <w:tcPr>
            <w:tcW w:type="dxa" w:w="1728"/>
          </w:tcPr>
          <w:p>
            <w:r>
              <w:t>13493</w:t>
            </w:r>
          </w:p>
        </w:tc>
        <w:tc>
          <w:tcPr>
            <w:tcW w:type="dxa" w:w="1728"/>
          </w:tcPr>
          <w:p>
            <w:r>
              <w:t>445818121 FCFA</w:t>
            </w:r>
          </w:p>
        </w:tc>
        <w:tc>
          <w:tcPr>
            <w:tcW w:type="dxa" w:w="1728"/>
          </w:tcPr>
          <w:p>
            <w:r>
              <w:t>28.99%</w:t>
            </w:r>
          </w:p>
        </w:tc>
        <w:tc>
          <w:tcPr>
            <w:tcW w:type="dxa" w:w="1728"/>
          </w:tcPr>
          <w:p>
            <w:r>
              <w:t>ACHAT</w:t>
            </w:r>
          </w:p>
        </w:tc>
      </w:tr>
      <w:tr>
        <w:tc>
          <w:tcPr>
            <w:tcW w:type="dxa" w:w="1728"/>
          </w:tcPr>
          <w:p>
            <w:r>
              <w:t>SIBC (SIBC - SOCIETE IVOIRIENNE DE BANQUE)</w:t>
            </w:r>
          </w:p>
        </w:tc>
        <w:tc>
          <w:tcPr>
            <w:tcW w:type="dxa" w:w="1728"/>
          </w:tcPr>
          <w:p>
            <w:r>
              <w:t>12594</w:t>
            </w:r>
          </w:p>
        </w:tc>
        <w:tc>
          <w:tcPr>
            <w:tcW w:type="dxa" w:w="1728"/>
          </w:tcPr>
          <w:p>
            <w:r>
              <w:t>115365818 FCFA</w:t>
            </w:r>
          </w:p>
        </w:tc>
        <w:tc>
          <w:tcPr>
            <w:tcW w:type="dxa" w:w="1728"/>
          </w:tcPr>
          <w:p>
            <w:r>
              <w:t>32.86%</w:t>
            </w:r>
          </w:p>
        </w:tc>
        <w:tc>
          <w:tcPr>
            <w:tcW w:type="dxa" w:w="1728"/>
          </w:tcPr>
          <w:p>
            <w:r>
              <w:t>ACHAT</w:t>
            </w:r>
          </w:p>
        </w:tc>
      </w:tr>
      <w:tr>
        <w:tc>
          <w:tcPr>
            <w:tcW w:type="dxa" w:w="1728"/>
          </w:tcPr>
          <w:p>
            <w:r>
              <w:t>SOGC (SOGC - Société des caoutchoucs de Grand-Béréby)</w:t>
            </w:r>
          </w:p>
        </w:tc>
        <w:tc>
          <w:tcPr>
            <w:tcW w:type="dxa" w:w="1728"/>
          </w:tcPr>
          <w:p>
            <w:r>
              <w:t>10746</w:t>
            </w:r>
          </w:p>
        </w:tc>
        <w:tc>
          <w:tcPr>
            <w:tcW w:type="dxa" w:w="1728"/>
          </w:tcPr>
          <w:p>
            <w:r>
              <w:t>80830113 FCFA</w:t>
            </w:r>
          </w:p>
        </w:tc>
        <w:tc>
          <w:tcPr>
            <w:tcW w:type="dxa" w:w="1728"/>
          </w:tcPr>
          <w:p>
            <w:r>
              <w:t>8.85%</w:t>
            </w:r>
          </w:p>
        </w:tc>
        <w:tc>
          <w:tcPr>
            <w:tcW w:type="dxa" w:w="1728"/>
          </w:tcPr>
          <w:p>
            <w:r>
              <w:t>ACHAT</w:t>
            </w:r>
          </w:p>
        </w:tc>
      </w:tr>
      <w:tr>
        <w:tc>
          <w:tcPr>
            <w:tcW w:type="dxa" w:w="1728"/>
          </w:tcPr>
          <w:p>
            <w:r>
              <w:t>BOABF (BANK OF AFRICA BURKINA FASO)</w:t>
            </w:r>
          </w:p>
        </w:tc>
        <w:tc>
          <w:tcPr>
            <w:tcW w:type="dxa" w:w="1728"/>
          </w:tcPr>
          <w:p>
            <w:r>
              <w:t>10471</w:t>
            </w:r>
          </w:p>
        </w:tc>
        <w:tc>
          <w:tcPr>
            <w:tcW w:type="dxa" w:w="1728"/>
          </w:tcPr>
          <w:p>
            <w:r>
              <w:t>83626461 FCFA</w:t>
            </w:r>
          </w:p>
        </w:tc>
        <w:tc>
          <w:tcPr>
            <w:tcW w:type="dxa" w:w="1728"/>
          </w:tcPr>
          <w:p>
            <w:r>
              <w:t>58.41%</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3741</w:t>
            </w:r>
          </w:p>
        </w:tc>
        <w:tc>
          <w:tcPr>
            <w:tcW w:type="dxa" w:w="1728"/>
          </w:tcPr>
          <w:p>
            <w:r>
              <w:t>11740374 FCFA</w:t>
            </w:r>
          </w:p>
        </w:tc>
        <w:tc>
          <w:tcPr>
            <w:tcW w:type="dxa" w:w="1728"/>
          </w:tcPr>
          <w:p>
            <w:r>
              <w:t>-11.53%</w:t>
            </w:r>
          </w:p>
        </w:tc>
        <w:tc>
          <w:tcPr>
            <w:tcW w:type="dxa" w:w="1728"/>
          </w:tcPr>
          <w:p>
            <w:r>
              <w:t>ACHAT</w:t>
            </w:r>
          </w:p>
        </w:tc>
      </w:tr>
      <w:tr>
        <w:tc>
          <w:tcPr>
            <w:tcW w:type="dxa" w:w="1728"/>
          </w:tcPr>
          <w:p>
            <w:r>
              <w:t>CFAC (CFAC - CFAO MOTORS CI)</w:t>
            </w:r>
          </w:p>
        </w:tc>
        <w:tc>
          <w:tcPr>
            <w:tcW w:type="dxa" w:w="1728"/>
          </w:tcPr>
          <w:p>
            <w:r>
              <w:t>3597</w:t>
            </w:r>
          </w:p>
        </w:tc>
        <w:tc>
          <w:tcPr>
            <w:tcW w:type="dxa" w:w="1728"/>
          </w:tcPr>
          <w:p>
            <w:r>
              <w:t>6090484 FCFA</w:t>
            </w:r>
          </w:p>
        </w:tc>
        <w:tc>
          <w:tcPr>
            <w:tcW w:type="dxa" w:w="1728"/>
          </w:tcPr>
          <w:p>
            <w:r>
              <w:t>3.24%</w:t>
            </w:r>
          </w:p>
        </w:tc>
        <w:tc>
          <w:tcPr>
            <w:tcW w:type="dxa" w:w="1728"/>
          </w:tcPr>
          <w:p>
            <w:r>
              <w:t>ACHAT</w:t>
            </w:r>
          </w:p>
        </w:tc>
      </w:tr>
      <w:tr>
        <w:tc>
          <w:tcPr>
            <w:tcW w:type="dxa" w:w="1728"/>
          </w:tcPr>
          <w:p>
            <w:r>
              <w:t>SIVC (SIVC - ERIUM CI (Ex AIR LIQUIDECI))</w:t>
            </w:r>
          </w:p>
        </w:tc>
        <w:tc>
          <w:tcPr>
            <w:tcW w:type="dxa" w:w="1728"/>
          </w:tcPr>
          <w:p>
            <w:r>
              <w:t>3438</w:t>
            </w:r>
          </w:p>
        </w:tc>
        <w:tc>
          <w:tcPr>
            <w:tcW w:type="dxa" w:w="1728"/>
          </w:tcPr>
          <w:p>
            <w:r>
              <w:t>7947742 FCFA</w:t>
            </w:r>
          </w:p>
        </w:tc>
        <w:tc>
          <w:tcPr>
            <w:tcW w:type="dxa" w:w="1728"/>
          </w:tcPr>
          <w:p>
            <w:r>
              <w:t>-17.38%</w:t>
            </w:r>
          </w:p>
        </w:tc>
        <w:tc>
          <w:tcPr>
            <w:tcW w:type="dxa" w:w="1728"/>
          </w:tcPr>
          <w:p>
            <w:r>
              <w:t>ACHAT</w:t>
            </w:r>
          </w:p>
        </w:tc>
      </w:tr>
      <w:tr>
        <w:tc>
          <w:tcPr>
            <w:tcW w:type="dxa" w:w="1728"/>
          </w:tcPr>
          <w:p>
            <w:r>
              <w:t>ABJC (ABJC - SERVAIR ABIDJAN CI)</w:t>
            </w:r>
          </w:p>
        </w:tc>
        <w:tc>
          <w:tcPr>
            <w:tcW w:type="dxa" w:w="1728"/>
          </w:tcPr>
          <w:p>
            <w:r>
              <w:t>3300</w:t>
            </w:r>
          </w:p>
        </w:tc>
        <w:tc>
          <w:tcPr>
            <w:tcW w:type="dxa" w:w="1728"/>
          </w:tcPr>
          <w:p>
            <w:r>
              <w:t>11260086 FCFA</w:t>
            </w:r>
          </w:p>
        </w:tc>
        <w:tc>
          <w:tcPr>
            <w:tcW w:type="dxa" w:w="1728"/>
          </w:tcPr>
          <w:p>
            <w:r>
              <w:t>10.66%</w:t>
            </w:r>
          </w:p>
        </w:tc>
        <w:tc>
          <w:tcPr>
            <w:tcW w:type="dxa" w:w="1728"/>
          </w:tcPr>
          <w:p>
            <w:r>
              <w:t>ACHAT</w:t>
            </w:r>
          </w:p>
        </w:tc>
      </w:tr>
      <w:tr>
        <w:tc>
          <w:tcPr>
            <w:tcW w:type="dxa" w:w="1728"/>
          </w:tcPr>
          <w:p>
            <w:r>
              <w:t>NSBC (NSBC - NSIA BANQUE COTE D'IVOIRE)</w:t>
            </w:r>
          </w:p>
        </w:tc>
        <w:tc>
          <w:tcPr>
            <w:tcW w:type="dxa" w:w="1728"/>
          </w:tcPr>
          <w:p>
            <w:r>
              <w:t>3188</w:t>
            </w:r>
          </w:p>
        </w:tc>
        <w:tc>
          <w:tcPr>
            <w:tcW w:type="dxa" w:w="1728"/>
          </w:tcPr>
          <w:p>
            <w:r>
              <w:t>73526539 FCFA</w:t>
            </w:r>
          </w:p>
        </w:tc>
        <w:tc>
          <w:tcPr>
            <w:tcW w:type="dxa" w:w="1728"/>
          </w:tcPr>
          <w:p>
            <w:r>
              <w:t>61.65%</w:t>
            </w:r>
          </w:p>
        </w:tc>
        <w:tc>
          <w:tcPr>
            <w:tcW w:type="dxa" w:w="1728"/>
          </w:tcPr>
          <w:p>
            <w:r>
              <w:t>ACHAT</w:t>
            </w:r>
          </w:p>
        </w:tc>
      </w:tr>
      <w:tr>
        <w:tc>
          <w:tcPr>
            <w:tcW w:type="dxa" w:w="1728"/>
          </w:tcPr>
          <w:p>
            <w:r>
              <w:t>ORAC (ORAC - ORANGE COTE D'IVOIRE)</w:t>
            </w:r>
          </w:p>
        </w:tc>
        <w:tc>
          <w:tcPr>
            <w:tcW w:type="dxa" w:w="1728"/>
          </w:tcPr>
          <w:p>
            <w:r>
              <w:t>2679</w:t>
            </w:r>
          </w:p>
        </w:tc>
        <w:tc>
          <w:tcPr>
            <w:tcW w:type="dxa" w:w="1728"/>
          </w:tcPr>
          <w:p>
            <w:r>
              <w:t>53248600 FCFA</w:t>
            </w:r>
          </w:p>
        </w:tc>
        <w:tc>
          <w:tcPr>
            <w:tcW w:type="dxa" w:w="1728"/>
          </w:tcPr>
          <w:p>
            <w:r>
              <w:t>40.07%</w:t>
            </w:r>
          </w:p>
        </w:tc>
        <w:tc>
          <w:tcPr>
            <w:tcW w:type="dxa" w:w="1728"/>
          </w:tcPr>
          <w:p>
            <w:r>
              <w:t>ACHAT</w:t>
            </w:r>
          </w:p>
        </w:tc>
      </w:tr>
      <w:tr>
        <w:tc>
          <w:tcPr>
            <w:tcW w:type="dxa" w:w="1728"/>
          </w:tcPr>
          <w:p>
            <w:r>
              <w:t>TTLS (TTLS - TOTAL ENERGIES MARKETING SENEGAL)</w:t>
            </w:r>
          </w:p>
        </w:tc>
        <w:tc>
          <w:tcPr>
            <w:tcW w:type="dxa" w:w="1728"/>
          </w:tcPr>
          <w:p>
            <w:r>
              <w:t>2478</w:t>
            </w:r>
          </w:p>
        </w:tc>
        <w:tc>
          <w:tcPr>
            <w:tcW w:type="dxa" w:w="1728"/>
          </w:tcPr>
          <w:p>
            <w:r>
              <w:t>9251200 FCFA</w:t>
            </w:r>
          </w:p>
        </w:tc>
        <w:tc>
          <w:tcPr>
            <w:tcW w:type="dxa" w:w="1728"/>
          </w:tcPr>
          <w:p>
            <w:r>
              <w:t>17.17%</w:t>
            </w:r>
          </w:p>
        </w:tc>
        <w:tc>
          <w:tcPr>
            <w:tcW w:type="dxa" w:w="1728"/>
          </w:tcPr>
          <w:p>
            <w:r>
              <w:t>ACHAT</w:t>
            </w:r>
          </w:p>
        </w:tc>
      </w:tr>
      <w:tr>
        <w:tc>
          <w:tcPr>
            <w:tcW w:type="dxa" w:w="1728"/>
          </w:tcPr>
          <w:p>
            <w:r>
              <w:t>CABC (CABC - SICABLE COTE D'IVOIRE)</w:t>
            </w:r>
          </w:p>
        </w:tc>
        <w:tc>
          <w:tcPr>
            <w:tcW w:type="dxa" w:w="1728"/>
          </w:tcPr>
          <w:p>
            <w:r>
              <w:t>2415</w:t>
            </w:r>
          </w:p>
        </w:tc>
        <w:tc>
          <w:tcPr>
            <w:tcW w:type="dxa" w:w="1728"/>
          </w:tcPr>
          <w:p>
            <w:r>
              <w:t>8506472 FCFA</w:t>
            </w:r>
          </w:p>
        </w:tc>
        <w:tc>
          <w:tcPr>
            <w:tcW w:type="dxa" w:w="1728"/>
          </w:tcPr>
          <w:p>
            <w:r>
              <w:t>-20.90%</w:t>
            </w:r>
          </w:p>
        </w:tc>
        <w:tc>
          <w:tcPr>
            <w:tcW w:type="dxa" w:w="1728"/>
          </w:tcPr>
          <w:p>
            <w:r>
              <w:t>ACHAT</w:t>
            </w:r>
          </w:p>
        </w:tc>
      </w:tr>
      <w:tr>
        <w:tc>
          <w:tcPr>
            <w:tcW w:type="dxa" w:w="1728"/>
          </w:tcPr>
          <w:p>
            <w:r>
              <w:t>PALC (PALC - PALM COTE D'IVOIRE)</w:t>
            </w:r>
          </w:p>
        </w:tc>
        <w:tc>
          <w:tcPr>
            <w:tcW w:type="dxa" w:w="1728"/>
          </w:tcPr>
          <w:p>
            <w:r>
              <w:t>2377</w:t>
            </w:r>
          </w:p>
        </w:tc>
        <w:tc>
          <w:tcPr>
            <w:tcW w:type="dxa" w:w="1728"/>
          </w:tcPr>
          <w:p>
            <w:r>
              <w:t>21861468 FCFA</w:t>
            </w:r>
          </w:p>
        </w:tc>
        <w:tc>
          <w:tcPr>
            <w:tcW w:type="dxa" w:w="1728"/>
          </w:tcPr>
          <w:p>
            <w:r>
              <w:t>9.94%</w:t>
            </w:r>
          </w:p>
        </w:tc>
        <w:tc>
          <w:tcPr>
            <w:tcW w:type="dxa" w:w="1728"/>
          </w:tcPr>
          <w:p>
            <w:r>
              <w:t>ACHAT</w:t>
            </w:r>
          </w:p>
        </w:tc>
      </w:tr>
      <w:tr>
        <w:tc>
          <w:tcPr>
            <w:tcW w:type="dxa" w:w="1728"/>
          </w:tcPr>
          <w:p>
            <w:r>
              <w:t>NEIC (NEIC - NEI-CEDA CI)</w:t>
            </w:r>
          </w:p>
        </w:tc>
        <w:tc>
          <w:tcPr>
            <w:tcW w:type="dxa" w:w="1728"/>
          </w:tcPr>
          <w:p>
            <w:r>
              <w:t>2177</w:t>
            </w:r>
          </w:p>
        </w:tc>
        <w:tc>
          <w:tcPr>
            <w:tcW w:type="dxa" w:w="1728"/>
          </w:tcPr>
          <w:p>
            <w:r>
              <w:t>5667042 FCFA</w:t>
            </w:r>
          </w:p>
        </w:tc>
        <w:tc>
          <w:tcPr>
            <w:tcW w:type="dxa" w:w="1728"/>
          </w:tcPr>
          <w:p>
            <w:r>
              <w:t>117.39%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2. BICB - BIIC BN - Banque internationale pour le commerce du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BOAM - BANK OF AFRICA MALI</w:t>
      </w:r>
    </w:p>
    <w:p>
      <w:r>
        <w:rPr>
          <w:b/>
        </w:rPr>
        <w:t xml:space="preserve">Score de divergence: </w:t>
      </w:r>
      <w:r>
        <w:t>4/8</w:t>
        <w:br/>
      </w:r>
      <w:r>
        <w:rPr>
          <w:b/>
        </w:rPr>
        <w:t xml:space="preserve">Description: </w:t>
      </w:r>
      <w:r>
        <w:t>Signaux d'achat: MM | Signaux de vente: MACD, RSI | Recommandation finale: ACHAT</w:t>
        <w:br/>
      </w:r>
    </w:p>
    <w:p/>
    <w:p>
      <w:pPr>
        <w:pStyle w:val="Heading3"/>
      </w:pPr>
      <w:r>
        <w:t>4. CBIBF - CBIBF - CORIS BANK INTERNATIONAL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ORGT - ORGT - ORAGROUP TOGO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SIBC - SIBC - SOCIETE IVOIRIENNE DE BANQUE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SOGC - SOGC - Société des caoutchoucs de Grand-Béréby</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hausse marquée des prix du pétrole brut sur les marchés internationaux constitue l'événement macro-économique dominant de cette période. Cette augmentation, observée fin août et début septembre 2026, reflète des tensions géopolitiques et des déséquilibres entre l'offre et la demande mondiale. Par ailleurs, le contexte boursier international demeure préoccupant, septembre étant historiquement le mois le plus difficile pour les marchés actions, avec des performances souvent négatives.</w:t>
      </w:r>
    </w:p>
    <w:p>
      <w:pPr>
        <w:pStyle w:val="Heading3"/>
      </w:pPr>
      <w:r>
        <w:rPr>
          <w:color w:val="500050"/>
        </w:rPr>
        <w:t>⚡ Impact estimé sur la BRVM</w:t>
      </w:r>
    </w:p>
    <w:p>
      <w:pPr>
        <w:spacing w:before="20" w:after="40"/>
        <w:ind w:left="280"/>
      </w:pPr>
      <w:r>
        <w:rPr>
          <w:i/>
          <w:sz w:val="18"/>
        </w:rPr>
        <w:t>La hausse des prix du pétrole affecte directement les coûts de transport et de production des sociétés cotées, particulièrement dans les secteurs industriels (SDSC, CABC) et de consommation courante (SCRC, PALC). Les compagnies aériennes et de transport maritime voient leurs marges se comprimer. En revanche, les sociétés du secteur énergétique pourraient bénéficier de cette tendance haussière. La prudence saisonnière de septembre pourrait également inciter les investisseurs internationaux à adopter une attitude attentiste vis-à-vis des marchés émergents comme la BRVM.</w:t>
      </w:r>
    </w:p>
    <w:p>
      <w:pPr>
        <w:pStyle w:val="Heading2"/>
      </w:pPr>
      <w:r>
        <w:rPr>
          <w:color w:val="006E32"/>
        </w:rPr>
        <w:t>🌍 Plan Africain</w:t>
      </w:r>
    </w:p>
    <w:p>
      <w:pPr>
        <w:spacing w:before="20" w:after="40"/>
        <w:ind w:left="0"/>
      </w:pPr>
      <w:r>
        <w:rPr>
          <w:sz w:val="18"/>
        </w:rPr>
        <w:t>La Tanzanie a décidé d'ouvrir son marché des obligations d'État à tous les investisseurs étrangers, une mesure visant à attirer davantage de capitaux. Parallèlement, l'Afrique du Sud prévoit un investissement public massif de 56 milliards de dollars, bien que confronté à une croissance économique atone. Les secteurs porteurs identifiés en Afrique restent les infrastructures, l'agro-industrie et les énergies renouvelables.</w:t>
      </w:r>
    </w:p>
    <w:p>
      <w:pPr>
        <w:pStyle w:val="Heading3"/>
      </w:pPr>
      <w:r>
        <w:rPr>
          <w:color w:val="500050"/>
        </w:rPr>
        <w:t>⚡ Impact estimé sur la BRVM</w:t>
      </w:r>
    </w:p>
    <w:p>
      <w:pPr>
        <w:spacing w:before="20" w:after="40"/>
        <w:ind w:left="280"/>
      </w:pPr>
      <w:r>
        <w:rPr>
          <w:i/>
          <w:sz w:val="18"/>
        </w:rPr>
        <w:t>L'ouverture du marché obligataire tanzanien pourrait détourner une partie des flux de capitaux étrangers vers l'Afrique de l'Est, créant une concurrence accrue pour attirer les investissements. Toutefois, les fondamentaux de la BRVM, notamment les résultats encourageants des sociétés cotées ivoiriennes, demeurent un atout pour fidéliser les investisseurs. Les secteurs porteurs identifiés (agro-industrie, infrastructures) correspondent aux activités de PALC, SCRC et SDSC, qui pourraient bénéficier d'un intérêt renouvelé.</w:t>
      </w:r>
    </w:p>
    <w:p>
      <w:pPr>
        <w:pStyle w:val="Heading2"/>
      </w:pPr>
      <w:r>
        <w:rPr>
          <w:color w:val="145A28"/>
        </w:rPr>
        <w:t>🌍 Plan Afrique de l'Ouest</w:t>
      </w:r>
    </w:p>
    <w:p>
      <w:pPr>
        <w:spacing w:before="20" w:after="40"/>
        <w:ind w:left="0"/>
      </w:pPr>
      <w:r>
        <w:rPr>
          <w:sz w:val="18"/>
        </w:rPr>
        <w:t>La nomination de Birame Diop à la tête de la Commission de la CEDEAO marque un tournant institutionnel pour la sous-région. Sa feuille de route, axée sur l'intégration économique régionale et la stabilité, est perçue positivement par les observateurs. Cette dynamique intervient dans un contexte où la CEDEAO doit relever des défis majeurs en matière de coordination des politiques économiques.</w:t>
      </w:r>
    </w:p>
    <w:p>
      <w:pPr>
        <w:pStyle w:val="Heading3"/>
      </w:pPr>
      <w:r>
        <w:rPr>
          <w:color w:val="500050"/>
        </w:rPr>
        <w:t>⚡ Impact estimé sur la BRVM</w:t>
      </w:r>
    </w:p>
    <w:p>
      <w:pPr>
        <w:spacing w:before="20" w:after="40"/>
        <w:ind w:left="280"/>
      </w:pPr>
      <w:r>
        <w:rPr>
          <w:i/>
          <w:sz w:val="18"/>
        </w:rPr>
        <w:t>La stabilité institutionnelle renforcée par la nouvelle gouvernance de la CEDEAO est un signal positif pour les entreprises cotées opérant dans plusieurs pays de la sous-région. Les banques régionales comme BOAC, BOAB et ECOC, présentes dans plusieurs États membres, pourraient bénéficier d'un environnement économique plus harmonisé. L'accent mis sur l'intégration économique pourrait faciliter les échanges transfrontaliers pour les sociétés de distribution comme CFAC et les industriels SDSC.</w:t>
      </w:r>
    </w:p>
    <w:p>
      <w:pPr>
        <w:pStyle w:val="Heading2"/>
      </w:pPr>
      <w:r>
        <w:rPr>
          <w:color w:val="8C4600"/>
        </w:rPr>
        <w:t>🏦 Plan UEMOA / Zone Franc</w:t>
      </w:r>
    </w:p>
    <w:p>
      <w:pPr>
        <w:spacing w:before="20" w:after="40"/>
        <w:ind w:left="0"/>
      </w:pPr>
      <w:r>
        <w:rPr>
          <w:sz w:val="18"/>
        </w:rPr>
        <w:t>Données insuffisantes concernant les décisions de la BCEAO, l'inflation dans la zone ou la liquidité bancaire. La déclaration de politique générale du Premier ministre sénégalais, prévue le 8 septembre, et les débats sur la restructuration de la dette du Sénégal constituent les principaux sujets d'actualité dans la zone.</w:t>
      </w:r>
    </w:p>
    <w:p>
      <w:pPr>
        <w:pStyle w:val="Heading3"/>
      </w:pPr>
      <w:r>
        <w:rPr>
          <w:color w:val="500050"/>
        </w:rPr>
        <w:t>⚡ Impact estimé sur la BRVM</w:t>
      </w:r>
    </w:p>
    <w:p>
      <w:pPr>
        <w:spacing w:before="20" w:after="40"/>
        <w:ind w:left="280"/>
      </w:pPr>
      <w:r>
        <w:rPr>
          <w:i/>
          <w:sz w:val="18"/>
        </w:rPr>
        <w:t>L'incertitude autour de la dette sénégalaise et les discussions sur une éventuelle restructuration pourraient peser sur la confiance des investisseurs régionaux. Les banques cotées ayant une exposition significative au Sénégal, notamment BOAS et SLBC, pourraient voir leur risque perçu augmenter. La déclaration de politique générale du Premier ministre sera scrutée pour ses orientations économiques et leurs implications sur le climat des affaires dans la zone UEMOA.</w:t>
      </w:r>
    </w:p>
    <w:p>
      <w:pPr>
        <w:pStyle w:val="Heading2"/>
      </w:pPr>
      <w:r>
        <w:rPr>
          <w:color w:val="003366"/>
        </w:rPr>
        <w:t>📈 Plan BRVM</w:t>
      </w:r>
    </w:p>
    <w:p>
      <w:pPr>
        <w:spacing w:before="20" w:after="40"/>
        <w:ind w:left="0"/>
      </w:pPr>
      <w:r>
        <w:rPr>
          <w:sz w:val="18"/>
        </w:rPr>
        <w:t>L'indice BRVM Composite s'établit à 537.67 points. Les résultats encourageants des sociétés cotées ivoiriennes, rapportés en juin dernier, témoignent d'une dynamique positive des fondamentaux. Le marché régional continue d'attirer l'attention des investisseurs pour sa stabilité et son potentiel de croissance.</w:t>
      </w:r>
    </w:p>
    <w:p>
      <w:pPr>
        <w:pStyle w:val="Heading3"/>
      </w:pPr>
      <w:r>
        <w:rPr>
          <w:color w:val="500050"/>
        </w:rPr>
        <w:t>⚡ Impact estimé sur la BRVM</w:t>
      </w:r>
    </w:p>
    <w:p>
      <w:pPr>
        <w:spacing w:before="20" w:after="40"/>
        <w:ind w:left="280"/>
      </w:pPr>
      <w:r>
        <w:rPr>
          <w:i/>
          <w:sz w:val="18"/>
        </w:rPr>
        <w:t>Les fondamentaux solides des sociétés cotées ivoiriennes, notamment dans les secteurs bancaire (SGBC, BICB) et industriel (SDSC), soutiennent la confiance des investisseurs. Les secteurs de la consommation discrétionnaire (BNBC, UNXC, ABJC) et des télécommunications (ONTBF, SNTS) demeurent des valeurs de croissance. La prudence est toutefois recommandée en ce début septembre, mois historiquement difficile pour les marchés boursiers.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notamment celles affectant les marchés pétroliers, constituent le principal facteur d'instabilité au niveau mondial. La hausse des prix du brut reflète des déséquilibres géopolitiques susceptibles d'affecter la confiance des investisseurs internationaux.</w:t>
      </w:r>
    </w:p>
    <w:p>
      <w:pPr>
        <w:pStyle w:val="Heading3"/>
      </w:pPr>
      <w:r>
        <w:rPr>
          <w:color w:val="500050"/>
        </w:rPr>
        <w:t>⚡ Impact estimé sur la BRVM</w:t>
      </w:r>
    </w:p>
    <w:p>
      <w:pPr>
        <w:spacing w:before="20" w:after="40"/>
        <w:ind w:left="280"/>
      </w:pPr>
      <w:r>
        <w:rPr>
          <w:i/>
          <w:sz w:val="18"/>
        </w:rPr>
        <w:t>L'instabilité géopolitique mondiale peut inciter les investisseurs à se tourner vers des valeurs refuges, au détriment des marchés émergents comme la BRVM. Toutefois, la relative déconnexion de la BRVM des tensions mondiales directes pourrait en faire une valeur de diversification attractive pour les investisseurs internationaux.</w:t>
      </w:r>
    </w:p>
    <w:p>
      <w:pPr>
        <w:pStyle w:val="Heading2"/>
      </w:pPr>
      <w:r>
        <w:rPr>
          <w:color w:val="006E32"/>
        </w:rPr>
        <w:t>🌍 Plan Africain</w:t>
      </w:r>
    </w:p>
    <w:p>
      <w:pPr>
        <w:spacing w:before="20" w:after="40"/>
        <w:ind w:left="0"/>
      </w:pPr>
      <w:r>
        <w:rPr>
          <w:sz w:val="18"/>
        </w:rPr>
        <w:t>Données insuffisantes concernant la stabilité politique africaine, les transitions ou les élections sur le continent. La nomination de Birame Diop à la CEDEAO constitue le principal événement politique africain rapporté.</w:t>
      </w:r>
    </w:p>
    <w:p>
      <w:pPr>
        <w:pStyle w:val="Heading3"/>
      </w:pPr>
      <w:r>
        <w:rPr>
          <w:color w:val="500050"/>
        </w:rPr>
        <w:t>⚡ Impact estimé sur la BRVM</w:t>
      </w:r>
    </w:p>
    <w:p>
      <w:pPr>
        <w:spacing w:before="20" w:after="40"/>
        <w:ind w:left="280"/>
      </w:pPr>
      <w:r>
        <w:rPr>
          <w:i/>
          <w:sz w:val="18"/>
        </w:rPr>
        <w:t>La dynamique institutionnelle positive en Afrique de l'Ouest, incarnée par la nouvelle gouvernance de la CEDEAO, pourrait renforcer la confiance des investisseurs dans les marchés financiers de la sous-région, y compris la BRVM.</w:t>
      </w:r>
    </w:p>
    <w:p>
      <w:pPr>
        <w:pStyle w:val="Heading2"/>
      </w:pPr>
      <w:r>
        <w:rPr>
          <w:color w:val="145A28"/>
        </w:rPr>
        <w:t>🌍 Plan Afrique de l'Ouest</w:t>
      </w:r>
    </w:p>
    <w:p>
      <w:pPr>
        <w:spacing w:before="20" w:after="40"/>
        <w:ind w:left="0"/>
      </w:pPr>
      <w:r>
        <w:rPr>
          <w:sz w:val="18"/>
        </w:rPr>
        <w:t>La prise de fonction de Birame Diop à la Commission de la CEDEAO est l'événement politique majeur de la sous-région. Sa feuille de route met l'accent sur l'intégration économique régionale et la stabilité, des priorités qui pourraient structurer l'agenda politique ouest-africain.</w:t>
      </w:r>
    </w:p>
    <w:p>
      <w:pPr>
        <w:pStyle w:val="Heading3"/>
      </w:pPr>
      <w:r>
        <w:rPr>
          <w:color w:val="500050"/>
        </w:rPr>
        <w:t>⚡ Impact estimé sur la BRVM</w:t>
      </w:r>
    </w:p>
    <w:p>
      <w:pPr>
        <w:spacing w:before="20" w:after="40"/>
        <w:ind w:left="280"/>
      </w:pPr>
      <w:r>
        <w:rPr>
          <w:i/>
          <w:sz w:val="18"/>
        </w:rPr>
        <w:t>Une CEDEAO plus stable et intégrée est favorable aux entreprises cotées opérant dans plusieurs pays de la sous-région. Les banques panafricaines comme ECOC et BOAC, ainsi que les industriels SDSC et CABC, pourraient bénéficier d'un climat politique apaisé et de politiques économiques coordonnées.</w:t>
      </w:r>
    </w:p>
    <w:p>
      <w:pPr>
        <w:pStyle w:val="Heading2"/>
      </w:pPr>
      <w:r>
        <w:rPr>
          <w:color w:val="8C4600"/>
        </w:rPr>
        <w:t>🏦 Plan UEMOA / Zone Franc</w:t>
      </w:r>
    </w:p>
    <w:p>
      <w:pPr>
        <w:spacing w:before="20" w:after="40"/>
        <w:ind w:left="0"/>
      </w:pPr>
      <w:r>
        <w:rPr>
          <w:sz w:val="18"/>
        </w:rPr>
        <w:t>La situation politique au Sénégal, avec la déclaration de politique générale du Premier ministre prévue le 8 septembre et les débats sur la dette, constitue le principal sujet politique de la zone. Les discussions sur une éventuelle restructuration de la dette sénégalaise suscitent des interrogations.</w:t>
      </w:r>
    </w:p>
    <w:p>
      <w:pPr>
        <w:pStyle w:val="Heading3"/>
      </w:pPr>
      <w:r>
        <w:rPr>
          <w:color w:val="500050"/>
        </w:rPr>
        <w:t>⚡ Impact estimé sur la BRVM</w:t>
      </w:r>
    </w:p>
    <w:p>
      <w:pPr>
        <w:spacing w:before="20" w:after="40"/>
        <w:ind w:left="280"/>
      </w:pPr>
      <w:r>
        <w:rPr>
          <w:i/>
          <w:sz w:val="18"/>
        </w:rPr>
        <w:t>Les incertitudes politiques et financières au Sénégal pourraient affecter la perception du risque dans la zone UEMOA. Les banques cotées ayant des activités au Sénégal, notamment BOAS, pourraient être sous pression. Une clarification de la situation politique sénégalaise serait de nature à rassurer les investisseurs régionaux.</w:t>
      </w:r>
    </w:p>
    <w:p>
      <w:pPr>
        <w:pStyle w:val="Heading2"/>
      </w:pPr>
      <w:r>
        <w:rPr>
          <w:color w:val="003366"/>
        </w:rPr>
        <w:t>📈 Plan BRVM</w:t>
      </w:r>
    </w:p>
    <w:p>
      <w:pPr>
        <w:spacing w:before="20" w:after="40"/>
        <w:ind w:left="0"/>
      </w:pPr>
      <w:r>
        <w:rPr>
          <w:sz w:val="18"/>
        </w:rPr>
        <w:t>Données insuffisantes concernant la réglementation CREPMF, les nouvelles cotations ou la gouvernance des sociétés cotées.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hausse des prix du pétrole et le contexte boursier international difficile, avec septembre historiquement baissier, dominent l'actualité financière mondiale. Les marchés actions internationaux pourraient connaître une période de volatilité accrue.</w:t>
      </w:r>
    </w:p>
    <w:p>
      <w:pPr>
        <w:pStyle w:val="Heading3"/>
      </w:pPr>
      <w:r>
        <w:rPr>
          <w:color w:val="500050"/>
        </w:rPr>
        <w:t>⚡ Impact estimé sur la BRVM</w:t>
      </w:r>
    </w:p>
    <w:p>
      <w:pPr>
        <w:spacing w:before="20" w:after="40"/>
        <w:ind w:left="280"/>
      </w:pPr>
      <w:r>
        <w:rPr>
          <w:i/>
          <w:sz w:val="18"/>
        </w:rPr>
        <w:t>La BRVM, en tant que marché émergent, pourrait subir des effets de contagion en cas de correction boursière mondiale. Toutefois, la faible corrélation historique de la BRVM avec les marchés développés pourrait limiter l'impact. Les investisseurs pourraient considérer la BRVM comme une valeur de diversification.</w:t>
      </w:r>
    </w:p>
    <w:p>
      <w:pPr>
        <w:pStyle w:val="Heading2"/>
      </w:pPr>
      <w:r>
        <w:rPr>
          <w:color w:val="006E32"/>
        </w:rPr>
        <w:t>🌍 Plan Africain</w:t>
      </w:r>
    </w:p>
    <w:p>
      <w:pPr>
        <w:spacing w:before="20" w:after="40"/>
        <w:ind w:left="0"/>
      </w:pPr>
      <w:r>
        <w:rPr>
          <w:sz w:val="18"/>
        </w:rPr>
        <w:t>L'ouverture du marché obligataire tanzanien aux investisseurs étrangers et l'investissement public massif en Afrique du Sud illustrent la dynamique des marchés financiers africains. Ces initiatives visent à attirer les capitaux étrangers.</w:t>
      </w:r>
    </w:p>
    <w:p>
      <w:pPr>
        <w:pStyle w:val="Heading3"/>
      </w:pPr>
      <w:r>
        <w:rPr>
          <w:color w:val="500050"/>
        </w:rPr>
        <w:t>⚡ Impact estimé sur la BRVM</w:t>
      </w:r>
    </w:p>
    <w:p>
      <w:pPr>
        <w:spacing w:before="20" w:after="40"/>
        <w:ind w:left="280"/>
      </w:pPr>
      <w:r>
        <w:rPr>
          <w:i/>
          <w:sz w:val="18"/>
        </w:rPr>
        <w:t>La concurrence pour attirer les capitaux étrangers s'intensifie entre les places financières africaines. La BRVM doit continuer à démontrer sa compétitivité et son attractivité pour maintenir sa part des flux d'investissement. Les résultats encourageants des sociétés cotées sont un argument en sa faveur.</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 dans la zone.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se maintient à 537.67 points. Les résultats encourageants des sociétés cotées ivoiriennes, rapportés en juin, constituent un soutien fondamental pour le marché. La période de septembre, historiquement difficile, appelle à la vigilance.</w:t>
      </w:r>
    </w:p>
    <w:p>
      <w:pPr>
        <w:pStyle w:val="Heading3"/>
      </w:pPr>
      <w:r>
        <w:rPr>
          <w:color w:val="500050"/>
        </w:rPr>
        <w:t>⚡ Impact estimé sur la BRVM</w:t>
      </w:r>
    </w:p>
    <w:p>
      <w:pPr>
        <w:spacing w:before="20" w:after="40"/>
        <w:ind w:left="280"/>
      </w:pPr>
      <w:r>
        <w:rPr>
          <w:i/>
          <w:sz w:val="18"/>
        </w:rPr>
        <w:t>Les investisseurs devraient adopter une approche sélective, privilégiant les valeurs aux fondamentaux solides. Les banques (SGBC, BICB, BOAC) et les télécommunications (ONTBF, SNTS) offrent une certaine stabilité. Les valeurs de consommation (PALC, SCRC) pourraient être affectées par la hausse des coûts du pétrole. Les titres industriels (SDSC, CABC) nécessitent une surveillance particulière en raison de leur sensibilité aux coûts énergétiques.</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mondial, marqué par la hausse des prix du pétrole et un mois de septembre historiquement difficile pour les marchés boursiers, incite à la prudence. Toutefois, les fondamentaux solides des sociétés cotées à la BRVM, les résultats encourageants des entreprises ivoiriennes et la dynamique institutionnelle positive de la CEDEAO constituent des facteurs de soutien. Les incertitudes politiques et financières au Sénégal, ainsi que la concurrence accrue pour attirer les capitaux étrangers, tempèrent toutefois l'optimisme. Il est recommandé aux investisseurs de privilégier une approche sélective, en se concentrant sur les valeurs aux fondamentaux robustes comme les banques SGBC et BICB, et de surveiller l'évolution des cours du pétrole et la situation politique sénégalaise.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Les contrats à terme internationaux sur le pétrole brut clôturent fort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Sénégal : La Déclaration de politique générale du Premier ministre fix</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2026-09-03</w:t>
            </w:r>
          </w:p>
        </w:tc>
        <w:tc>
          <w:tcPr>
            <w:tcW w:type="dxa" w:w="1728"/>
          </w:tcPr>
          <w:p>
            <w:r>
              <w:rPr>
                <w:sz w:val="14"/>
              </w:rPr>
              <w:t>Dette du Sénégal : Abdourahmane Diouf affirme que Sonko avait validé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Fodé Doucouré rejoint officiellement le FC Nantes !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Laïcité au Sénégal : comment le religieux s’est imposé au cœur du poli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Prix bord champ du kg du café et du cacao 2026-2027 : 1300 Fcfa et 120</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2026-09-02</w:t>
            </w:r>
          </w:p>
        </w:tc>
        <w:tc>
          <w:tcPr>
            <w:tcW w:type="dxa" w:w="1728"/>
          </w:tcPr>
          <w:p>
            <w:r>
              <w:rPr>
                <w:sz w:val="14"/>
              </w:rPr>
              <w:t>Cacao : la Côte d’Ivoire maintient le prix aux producteurs à 1 200 fra</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Les contrats à terme internationaux sur le pétrole brut clôturent fort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Sénégal : La Déclaration de politique générale du Premier ministre fix</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Sénégal : La Déclaration de politique générale du Premier ministre fix</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Sénégal : La Déclaration de politique générale du Premier ministre fix</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2026-09-03</w:t>
            </w:r>
          </w:p>
        </w:tc>
        <w:tc>
          <w:tcPr>
            <w:tcW w:type="dxa" w:w="1728"/>
          </w:tcPr>
          <w:p>
            <w:r>
              <w:rPr>
                <w:sz w:val="14"/>
              </w:rPr>
              <w:t>Dette du Sénégal : Abdourahmane Diouf affirme que Sonko avait validé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Les contrats à terme internationaux sur le pétrole brut clôturent fort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Cacao : la Côte d’Ivoire maintient le prix aux producteurs à 1 200 fra</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Sénégal : La Déclaration de politique générale du Premier ministre fix</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Les prix du pétrole ont de nouveau fortement augmenté.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Cacao : la Côte d’Ivoire maintient le prix aux producteurs à 1 200 fra</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2026-09-01</w:t>
            </w:r>
          </w:p>
        </w:tc>
        <w:tc>
          <w:tcPr>
            <w:tcW w:type="dxa" w:w="1728"/>
          </w:tcPr>
          <w:p>
            <w:r>
              <w:rPr>
                <w:sz w:val="14"/>
              </w:rPr>
              <w:t>Côte d'Ivoire : le prix du cacao reste fixé à 1.200 francs CFA - Tradi</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(7 alerte(s))</w:t>
      </w:r>
    </w:p>
    <w:p>
      <w:pPr>
        <w:spacing w:before="40" w:after="40"/>
        <w:ind w:left="360"/>
      </w:pPr>
      <w:r>
        <w:rPr>
          <w:color w:val="646464"/>
          <w:sz w:val="17"/>
        </w:rPr>
        <w:t xml:space="preserve">[03/09/2026] ⚪  </w:t>
      </w:r>
      <w:r>
        <w:rPr>
          <w:b/>
          <w:color w:val="505050"/>
          <w:sz w:val="18"/>
        </w:rPr>
        <w:t>Dette du Sénégal : Abdourahmane Diouf affirme que Sonko avait validé le principe de la restructuration - Leral.net</w:t>
      </w:r>
      <w:r>
        <w:rPr>
          <w:color w:val="787878"/>
          <w:sz w:val="15"/>
        </w:rPr>
        <w:t xml:space="preserve">  [politique]</w:t>
      </w:r>
      <w:r>
        <w:rPr>
          <w:color w:val="B47800"/>
          <w:sz w:val="16"/>
        </w:rPr>
        <w:t xml:space="preserve">  ★ 50/10</w:t>
      </w:r>
    </w:p>
    <w:p>
      <w:pPr>
        <w:spacing w:before="0" w:after="20"/>
        <w:ind w:left="600"/>
      </w:pPr>
      <w:r>
        <w:rPr>
          <w:color w:val="323232"/>
          <w:sz w:val="17"/>
        </w:rPr>
        <w:t xml:space="preserve">L'ancien ministre des Finances du Sénégal, Abdourahmane Diouf, affirme que le Premier ministre Ousmane Sonko avait validé le principe d'une restructuration de la dette du pays. Cette déclaration intervient dans un contexte de tensions politiques et de débats sur la gestion de la dette souveraine sénégalaise. L'article, publié par Leral.net, met en </w:t>
      </w:r>
    </w:p>
    <w:p>
      <w:pPr>
        <w:spacing w:before="0" w:after="40"/>
        <w:ind w:left="600"/>
      </w:pPr>
      <w:r>
        <w:rPr>
          <w:color w:val="00643C"/>
          <w:sz w:val="16"/>
        </w:rPr>
        <w:t>Points clés : Abdourahmane Diouf affirme que Sonko avait validé le principe de la restructuration de la dette.  •  La déclaration concerne la dette du Sénégal, pays de la zone UEMOA.  •  L'article est de nature politique et pourrait influencer la perception des investisseurs sur la gestion budgétaire du Sénégal.</w:t>
      </w:r>
    </w:p>
    <w:p>
      <w:pPr>
        <w:spacing w:before="0" w:after="60"/>
        <w:ind w:left="600"/>
      </w:pPr>
      <w:r>
        <w:rPr>
          <w:color w:val="0064B4"/>
          <w:sz w:val="15"/>
        </w:rPr>
        <w:t>Source : https://news.google.com/rss/articles/CBMi0AFBVV95cUxQY2d5RVBPamMyMlo2UkNZeU5IeHd</w:t>
      </w:r>
    </w:p>
    <w:p>
      <w:pPr>
        <w:spacing w:before="40" w:after="40"/>
        <w:ind w:left="360"/>
      </w:pPr>
      <w:r>
        <w:rPr>
          <w:color w:val="646464"/>
          <w:sz w:val="17"/>
        </w:rPr>
        <w:t xml:space="preserve">[02/09/2026] ⚪  </w:t>
      </w:r>
      <w:r>
        <w:rPr>
          <w:b/>
          <w:color w:val="505050"/>
          <w:sz w:val="18"/>
        </w:rPr>
        <w:t>Laïcité au Sénégal : comment le religieux s’est imposé au cœur du politique - Afriquinfos</w:t>
      </w:r>
      <w:r>
        <w:rPr>
          <w:color w:val="787878"/>
          <w:sz w:val="15"/>
        </w:rPr>
        <w:t xml:space="preserve">  [politique]</w:t>
      </w:r>
      <w:r>
        <w:rPr>
          <w:color w:val="B47800"/>
          <w:sz w:val="16"/>
        </w:rPr>
        <w:t xml:space="preserve">  ★ 50/10</w:t>
      </w:r>
    </w:p>
    <w:p>
      <w:pPr>
        <w:spacing w:before="0" w:after="20"/>
        <w:ind w:left="600"/>
      </w:pPr>
      <w:r>
        <w:rPr>
          <w:color w:val="323232"/>
          <w:sz w:val="17"/>
        </w:rPr>
        <w:t>L'article analyse l'évolution de la laïcité au Sénégal, où le religieux s'est progressivement imposé dans la sphère politique, malgré un cadre constitutionnel laïc. Il montre comment les confréries et leaders religieux jouent un rôle clé dans la légitimation du pouvoir et les arbitrages politiques. Cette dynamique interroge l'équilibre entre religi</w:t>
      </w:r>
    </w:p>
    <w:p>
      <w:pPr>
        <w:spacing w:before="0" w:after="40"/>
        <w:ind w:left="600"/>
      </w:pPr>
      <w:r>
        <w:rPr>
          <w:color w:val="00643C"/>
          <w:sz w:val="16"/>
        </w:rPr>
        <w:t>Points clés : La laïcité sénégalaise est historique mais le religieux influence fortement les décisions politiques.  •  Les confréries (comme les Mourides) sont des acteurs incontournables du jeu politique.  •  Cette imbrication est perçue comme un facteur de stabilité sociale, mais aussi de tensions potentielles.</w:t>
      </w:r>
    </w:p>
    <w:p>
      <w:pPr>
        <w:spacing w:before="0" w:after="60"/>
        <w:ind w:left="600"/>
      </w:pPr>
      <w:r>
        <w:rPr>
          <w:color w:val="0064B4"/>
          <w:sz w:val="15"/>
        </w:rPr>
        <w:t>Source : https://news.google.com/rss/articles/CBMinwFBVV95cUxNemlwR195YjF4MFdxaXl2VFVINFJ</w:t>
      </w:r>
    </w:p>
    <w:p>
      <w:pPr>
        <w:spacing w:before="40" w:after="40"/>
        <w:ind w:left="360"/>
      </w:pPr>
      <w:r>
        <w:rPr>
          <w:color w:val="646464"/>
          <w:sz w:val="17"/>
        </w:rPr>
        <w:t xml:space="preserve">[02/09/2026] ⚪  </w:t>
      </w:r>
      <w:r>
        <w:rPr>
          <w:b/>
          <w:color w:val="505050"/>
          <w:sz w:val="18"/>
        </w:rPr>
        <w:t>Fodé Doucouré rejoint officiellement le FC Nantes ! - Mali Actu</w:t>
      </w:r>
      <w:r>
        <w:rPr>
          <w:color w:val="787878"/>
          <w:sz w:val="15"/>
        </w:rPr>
        <w:t xml:space="preserve">  [politique]</w:t>
      </w:r>
      <w:r>
        <w:rPr>
          <w:color w:val="B47800"/>
          <w:sz w:val="16"/>
        </w:rPr>
        <w:t xml:space="preserve">  ★ 50/10</w:t>
      </w:r>
    </w:p>
    <w:p>
      <w:pPr>
        <w:spacing w:before="0" w:after="20"/>
        <w:ind w:left="600"/>
      </w:pPr>
      <w:r>
        <w:rPr>
          <w:color w:val="323232"/>
          <w:sz w:val="17"/>
        </w:rPr>
        <w:t>L'article annonce l'arrivée officielle du joueur malien Fodé Doucouré au FC Nantes, un club de football français. Cette information relève du domaine sportif et n'a pas de lien direct avec les marchés financiers de l'UEMOA. Le contenu est très court et se limite à une annonce de transfert.</w:t>
      </w:r>
    </w:p>
    <w:p>
      <w:pPr>
        <w:spacing w:before="0" w:after="40"/>
        <w:ind w:left="600"/>
      </w:pPr>
      <w:r>
        <w:rPr>
          <w:color w:val="00643C"/>
          <w:sz w:val="16"/>
        </w:rPr>
        <w:t>Points clés : Transfert officiel de Fodé Doucouré au FC Nantes  •  Information sportive sans portée économique directe</w:t>
      </w:r>
    </w:p>
    <w:p>
      <w:pPr>
        <w:spacing w:before="0" w:after="60"/>
        <w:ind w:left="600"/>
      </w:pPr>
      <w:r>
        <w:rPr>
          <w:color w:val="0064B4"/>
          <w:sz w:val="15"/>
        </w:rPr>
        <w:t>Source : https://news.google.com/rss/articles/CBMie0FVX3lxTE9yZDJDOTZHMkZvY2t2T3NMNHZOalV</w:t>
      </w:r>
    </w:p>
    <w:p>
      <w:pPr>
        <w:spacing w:before="40" w:after="40"/>
        <w:ind w:left="360"/>
      </w:pPr>
      <w:r>
        <w:rPr>
          <w:color w:val="646464"/>
          <w:sz w:val="17"/>
        </w:rPr>
        <w:t xml:space="preserve">[02/09/2026] ⚪  </w:t>
      </w:r>
      <w:r>
        <w:rPr>
          <w:b/>
          <w:color w:val="505050"/>
          <w:sz w:val="18"/>
        </w:rPr>
        <w:t>Sénégal : La Déclaration de politique générale du Premier ministre fixée au 8 septembre - koaci.com</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prononcera sa déclaration de politique générale le 8 septembre, un exercice majeur pour présenter le programme du gouvernement. Cette annonce intervient dans un contexte de transition politique et suscite l'attention des acteurs économiques de l'UEMOA. Les mesures annoncées pourraient influencer la politique budgétair</w:t>
      </w:r>
    </w:p>
    <w:p>
      <w:pPr>
        <w:spacing w:before="0" w:after="40"/>
        <w:ind w:left="600"/>
      </w:pPr>
      <w:r>
        <w:rPr>
          <w:color w:val="00643C"/>
          <w:sz w:val="16"/>
        </w:rPr>
        <w:t>Points clés : Date de la déclaration de politique générale fixée au 8 septembre.  •  Événement politique majeur au Sénégal, pays clé de l'UEMOA.  •  Potentielles annonces de réformes économiques et budgétaires.</w:t>
      </w:r>
    </w:p>
    <w:p>
      <w:pPr>
        <w:spacing w:before="0" w:after="60"/>
        <w:ind w:left="600"/>
      </w:pPr>
      <w:r>
        <w:rPr>
          <w:color w:val="0064B4"/>
          <w:sz w:val="15"/>
        </w:rPr>
        <w:t>Source : https://news.google.com/rss/articles/CBMi7AFBVV95cUxOankteGo1Sm0wMTZtbEpSc281eEl</w:t>
      </w:r>
    </w:p>
    <w:p>
      <w:pPr>
        <w:spacing w:before="40" w:after="40"/>
        <w:ind w:left="360"/>
      </w:pPr>
      <w:r>
        <w:rPr>
          <w:color w:val="646464"/>
          <w:sz w:val="17"/>
        </w:rPr>
        <w:t xml:space="preserve">[02/09/2026] 🔴  </w:t>
      </w:r>
      <w:r>
        <w:rPr>
          <w:b/>
          <w:color w:val="C00000"/>
          <w:sz w:val="18"/>
        </w:rPr>
        <w:t>Au Togo, le trompe-l’œil de la nouvelle Constitution - afriquexxi.info</w:t>
      </w:r>
      <w:r>
        <w:rPr>
          <w:color w:val="787878"/>
          <w:sz w:val="15"/>
        </w:rPr>
        <w:t xml:space="preserve">  [politique]</w:t>
      </w:r>
      <w:r>
        <w:rPr>
          <w:color w:val="B47800"/>
          <w:sz w:val="16"/>
        </w:rPr>
        <w:t xml:space="preserve">  ★ 50/10</w:t>
      </w:r>
    </w:p>
    <w:p>
      <w:pPr>
        <w:spacing w:before="0" w:after="20"/>
        <w:ind w:left="600"/>
      </w:pPr>
      <w:r>
        <w:rPr>
          <w:color w:val="323232"/>
          <w:sz w:val="17"/>
        </w:rPr>
        <w:t>L'article analyse la nouvelle Constitution togolaise, adoptée en 2024, qui instaure un régime parlementaire avec un président du Conseil des ministres puissant, tout en maintenant le président de la République comme chef de l'État. Il souligne que cette réforme, présentée comme une avancée démocratique, renforce en réalité le contrôle du parti au p</w:t>
      </w:r>
    </w:p>
    <w:p>
      <w:pPr>
        <w:spacing w:before="0" w:after="40"/>
        <w:ind w:left="600"/>
      </w:pPr>
      <w:r>
        <w:rPr>
          <w:color w:val="00643C"/>
          <w:sz w:val="16"/>
        </w:rPr>
        <w:t>Points clés : Nouvelle Constitution togolaise instaure un régime parlementaire avec un président du Conseil des ministres, mais le président de la République conserve des prérogatives importantes.  •  La réforme est perçue comme un outil de consolidation du pouvoir de l'exécutif et du parti au pouvoir, plutôt qu'une réelle démocratisation.  •  Le contexte politique togolais reste marqué par des tensions et des critiques de l'opposition sur la transparence du processus.</w:t>
      </w:r>
    </w:p>
    <w:p>
      <w:pPr>
        <w:spacing w:before="0" w:after="60"/>
        <w:ind w:left="600"/>
      </w:pPr>
      <w:r>
        <w:rPr>
          <w:color w:val="0064B4"/>
          <w:sz w:val="15"/>
        </w:rPr>
        <w:t>Source : https://news.google.com/rss/articles/CBMiggFBVV95cUxQZ3pDbWVTU0dNbWdzSGV3Zm9TUWN</w:t>
      </w:r>
    </w:p>
    <w:p>
      <w:pPr>
        <w:spacing w:before="120" w:after="40"/>
      </w:pPr>
      <w:r>
        <w:rPr>
          <w:b/>
          <w:color w:val="00467F"/>
          <w:sz w:val="20"/>
        </w:rPr>
        <w:t>🔑 économique  (4 alerte(s))</w:t>
      </w:r>
    </w:p>
    <w:p>
      <w:pPr>
        <w:spacing w:before="40" w:after="40"/>
        <w:ind w:left="360"/>
      </w:pPr>
      <w:r>
        <w:rPr>
          <w:color w:val="646464"/>
          <w:sz w:val="17"/>
        </w:rPr>
        <w:t xml:space="preserve">[02/09/2026] ⚪  </w:t>
      </w:r>
      <w:r>
        <w:rPr>
          <w:b/>
          <w:color w:val="505050"/>
          <w:sz w:val="18"/>
        </w:rPr>
        <w:t>Qui est Birame Diop, le général sénégalais appelé à diriger la Commission de la CEDEAO ? - AGENCE ECOFIN</w:t>
      </w:r>
      <w:r>
        <w:rPr>
          <w:color w:val="787878"/>
          <w:sz w:val="15"/>
        </w:rPr>
        <w:t xml:space="preserve">  [économique]</w:t>
      </w:r>
      <w:r>
        <w:rPr>
          <w:color w:val="B47800"/>
          <w:sz w:val="16"/>
        </w:rPr>
        <w:t xml:space="preserve">  ★ 50/10</w:t>
      </w:r>
    </w:p>
    <w:p>
      <w:pPr>
        <w:spacing w:before="0" w:after="20"/>
        <w:ind w:left="600"/>
      </w:pPr>
      <w:r>
        <w:rPr>
          <w:color w:val="323232"/>
          <w:sz w:val="17"/>
        </w:rPr>
        <w:t>L'article de l'Agence Ecofin présente le général sénégalais Birame Diop, pressenti pour prendre la tête de la Commission de la CEDEAO. Il met en avant son parcours militaire et diplomatique, ainsi que les enjeux de cette nomination pour la stabilité régionale et la coopération économique en Afrique de l'Ouest. La nouvelle est présentée comme un dév</w:t>
      </w:r>
    </w:p>
    <w:p>
      <w:pPr>
        <w:spacing w:before="0" w:after="40"/>
        <w:ind w:left="600"/>
      </w:pPr>
      <w:r>
        <w:rPr>
          <w:color w:val="00643C"/>
          <w:sz w:val="16"/>
        </w:rPr>
        <w:t>Points clés : Birame Diop, général sénégalais, est proposé pour diriger la Commission de la CEDEAO.  •  Sa nomination pourrait renforcer la coopération économique et la stabilité dans la région.  •  L'article souligne l'importance de la CEDEAO pour l'intégration ouest-africaine.</w:t>
      </w:r>
    </w:p>
    <w:p>
      <w:pPr>
        <w:spacing w:before="0" w:after="60"/>
        <w:ind w:left="600"/>
      </w:pPr>
      <w:r>
        <w:rPr>
          <w:color w:val="0064B4"/>
          <w:sz w:val="15"/>
        </w:rPr>
        <w:t>Source : https://news.google.com/rss/articles/CBMi0wFBVV95cUxQbkljbEJKLUdCZ20ybFZjRUdNZHV</w:t>
      </w:r>
    </w:p>
    <w:p>
      <w:pPr>
        <w:spacing w:before="40" w:after="40"/>
        <w:ind w:left="360"/>
      </w:pPr>
      <w:r>
        <w:rPr>
          <w:color w:val="646464"/>
          <w:sz w:val="17"/>
        </w:rPr>
        <w:t xml:space="preserve">[02/09/2026] ⚪  </w:t>
      </w:r>
      <w:r>
        <w:rPr>
          <w:b/>
          <w:color w:val="505050"/>
          <w:sz w:val="18"/>
        </w:rPr>
        <w:t>Diplomatie – Commission de la Cedeao : Birame Diop prend les commandes - LeQuotidien.sn</w:t>
      </w:r>
      <w:r>
        <w:rPr>
          <w:color w:val="787878"/>
          <w:sz w:val="15"/>
        </w:rPr>
        <w:t xml:space="preserve">  [économique]</w:t>
      </w:r>
      <w:r>
        <w:rPr>
          <w:color w:val="B47800"/>
          <w:sz w:val="16"/>
        </w:rPr>
        <w:t xml:space="preserve">  ★ 50/10</w:t>
      </w:r>
    </w:p>
    <w:p>
      <w:pPr>
        <w:spacing w:before="0" w:after="20"/>
        <w:ind w:left="600"/>
      </w:pPr>
      <w:r>
        <w:rPr>
          <w:color w:val="323232"/>
          <w:sz w:val="17"/>
        </w:rPr>
        <w:t>Birame Diop prend la tête de la Commission de la CEDEAO, une organisation clé pour l'intégration économique en Afrique de l'Ouest. Cette nomination intervient dans un contexte de défis sécuritaires et économiques pour la région. Elle pourrait influencer les politiques commerciales et monétaires des États membres, dont la Côte d'Ivoire et le Sénégal</w:t>
      </w:r>
    </w:p>
    <w:p>
      <w:pPr>
        <w:spacing w:before="0" w:after="40"/>
        <w:ind w:left="600"/>
      </w:pPr>
      <w:r>
        <w:rPr>
          <w:color w:val="00643C"/>
          <w:sz w:val="16"/>
        </w:rPr>
        <w:t>Points clés : Nomination de Birame Diop à la tête de la Commission de la CEDEAO  •  Renforcement potentiel de l'intégration économique régionale  •  Impact possible sur les politiques commerciales et monétaires des pays membres</w:t>
      </w:r>
    </w:p>
    <w:p>
      <w:pPr>
        <w:spacing w:before="0" w:after="60"/>
        <w:ind w:left="600"/>
      </w:pPr>
      <w:r>
        <w:rPr>
          <w:color w:val="0064B4"/>
          <w:sz w:val="15"/>
        </w:rPr>
        <w:t>Source : https://news.google.com/rss/articles/CBMilAFBVV95cUxPUGpKZFNGeDIxQmNwc0dPRHk5NG5</w:t>
      </w:r>
    </w:p>
    <w:p>
      <w:pPr>
        <w:spacing w:before="40" w:after="40"/>
        <w:ind w:left="360"/>
      </w:pPr>
      <w:r>
        <w:rPr>
          <w:color w:val="646464"/>
          <w:sz w:val="17"/>
        </w:rPr>
        <w:t xml:space="preserve">[02/09/2026] ⚪  </w:t>
      </w:r>
      <w:r>
        <w:rPr>
          <w:b/>
          <w:color w:val="505050"/>
          <w:sz w:val="18"/>
        </w:rPr>
        <w:t>Afrique – Commission de la CEDEAO : Birame Diop dévoile sa feuille de route - Africa24 TV</w:t>
      </w:r>
      <w:r>
        <w:rPr>
          <w:color w:val="787878"/>
          <w:sz w:val="15"/>
        </w:rPr>
        <w:t xml:space="preserve">  [économique]</w:t>
      </w:r>
      <w:r>
        <w:rPr>
          <w:color w:val="B47800"/>
          <w:sz w:val="16"/>
        </w:rPr>
        <w:t xml:space="preserve">  ★ 50/10</w:t>
      </w:r>
    </w:p>
    <w:p>
      <w:pPr>
        <w:spacing w:before="0" w:after="20"/>
        <w:ind w:left="600"/>
      </w:pPr>
      <w:r>
        <w:rPr>
          <w:color w:val="323232"/>
          <w:sz w:val="17"/>
        </w:rPr>
        <w:t>Birame Diop, nouveau commissaire de la CEDEAO, a présenté sa feuille de route pour la Commission, axée sur l'intégration économique régionale et la stabilité. Cette initiative vise à renforcer la coopération entre les États membres ouest-africains, avec un accent sur les réformes structurelles et le développement durable. La feuille de route s'insc</w:t>
      </w:r>
    </w:p>
    <w:p>
      <w:pPr>
        <w:spacing w:before="0" w:after="40"/>
        <w:ind w:left="600"/>
      </w:pPr>
      <w:r>
        <w:rPr>
          <w:color w:val="00643C"/>
          <w:sz w:val="16"/>
        </w:rPr>
        <w:t>Points clés : Présentation de la feuille de route de Birame Diop à la Commission de la CEDEAO  •  Priorité à l'intégration économique et à la stabilité régionale en Afrique de l'Ouest</w:t>
      </w:r>
    </w:p>
    <w:p>
      <w:pPr>
        <w:spacing w:before="0" w:after="60"/>
        <w:ind w:left="600"/>
      </w:pPr>
      <w:r>
        <w:rPr>
          <w:color w:val="0064B4"/>
          <w:sz w:val="15"/>
        </w:rPr>
        <w:t>Source : https://news.google.com/rss/articles/CBMimwFBVV95cUxPbEtjU0dBMWt3UGVKWTgtZ1V6dlN</w:t>
      </w:r>
    </w:p>
    <w:p>
      <w:pPr>
        <w:spacing w:before="40" w:after="40"/>
        <w:ind w:left="360"/>
      </w:pPr>
      <w:r>
        <w:rPr>
          <w:color w:val="646464"/>
          <w:sz w:val="17"/>
        </w:rPr>
        <w:t xml:space="preserve">[01/09/2026] 🟢  </w:t>
      </w:r>
      <w:r>
        <w:rPr>
          <w:b/>
          <w:color w:val="008000"/>
          <w:sz w:val="18"/>
        </w:rPr>
        <w:t>Commission de la CEDEAO: Axes majeurs de la gouvernance que compte imprimer Birame Diop à la Communauté d'ici 2030 - Afr</w:t>
      </w:r>
      <w:r>
        <w:rPr>
          <w:color w:val="787878"/>
          <w:sz w:val="15"/>
        </w:rPr>
        <w:t xml:space="preserve">  [économique]</w:t>
      </w:r>
      <w:r>
        <w:rPr>
          <w:color w:val="B47800"/>
          <w:sz w:val="16"/>
        </w:rPr>
        <w:t xml:space="preserve">  ★ 50/10</w:t>
      </w:r>
    </w:p>
    <w:p>
      <w:pPr>
        <w:spacing w:before="0" w:after="20"/>
        <w:ind w:left="600"/>
      </w:pPr>
      <w:r>
        <w:rPr>
          <w:color w:val="323232"/>
          <w:sz w:val="17"/>
        </w:rPr>
        <w:t xml:space="preserve">L'article présente les axes majeurs de la gouvernance que Birame Diop, nouveau président de la Commission de la CEDEAO, entend imprimer à la Communauté d'ici 2030. Il s'agit d'une vision stratégique pour renforcer l'intégration régionale et la stabilité économique en Afrique de l'Ouest. Les priorités incluent probablement la relance économique, la </w:t>
      </w:r>
    </w:p>
    <w:p>
      <w:pPr>
        <w:spacing w:before="0" w:after="40"/>
        <w:ind w:left="600"/>
      </w:pPr>
      <w:r>
        <w:rPr>
          <w:color w:val="00643C"/>
          <w:sz w:val="16"/>
        </w:rPr>
        <w:t>Points clés : Nouvelle gouvernance de la CEDEAO sous Birame Diop avec une vision à l'horizon 2030.  •  Axes majeurs visant à renforcer l'intégration économique et la stabilité régionale.</w:t>
      </w:r>
    </w:p>
    <w:p>
      <w:pPr>
        <w:spacing w:before="0" w:after="60"/>
        <w:ind w:left="600"/>
      </w:pPr>
      <w:r>
        <w:rPr>
          <w:color w:val="0064B4"/>
          <w:sz w:val="15"/>
        </w:rPr>
        <w:t>Source : https://news.google.com/rss/articles/CBMi0wFBVV95cUxPRUw0eklwVkdSNHQzS2JLdlJSVF9</w:t>
      </w:r>
    </w:p>
    <w:p>
      <w:pPr>
        <w:spacing w:before="120" w:after="40"/>
      </w:pPr>
      <w:r>
        <w:rPr>
          <w:b/>
          <w:color w:val="00467F"/>
          <w:sz w:val="20"/>
        </w:rPr>
        <w:t>🔑 matieres_premieres  (9 alerte(s))</w:t>
      </w:r>
    </w:p>
    <w:p>
      <w:pPr>
        <w:spacing w:before="40" w:after="40"/>
        <w:ind w:left="360"/>
      </w:pPr>
      <w:r>
        <w:rPr>
          <w:color w:val="646464"/>
          <w:sz w:val="17"/>
        </w:rPr>
        <w:t xml:space="preserve">[02/09/2026] 🔴  </w:t>
      </w:r>
      <w:r>
        <w:rPr>
          <w:b/>
          <w:color w:val="C00000"/>
          <w:sz w:val="18"/>
        </w:rPr>
        <w:t>Les prix du pétrole ont de nouveau fortement augmenté.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enregistré une nouvelle hausse significative sur les marchés internationaux, reflétant des tensions géopolitiques ou des déséquilibres entre l'offre et la demande. Cette augmentation pourrait avoir des répercussions sur les coûts de production et les prix à la consommation dans les économies importatrices. Pour la BRVM, cett</w:t>
      </w:r>
    </w:p>
    <w:p>
      <w:pPr>
        <w:spacing w:before="0" w:after="40"/>
        <w:ind w:left="600"/>
      </w:pPr>
      <w:r>
        <w:rPr>
          <w:color w:val="00643C"/>
          <w:sz w:val="16"/>
        </w:rPr>
        <w:t>Points clés : Hausse marquée des prix du pétrole sur les marchés internationaux.  •  Risque de pression inflationniste sur les économies importantes de pétrole.</w:t>
      </w:r>
    </w:p>
    <w:p>
      <w:pPr>
        <w:spacing w:before="0" w:after="60"/>
        <w:ind w:left="600"/>
      </w:pPr>
      <w:r>
        <w:rPr>
          <w:color w:val="0064B4"/>
          <w:sz w:val="15"/>
        </w:rPr>
        <w:t>Source : https://news.google.com/rss/articles/CBMiYEFVX3lxTE9uMzRPdTBMdFM4am9Cb1ZhdnBfYmo</w:t>
      </w:r>
    </w:p>
    <w:p>
      <w:pPr>
        <w:spacing w:before="40" w:after="40"/>
        <w:ind w:left="360"/>
      </w:pPr>
      <w:r>
        <w:rPr>
          <w:color w:val="646464"/>
          <w:sz w:val="17"/>
        </w:rPr>
        <w:t xml:space="preserve">[02/09/2026] 🟢  </w:t>
      </w:r>
      <w:r>
        <w:rPr>
          <w:b/>
          <w:color w:val="008000"/>
          <w:sz w:val="18"/>
        </w:rPr>
        <w:t>Les prix du pétrole augmentent, l'indice MXV approche les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sur les marchés internationaux, ce qui pourrait soutenir les économies exportatrices de la zone BRVM. Parallèlement, l'indice MXV (indice des matières premières au Vietnam) approche les 3 000 points, signalant une dynamique haussière des matières premières. Cette tendance pourrait influencer les cours des matières pre</w:t>
      </w:r>
    </w:p>
    <w:p>
      <w:pPr>
        <w:spacing w:before="0" w:after="40"/>
        <w:ind w:left="600"/>
      </w:pPr>
      <w:r>
        <w:rPr>
          <w:color w:val="00643C"/>
          <w:sz w:val="16"/>
        </w:rPr>
        <w:t>Points clés : Hausse des prix du pétrole sur les marchés internationaux.  •  L'indice MXV (matières premières) approche les 3 000 points.  •  Tendance haussière générale des matières premières.  •  Impact potentiel sur les secteurs exportateurs de la zone BRVM.</w:t>
      </w:r>
    </w:p>
    <w:p>
      <w:pPr>
        <w:spacing w:before="0" w:after="60"/>
        <w:ind w:left="600"/>
      </w:pPr>
      <w:r>
        <w:rPr>
          <w:color w:val="0064B4"/>
          <w:sz w:val="15"/>
        </w:rPr>
        <w:t>Source : https://news.google.com/rss/articles/CBMigAFBVV95cUxQX01NNjA0em1zaTJPVFVibUo2RFV</w:t>
      </w:r>
    </w:p>
    <w:p>
      <w:pPr>
        <w:spacing w:before="40" w:after="40"/>
        <w:ind w:left="360"/>
      </w:pPr>
      <w:r>
        <w:rPr>
          <w:color w:val="646464"/>
          <w:sz w:val="17"/>
        </w:rPr>
        <w:t xml:space="preserve">[02/09/2026] 🔴  </w:t>
      </w:r>
      <w:r>
        <w:rPr>
          <w:b/>
          <w:color w:val="C00000"/>
          <w:sz w:val="18"/>
        </w:rPr>
        <w:t>Cacao : ce que la baisse du prix implique pour les producteurs ivoiriens en 2026/2027 - AGENCE ECOFIN</w:t>
      </w:r>
      <w:r>
        <w:rPr>
          <w:color w:val="787878"/>
          <w:sz w:val="15"/>
        </w:rPr>
        <w:t xml:space="preserve">  [matieres_premieres]</w:t>
      </w:r>
      <w:r>
        <w:rPr>
          <w:color w:val="B47800"/>
          <w:sz w:val="16"/>
        </w:rPr>
        <w:t xml:space="preserve">  ★ 50/10</w:t>
      </w:r>
    </w:p>
    <w:p>
      <w:pPr>
        <w:spacing w:before="0" w:after="20"/>
        <w:ind w:left="600"/>
      </w:pPr>
      <w:r>
        <w:rPr>
          <w:color w:val="323232"/>
          <w:sz w:val="17"/>
        </w:rPr>
        <w:t>L'article d'Agence Ecofin analyse les conséquences de la baisse attendue des prix du cacao pour les producteurs ivoiriens lors de la campagne 2026/2027. Cette diminution, probablement due à une offre mondiale accrue ou à une demande affaiblie, réduira les revenus des planteurs et pourrait affecter l'économie ivoirienne, fortement dépendante de cett</w:t>
      </w:r>
    </w:p>
    <w:p>
      <w:pPr>
        <w:spacing w:before="0" w:after="40"/>
        <w:ind w:left="600"/>
      </w:pPr>
      <w:r>
        <w:rPr>
          <w:color w:val="00643C"/>
          <w:sz w:val="16"/>
        </w:rPr>
        <w:t>Points clés : Baisse des prix du cacao prévue pour 2026/2027, impactant directement les revenus des producteurs ivoiriens.  •  Risque de réduction des investissements dans les plantations et de détérioration des conditions de vie des agriculteurs.  •  Nécessité de politiques de stabilisation ou de diversification pour l'économie ivoirienne.</w:t>
      </w:r>
    </w:p>
    <w:p>
      <w:pPr>
        <w:spacing w:before="0" w:after="60"/>
        <w:ind w:left="600"/>
      </w:pPr>
      <w:r>
        <w:rPr>
          <w:color w:val="0064B4"/>
          <w:sz w:val="15"/>
        </w:rPr>
        <w:t>Source : https://news.google.com/rss/articles/CBMi1wFBVV95cUxQYzZCUkZWeG80SVhqaVoyYnNFczl</w:t>
      </w:r>
    </w:p>
    <w:p>
      <w:pPr>
        <w:spacing w:before="40" w:after="40"/>
        <w:ind w:left="360"/>
      </w:pPr>
      <w:r>
        <w:rPr>
          <w:color w:val="646464"/>
          <w:sz w:val="17"/>
        </w:rPr>
        <w:t xml:space="preserve">[02/09/2026] ⚪  </w:t>
      </w:r>
      <w:r>
        <w:rPr>
          <w:b/>
          <w:color w:val="505050"/>
          <w:sz w:val="18"/>
        </w:rPr>
        <w:t>Cacao : la Côte d’Ivoire maintient le prix aux producteurs à 1 200 francs CFA - Forbes Afrique</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Côte d'Ivoire, premier producteur mondial de cacao, a décidé de maintenir le prix d'achat aux producteurs à 1 200 francs CFA par kilogramme pour la campagne à venir. Cette décision vise à soutenir les revenus des planteurs tout en préservant la compétitivité du pays sur le marché international. Le prix reste inchangé malgré les fluctuations des </w:t>
      </w:r>
    </w:p>
    <w:p>
      <w:pPr>
        <w:spacing w:before="0" w:after="40"/>
        <w:ind w:left="600"/>
      </w:pPr>
      <w:r>
        <w:rPr>
          <w:color w:val="00643C"/>
          <w:sz w:val="16"/>
        </w:rPr>
        <w:t>Points clés : Maintien du prix du cacao à 1 200 FCFA/kg pour les producteurs ivoiriens.  •  Décision prise pour stabiliser les revenus des planteurs et la filière.  •  Impact potentiel sur les marges des exportateurs et les cours des matières premières.</w:t>
      </w:r>
    </w:p>
    <w:p>
      <w:pPr>
        <w:spacing w:before="0" w:after="60"/>
        <w:ind w:left="600"/>
      </w:pPr>
      <w:r>
        <w:rPr>
          <w:color w:val="0064B4"/>
          <w:sz w:val="15"/>
        </w:rPr>
        <w:t>Source : https://news.google.com/rss/articles/CBMiowFBVV95cUxNVUVPRDk1c0FJMC1IcXQ1Zkxxb1l</w:t>
      </w:r>
    </w:p>
    <w:p>
      <w:pPr>
        <w:spacing w:before="40" w:after="40"/>
        <w:ind w:left="360"/>
      </w:pPr>
      <w:r>
        <w:rPr>
          <w:color w:val="646464"/>
          <w:sz w:val="17"/>
        </w:rPr>
        <w:t xml:space="preserve">[01/09/2026] ⚪  </w:t>
      </w:r>
      <w:r>
        <w:rPr>
          <w:b/>
          <w:color w:val="505050"/>
          <w:sz w:val="18"/>
        </w:rPr>
        <w:t>Côte d’Ivoire : le prix bord champ du cacao fixé à 1 200 FCFA/kg face à la tempête des marchés - Financial Afrik</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 fixé le prix bord champ à 1 200 FCFA/kg pour la campagne à venir, malgré la volatilité des marchés internationaux. Cette décision vise à protéger les revenus des producteurs tout en maintenant la compétitivité du pays. Le prix est en hausse par rapport aux campagnes précédentes, reflétant les</w:t>
      </w:r>
    </w:p>
    <w:p>
      <w:pPr>
        <w:spacing w:before="0" w:after="40"/>
        <w:ind w:left="600"/>
      </w:pPr>
      <w:r>
        <w:rPr>
          <w:color w:val="00643C"/>
          <w:sz w:val="16"/>
        </w:rPr>
        <w:t>Points clés : Prix bord champ fixé à 1 200 FCFA/kg, en hausse par rapport aux années précédentes.  •  Décision prise dans un contexte de forte volatilité des cours mondiaux du cacao.  •  Objectif : stabiliser les revenus des producteurs et préserver la filière.  •  Impact potentiel sur les marges des exportateurs et les recettes d'exportation.</w:t>
      </w:r>
    </w:p>
    <w:p>
      <w:pPr>
        <w:spacing w:before="0" w:after="60"/>
        <w:ind w:left="600"/>
      </w:pPr>
      <w:r>
        <w:rPr>
          <w:color w:val="0064B4"/>
          <w:sz w:val="15"/>
        </w:rPr>
        <w:t>Source : https://news.google.com/rss/articles/CBMizwFBVV95cUxQbnJnclk4bXFuc1RQUnBfS1F1LXd</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2,220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2,450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9,600</w:t>
            </w:r>
          </w:p>
        </w:tc>
        <w:tc>
          <w:tcPr>
            <w:tcW w:type="dxa" w:w="1080"/>
            <w:shd w:fill="C6EFCE" w:val="clear"/>
          </w:tcPr>
          <w:p>
            <w:r>
              <w:rPr>
                <w:b/>
                <w:sz w:val="16"/>
              </w:rPr>
              <w:t>74/100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17,200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2,805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3,605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2,935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37,150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8,240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3,790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10,245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1,755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9,015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2,425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17,250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10,300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3,390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8,990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32,500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6,500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6,005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12,850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5,395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8,490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30,400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6,490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9,300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16,700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2,815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22,955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7,995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38,085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1,515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2,180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54,000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2,220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2,450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17,200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2,805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8,240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3,500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2,425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4,000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2,220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2,450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9,600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12,495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17,200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2,805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3,605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2,935</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2,220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2,450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9,600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12,495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17,200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2,805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3,605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2,935</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(82.1 &gt; 70) — risque de correction</w:t>
      </w:r>
    </w:p>
    <w:p>
      <w:pPr>
        <w:pStyle w:val="ListBullet"/>
        <w:spacing w:before="20"/>
        <w:ind w:left="400"/>
      </w:pPr>
      <w:r>
        <w:rPr>
          <w:sz w:val="18"/>
        </w:rPr>
        <w:t>⚠️ Cours à 0.0% du plus haut 100j (9,600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(78.9 &gt; 70) — risque de correction</w:t>
      </w:r>
    </w:p>
    <w:p>
      <w:pPr>
        <w:pStyle w:val="ListBullet"/>
        <w:spacing w:before="20"/>
        <w:ind w:left="400"/>
      </w:pPr>
      <w:r>
        <w:rPr>
          <w:sz w:val="18"/>
        </w:rPr>
        <w:t>⚠️ Cours à 0.0% du plus haut 100j (32,500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(85.5 &gt; 70) — risque de correction</w:t>
      </w:r>
    </w:p>
    <w:p>
      <w:pPr>
        <w:pStyle w:val="ListBullet"/>
        <w:spacing w:before="20"/>
        <w:ind w:left="400"/>
      </w:pPr>
      <w:r>
        <w:rPr>
          <w:sz w:val="18"/>
        </w:rPr>
        <w:t>⚠️ Cours à 1.4% du plus haut 100j (3,845 FCFA)</w:t>
      </w:r>
    </w:p>
    <w:p>
      <w:pPr>
        <w:spacing w:before="120"/>
      </w:pPr>
      <w:r>
        <w:rPr>
          <w:b/>
          <w:color w:val="0050A0"/>
          <w:sz w:val="20"/>
        </w:rPr>
        <w:t>BOAB — BANK OF AFRICA BENIN</w:t>
      </w:r>
    </w:p>
    <w:p>
      <w:pPr>
        <w:pStyle w:val="ListBullet"/>
        <w:spacing w:before="20"/>
        <w:ind w:left="400"/>
      </w:pPr>
      <w:r>
        <w:rPr>
          <w:sz w:val="18"/>
        </w:rPr>
        <w:t>🔴 RSI surachat (77.5 &gt; 70) — risque de correction</w:t>
      </w:r>
    </w:p>
    <w:p>
      <w:pPr>
        <w:pStyle w:val="ListBullet"/>
        <w:spacing w:before="20"/>
        <w:ind w:left="400"/>
      </w:pPr>
      <w:r>
        <w:rPr>
          <w:sz w:val="18"/>
        </w:rPr>
        <w:t>⚠️ Cours à 1.0% du plus haut 100j (10,350 FCFA)</w:t>
      </w:r>
    </w:p>
    <w:p>
      <w:pPr>
        <w:spacing w:before="120"/>
      </w:pPr>
      <w:r>
        <w:rPr>
          <w:b/>
          <w:color w:val="0050A0"/>
          <w:sz w:val="20"/>
        </w:rPr>
        <w:t>BOABF — BANK OF AFRICA BURKINA FASO</w:t>
      </w:r>
    </w:p>
    <w:p>
      <w:pPr>
        <w:pStyle w:val="ListBullet"/>
        <w:spacing w:before="20"/>
        <w:ind w:left="400"/>
      </w:pPr>
      <w:r>
        <w:rPr>
          <w:sz w:val="18"/>
        </w:rPr>
        <w:t>🔴 RSI surachat (86.5 &gt; 70) — risque de correction</w:t>
      </w:r>
    </w:p>
    <w:p>
      <w:pPr>
        <w:pStyle w:val="ListBullet"/>
        <w:spacing w:before="20"/>
        <w:ind w:left="400"/>
      </w:pPr>
      <w:r>
        <w:rPr>
          <w:sz w:val="18"/>
        </w:rPr>
        <w:t>⚠️ Cours à 1.1% du plus haut 100j (9,090 FCFA)</w:t>
      </w:r>
    </w:p>
    <w:p>
      <w:pPr>
        <w:spacing w:before="120"/>
      </w:pPr>
      <w:r>
        <w:rPr>
          <w:b/>
          <w:color w:val="0050A0"/>
          <w:sz w:val="20"/>
        </w:rPr>
        <w:t>BOAM — BANK OF AFRICA MALI</w:t>
      </w:r>
    </w:p>
    <w:p>
      <w:pPr>
        <w:pStyle w:val="ListBullet"/>
        <w:spacing w:before="20"/>
        <w:ind w:left="400"/>
      </w:pPr>
      <w:r>
        <w:rPr>
          <w:sz w:val="18"/>
        </w:rPr>
        <w:t>🔴 RSI surachat (72.4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(89.8 &gt; 70) — risque de correction</w:t>
      </w:r>
    </w:p>
    <w:p>
      <w:pPr>
        <w:pStyle w:val="ListBullet"/>
        <w:spacing w:before="20"/>
        <w:ind w:left="400"/>
      </w:pPr>
      <w:r>
        <w:rPr>
          <w:sz w:val="18"/>
        </w:rPr>
        <w:t>⚠️ Cours à 0.0% du plus haut 100j (3,000 FCFA)</w:t>
      </w:r>
    </w:p>
    <w:p>
      <w:pPr>
        <w:spacing w:before="120"/>
      </w:pPr>
      <w:r>
        <w:rPr>
          <w:b/>
          <w:color w:val="0050A0"/>
          <w:sz w:val="20"/>
        </w:rPr>
        <w:t>ORAC — ORAC - ORANGE COTE D'IVOIRE</w:t>
      </w:r>
    </w:p>
    <w:p>
      <w:pPr>
        <w:pStyle w:val="ListBullet"/>
        <w:spacing w:before="20"/>
        <w:ind w:left="400"/>
      </w:pPr>
      <w:r>
        <w:rPr>
          <w:sz w:val="18"/>
        </w:rPr>
        <w:t>🔴 RSI surachat (79.6 &gt; 70) — risque de correction</w:t>
      </w:r>
    </w:p>
    <w:p>
      <w:pPr>
        <w:pStyle w:val="ListBullet"/>
        <w:spacing w:before="20"/>
        <w:ind w:left="400"/>
      </w:pPr>
      <w:r>
        <w:rPr>
          <w:sz w:val="18"/>
        </w:rPr>
        <w:t>⚠️ Cours à 2.3% du plus haut 100j (21,500 FCFA)</w:t>
      </w:r>
    </w:p>
    <w:p>
      <w:pPr>
        <w:spacing w:before="120"/>
      </w:pPr>
      <w:r>
        <w:rPr>
          <w:b/>
          <w:color w:val="0050A0"/>
          <w:sz w:val="20"/>
        </w:rPr>
        <w:t>SDCC — SDCC - Société de Distribution d'Eau de Côte d'Ivoire</w:t>
      </w:r>
    </w:p>
    <w:p>
      <w:pPr>
        <w:pStyle w:val="ListBullet"/>
        <w:spacing w:before="20"/>
        <w:ind w:left="400"/>
      </w:pPr>
      <w:r>
        <w:rPr>
          <w:sz w:val="18"/>
        </w:rPr>
        <w:t>🔴 RSI surachat (79.0 &gt; 70) — risque de correction</w:t>
      </w:r>
    </w:p>
    <w:p>
      <w:pPr>
        <w:pStyle w:val="ListBullet"/>
        <w:spacing w:before="20"/>
        <w:ind w:left="400"/>
      </w:pPr>
      <w:r>
        <w:rPr>
          <w:sz w:val="18"/>
        </w:rPr>
        <w:t>⚠️ Cours à 1.2% du plus haut 100j (13,000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(73.4 &gt; 70) — risque de correction</w:t>
      </w:r>
    </w:p>
    <w:p>
      <w:pPr>
        <w:pStyle w:val="ListBullet"/>
        <w:spacing w:before="20"/>
        <w:ind w:left="400"/>
      </w:pPr>
      <w:r>
        <w:rPr>
          <w:sz w:val="18"/>
        </w:rPr>
        <w:t>⚠️ Cours à 2.7% du plus haut 100j (17,735 FCFA)</w:t>
      </w:r>
    </w:p>
    <w:p>
      <w:pPr>
        <w:spacing w:before="120"/>
      </w:pPr>
      <w:r>
        <w:rPr>
          <w:b/>
          <w:color w:val="0050A0"/>
          <w:sz w:val="20"/>
        </w:rPr>
        <w:t>SNTS — SNTS - SONATEL SN</w:t>
      </w:r>
    </w:p>
    <w:p>
      <w:pPr>
        <w:pStyle w:val="ListBullet"/>
        <w:spacing w:before="20"/>
        <w:ind w:left="400"/>
      </w:pPr>
      <w:r>
        <w:rPr>
          <w:sz w:val="18"/>
        </w:rPr>
        <w:t>🔴 RSI surachat (75.0 &gt; 70) — risque de correction</w:t>
      </w:r>
    </w:p>
    <w:p>
      <w:pPr>
        <w:pStyle w:val="ListBullet"/>
        <w:spacing w:before="20"/>
        <w:ind w:left="400"/>
      </w:pPr>
      <w:r>
        <w:rPr>
          <w:sz w:val="18"/>
        </w:rPr>
        <w:t>⚠️ Cours à 0.0% du plus haut 100j (37,150 FCFA)</w:t>
      </w:r>
    </w:p>
    <w:p>
      <w:pPr>
        <w:spacing w:before="120"/>
      </w:pPr>
      <w:r>
        <w:rPr>
          <w:b/>
          <w:color w:val="0050A0"/>
          <w:sz w:val="20"/>
        </w:rPr>
        <w:t>SOGC — SOGC - Société des caoutchoucs de Grand-Béréby</w:t>
      </w:r>
    </w:p>
    <w:p>
      <w:pPr>
        <w:pStyle w:val="ListBullet"/>
        <w:spacing w:before="20"/>
        <w:ind w:left="400"/>
      </w:pPr>
      <w:r>
        <w:rPr>
          <w:sz w:val="18"/>
        </w:rPr>
        <w:t>⚠️ Cours à 1.3% du plus haut 100j (8,600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(77.9 &gt; 70) — risque de correction</w:t>
      </w:r>
    </w:p>
    <w:p>
      <w:pPr>
        <w:pStyle w:val="ListBullet"/>
        <w:spacing w:before="20"/>
        <w:ind w:left="400"/>
      </w:pPr>
      <w:r>
        <w:rPr>
          <w:sz w:val="18"/>
        </w:rPr>
        <w:t>⚠️ Cours à 0.0% du plus haut 100j (10,300 FCFA)</w:t>
      </w:r>
    </w:p>
    <w:p>
      <w:pPr>
        <w:spacing w:before="120"/>
      </w:pPr>
      <w:r>
        <w:rPr>
          <w:b/>
          <w:color w:val="0050A0"/>
          <w:sz w:val="20"/>
        </w:rPr>
        <w:t>UNXC — UNXC - UNIWAX COTE D'IVOIRE</w:t>
      </w:r>
    </w:p>
    <w:p>
      <w:pPr>
        <w:pStyle w:val="ListBullet"/>
        <w:spacing w:before="20"/>
        <w:ind w:left="400"/>
      </w:pPr>
      <w:r>
        <w:rPr>
          <w:sz w:val="18"/>
        </w:rPr>
        <w:t>🔴 RSI surachat (84.8 &gt; 70) — risque de correction</w:t>
      </w:r>
    </w:p>
    <w:p>
      <w:pPr>
        <w:pStyle w:val="ListBullet"/>
        <w:spacing w:before="20"/>
        <w:ind w:left="400"/>
      </w:pPr>
      <w:r>
        <w:rPr>
          <w:sz w:val="18"/>
        </w:rPr>
        <w:t>⚠️ Cours à 1.8% du plus haut 100j (2,495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0.0% du plus haut 100j (30,400 FCFA)</w:t>
      </w:r>
    </w:p>
    <w:p>
      <w:pPr>
        <w:spacing w:before="120"/>
      </w:pPr>
      <w:r>
        <w:rPr>
          <w:b/>
          <w:color w:val="0050A0"/>
          <w:sz w:val="20"/>
        </w:rPr>
        <w:t>BOAS — BANK OF AFRICA SENEGAL</w:t>
      </w:r>
    </w:p>
    <w:p>
      <w:pPr>
        <w:pStyle w:val="ListBullet"/>
        <w:spacing w:before="20"/>
        <w:ind w:left="400"/>
      </w:pPr>
      <w:r>
        <w:rPr>
          <w:sz w:val="18"/>
        </w:rPr>
        <w:t>🔴 RSI surachat (75.7 &gt; 70) — risque de correction</w:t>
      </w:r>
    </w:p>
    <w:p>
      <w:pPr>
        <w:spacing w:before="120"/>
      </w:pPr>
      <w:r>
        <w:rPr>
          <w:b/>
          <w:color w:val="0050A0"/>
          <w:sz w:val="20"/>
        </w:rPr>
        <w:t>CIEC — CIEC - Compagnie Ivoirienne d'Electricité</w:t>
      </w:r>
    </w:p>
    <w:p>
      <w:pPr>
        <w:pStyle w:val="ListBullet"/>
        <w:spacing w:before="20"/>
        <w:ind w:left="400"/>
      </w:pPr>
      <w:r>
        <w:rPr>
          <w:sz w:val="18"/>
        </w:rPr>
        <w:t>🔴 RSI surachat (70.1 &gt; 70) — risque de correction</w:t>
      </w:r>
    </w:p>
    <w:p>
      <w:pPr>
        <w:spacing w:before="120"/>
      </w:pPr>
      <w:r>
        <w:rPr>
          <w:b/>
          <w:color w:val="0050A0"/>
          <w:sz w:val="20"/>
        </w:rPr>
        <w:t>ECOC — ECOC - ECOBANK COTE D'IVOIRE</w:t>
      </w:r>
    </w:p>
    <w:p>
      <w:pPr>
        <w:pStyle w:val="ListBullet"/>
        <w:spacing w:before="20"/>
        <w:ind w:left="400"/>
      </w:pPr>
      <w:r>
        <w:rPr>
          <w:sz w:val="18"/>
        </w:rPr>
        <w:t>⚠️ Cours à 0.4% du plus haut 100j (17,270 FCFA)</w:t>
      </w:r>
    </w:p>
    <w:p>
      <w:pPr>
        <w:spacing w:before="120"/>
      </w:pPr>
      <w:r>
        <w:rPr>
          <w:b/>
          <w:color w:val="0050A0"/>
          <w:sz w:val="20"/>
        </w:rPr>
        <w:t>FTSC — FTSC - FILTISAC COTE D'IVOIRE</w:t>
      </w:r>
    </w:p>
    <w:p>
      <w:pPr>
        <w:pStyle w:val="ListBullet"/>
        <w:spacing w:before="20"/>
        <w:ind w:left="400"/>
      </w:pPr>
      <w:r>
        <w:rPr>
          <w:sz w:val="18"/>
        </w:rPr>
        <w:t>🟠 Divergence tech(VENTE) / fond(NEUTRE) — recommandation ajustée à CONSERVER ⚠️</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surachat (73.4 &gt; 70) — risque de correction</w:t>
      </w:r>
    </w:p>
    <w:p>
      <w:pPr>
        <w:spacing w:before="120"/>
      </w:pPr>
      <w:r>
        <w:rPr>
          <w:b/>
          <w:color w:val="0050A0"/>
          <w:sz w:val="20"/>
        </w:rPr>
        <w:t>SDSC — SDSC - AFRICA GLOBAL LOGISTICS CI</w:t>
      </w:r>
    </w:p>
    <w:p>
      <w:pPr>
        <w:pStyle w:val="ListBullet"/>
        <w:spacing w:before="20"/>
        <w:ind w:left="400"/>
      </w:pPr>
      <w:r>
        <w:rPr>
          <w:sz w:val="18"/>
        </w:rPr>
        <w:t>⚠️ Cours à 0.0% du plus haut 100j (2,935 FCFA)</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(70.1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21.1/100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SDCC</w:t>
            </w:r>
          </w:p>
        </w:tc>
        <w:tc>
          <w:tcPr>
            <w:tcW w:type="dxa" w:w="2268"/>
            <w:shd w:fill="FFFFFF" w:val="clear"/>
          </w:tcPr>
          <w:p>
            <w:r>
              <w:rPr>
                <w:sz w:val="16"/>
              </w:rPr>
              <w:t>SDCC - Société de Distributi…</w:t>
            </w:r>
          </w:p>
        </w:tc>
        <w:tc>
          <w:tcPr>
            <w:tcW w:type="dxa" w:w="1701"/>
            <w:shd w:fill="FFFFFF" w:val="clear"/>
          </w:tcPr>
          <w:p>
            <w:r>
              <w:rPr>
                <w:sz w:val="16"/>
              </w:rPr>
              <w:t>SERVICES PUBLICS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SDCC (31.1/100 — Moyen) : </w:t>
      </w:r>
      <w:r>
        <w:rPr>
          <w:sz w:val="17"/>
        </w:rPr>
        <w:t>Volatilité=Élevée | Bêta=Contre-cyclique | Liquidité=Bonne | Divergence signaux=taux divergence=40% (Très divergent ❌) | Stabilité=Stable</w:t>
      </w:r>
    </w:p>
    <w:p>
      <w:pPr>
        <w:pStyle w:val="ListBullet"/>
      </w:pPr>
      <w:r>
        <w:rPr>
          <w:b/>
          <w:color w:val="B40000"/>
          <w:sz w:val="18"/>
        </w:rPr>
        <w:t xml:space="preserve">#5 CBIBF (30.1/100 — Moyen) : </w:t>
      </w:r>
      <w:r>
        <w:rPr>
          <w:sz w:val="17"/>
        </w:rPr>
        <w:t>Volatilité=Élevée | Bêta=Neutre  | Liquidité=Bonne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24.0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-12.84%  |  Médiane : -9.94%</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37 sociétés sur 47 sont orientées à la baisse avec une variation moyenne de -12.84%.</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6,174 FCFA</w:t>
            </w:r>
          </w:p>
        </w:tc>
        <w:tc>
          <w:tcPr>
            <w:tcW w:type="dxa" w:w="1134"/>
            <w:shd w:fill="C6EFCE" w:val="clear"/>
          </w:tcPr>
          <w:p>
            <w:r>
              <w:rPr>
                <w:b/>
                <w:color w:val="007800"/>
                <w:sz w:val="16"/>
              </w:rPr>
              <w:t>+76.41%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22,955 FCFA</w:t>
            </w:r>
          </w:p>
        </w:tc>
        <w:tc>
          <w:tcPr>
            <w:tcW w:type="dxa" w:w="1417"/>
            <w:shd w:fill="FFFFFF" w:val="clear"/>
          </w:tcPr>
          <w:p>
            <w:r>
              <w:rPr>
                <w:sz w:val="16"/>
              </w:rPr>
              <w:t>26,986 FCFA</w:t>
            </w:r>
          </w:p>
        </w:tc>
        <w:tc>
          <w:tcPr>
            <w:tcW w:type="dxa" w:w="1134"/>
            <w:shd w:fill="C6EFCE" w:val="clear"/>
          </w:tcPr>
          <w:p>
            <w:r>
              <w:rPr>
                <w:b/>
                <w:color w:val="007800"/>
                <w:sz w:val="16"/>
              </w:rPr>
              <w:t>+17.56%</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54,000 FCFA</w:t>
            </w:r>
          </w:p>
        </w:tc>
        <w:tc>
          <w:tcPr>
            <w:tcW w:type="dxa" w:w="1417"/>
            <w:shd w:fill="FFFFFF" w:val="clear"/>
          </w:tcPr>
          <w:p>
            <w:r>
              <w:rPr>
                <w:sz w:val="16"/>
              </w:rPr>
              <w:t>60,986 FCFA</w:t>
            </w:r>
          </w:p>
        </w:tc>
        <w:tc>
          <w:tcPr>
            <w:tcW w:type="dxa" w:w="1134"/>
            <w:shd w:fill="C6EFCE" w:val="clear"/>
          </w:tcPr>
          <w:p>
            <w:r>
              <w:rPr>
                <w:b/>
                <w:color w:val="007800"/>
                <w:sz w:val="16"/>
              </w:rPr>
              <w:t>+12.94%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22,000 FCFA</w:t>
            </w:r>
          </w:p>
        </w:tc>
        <w:tc>
          <w:tcPr>
            <w:tcW w:type="dxa" w:w="1417"/>
            <w:shd w:fill="FFFFFF" w:val="clear"/>
          </w:tcPr>
          <w:p>
            <w:r>
              <w:rPr>
                <w:sz w:val="16"/>
              </w:rPr>
              <w:t>24,549 FCFA</w:t>
            </w:r>
          </w:p>
        </w:tc>
        <w:tc>
          <w:tcPr>
            <w:tcW w:type="dxa" w:w="1134"/>
            <w:shd w:fill="C6EFCE" w:val="clear"/>
          </w:tcPr>
          <w:p>
            <w:r>
              <w:rPr>
                <w:b/>
                <w:color w:val="007800"/>
                <w:sz w:val="16"/>
              </w:rPr>
              <w:t>+11.59%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PALC — PALC - PALM COTE D'IVOIRE</w:t>
            </w:r>
          </w:p>
        </w:tc>
        <w:tc>
          <w:tcPr>
            <w:tcW w:type="dxa" w:w="1701"/>
            <w:shd w:fill="FFFFFF" w:val="clear"/>
          </w:tcPr>
          <w:p>
            <w:r>
              <w:rPr>
                <w:sz w:val="16"/>
              </w:rPr>
              <w:t>CONSOMMATION DE BASE</w:t>
            </w:r>
          </w:p>
        </w:tc>
        <w:tc>
          <w:tcPr>
            <w:tcW w:type="dxa" w:w="1417"/>
            <w:shd w:fill="FFFFFF" w:val="clear"/>
          </w:tcPr>
          <w:p>
            <w:r>
              <w:rPr>
                <w:sz w:val="16"/>
              </w:rPr>
              <w:t>9,015 FCFA</w:t>
            </w:r>
          </w:p>
        </w:tc>
        <w:tc>
          <w:tcPr>
            <w:tcW w:type="dxa" w:w="1417"/>
            <w:shd w:fill="FFFFFF" w:val="clear"/>
          </w:tcPr>
          <w:p>
            <w:r>
              <w:rPr>
                <w:sz w:val="16"/>
              </w:rPr>
              <w:t>9,415 FCFA</w:t>
            </w:r>
          </w:p>
        </w:tc>
        <w:tc>
          <w:tcPr>
            <w:tcW w:type="dxa" w:w="1134"/>
            <w:shd w:fill="C6EFCE" w:val="clear"/>
          </w:tcPr>
          <w:p>
            <w:r>
              <w:rPr>
                <w:b/>
                <w:color w:val="007800"/>
                <w:sz w:val="16"/>
              </w:rPr>
              <w:t>+4.44%</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(+76.4%) — signal potentiellement excessif, à croiser avec l'analyse technique. Trajectoire : 📈 Hausse continue. Cours actuel : 3,500 FCFA → prédit J+10 : 6,174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(+17.6%) — potentiel de revalorisation notable. Trajectoire : 📈 Hausse continue. Cours actuel : 22,955 FCFA → prédit J+10 : 26,986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(+12.9%) — potentiel de revalorisation notable. Trajectoire : 📈 Hausse continue. Cours actuel : 54,000 FCFA → prédit J+10 : 60,986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(+11.6%) — potentiel de revalorisation notable. Trajectoire : 📈 Hausse continue. Cours actuel : 22,000 FCFA → prédit J+10 : 24,549 FCFA. ⚠️ Confiance limitée — volatilité élevée ou données insuffisantes. Résultat indicatif uniquement.</w:t>
      </w:r>
    </w:p>
    <w:p>
      <w:pPr>
        <w:pStyle w:val="ListBullet"/>
      </w:pPr>
      <w:r>
        <w:rPr>
          <w:b/>
          <w:color w:val="006400"/>
          <w:sz w:val="18"/>
        </w:rPr>
        <w:t xml:space="preserve">#5 PALC </w:t>
      </w:r>
      <w:r>
        <w:rPr>
          <w:sz w:val="17"/>
        </w:rPr>
        <w:t>(PALC - PALM COTE D'IVOIRE) — légère hausse (+4.4%) — progression graduelle attendue. Trajectoire : 📈 Hausse continue. Cours actuel : 9,015 FCFA → prédit J+10 : 9,415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3,605 FCFA</w:t>
            </w:r>
          </w:p>
        </w:tc>
        <w:tc>
          <w:tcPr>
            <w:tcW w:type="dxa" w:w="1417"/>
            <w:shd w:fill="FFFFFF" w:val="clear"/>
          </w:tcPr>
          <w:p>
            <w:r>
              <w:rPr>
                <w:sz w:val="16"/>
              </w:rPr>
              <w:t>1,653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6,005 FCFA</w:t>
            </w:r>
          </w:p>
        </w:tc>
        <w:tc>
          <w:tcPr>
            <w:tcW w:type="dxa" w:w="1417"/>
            <w:shd w:fill="FFFFFF" w:val="clear"/>
          </w:tcPr>
          <w:p>
            <w:r>
              <w:rPr>
                <w:sz w:val="16"/>
              </w:rPr>
              <w:t>2,754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66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6,500 FCFA</w:t>
            </w:r>
          </w:p>
        </w:tc>
        <w:tc>
          <w:tcPr>
            <w:tcW w:type="dxa" w:w="1417"/>
            <w:shd w:fill="FFFFFF" w:val="clear"/>
          </w:tcPr>
          <w:p>
            <w:r>
              <w:rPr>
                <w:sz w:val="16"/>
              </w:rPr>
              <w:t>3,238 FCFA</w:t>
            </w:r>
          </w:p>
        </w:tc>
        <w:tc>
          <w:tcPr>
            <w:tcW w:type="dxa" w:w="1134"/>
            <w:shd w:fill="FFC7CE" w:val="clear"/>
          </w:tcPr>
          <w:p>
            <w:r>
              <w:rPr>
                <w:b/>
                <w:color w:val="B40000"/>
                <w:sz w:val="16"/>
              </w:rPr>
              <w:t>-50.18%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1,512 FCFA</w:t>
            </w:r>
          </w:p>
        </w:tc>
        <w:tc>
          <w:tcPr>
            <w:tcW w:type="dxa" w:w="1134"/>
            <w:shd w:fill="FFC7CE" w:val="clear"/>
          </w:tcPr>
          <w:p>
            <w:r>
              <w:rPr>
                <w:b/>
                <w:color w:val="B40000"/>
                <w:sz w:val="16"/>
              </w:rPr>
              <w:t>-49.62%</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3,605 FCFA → prédit J+10 : 1,653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6,005 FCFA → prédit J+10 : 2,754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66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(-50.2%) — amplitude potentiellement surestimée par le modèle. Trajectoire : 📉 Baisse continue. Cours actuel : 6,500 FCFA → prédit J+10 : 3,238 FCFA. ⚠️ Confiance limitée — volatilité élevée. Ne pas agir sur ce seul signal.</w:t>
      </w:r>
    </w:p>
    <w:p>
      <w:pPr>
        <w:pStyle w:val="ListBullet"/>
      </w:pPr>
      <w:r>
        <w:rPr>
          <w:b/>
          <w:color w:val="B40000"/>
          <w:sz w:val="18"/>
        </w:rPr>
        <w:t xml:space="preserve">#5 NEIC </w:t>
      </w:r>
      <w:r>
        <w:rPr>
          <w:sz w:val="17"/>
        </w:rPr>
        <w:t>(NEIC - NEI-CEDA CI) — baisse très forte (-49.6%) — amplitude potentiellement surestimée par le modèle. Trajectoire : 📉 Baisse continue. Cours actuel : 3,000 FCFA → prédit J+10 : 1,512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6,174</w:t>
            </w:r>
          </w:p>
        </w:tc>
        <w:tc>
          <w:tcPr>
            <w:tcW w:type="dxa" w:w="1134"/>
            <w:shd w:fill="C6EFCE" w:val="clear"/>
          </w:tcPr>
          <w:p>
            <w:r>
              <w:rPr>
                <w:b/>
                <w:color w:val="007800"/>
                <w:sz w:val="16"/>
              </w:rPr>
              <w:t>+76.41%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22,955</w:t>
            </w:r>
          </w:p>
        </w:tc>
        <w:tc>
          <w:tcPr>
            <w:tcW w:type="dxa" w:w="1417"/>
            <w:shd w:fill="FFFFFF" w:val="clear"/>
          </w:tcPr>
          <w:p>
            <w:r>
              <w:rPr>
                <w:sz w:val="16"/>
              </w:rPr>
              <w:t>26,986</w:t>
            </w:r>
          </w:p>
        </w:tc>
        <w:tc>
          <w:tcPr>
            <w:tcW w:type="dxa" w:w="1134"/>
            <w:shd w:fill="C6EFCE" w:val="clear"/>
          </w:tcPr>
          <w:p>
            <w:r>
              <w:rPr>
                <w:b/>
                <w:color w:val="007800"/>
                <w:sz w:val="16"/>
              </w:rPr>
              <w:t>+17.56%</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60,986</w:t>
            </w:r>
          </w:p>
        </w:tc>
        <w:tc>
          <w:tcPr>
            <w:tcW w:type="dxa" w:w="1134"/>
            <w:shd w:fill="C6EFCE" w:val="clear"/>
          </w:tcPr>
          <w:p>
            <w:r>
              <w:rPr>
                <w:b/>
                <w:color w:val="007800"/>
                <w:sz w:val="16"/>
              </w:rPr>
              <w:t>+12.94%</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22,000</w:t>
            </w:r>
          </w:p>
        </w:tc>
        <w:tc>
          <w:tcPr>
            <w:tcW w:type="dxa" w:w="1417"/>
            <w:shd w:fill="FFFFFF" w:val="clear"/>
          </w:tcPr>
          <w:p>
            <w:r>
              <w:rPr>
                <w:sz w:val="16"/>
              </w:rPr>
              <w:t>24,549</w:t>
            </w:r>
          </w:p>
        </w:tc>
        <w:tc>
          <w:tcPr>
            <w:tcW w:type="dxa" w:w="1134"/>
            <w:shd w:fill="C6EFCE" w:val="clear"/>
          </w:tcPr>
          <w:p>
            <w:r>
              <w:rPr>
                <w:b/>
                <w:color w:val="007800"/>
                <w:sz w:val="16"/>
              </w:rPr>
              <w:t>+11.59%</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9,015</w:t>
            </w:r>
          </w:p>
        </w:tc>
        <w:tc>
          <w:tcPr>
            <w:tcW w:type="dxa" w:w="1417"/>
            <w:shd w:fill="FFFFFF" w:val="clear"/>
          </w:tcPr>
          <w:p>
            <w:r>
              <w:rPr>
                <w:sz w:val="16"/>
              </w:rPr>
              <w:t>9,415</w:t>
            </w:r>
          </w:p>
        </w:tc>
        <w:tc>
          <w:tcPr>
            <w:tcW w:type="dxa" w:w="1134"/>
            <w:shd w:fill="C6EFCE" w:val="clear"/>
          </w:tcPr>
          <w:p>
            <w:r>
              <w:rPr>
                <w:b/>
                <w:color w:val="007800"/>
                <w:sz w:val="16"/>
              </w:rPr>
              <w:t>+4.44%</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2,180</w:t>
            </w:r>
          </w:p>
        </w:tc>
        <w:tc>
          <w:tcPr>
            <w:tcW w:type="dxa" w:w="1417"/>
            <w:shd w:fill="FFFFFF" w:val="clear"/>
          </w:tcPr>
          <w:p>
            <w:r>
              <w:rPr>
                <w:sz w:val="16"/>
              </w:rPr>
              <w:t>2,270</w:t>
            </w:r>
          </w:p>
        </w:tc>
        <w:tc>
          <w:tcPr>
            <w:tcW w:type="dxa" w:w="1134"/>
            <w:shd w:fill="C6EFCE" w:val="clear"/>
          </w:tcPr>
          <w:p>
            <w:r>
              <w:rPr>
                <w:b/>
                <w:color w:val="007800"/>
                <w:sz w:val="16"/>
              </w:rPr>
              <w:t>+4.12%</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4,024</w:t>
            </w:r>
          </w:p>
        </w:tc>
        <w:tc>
          <w:tcPr>
            <w:tcW w:type="dxa" w:w="1134"/>
            <w:shd w:fill="FFEB9C" w:val="clear"/>
          </w:tcPr>
          <w:p>
            <w:r>
              <w:rPr>
                <w:b/>
                <w:color w:val="646400"/>
                <w:sz w:val="16"/>
              </w:rPr>
              <w:t>+0.60%</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8,490</w:t>
            </w:r>
          </w:p>
        </w:tc>
        <w:tc>
          <w:tcPr>
            <w:tcW w:type="dxa" w:w="1417"/>
            <w:shd w:fill="FFFFFF" w:val="clear"/>
          </w:tcPr>
          <w:p>
            <w:r>
              <w:rPr>
                <w:sz w:val="16"/>
              </w:rPr>
              <w:t>8,496</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2,805</w:t>
            </w:r>
          </w:p>
        </w:tc>
        <w:tc>
          <w:tcPr>
            <w:tcW w:type="dxa" w:w="1417"/>
            <w:shd w:fill="FFFFFF" w:val="clear"/>
          </w:tcPr>
          <w:p>
            <w:r>
              <w:rPr>
                <w:sz w:val="16"/>
              </w:rPr>
              <w:t>2,786</w:t>
            </w:r>
          </w:p>
        </w:tc>
        <w:tc>
          <w:tcPr>
            <w:tcW w:type="dxa" w:w="1134"/>
            <w:shd w:fill="FFEB9C" w:val="clear"/>
          </w:tcPr>
          <w:p>
            <w:r>
              <w:rPr>
                <w:b/>
                <w:color w:val="646400"/>
                <w:sz w:val="16"/>
              </w:rPr>
              <w:t>-0.68%</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37,990</w:t>
            </w:r>
          </w:p>
        </w:tc>
        <w:tc>
          <w:tcPr>
            <w:tcW w:type="dxa" w:w="1417"/>
            <w:shd w:fill="FFFFFF" w:val="clear"/>
          </w:tcPr>
          <w:p>
            <w:r>
              <w:rPr>
                <w:sz w:val="16"/>
              </w:rPr>
              <w:t>37,611</w:t>
            </w:r>
          </w:p>
        </w:tc>
        <w:tc>
          <w:tcPr>
            <w:tcW w:type="dxa" w:w="1134"/>
            <w:shd w:fill="FFEB9C" w:val="clear"/>
          </w:tcPr>
          <w:p>
            <w:r>
              <w:rPr>
                <w:b/>
                <w:color w:val="646400"/>
                <w:sz w:val="16"/>
              </w:rPr>
              <w:t>-1.00%</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3,185</w:t>
            </w:r>
          </w:p>
        </w:tc>
        <w:tc>
          <w:tcPr>
            <w:tcW w:type="dxa" w:w="1417"/>
            <w:shd w:fill="FFFFFF" w:val="clear"/>
          </w:tcPr>
          <w:p>
            <w:r>
              <w:rPr>
                <w:sz w:val="16"/>
              </w:rPr>
              <w:t>3,144</w:t>
            </w:r>
          </w:p>
        </w:tc>
        <w:tc>
          <w:tcPr>
            <w:tcW w:type="dxa" w:w="1134"/>
            <w:shd w:fill="FFC7CE" w:val="clear"/>
          </w:tcPr>
          <w:p>
            <w:r>
              <w:rPr>
                <w:b/>
                <w:color w:val="B40000"/>
                <w:sz w:val="16"/>
              </w:rPr>
              <w:t>-1.28%</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5,395</w:t>
            </w:r>
          </w:p>
        </w:tc>
        <w:tc>
          <w:tcPr>
            <w:tcW w:type="dxa" w:w="1417"/>
            <w:shd w:fill="FFFFFF" w:val="clear"/>
          </w:tcPr>
          <w:p>
            <w:r>
              <w:rPr>
                <w:sz w:val="16"/>
              </w:rPr>
              <w:t>5,283</w:t>
            </w:r>
          </w:p>
        </w:tc>
        <w:tc>
          <w:tcPr>
            <w:tcW w:type="dxa" w:w="1134"/>
            <w:shd w:fill="FFC7CE" w:val="clear"/>
          </w:tcPr>
          <w:p>
            <w:r>
              <w:rPr>
                <w:b/>
                <w:color w:val="B40000"/>
                <w:sz w:val="16"/>
              </w:rPr>
              <w:t>-2.07%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2,220</w:t>
            </w:r>
          </w:p>
        </w:tc>
        <w:tc>
          <w:tcPr>
            <w:tcW w:type="dxa" w:w="1417"/>
            <w:shd w:fill="FFFFFF" w:val="clear"/>
          </w:tcPr>
          <w:p>
            <w:r>
              <w:rPr>
                <w:sz w:val="16"/>
              </w:rPr>
              <w:t>2,170</w:t>
            </w:r>
          </w:p>
        </w:tc>
        <w:tc>
          <w:tcPr>
            <w:tcW w:type="dxa" w:w="1134"/>
            <w:shd w:fill="FFC7CE" w:val="clear"/>
          </w:tcPr>
          <w:p>
            <w:r>
              <w:rPr>
                <w:b/>
                <w:color w:val="B40000"/>
                <w:sz w:val="16"/>
              </w:rPr>
              <w:t>-2.23%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38,085</w:t>
            </w:r>
          </w:p>
        </w:tc>
        <w:tc>
          <w:tcPr>
            <w:tcW w:type="dxa" w:w="1417"/>
            <w:shd w:fill="FFFFFF" w:val="clear"/>
          </w:tcPr>
          <w:p>
            <w:r>
              <w:rPr>
                <w:sz w:val="16"/>
              </w:rPr>
              <w:t>37,210</w:t>
            </w:r>
          </w:p>
        </w:tc>
        <w:tc>
          <w:tcPr>
            <w:tcW w:type="dxa" w:w="1134"/>
            <w:shd w:fill="FFC7CE" w:val="clear"/>
          </w:tcPr>
          <w:p>
            <w:r>
              <w:rPr>
                <w:b/>
                <w:color w:val="B40000"/>
                <w:sz w:val="16"/>
              </w:rPr>
              <w:t>-2.30%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17,200</w:t>
            </w:r>
          </w:p>
        </w:tc>
        <w:tc>
          <w:tcPr>
            <w:tcW w:type="dxa" w:w="1417"/>
            <w:shd w:fill="FFFFFF" w:val="clear"/>
          </w:tcPr>
          <w:p>
            <w:r>
              <w:rPr>
                <w:sz w:val="16"/>
              </w:rPr>
              <w:t>16,721</w:t>
            </w:r>
          </w:p>
        </w:tc>
        <w:tc>
          <w:tcPr>
            <w:tcW w:type="dxa" w:w="1134"/>
            <w:shd w:fill="FFC7CE" w:val="clear"/>
          </w:tcPr>
          <w:p>
            <w:r>
              <w:rPr>
                <w:b/>
                <w:color w:val="B40000"/>
                <w:sz w:val="16"/>
              </w:rPr>
              <w:t>-2.78%</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3,390</w:t>
            </w:r>
          </w:p>
        </w:tc>
        <w:tc>
          <w:tcPr>
            <w:tcW w:type="dxa" w:w="1417"/>
            <w:shd w:fill="FFFFFF" w:val="clear"/>
          </w:tcPr>
          <w:p>
            <w:r>
              <w:rPr>
                <w:sz w:val="16"/>
              </w:rPr>
              <w:t>3,258</w:t>
            </w:r>
          </w:p>
        </w:tc>
        <w:tc>
          <w:tcPr>
            <w:tcW w:type="dxa" w:w="1134"/>
            <w:shd w:fill="FFC7CE" w:val="clear"/>
          </w:tcPr>
          <w:p>
            <w:r>
              <w:rPr>
                <w:b/>
                <w:color w:val="B40000"/>
                <w:sz w:val="16"/>
              </w:rPr>
              <w:t>-3.90%</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4,219</w:t>
            </w:r>
          </w:p>
        </w:tc>
        <w:tc>
          <w:tcPr>
            <w:tcW w:type="dxa" w:w="1134"/>
            <w:shd w:fill="FFC7CE" w:val="clear"/>
          </w:tcPr>
          <w:p>
            <w:r>
              <w:rPr>
                <w:b/>
                <w:color w:val="B40000"/>
                <w:sz w:val="16"/>
              </w:rPr>
              <w:t>-4.12%</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16,700</w:t>
            </w:r>
          </w:p>
        </w:tc>
        <w:tc>
          <w:tcPr>
            <w:tcW w:type="dxa" w:w="1417"/>
            <w:shd w:fill="FFFFFF" w:val="clear"/>
          </w:tcPr>
          <w:p>
            <w:r>
              <w:rPr>
                <w:sz w:val="16"/>
              </w:rPr>
              <w:t>16,007</w:t>
            </w:r>
          </w:p>
        </w:tc>
        <w:tc>
          <w:tcPr>
            <w:tcW w:type="dxa" w:w="1134"/>
            <w:shd w:fill="FFC7CE" w:val="clear"/>
          </w:tcPr>
          <w:p>
            <w:r>
              <w:rPr>
                <w:b/>
                <w:color w:val="B40000"/>
                <w:sz w:val="16"/>
              </w:rPr>
              <w:t>-4.15%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17,250</w:t>
            </w:r>
          </w:p>
        </w:tc>
        <w:tc>
          <w:tcPr>
            <w:tcW w:type="dxa" w:w="1417"/>
            <w:shd w:fill="FFFFFF" w:val="clear"/>
          </w:tcPr>
          <w:p>
            <w:r>
              <w:rPr>
                <w:sz w:val="16"/>
              </w:rPr>
              <w:t>16,488</w:t>
            </w:r>
          </w:p>
        </w:tc>
        <w:tc>
          <w:tcPr>
            <w:tcW w:type="dxa" w:w="1134"/>
            <w:shd w:fill="FFC7CE" w:val="clear"/>
          </w:tcPr>
          <w:p>
            <w:r>
              <w:rPr>
                <w:b/>
                <w:color w:val="B40000"/>
                <w:sz w:val="16"/>
              </w:rPr>
              <w:t>-4.42%</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37,150</w:t>
            </w:r>
          </w:p>
        </w:tc>
        <w:tc>
          <w:tcPr>
            <w:tcW w:type="dxa" w:w="1417"/>
            <w:shd w:fill="FFFFFF" w:val="clear"/>
          </w:tcPr>
          <w:p>
            <w:r>
              <w:rPr>
                <w:sz w:val="16"/>
              </w:rPr>
              <w:t>35,411</w:t>
            </w:r>
          </w:p>
        </w:tc>
        <w:tc>
          <w:tcPr>
            <w:tcW w:type="dxa" w:w="1134"/>
            <w:shd w:fill="FFC7CE" w:val="clear"/>
          </w:tcPr>
          <w:p>
            <w:r>
              <w:rPr>
                <w:b/>
                <w:color w:val="B40000"/>
                <w:sz w:val="16"/>
              </w:rPr>
              <w:t>-4.68%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21,010</w:t>
            </w:r>
          </w:p>
        </w:tc>
        <w:tc>
          <w:tcPr>
            <w:tcW w:type="dxa" w:w="1417"/>
            <w:shd w:fill="FFFFFF" w:val="clear"/>
          </w:tcPr>
          <w:p>
            <w:r>
              <w:rPr>
                <w:sz w:val="16"/>
              </w:rPr>
              <w:t>19,618</w:t>
            </w:r>
          </w:p>
        </w:tc>
        <w:tc>
          <w:tcPr>
            <w:tcW w:type="dxa" w:w="1134"/>
            <w:shd w:fill="FFC7CE" w:val="clear"/>
          </w:tcPr>
          <w:p>
            <w:r>
              <w:rPr>
                <w:b/>
                <w:color w:val="B40000"/>
                <w:sz w:val="16"/>
              </w:rPr>
              <w:t>-6.63%</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2,450</w:t>
            </w:r>
          </w:p>
        </w:tc>
        <w:tc>
          <w:tcPr>
            <w:tcW w:type="dxa" w:w="1417"/>
            <w:shd w:fill="FFFFFF" w:val="clear"/>
          </w:tcPr>
          <w:p>
            <w:r>
              <w:rPr>
                <w:sz w:val="16"/>
              </w:rPr>
              <w:t>2,282</w:t>
            </w:r>
          </w:p>
        </w:tc>
        <w:tc>
          <w:tcPr>
            <w:tcW w:type="dxa" w:w="1134"/>
            <w:shd w:fill="FFC7CE" w:val="clear"/>
          </w:tcPr>
          <w:p>
            <w:r>
              <w:rPr>
                <w:b/>
                <w:color w:val="B40000"/>
                <w:sz w:val="16"/>
              </w:rPr>
              <w:t>-6.86%</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10,300</w:t>
            </w:r>
          </w:p>
        </w:tc>
        <w:tc>
          <w:tcPr>
            <w:tcW w:type="dxa" w:w="1417"/>
            <w:shd w:fill="FFFFFF" w:val="clear"/>
          </w:tcPr>
          <w:p>
            <w:r>
              <w:rPr>
                <w:sz w:val="16"/>
              </w:rPr>
              <w:t>9,344</w:t>
            </w:r>
          </w:p>
        </w:tc>
        <w:tc>
          <w:tcPr>
            <w:tcW w:type="dxa" w:w="1134"/>
            <w:shd w:fill="FFC7CE" w:val="clear"/>
          </w:tcPr>
          <w:p>
            <w:r>
              <w:rPr>
                <w:b/>
                <w:color w:val="B40000"/>
                <w:sz w:val="16"/>
              </w:rPr>
              <w:t>-9.28%</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1,515</w:t>
            </w:r>
          </w:p>
        </w:tc>
        <w:tc>
          <w:tcPr>
            <w:tcW w:type="dxa" w:w="1417"/>
            <w:shd w:fill="FFFFFF" w:val="clear"/>
          </w:tcPr>
          <w:p>
            <w:r>
              <w:rPr>
                <w:sz w:val="16"/>
              </w:rPr>
              <w:t>1,364</w:t>
            </w:r>
          </w:p>
        </w:tc>
        <w:tc>
          <w:tcPr>
            <w:tcW w:type="dxa" w:w="1134"/>
            <w:shd w:fill="FFC7CE" w:val="clear"/>
          </w:tcPr>
          <w:p>
            <w:r>
              <w:rPr>
                <w:b/>
                <w:color w:val="B40000"/>
                <w:sz w:val="16"/>
              </w:rPr>
              <w:t>-9.94%</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2,935</w:t>
            </w:r>
          </w:p>
        </w:tc>
        <w:tc>
          <w:tcPr>
            <w:tcW w:type="dxa" w:w="1417"/>
            <w:shd w:fill="FFFFFF" w:val="clear"/>
          </w:tcPr>
          <w:p>
            <w:r>
              <w:rPr>
                <w:sz w:val="16"/>
              </w:rPr>
              <w:t>2,621</w:t>
            </w:r>
          </w:p>
        </w:tc>
        <w:tc>
          <w:tcPr>
            <w:tcW w:type="dxa" w:w="1134"/>
            <w:shd w:fill="FFC7CE" w:val="clear"/>
          </w:tcPr>
          <w:p>
            <w:r>
              <w:rPr>
                <w:b/>
                <w:color w:val="B40000"/>
                <w:sz w:val="16"/>
              </w:rPr>
              <w:t>-10.70%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30,400</w:t>
            </w:r>
          </w:p>
        </w:tc>
        <w:tc>
          <w:tcPr>
            <w:tcW w:type="dxa" w:w="1417"/>
            <w:shd w:fill="FFFFFF" w:val="clear"/>
          </w:tcPr>
          <w:p>
            <w:r>
              <w:rPr>
                <w:sz w:val="16"/>
              </w:rPr>
              <w:t>26,830</w:t>
            </w:r>
          </w:p>
        </w:tc>
        <w:tc>
          <w:tcPr>
            <w:tcW w:type="dxa" w:w="1134"/>
            <w:shd w:fill="FFC7CE" w:val="clear"/>
          </w:tcPr>
          <w:p>
            <w:r>
              <w:rPr>
                <w:b/>
                <w:color w:val="B40000"/>
                <w:sz w:val="16"/>
              </w:rPr>
              <w:t>-11.74%</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12,850</w:t>
            </w:r>
          </w:p>
        </w:tc>
        <w:tc>
          <w:tcPr>
            <w:tcW w:type="dxa" w:w="1417"/>
            <w:shd w:fill="FFFFFF" w:val="clear"/>
          </w:tcPr>
          <w:p>
            <w:r>
              <w:rPr>
                <w:sz w:val="16"/>
              </w:rPr>
              <w:t>11,228</w:t>
            </w:r>
          </w:p>
        </w:tc>
        <w:tc>
          <w:tcPr>
            <w:tcW w:type="dxa" w:w="1134"/>
            <w:shd w:fill="FFC7CE" w:val="clear"/>
          </w:tcPr>
          <w:p>
            <w:r>
              <w:rPr>
                <w:b/>
                <w:color w:val="B40000"/>
                <w:sz w:val="16"/>
              </w:rPr>
              <w:t>-12.62%</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3,855</w:t>
            </w:r>
          </w:p>
        </w:tc>
        <w:tc>
          <w:tcPr>
            <w:tcW w:type="dxa" w:w="1417"/>
            <w:shd w:fill="FFFFFF" w:val="clear"/>
          </w:tcPr>
          <w:p>
            <w:r>
              <w:rPr>
                <w:sz w:val="16"/>
              </w:rPr>
              <w:t>3,282</w:t>
            </w:r>
          </w:p>
        </w:tc>
        <w:tc>
          <w:tcPr>
            <w:tcW w:type="dxa" w:w="1134"/>
            <w:shd w:fill="FFC7CE" w:val="clear"/>
          </w:tcPr>
          <w:p>
            <w:r>
              <w:rPr>
                <w:b/>
                <w:color w:val="B40000"/>
                <w:sz w:val="16"/>
              </w:rPr>
              <w:t>-14.87%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8,240</w:t>
            </w:r>
          </w:p>
        </w:tc>
        <w:tc>
          <w:tcPr>
            <w:tcW w:type="dxa" w:w="1417"/>
            <w:shd w:fill="FFFFFF" w:val="clear"/>
          </w:tcPr>
          <w:p>
            <w:r>
              <w:rPr>
                <w:sz w:val="16"/>
              </w:rPr>
              <w:t>7,004</w:t>
            </w:r>
          </w:p>
        </w:tc>
        <w:tc>
          <w:tcPr>
            <w:tcW w:type="dxa" w:w="1134"/>
            <w:shd w:fill="FFC7CE" w:val="clear"/>
          </w:tcPr>
          <w:p>
            <w:r>
              <w:rPr>
                <w:b/>
                <w:color w:val="B40000"/>
                <w:sz w:val="16"/>
              </w:rPr>
              <w:t>-14.99%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1,755</w:t>
            </w:r>
          </w:p>
        </w:tc>
        <w:tc>
          <w:tcPr>
            <w:tcW w:type="dxa" w:w="1417"/>
            <w:shd w:fill="FFFFFF" w:val="clear"/>
          </w:tcPr>
          <w:p>
            <w:r>
              <w:rPr>
                <w:sz w:val="16"/>
              </w:rPr>
              <w:t>1,477</w:t>
            </w:r>
          </w:p>
        </w:tc>
        <w:tc>
          <w:tcPr>
            <w:tcW w:type="dxa" w:w="1134"/>
            <w:shd w:fill="FFC7CE" w:val="clear"/>
          </w:tcPr>
          <w:p>
            <w:r>
              <w:rPr>
                <w:b/>
                <w:color w:val="B40000"/>
                <w:sz w:val="16"/>
              </w:rPr>
              <w:t>-15.85%</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6,490</w:t>
            </w:r>
          </w:p>
        </w:tc>
        <w:tc>
          <w:tcPr>
            <w:tcW w:type="dxa" w:w="1417"/>
            <w:shd w:fill="FFFFFF" w:val="clear"/>
          </w:tcPr>
          <w:p>
            <w:r>
              <w:rPr>
                <w:sz w:val="16"/>
              </w:rPr>
              <w:t>5,456</w:t>
            </w:r>
          </w:p>
        </w:tc>
        <w:tc>
          <w:tcPr>
            <w:tcW w:type="dxa" w:w="1134"/>
            <w:shd w:fill="FFC7CE" w:val="clear"/>
          </w:tcPr>
          <w:p>
            <w:r>
              <w:rPr>
                <w:b/>
                <w:color w:val="B40000"/>
                <w:sz w:val="16"/>
              </w:rPr>
              <w:t>-15.93%</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7,995</w:t>
            </w:r>
          </w:p>
        </w:tc>
        <w:tc>
          <w:tcPr>
            <w:tcW w:type="dxa" w:w="1417"/>
            <w:shd w:fill="FFFFFF" w:val="clear"/>
          </w:tcPr>
          <w:p>
            <w:r>
              <w:rPr>
                <w:sz w:val="16"/>
              </w:rPr>
              <w:t>6,635</w:t>
            </w:r>
          </w:p>
        </w:tc>
        <w:tc>
          <w:tcPr>
            <w:tcW w:type="dxa" w:w="1134"/>
            <w:shd w:fill="FFC7CE" w:val="clear"/>
          </w:tcPr>
          <w:p>
            <w:r>
              <w:rPr>
                <w:b/>
                <w:color w:val="B40000"/>
                <w:sz w:val="16"/>
              </w:rPr>
              <w:t>-17.01%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3,790</w:t>
            </w:r>
          </w:p>
        </w:tc>
        <w:tc>
          <w:tcPr>
            <w:tcW w:type="dxa" w:w="1417"/>
            <w:shd w:fill="FFFFFF" w:val="clear"/>
          </w:tcPr>
          <w:p>
            <w:r>
              <w:rPr>
                <w:sz w:val="16"/>
              </w:rPr>
              <w:t>3,144</w:t>
            </w:r>
          </w:p>
        </w:tc>
        <w:tc>
          <w:tcPr>
            <w:tcW w:type="dxa" w:w="1134"/>
            <w:shd w:fill="FFC7CE" w:val="clear"/>
          </w:tcPr>
          <w:p>
            <w:r>
              <w:rPr>
                <w:b/>
                <w:color w:val="B40000"/>
                <w:sz w:val="16"/>
              </w:rPr>
              <w:t>-17.04%</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10,245</w:t>
            </w:r>
          </w:p>
        </w:tc>
        <w:tc>
          <w:tcPr>
            <w:tcW w:type="dxa" w:w="1417"/>
            <w:shd w:fill="FFFFFF" w:val="clear"/>
          </w:tcPr>
          <w:p>
            <w:r>
              <w:rPr>
                <w:sz w:val="16"/>
              </w:rPr>
              <w:t>8,425</w:t>
            </w:r>
          </w:p>
        </w:tc>
        <w:tc>
          <w:tcPr>
            <w:tcW w:type="dxa" w:w="1134"/>
            <w:shd w:fill="FFC7CE" w:val="clear"/>
          </w:tcPr>
          <w:p>
            <w:r>
              <w:rPr>
                <w:b/>
                <w:color w:val="B40000"/>
                <w:sz w:val="16"/>
              </w:rPr>
              <w:t>-17.77%</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8,990</w:t>
            </w:r>
          </w:p>
        </w:tc>
        <w:tc>
          <w:tcPr>
            <w:tcW w:type="dxa" w:w="1417"/>
            <w:shd w:fill="FFFFFF" w:val="clear"/>
          </w:tcPr>
          <w:p>
            <w:r>
              <w:rPr>
                <w:sz w:val="16"/>
              </w:rPr>
              <w:t>7,364</w:t>
            </w:r>
          </w:p>
        </w:tc>
        <w:tc>
          <w:tcPr>
            <w:tcW w:type="dxa" w:w="1134"/>
            <w:shd w:fill="FFC7CE" w:val="clear"/>
          </w:tcPr>
          <w:p>
            <w:r>
              <w:rPr>
                <w:b/>
                <w:color w:val="B40000"/>
                <w:sz w:val="16"/>
              </w:rPr>
              <w:t>-18.09%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7,241</w:t>
            </w:r>
          </w:p>
        </w:tc>
        <w:tc>
          <w:tcPr>
            <w:tcW w:type="dxa" w:w="1134"/>
            <w:shd w:fill="FFC7CE" w:val="clear"/>
          </w:tcPr>
          <w:p>
            <w:r>
              <w:rPr>
                <w:b/>
                <w:color w:val="B40000"/>
                <w:sz w:val="16"/>
              </w:rPr>
              <w:t>-22.14%</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2,425</w:t>
            </w:r>
          </w:p>
        </w:tc>
        <w:tc>
          <w:tcPr>
            <w:tcW w:type="dxa" w:w="1417"/>
            <w:shd w:fill="FFFFFF" w:val="clear"/>
          </w:tcPr>
          <w:p>
            <w:r>
              <w:rPr>
                <w:sz w:val="16"/>
              </w:rPr>
              <w:t>1,837</w:t>
            </w:r>
          </w:p>
        </w:tc>
        <w:tc>
          <w:tcPr>
            <w:tcW w:type="dxa" w:w="1134"/>
            <w:shd w:fill="FFC7CE" w:val="clear"/>
          </w:tcPr>
          <w:p>
            <w:r>
              <w:rPr>
                <w:b/>
                <w:color w:val="B40000"/>
                <w:sz w:val="16"/>
              </w:rPr>
              <w:t>-24.24%</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2,400</w:t>
            </w:r>
          </w:p>
        </w:tc>
        <w:tc>
          <w:tcPr>
            <w:tcW w:type="dxa" w:w="1417"/>
            <w:shd w:fill="FFFFFF" w:val="clear"/>
          </w:tcPr>
          <w:p>
            <w:r>
              <w:rPr>
                <w:sz w:val="16"/>
              </w:rPr>
              <w:t>1,693</w:t>
            </w:r>
          </w:p>
        </w:tc>
        <w:tc>
          <w:tcPr>
            <w:tcW w:type="dxa" w:w="1134"/>
            <w:shd w:fill="FFC7CE" w:val="clear"/>
          </w:tcPr>
          <w:p>
            <w:r>
              <w:rPr>
                <w:b/>
                <w:color w:val="B40000"/>
                <w:sz w:val="16"/>
              </w:rPr>
              <w:t>-29.44%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12,495</w:t>
            </w:r>
          </w:p>
        </w:tc>
        <w:tc>
          <w:tcPr>
            <w:tcW w:type="dxa" w:w="1417"/>
            <w:shd w:fill="FFFFFF" w:val="clear"/>
          </w:tcPr>
          <w:p>
            <w:r>
              <w:rPr>
                <w:sz w:val="16"/>
              </w:rPr>
              <w:t>8,772</w:t>
            </w:r>
          </w:p>
        </w:tc>
        <w:tc>
          <w:tcPr>
            <w:tcW w:type="dxa" w:w="1134"/>
            <w:shd w:fill="FFC7CE" w:val="clear"/>
          </w:tcPr>
          <w:p>
            <w:r>
              <w:rPr>
                <w:b/>
                <w:color w:val="B40000"/>
                <w:sz w:val="16"/>
              </w:rPr>
              <w:t>-29.80%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9,600</w:t>
            </w:r>
          </w:p>
        </w:tc>
        <w:tc>
          <w:tcPr>
            <w:tcW w:type="dxa" w:w="1417"/>
            <w:shd w:fill="FFFFFF" w:val="clear"/>
          </w:tcPr>
          <w:p>
            <w:r>
              <w:rPr>
                <w:sz w:val="16"/>
              </w:rPr>
              <w:t>5,582</w:t>
            </w:r>
          </w:p>
        </w:tc>
        <w:tc>
          <w:tcPr>
            <w:tcW w:type="dxa" w:w="1134"/>
            <w:shd w:fill="FFC7CE" w:val="clear"/>
          </w:tcPr>
          <w:p>
            <w:r>
              <w:rPr>
                <w:b/>
                <w:color w:val="B40000"/>
                <w:sz w:val="16"/>
              </w:rPr>
              <w:t>-41.86%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2,815</w:t>
            </w:r>
          </w:p>
        </w:tc>
        <w:tc>
          <w:tcPr>
            <w:tcW w:type="dxa" w:w="1417"/>
            <w:shd w:fill="FFFFFF" w:val="clear"/>
          </w:tcPr>
          <w:p>
            <w:r>
              <w:rPr>
                <w:sz w:val="16"/>
              </w:rPr>
              <w:t>1,612</w:t>
            </w:r>
          </w:p>
        </w:tc>
        <w:tc>
          <w:tcPr>
            <w:tcW w:type="dxa" w:w="1134"/>
            <w:shd w:fill="FFC7CE" w:val="clear"/>
          </w:tcPr>
          <w:p>
            <w:r>
              <w:rPr>
                <w:b/>
                <w:color w:val="B40000"/>
                <w:sz w:val="16"/>
              </w:rPr>
              <w:t>-42.75%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32,500</w:t>
            </w:r>
          </w:p>
        </w:tc>
        <w:tc>
          <w:tcPr>
            <w:tcW w:type="dxa" w:w="1417"/>
            <w:shd w:fill="FFFFFF" w:val="clear"/>
          </w:tcPr>
          <w:p>
            <w:r>
              <w:rPr>
                <w:sz w:val="16"/>
              </w:rPr>
              <w:t>17,642</w:t>
            </w:r>
          </w:p>
        </w:tc>
        <w:tc>
          <w:tcPr>
            <w:tcW w:type="dxa" w:w="1134"/>
            <w:shd w:fill="FFC7CE" w:val="clear"/>
          </w:tcPr>
          <w:p>
            <w:r>
              <w:rPr>
                <w:b/>
                <w:color w:val="B40000"/>
                <w:sz w:val="16"/>
              </w:rPr>
              <w:t>-45.72%</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1,512</w:t>
            </w:r>
          </w:p>
        </w:tc>
        <w:tc>
          <w:tcPr>
            <w:tcW w:type="dxa" w:w="1134"/>
            <w:shd w:fill="FFC7CE" w:val="clear"/>
          </w:tcPr>
          <w:p>
            <w:r>
              <w:rPr>
                <w:b/>
                <w:color w:val="B40000"/>
                <w:sz w:val="16"/>
              </w:rPr>
              <w:t>-49.62%</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3,238</w:t>
            </w:r>
          </w:p>
        </w:tc>
        <w:tc>
          <w:tcPr>
            <w:tcW w:type="dxa" w:w="1134"/>
            <w:shd w:fill="FFC7CE" w:val="clear"/>
          </w:tcPr>
          <w:p>
            <w:r>
              <w:rPr>
                <w:b/>
                <w:color w:val="B40000"/>
                <w:sz w:val="16"/>
              </w:rPr>
              <w:t>-50.18%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6,005</w:t>
            </w:r>
          </w:p>
        </w:tc>
        <w:tc>
          <w:tcPr>
            <w:tcW w:type="dxa" w:w="1417"/>
            <w:shd w:fill="FFFFFF" w:val="clear"/>
          </w:tcPr>
          <w:p>
            <w:r>
              <w:rPr>
                <w:sz w:val="16"/>
              </w:rPr>
              <w:t>2,754</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3,605</w:t>
            </w:r>
          </w:p>
        </w:tc>
        <w:tc>
          <w:tcPr>
            <w:tcW w:type="dxa" w:w="1417"/>
            <w:shd w:fill="FFFFFF" w:val="clear"/>
          </w:tcPr>
          <w:p>
            <w:r>
              <w:rPr>
                <w:sz w:val="16"/>
              </w:rPr>
              <w:t>1,653</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3,288 titres</w:t>
            </w:r>
          </w:p>
        </w:tc>
        <w:tc>
          <w:tcPr>
            <w:tcW w:type="dxa" w:w="2268"/>
            <w:shd w:fill="FFF2CC" w:val="clear"/>
          </w:tcPr>
          <w:p>
            <w:r>
              <w:rPr>
                <w:b/>
                <w:color w:val="503200"/>
                <w:sz w:val="16"/>
              </w:rPr>
              <w:t xml:space="preserve">Cours actuel : </w:t>
            </w:r>
            <w:r>
              <w:rPr>
                <w:color w:val="000000"/>
                <w:sz w:val="17"/>
              </w:rPr>
              <w:t>3,790 FCFA</w:t>
            </w:r>
          </w:p>
          <w:p>
            <w:r>
              <w:rPr>
                <w:b/>
                <w:color w:val="503200"/>
                <w:sz w:val="16"/>
              </w:rPr>
              <w:t xml:space="preserve">Var. 100 jours : </w:t>
            </w:r>
            <w:r>
              <w:rPr>
                <w:b/>
                <w:color w:val="007800"/>
                <w:sz w:val="17"/>
              </w:rPr>
              <w:t>+10.66%</w:t>
            </w:r>
          </w:p>
          <w:p>
            <w:r>
              <w:rPr>
                <w:b/>
                <w:color w:val="503200"/>
                <w:sz w:val="16"/>
              </w:rPr>
              <w:t xml:space="preserve">Plus haut 100j : </w:t>
            </w:r>
            <w:r>
              <w:rPr>
                <w:color w:val="000000"/>
                <w:sz w:val="17"/>
              </w:rPr>
              <w:t>3,845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7.66% (Moyenne) — μ=3,217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β=0.1931 (Défensif) — Cov=0.000007, Var(idx)=0.000036, ρ=0.038,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3,512</w:t>
            </w:r>
          </w:p>
        </w:tc>
        <w:tc>
          <w:tcPr>
            <w:tcW w:type="dxa" w:w="1440"/>
            <w:shd w:fill="FFDCE0" w:val="clear"/>
          </w:tcPr>
          <w:p>
            <w:r>
              <w:rPr>
                <w:b/>
                <w:sz w:val="17"/>
              </w:rPr>
              <w:t>3,691</w:t>
            </w:r>
          </w:p>
        </w:tc>
        <w:tc>
          <w:tcPr>
            <w:tcW w:type="dxa" w:w="1440"/>
            <w:shd w:fill="FFDCE0" w:val="clear"/>
          </w:tcPr>
          <w:p>
            <w:r>
              <w:rPr>
                <w:sz w:val="17"/>
              </w:rPr>
              <w:t>3,870</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3,356</w:t>
            </w:r>
          </w:p>
        </w:tc>
        <w:tc>
          <w:tcPr>
            <w:tcW w:type="dxa" w:w="1440"/>
            <w:shd w:fill="FFDCE0" w:val="clear"/>
          </w:tcPr>
          <w:p>
            <w:r>
              <w:rPr>
                <w:b/>
                <w:sz w:val="17"/>
              </w:rPr>
              <w:t>3,604</w:t>
            </w:r>
          </w:p>
        </w:tc>
        <w:tc>
          <w:tcPr>
            <w:tcW w:type="dxa" w:w="1440"/>
            <w:shd w:fill="FFDCE0" w:val="clear"/>
          </w:tcPr>
          <w:p>
            <w:r>
              <w:rPr>
                <w:sz w:val="17"/>
              </w:rPr>
              <w:t>3,851</w:t>
            </w:r>
          </w:p>
        </w:tc>
        <w:tc>
          <w:tcPr>
            <w:tcW w:type="dxa" w:w="1440"/>
            <w:shd w:fill="FFDCE0" w:val="clear"/>
          </w:tcPr>
          <w:p>
            <w:r>
              <w:rPr>
                <w:b/>
                <w:color w:val="C00000"/>
                <w:sz w:val="17"/>
              </w:rPr>
              <w:t>-4.9%</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3,227</w:t>
            </w:r>
          </w:p>
        </w:tc>
        <w:tc>
          <w:tcPr>
            <w:tcW w:type="dxa" w:w="1440"/>
            <w:shd w:fill="FFDCE0" w:val="clear"/>
          </w:tcPr>
          <w:p>
            <w:r>
              <w:rPr>
                <w:b/>
                <w:sz w:val="17"/>
              </w:rPr>
              <w:t>3,524</w:t>
            </w:r>
          </w:p>
        </w:tc>
        <w:tc>
          <w:tcPr>
            <w:tcW w:type="dxa" w:w="1440"/>
            <w:shd w:fill="FFDCE0" w:val="clear"/>
          </w:tcPr>
          <w:p>
            <w:r>
              <w:rPr>
                <w:sz w:val="17"/>
              </w:rPr>
              <w:t>3,820</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3,119</w:t>
            </w:r>
          </w:p>
        </w:tc>
        <w:tc>
          <w:tcPr>
            <w:tcW w:type="dxa" w:w="1440"/>
            <w:shd w:fill="FFDCE0" w:val="clear"/>
          </w:tcPr>
          <w:p>
            <w:r>
              <w:rPr>
                <w:b/>
                <w:sz w:val="17"/>
              </w:rPr>
              <w:t>3,455</w:t>
            </w:r>
          </w:p>
        </w:tc>
        <w:tc>
          <w:tcPr>
            <w:tcW w:type="dxa" w:w="1440"/>
            <w:shd w:fill="FFDCE0" w:val="clear"/>
          </w:tcPr>
          <w:p>
            <w:r>
              <w:rPr>
                <w:sz w:val="17"/>
              </w:rPr>
              <w:t>3,791</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3,025</w:t>
            </w:r>
          </w:p>
        </w:tc>
        <w:tc>
          <w:tcPr>
            <w:tcW w:type="dxa" w:w="1440"/>
            <w:shd w:fill="FFDCE0" w:val="clear"/>
          </w:tcPr>
          <w:p>
            <w:r>
              <w:rPr>
                <w:b/>
                <w:sz w:val="17"/>
              </w:rPr>
              <w:t>3,394</w:t>
            </w:r>
          </w:p>
        </w:tc>
        <w:tc>
          <w:tcPr>
            <w:tcW w:type="dxa" w:w="1440"/>
            <w:shd w:fill="FFDCE0" w:val="clear"/>
          </w:tcPr>
          <w:p>
            <w:r>
              <w:rPr>
                <w:sz w:val="17"/>
              </w:rPr>
              <w:t>3,762</w:t>
            </w:r>
          </w:p>
        </w:tc>
        <w:tc>
          <w:tcPr>
            <w:tcW w:type="dxa" w:w="1440"/>
            <w:shd w:fill="FFDCE0" w:val="clear"/>
          </w:tcPr>
          <w:p>
            <w:r>
              <w:rPr>
                <w:b/>
                <w:color w:val="C00000"/>
                <w:sz w:val="17"/>
              </w:rPr>
              <w:t>-10.5%</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2,940</w:t>
            </w:r>
          </w:p>
        </w:tc>
        <w:tc>
          <w:tcPr>
            <w:tcW w:type="dxa" w:w="1440"/>
            <w:shd w:fill="FFDCE0" w:val="clear"/>
          </w:tcPr>
          <w:p>
            <w:r>
              <w:rPr>
                <w:b/>
                <w:sz w:val="17"/>
              </w:rPr>
              <w:t>3,337</w:t>
            </w:r>
          </w:p>
        </w:tc>
        <w:tc>
          <w:tcPr>
            <w:tcW w:type="dxa" w:w="1440"/>
            <w:shd w:fill="FFDCE0" w:val="clear"/>
          </w:tcPr>
          <w:p>
            <w:r>
              <w:rPr>
                <w:sz w:val="17"/>
              </w:rPr>
              <w:t>3,734</w:t>
            </w:r>
          </w:p>
        </w:tc>
        <w:tc>
          <w:tcPr>
            <w:tcW w:type="dxa" w:w="1440"/>
            <w:shd w:fill="FFDCE0" w:val="clear"/>
          </w:tcPr>
          <w:p>
            <w:r>
              <w:rPr>
                <w:b/>
                <w:color w:val="C00000"/>
                <w:sz w:val="17"/>
              </w:rPr>
              <w:t>-11.9%</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2,862</w:t>
            </w:r>
          </w:p>
        </w:tc>
        <w:tc>
          <w:tcPr>
            <w:tcW w:type="dxa" w:w="1440"/>
            <w:shd w:fill="FFDCE0" w:val="clear"/>
          </w:tcPr>
          <w:p>
            <w:r>
              <w:rPr>
                <w:b/>
                <w:sz w:val="17"/>
              </w:rPr>
              <w:t>3,285</w:t>
            </w:r>
          </w:p>
        </w:tc>
        <w:tc>
          <w:tcPr>
            <w:tcW w:type="dxa" w:w="1440"/>
            <w:shd w:fill="FFDCE0" w:val="clear"/>
          </w:tcPr>
          <w:p>
            <w:r>
              <w:rPr>
                <w:sz w:val="17"/>
              </w:rPr>
              <w:t>3,707</w:t>
            </w:r>
          </w:p>
        </w:tc>
        <w:tc>
          <w:tcPr>
            <w:tcW w:type="dxa" w:w="1440"/>
            <w:shd w:fill="FFDCE0" w:val="clear"/>
          </w:tcPr>
          <w:p>
            <w:r>
              <w:rPr>
                <w:b/>
                <w:color w:val="C00000"/>
                <w:sz w:val="17"/>
              </w:rPr>
              <w:t>-13.3%</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2,791</w:t>
            </w:r>
          </w:p>
        </w:tc>
        <w:tc>
          <w:tcPr>
            <w:tcW w:type="dxa" w:w="1440"/>
            <w:shd w:fill="FFDCE0" w:val="clear"/>
          </w:tcPr>
          <w:p>
            <w:r>
              <w:rPr>
                <w:b/>
                <w:sz w:val="17"/>
              </w:rPr>
              <w:t>3,235</w:t>
            </w:r>
          </w:p>
        </w:tc>
        <w:tc>
          <w:tcPr>
            <w:tcW w:type="dxa" w:w="1440"/>
            <w:shd w:fill="FFDCE0" w:val="clear"/>
          </w:tcPr>
          <w:p>
            <w:r>
              <w:rPr>
                <w:sz w:val="17"/>
              </w:rPr>
              <w:t>3,680</w:t>
            </w:r>
          </w:p>
        </w:tc>
        <w:tc>
          <w:tcPr>
            <w:tcW w:type="dxa" w:w="1440"/>
            <w:shd w:fill="FFDCE0" w:val="clear"/>
          </w:tcPr>
          <w:p>
            <w:r>
              <w:rPr>
                <w:b/>
                <w:color w:val="C00000"/>
                <w:sz w:val="17"/>
              </w:rPr>
              <w:t>-14.6%</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2,724</w:t>
            </w:r>
          </w:p>
        </w:tc>
        <w:tc>
          <w:tcPr>
            <w:tcW w:type="dxa" w:w="1440"/>
            <w:shd w:fill="FFDCE0" w:val="clear"/>
          </w:tcPr>
          <w:p>
            <w:r>
              <w:rPr>
                <w:b/>
                <w:sz w:val="17"/>
              </w:rPr>
              <w:t>3,188</w:t>
            </w:r>
          </w:p>
        </w:tc>
        <w:tc>
          <w:tcPr>
            <w:tcW w:type="dxa" w:w="1440"/>
            <w:shd w:fill="FFDCE0" w:val="clear"/>
          </w:tcPr>
          <w:p>
            <w:r>
              <w:rPr>
                <w:sz w:val="17"/>
              </w:rPr>
              <w:t>3,653</w:t>
            </w:r>
          </w:p>
        </w:tc>
        <w:tc>
          <w:tcPr>
            <w:tcW w:type="dxa" w:w="1440"/>
            <w:shd w:fill="FFDCE0" w:val="clear"/>
          </w:tcPr>
          <w:p>
            <w:r>
              <w:rPr>
                <w:b/>
                <w:color w:val="C00000"/>
                <w:sz w:val="17"/>
              </w:rPr>
              <w:t>-15.9%</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2,661</w:t>
            </w:r>
          </w:p>
        </w:tc>
        <w:tc>
          <w:tcPr>
            <w:tcW w:type="dxa" w:w="1440"/>
            <w:shd w:fill="FFDCE0" w:val="clear"/>
          </w:tcPr>
          <w:p>
            <w:r>
              <w:rPr>
                <w:b/>
                <w:sz w:val="17"/>
              </w:rPr>
              <w:t>3,144</w:t>
            </w:r>
          </w:p>
        </w:tc>
        <w:tc>
          <w:tcPr>
            <w:tcW w:type="dxa" w:w="1440"/>
            <w:shd w:fill="FFDCE0" w:val="clear"/>
          </w:tcPr>
          <w:p>
            <w:r>
              <w:rPr>
                <w:sz w:val="17"/>
              </w:rPr>
              <w:t>3,627</w:t>
            </w:r>
          </w:p>
        </w:tc>
        <w:tc>
          <w:tcPr>
            <w:tcW w:type="dxa" w:w="1440"/>
            <w:shd w:fill="FFDCE0" w:val="clear"/>
          </w:tcPr>
          <w:p>
            <w:r>
              <w:rPr>
                <w:b/>
                <w:color w:val="C00000"/>
                <w:sz w:val="17"/>
              </w:rPr>
              <w:t>-17.0%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02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d'ABJC s'établit à 41,36 milliards FCFA, un niveau significatif qui la positionne comme une valeur de taille moyenne sur la place BRVM. Avec un BPA de 124 FCFA, le titre se négocie à un PER de 30,6x, un niveau extrêmement élevé comparé à la moyenne historique du marché (8-12x). Cette décote reflète soit des attentes de croissance très fortes, soit une surévaluation manifeste. Le P/B de 8,02x confirme cette exubérance, le marché valorisant l'actif net comptable plus de huit fois sa valeur. Enfin, un EV/EBITDA de 15,7x (&gt;15x) indique que l'investisseur paie une prime substantielle pour la capacité opérationnelle de l'entreprise. L'ensemble de ces ratios suggère une valorisation très exigeante qui laisse peu de place à l'erreur.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 enregistré une progression totale de +10,66%, bien que la dernière séance affiche un repli de -1,43% à 3 790 FCFA. Le titre a évolué dans une fourchette large de 2 800 à 3 845 FCFA, démontrant une dynamique haussière soutenue. La moyenne (3 217 FCFA) est légèrement inférieure à la médiane (3 182 FCFA), indiquant une asymétrie positive avec des extrêmes à la hausse. L'écart-type de 248 FCFA (CV de 7,7%) révèle une dispersion modérée autour de la moyenne. Le kurtosis de -0,331 (mésokurtique) suggère une distribution proche de la normale, sans risque de pics extrêmes, tandis que le skewness de 0,490 confirme une distribution symétrique avec une légère queue à droite. La volatilité annualisée de 48,8% est très élevée (&gt;30%), classant ABJC comme un actif à fort risque, où les mouvements de prix peuvent être amples et rapides.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Les **Moyennes Mobiles** (MM20 à 3 369 FCFA et MM50 à 3 233 FCFA) sont toutes deux inférieures au cours actuel de 3 790 FCFA, confirmant une tendance haussière de fond. Le signal d'achat est justifié par la configuration positive où le prix évolue au-dessus de ses moyennes, indiquant une dynamique de court et moyen terme favorable.</w:t>
      </w:r>
    </w:p>
    <w:p>
      <w:pPr>
        <w:spacing w:after="120" w:line="276" w:lineRule="auto"/>
      </w:pPr>
      <w:r>
        <w:t>Les **Bandes de Bollinger** présentent un écart important entre la borne supérieure (3 987 FCFA) et inférieure (2 752 FCFA), traduisant une volatilité élevée. Le cours à 3 790 FCFA se positionne dans la moitié supérieure de la bande, ce qui suggère une pression acheteuse persistante. La décision neutre indique que le prix n'a pas encore atteint les extrêmes qui signaleraient un retournement imminent.</w:t>
      </w:r>
    </w:p>
    <w:p>
      <w:pPr>
        <w:spacing w:after="120" w:line="276" w:lineRule="auto"/>
      </w:pPr>
      <w:r>
        <w:t>Le **MACD** affiche une valeur de 181,95 contre un signal à 128,325, montrant un momentum haussier clairement positif. L'écart positif entre la ligne MACD et sa ligne de signal confirme la vigueur de la tendance actuelle, justifiant la décision d'achat.</w:t>
      </w:r>
    </w:p>
    <w:p>
      <w:pPr>
        <w:spacing w:after="120" w:line="276" w:lineRule="auto"/>
      </w:pPr>
      <w:r>
        <w:t>Le **RSI** à 85,465 est un signal d'alerte majeur. Cette valeur dépasse largement le seuil de surachat (&gt;70), indiquant que le titre est survendu à la hausse et qu'un repli technique est hautement probable à court terme.</w:t>
      </w:r>
    </w:p>
    <w:p>
      <w:pPr>
        <w:spacing w:after="120" w:line="276" w:lineRule="auto"/>
      </w:pPr>
      <w:r>
        <w:t>Le **Stochastique** avec %K à 91,852 et %D à 97,284 confirme la zone de surachat extrême. Les deux lignes étant proches de 100, le marché est dans une phase d'épuisement acheteur, renforçant le signal de vente.</w:t>
      </w:r>
    </w:p>
    <w:p>
      <w:pPr>
        <w:spacing w:after="120" w:line="276" w:lineRule="auto"/>
      </w:pPr>
      <w:r>
        <w:t>En conclusion technique, les indicateurs de tendance (MM, MACD) sont positifs, mais les oscillateurs (RSI, Stochastique) hurlent au surachat. Cette divergence classique suggère qu'un mouvement de correction est probable, même si la tendance de fond reste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selon les données structurées officielles, ABJC (Servair Abidjan) a réalisé un chiffre d'affaires de 13,298 milliards FCFA, en croissance de 6,67%. Le résultat net s'établit à 1,351 milliard FCFA, en recul de 12,1% par rapport à 2024, principalement en raison d'une hausse de 46,7% de la charge d'impôt. La marge nette ressort à 10,16%, la marge opérationnelle à 16,38%. La rentabilité des fonds propres (ROE) est excellente à 26,18%, et le ROA à 14,64%. La structure financière est saine avec une autonomie financière de 55,92% et une trésorerie nette positive de 4,035 milliards FCFA. Le BFR est maîtrisé à 257 millions FCFA avec des délais clients (70 jours) et fournisseurs (92 jours) équilibrés. Les rapports trimestriels 2025 montrent une trajectoire contrastée : le T1 était perturbé par un litige avec la BCEAO et des charges exceptionnelles (RN -6,8%), mais le T3 a enregistré un net redressement avec un RN en hausse de +17,1%. Le rapport T1 2026 (daté de 2026) révèle une forte dégradation : le résultat net chute de 35,6% à 222 millions FCFA, impacté par les ajustements de redevances aéroportuaires. La recommandation des analystes est de "conserver" le titre, la société maintenant une croissance de son CA mais voyant sa rentabilité se dégrader sous l'effet de facteurs exogènes.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(PER 30,6x, P/B 8,02x, EV/EBITDA 15,7x) est extrêmement exigeante et intègre des attentes de croissance probablement irréalistes au vu de la dégradation récente de la rentabilité. Le comportement du cours montre une tendance haussière de long terme avec une volatilité très élevée (48,8%), mais les statistiques (kurtosis, skewness) suggèrent une distribution normale sans risque de krach brutal. Les signaux techniques sont contradictoires : les indicateurs de tendance (MM, MACD) sont positifs, tandis que les oscillateurs (RSI 85, Stochastique 92) signalent un surachat extrême. Fondamentalement, l'entreprise affiche des ratios de rentabilité solides (ROE 26,18%) mais subit une pression fiscale et réglementaire croissante, avec des perspectives 2026 assombries. Les prédictions IA (3 691 à 3 394 FCFA sur 10 jours) confirment l'anticipation d'un repli technique. En synthèse, la convergence des signaux de surachat technique et de dégradation fondamentale, malgré une tendance haussière, conduit à une recommandation de **CONSERVER** avec un niveau de confiance **Moyen**. Le risque global est **Élevé** en raison de la valorisation et de la volatilité. L'horizon d'investissement optimal est le **moyen terme (3-12 mois)**, en attendant une correction du cours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554.49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11,920 titres</w:t>
            </w:r>
          </w:p>
        </w:tc>
        <w:tc>
          <w:tcPr>
            <w:tcW w:type="dxa" w:w="2268"/>
            <w:shd w:fill="FFF2CC" w:val="clear"/>
          </w:tcPr>
          <w:p>
            <w:r>
              <w:rPr>
                <w:b/>
                <w:color w:val="503200"/>
                <w:sz w:val="16"/>
              </w:rPr>
              <w:t xml:space="preserve">Cours actuel : </w:t>
            </w:r>
            <w:r>
              <w:rPr>
                <w:color w:val="000000"/>
                <w:sz w:val="17"/>
              </w:rPr>
              <w:t>9,600 FCFA</w:t>
            </w:r>
          </w:p>
          <w:p>
            <w:r>
              <w:rPr>
                <w:b/>
                <w:color w:val="503200"/>
                <w:sz w:val="16"/>
              </w:rPr>
              <w:t xml:space="preserve">Var. 100 jours : </w:t>
            </w:r>
            <w:r>
              <w:rPr>
                <w:b/>
                <w:color w:val="007800"/>
                <w:sz w:val="17"/>
              </w:rPr>
              <w:t>+87.87%</w:t>
            </w:r>
          </w:p>
          <w:p>
            <w:r>
              <w:rPr>
                <w:b/>
                <w:color w:val="503200"/>
                <w:sz w:val="16"/>
              </w:rPr>
              <w:t xml:space="preserve">Plus haut 100j : </w:t>
            </w:r>
            <w:r>
              <w:rPr>
                <w:color w:val="000000"/>
                <w:sz w:val="17"/>
              </w:rPr>
              <w:t>9,600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19.83% (Élevée) — μ=6,299 FCFA, σ=1,249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β=0.3207 (Défensif) — Cov=0.000012, Var(idx)=0.000036,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11,920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8,485</w:t>
            </w:r>
          </w:p>
        </w:tc>
        <w:tc>
          <w:tcPr>
            <w:tcW w:type="dxa" w:w="1440"/>
            <w:shd w:fill="FFDCE0" w:val="clear"/>
          </w:tcPr>
          <w:p>
            <w:r>
              <w:rPr>
                <w:b/>
                <w:sz w:val="17"/>
              </w:rPr>
              <w:t>8,880</w:t>
            </w:r>
          </w:p>
        </w:tc>
        <w:tc>
          <w:tcPr>
            <w:tcW w:type="dxa" w:w="1440"/>
            <w:shd w:fill="FFDCE0" w:val="clear"/>
          </w:tcPr>
          <w:p>
            <w:r>
              <w:rPr>
                <w:sz w:val="17"/>
              </w:rPr>
              <w:t>9,275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7,697</w:t>
            </w:r>
          </w:p>
        </w:tc>
        <w:tc>
          <w:tcPr>
            <w:tcW w:type="dxa" w:w="1440"/>
            <w:shd w:fill="FFDCE0" w:val="clear"/>
          </w:tcPr>
          <w:p>
            <w:r>
              <w:rPr>
                <w:b/>
                <w:sz w:val="17"/>
              </w:rPr>
              <w:t>8,214</w:t>
            </w:r>
          </w:p>
        </w:tc>
        <w:tc>
          <w:tcPr>
            <w:tcW w:type="dxa" w:w="1440"/>
            <w:shd w:fill="FFDCE0" w:val="clear"/>
          </w:tcPr>
          <w:p>
            <w:r>
              <w:rPr>
                <w:sz w:val="17"/>
              </w:rPr>
              <w:t>8,731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7,012</w:t>
            </w:r>
          </w:p>
        </w:tc>
        <w:tc>
          <w:tcPr>
            <w:tcW w:type="dxa" w:w="1440"/>
            <w:shd w:fill="FFDCE0" w:val="clear"/>
          </w:tcPr>
          <w:p>
            <w:r>
              <w:rPr>
                <w:b/>
                <w:sz w:val="17"/>
              </w:rPr>
              <w:t>7,598</w:t>
            </w:r>
          </w:p>
        </w:tc>
        <w:tc>
          <w:tcPr>
            <w:tcW w:type="dxa" w:w="1440"/>
            <w:shd w:fill="FFDCE0" w:val="clear"/>
          </w:tcPr>
          <w:p>
            <w:r>
              <w:rPr>
                <w:sz w:val="17"/>
              </w:rPr>
              <w:t>8,183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6,403</w:t>
            </w:r>
          </w:p>
        </w:tc>
        <w:tc>
          <w:tcPr>
            <w:tcW w:type="dxa" w:w="1440"/>
            <w:shd w:fill="FFDCE0" w:val="clear"/>
          </w:tcPr>
          <w:p>
            <w:r>
              <w:rPr>
                <w:b/>
                <w:sz w:val="17"/>
              </w:rPr>
              <w:t>7,028</w:t>
            </w:r>
          </w:p>
        </w:tc>
        <w:tc>
          <w:tcPr>
            <w:tcW w:type="dxa" w:w="1440"/>
            <w:shd w:fill="FFDCE0" w:val="clear"/>
          </w:tcPr>
          <w:p>
            <w:r>
              <w:rPr>
                <w:sz w:val="17"/>
              </w:rPr>
              <w:t>7,653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5,854</w:t>
            </w:r>
          </w:p>
        </w:tc>
        <w:tc>
          <w:tcPr>
            <w:tcW w:type="dxa" w:w="1440"/>
            <w:shd w:fill="FFDCE0" w:val="clear"/>
          </w:tcPr>
          <w:p>
            <w:r>
              <w:rPr>
                <w:b/>
                <w:sz w:val="17"/>
              </w:rPr>
              <w:t>6,501</w:t>
            </w:r>
          </w:p>
        </w:tc>
        <w:tc>
          <w:tcPr>
            <w:tcW w:type="dxa" w:w="1440"/>
            <w:shd w:fill="FFDCE0" w:val="clear"/>
          </w:tcPr>
          <w:p>
            <w:r>
              <w:rPr>
                <w:sz w:val="17"/>
              </w:rPr>
              <w:t>7,148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5,390</w:t>
            </w:r>
          </w:p>
        </w:tc>
        <w:tc>
          <w:tcPr>
            <w:tcW w:type="dxa" w:w="1440"/>
            <w:shd w:fill="FFDCE0" w:val="clear"/>
          </w:tcPr>
          <w:p>
            <w:r>
              <w:rPr>
                <w:b/>
                <w:sz w:val="17"/>
              </w:rPr>
              <w:t>6,050</w:t>
            </w:r>
          </w:p>
        </w:tc>
        <w:tc>
          <w:tcPr>
            <w:tcW w:type="dxa" w:w="1440"/>
            <w:shd w:fill="FFDCE0" w:val="clear"/>
          </w:tcPr>
          <w:p>
            <w:r>
              <w:rPr>
                <w:sz w:val="17"/>
              </w:rPr>
              <w:t>6,709</w:t>
            </w:r>
          </w:p>
        </w:tc>
        <w:tc>
          <w:tcPr>
            <w:tcW w:type="dxa" w:w="1440"/>
            <w:shd w:fill="FFDCE0" w:val="clear"/>
          </w:tcPr>
          <w:p>
            <w:r>
              <w:rPr>
                <w:b/>
                <w:color w:val="C00000"/>
                <w:sz w:val="17"/>
              </w:rPr>
              <w:t>-37.0%</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5,210</w:t>
            </w:r>
          </w:p>
        </w:tc>
        <w:tc>
          <w:tcPr>
            <w:tcW w:type="dxa" w:w="1440"/>
            <w:shd w:fill="FFDCE0" w:val="clear"/>
          </w:tcPr>
          <w:p>
            <w:r>
              <w:rPr>
                <w:b/>
                <w:sz w:val="17"/>
              </w:rPr>
              <w:t>5,906</w:t>
            </w:r>
          </w:p>
        </w:tc>
        <w:tc>
          <w:tcPr>
            <w:tcW w:type="dxa" w:w="1440"/>
            <w:shd w:fill="FFDCE0" w:val="clear"/>
          </w:tcPr>
          <w:p>
            <w:r>
              <w:rPr>
                <w:sz w:val="17"/>
              </w:rPr>
              <w:t>6,601</w:t>
            </w:r>
          </w:p>
        </w:tc>
        <w:tc>
          <w:tcPr>
            <w:tcW w:type="dxa" w:w="1440"/>
            <w:shd w:fill="FFDCE0" w:val="clear"/>
          </w:tcPr>
          <w:p>
            <w:r>
              <w:rPr>
                <w:b/>
                <w:color w:val="C00000"/>
                <w:sz w:val="17"/>
              </w:rPr>
              <w:t>-38.5%</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5,054</w:t>
            </w:r>
          </w:p>
        </w:tc>
        <w:tc>
          <w:tcPr>
            <w:tcW w:type="dxa" w:w="1440"/>
            <w:shd w:fill="FFDCE0" w:val="clear"/>
          </w:tcPr>
          <w:p>
            <w:r>
              <w:rPr>
                <w:b/>
                <w:sz w:val="17"/>
              </w:rPr>
              <w:t>5,781</w:t>
            </w:r>
          </w:p>
        </w:tc>
        <w:tc>
          <w:tcPr>
            <w:tcW w:type="dxa" w:w="1440"/>
            <w:shd w:fill="FFDCE0" w:val="clear"/>
          </w:tcPr>
          <w:p>
            <w:r>
              <w:rPr>
                <w:sz w:val="17"/>
              </w:rPr>
              <w:t>6,509</w:t>
            </w:r>
          </w:p>
        </w:tc>
        <w:tc>
          <w:tcPr>
            <w:tcW w:type="dxa" w:w="1440"/>
            <w:shd w:fill="FFDCE0" w:val="clear"/>
          </w:tcPr>
          <w:p>
            <w:r>
              <w:rPr>
                <w:b/>
                <w:color w:val="C00000"/>
                <w:sz w:val="17"/>
              </w:rPr>
              <w:t>-39.8%</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4,917</w:t>
            </w:r>
          </w:p>
        </w:tc>
        <w:tc>
          <w:tcPr>
            <w:tcW w:type="dxa" w:w="1440"/>
            <w:shd w:fill="FFDCE0" w:val="clear"/>
          </w:tcPr>
          <w:p>
            <w:r>
              <w:rPr>
                <w:b/>
                <w:sz w:val="17"/>
              </w:rPr>
              <w:t>5,674</w:t>
            </w:r>
          </w:p>
        </w:tc>
        <w:tc>
          <w:tcPr>
            <w:tcW w:type="dxa" w:w="1440"/>
            <w:shd w:fill="FFDCE0" w:val="clear"/>
          </w:tcPr>
          <w:p>
            <w:r>
              <w:rPr>
                <w:sz w:val="17"/>
              </w:rPr>
              <w:t>6,432</w:t>
            </w:r>
          </w:p>
        </w:tc>
        <w:tc>
          <w:tcPr>
            <w:tcW w:type="dxa" w:w="1440"/>
            <w:shd w:fill="FFDCE0" w:val="clear"/>
          </w:tcPr>
          <w:p>
            <w:r>
              <w:rPr>
                <w:b/>
                <w:color w:val="C00000"/>
                <w:sz w:val="17"/>
              </w:rPr>
              <w:t>-40.9%</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4,796</w:t>
            </w:r>
          </w:p>
        </w:tc>
        <w:tc>
          <w:tcPr>
            <w:tcW w:type="dxa" w:w="1440"/>
            <w:shd w:fill="FFDCE0" w:val="clear"/>
          </w:tcPr>
          <w:p>
            <w:r>
              <w:rPr>
                <w:b/>
                <w:sz w:val="17"/>
              </w:rPr>
              <w:t>5,582</w:t>
            </w:r>
          </w:p>
        </w:tc>
        <w:tc>
          <w:tcPr>
            <w:tcW w:type="dxa" w:w="1440"/>
            <w:shd w:fill="FFDCE0" w:val="clear"/>
          </w:tcPr>
          <w:p>
            <w:r>
              <w:rPr>
                <w:sz w:val="17"/>
              </w:rPr>
              <w:t>6,367</w:t>
            </w:r>
          </w:p>
        </w:tc>
        <w:tc>
          <w:tcPr>
            <w:tcW w:type="dxa" w:w="1440"/>
            <w:shd w:fill="FFDCE0" w:val="clear"/>
          </w:tcPr>
          <w:p>
            <w:r>
              <w:rPr>
                <w:b/>
                <w:color w:val="C00000"/>
                <w:sz w:val="17"/>
              </w:rPr>
              <w:t>-41.9%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02 septembre 2026**</w:t>
        <w:br/>
        <w:t>**Cours de référence : 9,600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554,49 milliards FCFA, un niveau qui la positionne parmi les valeurs à grande capitalisation de la BRVM, reflétant son statut de leader bancaire régional. Avec un BPA de 627 FCFA, chaque action génère un bénéfice substantiel, ce qui justifie un PER de 15,3x. Ce ratio, bien qu'étant supérieur à la moyenne historique de la BRVM (8-12x), reste modéré pour une banque affichant une croissance aussi dynamique et une rentabilité exceptionnelle. Le P/B de 4,10x indique que le marché valorise fortement les actifs nets de la banque, traduisant une prime de qualité et de croissance. Enfin, l'EV/EBITDA de 25,7x apparaît exigeant, signalant que la valeur totale de l'entreprise (dette incluse) est élevée par rapport à sa capacité opérationnelle, ce qui peut refléter des anticipations de croissance future déjà intégrées dans le prix.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connu une progression spectaculaire de +87,87%, avec une dernière séance en hausse de +2,67%, clôturant à son plus haut niveau sur la période (9,600 FCFA) contre un plus bas de 5,100 FCFA. Cette tendance est résolument haussière, marquée par un doublement du cours. Les statistiques descriptives révèlent une moyenne de 6,299 FCFA et une médiane de 5,808 FCFA ; l'écart entre ces deux valeurs, la moyenne étant supérieure à la médiane, confirme une asymétrie positive (skewness de 0.879), indiquant que les fortes progressions récentes tirent la moyenne vers le haut. L'écart-type de 1,256 FCFA (CV=19.9%) montre une dispersion modérée des prix autour de la moyenne. Le kurtosis de -0.559 (mésokurtique) suggère une distribution des rendements proche de la normale, sans risque de pics extrêmes. La volatilité annualisée de 32,1% classe le titre comme très volatil, ce qui implique un risque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(MM20=8356.25, MM50=7281.8) :** Le cours actuel (9,600 FCFA) est nettement au-dessus de ses moyennes mobiles à court et moyen terme (MM20 et MM50), qui sont en pente ascendante. Cette configuration haussière confirme la vigueur de la tendance et justifie le signal d'achat, car les supports techniques se situent désormais à des niveaux bien inférieurs au prix actuel.</w:t>
      </w:r>
    </w:p>
    <w:p>
      <w:pPr>
        <w:spacing w:after="120" w:line="276" w:lineRule="auto"/>
      </w:pPr>
      <w:r>
        <w:t>**Bandes de Bollinger :** Le cours a franchi la borne supérieure des bandes (9,428.54 FCFA), ce qui est un signal classique de surachat à court terme. L'écart important entre la borne supérieure et inférieure (7,283.96 FCFA) indique une volatilité élevée. La décision de "Vente" suggère qu'un repli technique est probable pour revenir à l'intérieur de l'enveloppe, mais ne remet pas en cause la tendance de fond.</w:t>
      </w:r>
    </w:p>
    <w:p>
      <w:pPr>
        <w:spacing w:after="120" w:line="276" w:lineRule="auto"/>
      </w:pPr>
      <w:r>
        <w:t>**MACD (Valeur=525.43, Signal=466.51) :** Le MACD est positif et évolue au-dessus de sa ligne de signal, indiquant un momentum haussier toujours actif. La décision d'achat est justifiée par cette dynamique positive, bien que l'écart entre les deux lignes doive être surveillé pour détecter un éventuel essoufflement de la tendance.</w:t>
      </w:r>
    </w:p>
    <w:p>
      <w:pPr>
        <w:spacing w:after="120" w:line="276" w:lineRule="auto"/>
      </w:pPr>
      <w:r>
        <w:t>**RSI (Valeur=82.09) :** Le RSI est profondément en zone de surachat (au-dessus de 70), ce qui signale une pression acheteuse excessive et un marché potentiellement survendu à court terme. La décision de "Vente" est un avertissement classique indiquant qu'une correction ou une consolidation est de plus en plus probable pour soulager cette pression.</w:t>
      </w:r>
    </w:p>
    <w:p>
      <w:pPr>
        <w:spacing w:after="120" w:line="276" w:lineRule="auto"/>
      </w:pPr>
      <w:r>
        <w:t>**Stochastique (%K=100, %D=100) :** Les deux lignes sont à leur niveau maximal, confirmant un état de surachat extrême. La décision de "Vente" est ici très forte, car un tel niveau est rarement soutenable et précède souvent un retournement baissier ou une phase de consolidation.</w:t>
      </w:r>
    </w:p>
    <w:p>
      <w:pPr>
        <w:spacing w:after="120" w:line="276" w:lineRule="auto"/>
      </w:pPr>
      <w:r>
        <w:t>**Conclusion technique :** La tendance de fond est résolument haussière, mais tous les oscillateurs de momentum (RSI, Stochastique) et la position du cours par rapport aux bandes de Bollinger indiquent une condition de surachat extrême. Le titre est techniquement "surchauffé" et une correction technique semble imminente, même si elle pourrait être de courte durée dans le cadre d'une tendance haussière plus large.</w:t>
      </w:r>
    </w:p>
    <w:p>
      <w:pPr>
        <w:spacing w:after="120" w:line="276" w:lineRule="auto"/>
      </w:pPr>
      <w:r>
        <w:t>---</w:t>
      </w:r>
    </w:p>
    <w:p>
      <w:pPr>
        <w:spacing w:after="120" w:line="276" w:lineRule="auto"/>
      </w:pPr>
      <w:r>
        <w:t>### PARTIE 3 : ANALYSE FONDAMENTALE (SECTION CRITIQUE)</w:t>
      </w:r>
    </w:p>
    <w:p>
      <w:pPr>
        <w:spacing w:after="120" w:line="276" w:lineRule="auto"/>
      </w:pPr>
      <w:r>
        <w:t>En 2025, la BICB a réalisé une performance financière exceptionnelle. Le Produit Net Bancaire (PNB) s'établit à 52,805 milliards FCFA, en hausse de 16,5%, et le résultat net atteint 36,237 milliards FCFA, en progression de 24,7%. Cette performance s'appuie sur une rentabilité des fonds propres (ROE) de 26,8%, un niveau excellent, et un coefficient d'exploitation de 31,1%, démontrant une grande efficacité opérationnelle. Le coût du risque (9,6%) reste un point de vigilance, mais la banque a montré sa capacité à générer une croissance rentable. Les rapports trimestriels de 2025 montrent une forte expansion commerciale (crédits +30% au T3), mais avec un résultat net en baisse au S1 (-26,7%) et au T3 (-9%) en raison d'un provisionnement prudent. Le rapport du T1 2026 (publié en 2026) confirme un rebond spectaculaire avec un résultat net en hausse de 48% à 8,0 milliards FCFA et un PNB en hausse de 35%, suggérant que les efforts de provisionnement de 2025 portent leurs fruits. Sur la base de cette dynamique du T1 2026, on peut estimer que l'exercice 2026 devrait dépasser les performances de 2025, avec un PNB annuel potentiellement supérieur à 60 milliards FCFA et un résultat net qui pourrait atteindre 40 milliards FCFA. La banque, leader au Bénin, affiche des fondamentaux très solides, une croissance soutenue et une rentabilité en amélioration, malgré des risques de crédit et de liquidité à surveiller.</w:t>
      </w:r>
    </w:p>
    <w:p>
      <w:pPr>
        <w:spacing w:after="120" w:line="276" w:lineRule="auto"/>
      </w:pPr>
      <w:r>
        <w:t>---</w:t>
      </w:r>
    </w:p>
    <w:p>
      <w:pPr>
        <w:spacing w:after="120" w:line="276" w:lineRule="auto"/>
      </w:pPr>
      <w:r>
        <w:t>### PARTIE 4 : CONCLUSION D'INVESTISSEMENT</w:t>
      </w:r>
    </w:p>
    <w:p>
      <w:pPr>
        <w:spacing w:after="120" w:line="276" w:lineRule="auto"/>
      </w:pPr>
      <w:r>
        <w:t>La valorisation de BICB (PER 15,3x, P/B 4,1x) est exigeante, mais justifiée par une croissance et une rentabilité hors normes. Le comportement du cours (+87,87% en 100 jours) est extrêmement haussier, mais les statistiques et les indicateurs techniques (RSI, Stochastique) signalent un surachat aigu, laissant présager une consolidation à court terme. Les fondamentaux, eux, sont excellents, avec une croissance à deux chiffres et une amélioration de la rentabilité, confirmées par les rapports 2025 et le T1 2026. Les prédictions IA, qui anticipent une chute du cours à 6,501 FCFA sur 10 jours, semblent intégrer ce scénario de correction technique. La convergence entre les signaux de surachat technique et les prédictions IA contraste avec la solidité des fondamentaux. Par conséquent, la recommandation est de **CONSERVER** pour les investisseurs à long terme, et d'attendre un point d'entrée plus favorable pour les nouveaux investisseurs. Le niveau de confiance est **Moyen** et le risque global est **Élevé** à court terme en raison de la volatilité. L'horizon d'investissement optimal est le **moyen terme (3-12 mois)**, après une probable phase de correction, pour profiter de la solide dynamique de croissance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506.67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649 titres</w:t>
            </w:r>
          </w:p>
        </w:tc>
        <w:tc>
          <w:tcPr>
            <w:tcW w:type="dxa" w:w="2268"/>
            <w:shd w:fill="FFF2CC" w:val="clear"/>
          </w:tcPr>
          <w:p>
            <w:r>
              <w:rPr>
                <w:b/>
                <w:color w:val="503200"/>
                <w:sz w:val="16"/>
              </w:rPr>
              <w:t xml:space="preserve">Cours actuel : </w:t>
            </w:r>
            <w:r>
              <w:rPr>
                <w:color w:val="000000"/>
                <w:sz w:val="17"/>
              </w:rPr>
              <w:t>30,400 FCFA</w:t>
            </w:r>
          </w:p>
          <w:p>
            <w:r>
              <w:rPr>
                <w:b/>
                <w:color w:val="503200"/>
                <w:sz w:val="16"/>
              </w:rPr>
              <w:t xml:space="preserve">Var. 100 jours : </w:t>
            </w:r>
            <w:r>
              <w:rPr>
                <w:b/>
                <w:color w:val="007800"/>
                <w:sz w:val="17"/>
              </w:rPr>
              <w:t>+26.67%</w:t>
            </w:r>
          </w:p>
          <w:p>
            <w:r>
              <w:rPr>
                <w:b/>
                <w:color w:val="503200"/>
                <w:sz w:val="16"/>
              </w:rPr>
              <w:t xml:space="preserve">Plus haut 100j : </w:t>
            </w:r>
            <w:r>
              <w:rPr>
                <w:color w:val="000000"/>
                <w:sz w:val="17"/>
              </w:rPr>
              <w:t>30,400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7.13% (Moyenne) — μ=27,520 FCFA, σ=1,962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β=0.2873 (Défensif) — Cov=0.000010, Var(idx)=0.000036, ρ=0.102,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649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28,692</w:t>
            </w:r>
          </w:p>
        </w:tc>
        <w:tc>
          <w:tcPr>
            <w:tcW w:type="dxa" w:w="1440"/>
            <w:shd w:fill="FFDCE0" w:val="clear"/>
          </w:tcPr>
          <w:p>
            <w:r>
              <w:rPr>
                <w:b/>
                <w:sz w:val="17"/>
              </w:rPr>
              <w:t>29,255</w:t>
            </w:r>
          </w:p>
        </w:tc>
        <w:tc>
          <w:tcPr>
            <w:tcW w:type="dxa" w:w="1440"/>
            <w:shd w:fill="FFDCE0" w:val="clear"/>
          </w:tcPr>
          <w:p>
            <w:r>
              <w:rPr>
                <w:sz w:val="17"/>
              </w:rPr>
              <w:t>29,818</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28,205</w:t>
            </w:r>
          </w:p>
        </w:tc>
        <w:tc>
          <w:tcPr>
            <w:tcW w:type="dxa" w:w="1440"/>
            <w:shd w:fill="FFDCE0" w:val="clear"/>
          </w:tcPr>
          <w:p>
            <w:r>
              <w:rPr>
                <w:b/>
                <w:sz w:val="17"/>
              </w:rPr>
              <w:t>28,994</w:t>
            </w:r>
          </w:p>
        </w:tc>
        <w:tc>
          <w:tcPr>
            <w:tcW w:type="dxa" w:w="1440"/>
            <w:shd w:fill="FFDCE0" w:val="clear"/>
          </w:tcPr>
          <w:p>
            <w:r>
              <w:rPr>
                <w:sz w:val="17"/>
              </w:rPr>
              <w:t>29,784</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27,695</w:t>
            </w:r>
          </w:p>
        </w:tc>
        <w:tc>
          <w:tcPr>
            <w:tcW w:type="dxa" w:w="1440"/>
            <w:shd w:fill="FFDCE0" w:val="clear"/>
          </w:tcPr>
          <w:p>
            <w:r>
              <w:rPr>
                <w:b/>
                <w:sz w:val="17"/>
              </w:rPr>
              <w:t>28,650</w:t>
            </w:r>
          </w:p>
        </w:tc>
        <w:tc>
          <w:tcPr>
            <w:tcW w:type="dxa" w:w="1440"/>
            <w:shd w:fill="FFDCE0" w:val="clear"/>
          </w:tcPr>
          <w:p>
            <w:r>
              <w:rPr>
                <w:sz w:val="17"/>
              </w:rPr>
              <w:t>29,605</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27,245</w:t>
            </w:r>
          </w:p>
        </w:tc>
        <w:tc>
          <w:tcPr>
            <w:tcW w:type="dxa" w:w="1440"/>
            <w:shd w:fill="FFDCE0" w:val="clear"/>
          </w:tcPr>
          <w:p>
            <w:r>
              <w:rPr>
                <w:b/>
                <w:sz w:val="17"/>
              </w:rPr>
              <w:t>28,336</w:t>
            </w:r>
          </w:p>
        </w:tc>
        <w:tc>
          <w:tcPr>
            <w:tcW w:type="dxa" w:w="1440"/>
            <w:shd w:fill="FFDCE0" w:val="clear"/>
          </w:tcPr>
          <w:p>
            <w:r>
              <w:rPr>
                <w:sz w:val="17"/>
              </w:rPr>
              <w:t>29,427</w:t>
            </w:r>
          </w:p>
        </w:tc>
        <w:tc>
          <w:tcPr>
            <w:tcW w:type="dxa" w:w="1440"/>
            <w:shd w:fill="FFDCE0" w:val="clear"/>
          </w:tcPr>
          <w:p>
            <w:r>
              <w:rPr>
                <w:b/>
                <w:color w:val="C00000"/>
                <w:sz w:val="17"/>
              </w:rPr>
              <w:t>-6.8%</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26,846</w:t>
            </w:r>
          </w:p>
        </w:tc>
        <w:tc>
          <w:tcPr>
            <w:tcW w:type="dxa" w:w="1440"/>
            <w:shd w:fill="FFDCE0" w:val="clear"/>
          </w:tcPr>
          <w:p>
            <w:r>
              <w:rPr>
                <w:b/>
                <w:sz w:val="17"/>
              </w:rPr>
              <w:t>28,054</w:t>
            </w:r>
          </w:p>
        </w:tc>
        <w:tc>
          <w:tcPr>
            <w:tcW w:type="dxa" w:w="1440"/>
            <w:shd w:fill="FFDCE0" w:val="clear"/>
          </w:tcPr>
          <w:p>
            <w:r>
              <w:rPr>
                <w:sz w:val="17"/>
              </w:rPr>
              <w:t>29,261</w:t>
            </w:r>
          </w:p>
        </w:tc>
        <w:tc>
          <w:tcPr>
            <w:tcW w:type="dxa" w:w="1440"/>
            <w:shd w:fill="FFDCE0" w:val="clear"/>
          </w:tcPr>
          <w:p>
            <w:r>
              <w:rPr>
                <w:b/>
                <w:color w:val="C00000"/>
                <w:sz w:val="17"/>
              </w:rPr>
              <w:t>-7.7%</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26,479</w:t>
            </w:r>
          </w:p>
        </w:tc>
        <w:tc>
          <w:tcPr>
            <w:tcW w:type="dxa" w:w="1440"/>
            <w:shd w:fill="FFDCE0" w:val="clear"/>
          </w:tcPr>
          <w:p>
            <w:r>
              <w:rPr>
                <w:b/>
                <w:sz w:val="17"/>
              </w:rPr>
              <w:t>27,789</w:t>
            </w:r>
          </w:p>
        </w:tc>
        <w:tc>
          <w:tcPr>
            <w:tcW w:type="dxa" w:w="1440"/>
            <w:shd w:fill="FFDCE0" w:val="clear"/>
          </w:tcPr>
          <w:p>
            <w:r>
              <w:rPr>
                <w:sz w:val="17"/>
              </w:rPr>
              <w:t>29,099</w:t>
            </w:r>
          </w:p>
        </w:tc>
        <w:tc>
          <w:tcPr>
            <w:tcW w:type="dxa" w:w="1440"/>
            <w:shd w:fill="FFDCE0" w:val="clear"/>
          </w:tcPr>
          <w:p>
            <w:r>
              <w:rPr>
                <w:b/>
                <w:color w:val="C00000"/>
                <w:sz w:val="17"/>
              </w:rPr>
              <w:t>-8.6%</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26,133</w:t>
            </w:r>
          </w:p>
        </w:tc>
        <w:tc>
          <w:tcPr>
            <w:tcW w:type="dxa" w:w="1440"/>
            <w:shd w:fill="FFDCE0" w:val="clear"/>
          </w:tcPr>
          <w:p>
            <w:r>
              <w:rPr>
                <w:b/>
                <w:sz w:val="17"/>
              </w:rPr>
              <w:t>27,535</w:t>
            </w:r>
          </w:p>
        </w:tc>
        <w:tc>
          <w:tcPr>
            <w:tcW w:type="dxa" w:w="1440"/>
            <w:shd w:fill="FFDCE0" w:val="clear"/>
          </w:tcPr>
          <w:p>
            <w:r>
              <w:rPr>
                <w:sz w:val="17"/>
              </w:rPr>
              <w:t>28,937</w:t>
            </w:r>
          </w:p>
        </w:tc>
        <w:tc>
          <w:tcPr>
            <w:tcW w:type="dxa" w:w="1440"/>
            <w:shd w:fill="FFDCE0" w:val="clear"/>
          </w:tcPr>
          <w:p>
            <w:r>
              <w:rPr>
                <w:b/>
                <w:color w:val="C00000"/>
                <w:sz w:val="17"/>
              </w:rPr>
              <w:t>-9.4%</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25,806</w:t>
            </w:r>
          </w:p>
        </w:tc>
        <w:tc>
          <w:tcPr>
            <w:tcW w:type="dxa" w:w="1440"/>
            <w:shd w:fill="FFDCE0" w:val="clear"/>
          </w:tcPr>
          <w:p>
            <w:r>
              <w:rPr>
                <w:b/>
                <w:sz w:val="17"/>
              </w:rPr>
              <w:t>27,291</w:t>
            </w:r>
          </w:p>
        </w:tc>
        <w:tc>
          <w:tcPr>
            <w:tcW w:type="dxa" w:w="1440"/>
            <w:shd w:fill="FFDCE0" w:val="clear"/>
          </w:tcPr>
          <w:p>
            <w:r>
              <w:rPr>
                <w:sz w:val="17"/>
              </w:rPr>
              <w:t>28,777</w:t>
            </w:r>
          </w:p>
        </w:tc>
        <w:tc>
          <w:tcPr>
            <w:tcW w:type="dxa" w:w="1440"/>
            <w:shd w:fill="FFDCE0" w:val="clear"/>
          </w:tcPr>
          <w:p>
            <w:r>
              <w:rPr>
                <w:b/>
                <w:color w:val="C00000"/>
                <w:sz w:val="17"/>
              </w:rPr>
              <w:t>-10.2%</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25,494</w:t>
            </w:r>
          </w:p>
        </w:tc>
        <w:tc>
          <w:tcPr>
            <w:tcW w:type="dxa" w:w="1440"/>
            <w:shd w:fill="FFDCE0" w:val="clear"/>
          </w:tcPr>
          <w:p>
            <w:r>
              <w:rPr>
                <w:b/>
                <w:sz w:val="17"/>
              </w:rPr>
              <w:t>27,056</w:t>
            </w:r>
          </w:p>
        </w:tc>
        <w:tc>
          <w:tcPr>
            <w:tcW w:type="dxa" w:w="1440"/>
            <w:shd w:fill="FFDCE0" w:val="clear"/>
          </w:tcPr>
          <w:p>
            <w:r>
              <w:rPr>
                <w:sz w:val="17"/>
              </w:rPr>
              <w:t>28,619</w:t>
            </w:r>
          </w:p>
        </w:tc>
        <w:tc>
          <w:tcPr>
            <w:tcW w:type="dxa" w:w="1440"/>
            <w:shd w:fill="FFDCE0" w:val="clear"/>
          </w:tcPr>
          <w:p>
            <w:r>
              <w:rPr>
                <w:b/>
                <w:color w:val="C00000"/>
                <w:sz w:val="17"/>
              </w:rPr>
              <w:t>-11.0%</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25,198</w:t>
            </w:r>
          </w:p>
        </w:tc>
        <w:tc>
          <w:tcPr>
            <w:tcW w:type="dxa" w:w="1440"/>
            <w:shd w:fill="FFDCE0" w:val="clear"/>
          </w:tcPr>
          <w:p>
            <w:r>
              <w:rPr>
                <w:b/>
                <w:sz w:val="17"/>
              </w:rPr>
              <w:t>26,830</w:t>
            </w:r>
          </w:p>
        </w:tc>
        <w:tc>
          <w:tcPr>
            <w:tcW w:type="dxa" w:w="1440"/>
            <w:shd w:fill="FFDCE0" w:val="clear"/>
          </w:tcPr>
          <w:p>
            <w:r>
              <w:rPr>
                <w:sz w:val="17"/>
              </w:rPr>
              <w:t>28,463</w:t>
            </w:r>
          </w:p>
        </w:tc>
        <w:tc>
          <w:tcPr>
            <w:tcW w:type="dxa" w:w="1440"/>
            <w:shd w:fill="FFDCE0" w:val="clear"/>
          </w:tcPr>
          <w:p>
            <w:r>
              <w:rPr>
                <w:b/>
                <w:color w:val="C00000"/>
                <w:sz w:val="17"/>
              </w:rPr>
              <w:t>-11.7%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506,67 milliards FCFA, ce qui positionne le titre parmi les valeurs bancaires majeures de la BRVM, bénéficiant d'une liquidité et d'une visibilité importantes. Avec un BPA de 2 191 FCFA, chaque action génère un bénéfice substantiel, justifiant un PER de 13,9x. Ce niveau est légèrement supérieur à la moyenne historique du marché (8-12x), indiquant que les investisseurs acceptent de payer une prime pour la qualité de la banque et sa croissance soutenue. Le P/B de 4,20x confirme cette prime, le marché valorisant fortement les capitaux propres de la banque, signe d'une rentabilité des fonds propres (ROE) exceptionnelle. Enfin, un EV/EBITDA de 9,9x reste dans une zone raisonnable (5-10x), suggérant que la valeur d'entreprise n'est pas excessive par rapport à la capacité opérationnelle de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remarquable de +26,67%, avec une dernière séance en hausse de +1,67% à 30 400 FCFA, son plus haut niveau sur la période. Le titre a évolué dans un range de 22 500 à 30 400 FCFA, démontrant une tendance haussière soutenue. La moyenne (27 520 FCFA) est inférieure à la médiane (28 302 FCFA) et le skewness est négatif (-1,012), indiquant que le cours a passé plus de journées au-dessus de sa moyenne, ce qui est caractéristique d'une forte dynamique acheteuse. L'écart-type de 1 972 FCFA (CV de 7,2%) révèle une dispersion modérée autour de la moyenne, tandis que le kurtosis de -0,251 (mésokurtique) suggère une distribution des rendements proche de la normale, sans risque de pics extrêmes. La volatilité annualisée de 26,8% classe le titre dans la catégorie modérée (15-30%), offrant un équilibre entre potentiel de rendement et stabilité.</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le cours actuel (30 400 FCFA) est nettement au-dessus de la MM20 (29 236,75 FCFA) et de la MM50 (28 788,6 FCFA). Cette structure positive confirme la tendance de fond et justifie la décision d'**Achat**, le titre évoluant dans un canal ascendant.</w:t>
      </w:r>
    </w:p>
    <w:p>
      <w:pPr>
        <w:spacing w:after="120" w:line="276" w:lineRule="auto"/>
      </w:pPr>
      <w:r>
        <w:t>Les **Bandes de Bollinger** montrent un cours qui a franchi la borne supérieure (30 170,76 FCFA), signalant une phase de surachat temporaire. Cette sortie de bande indique une volatilité accrue et un momentum très fort, mais la décision de **Vente** suggère un risque de correction technique à court terme, le marché étant étendu.</w:t>
      </w:r>
    </w:p>
    <w:p>
      <w:pPr>
        <w:spacing w:after="120" w:line="276" w:lineRule="auto"/>
      </w:pPr>
      <w:r>
        <w:t>Le **MACD** affiche une valeur (342,606) supérieure à son signal (229,335), avec un écart positif croissant. Cette configuration confirme la vigueur du momentum haussier et la décision d'**Achat**. La dynamique positive reste intacte tant que le MACD demeure au-dessus de sa ligne de signal.</w:t>
      </w:r>
    </w:p>
    <w:p>
      <w:pPr>
        <w:spacing w:after="120" w:line="276" w:lineRule="auto"/>
      </w:pPr>
      <w:r>
        <w:t>Le **RSI** à 66,28 se situe en zone neutre, juste en dessous du seuil de surachat (70). Cela indique que la pression acheteuse est forte mais pas encore excessive, laissant une marge de progression avant une potentielle consolidation. La décision est **Neutre**, le titre n'étant ni survendu ni suracheté.</w:t>
      </w:r>
    </w:p>
    <w:p>
      <w:pPr>
        <w:spacing w:after="120" w:line="276" w:lineRule="auto"/>
      </w:pPr>
      <w:r>
        <w:t>Le **Stochastique** est extrêmement élevé avec un %K à 100 et un %D à 96,59, signalant une condition de surachat sévère. Cette configuration suggère que le titre est arrivé en fin de cycle haussier à court terme et qu'un repli technique est probable. La décision de **Vente** est donc justifiée pour un horizon immédiat.</w:t>
      </w:r>
    </w:p>
    <w:p>
      <w:pPr>
        <w:spacing w:after="120" w:line="276" w:lineRule="auto"/>
      </w:pPr>
      <w:r>
        <w:t>En conclusion, la tendance de fond reste résolument haussière, portée par les moyennes mobiles et le MACD. Cependant, les oscillateurs (Bollinger et Stochastique) indiquent des conditions de surachat extrême, laissant présager une consolidation ou un léger repli à très court terme avant la poursuite de la tendance principale.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(secteur banque) révèlent une performance exceptionnelle. Le Produit Net Bancaire (PNB) s'établit à 79,563 milliards FCFA, en croissance de 16,9% par rapport à 2024 (68,063 milliards FCFA). Le résultat net atteint 36,520 milliards FCFA, contre 26,226 milliards en 2024, soit une progression de 39,2%. Cette performance se traduit par un ROE de 30,29% et un ROA de 3,24%, tous deux excellents et nettement supérieurs aux moyennes sectorielles. Le coefficient d'exploitation de 50,83% témoigne d'une excellente maîtrise des charges, tandis que le coût du risque (-12,15%) reflète une gestion prudente du portefeuille de crédits. Les dépôts clientèle (952,872 milliards FCFA) couvrent largement les créances sur la clientèle (524,439 milliards FCFA), assurant une liquidité abondante. Les rapports trimestriels confirment cette dynamique : le T1 2025 (PNB de 18,130 milliards, +9,3%), le S1 2025 (PNB de 37,146 milliards, +16,6%) et le T3 2025 (PNB cumulé de 58,119 milliards, +16,4%) montrent une accélération continue. Sur la base du rapport T1 2026 (PNB de 21,214 milliards, +17,0% et résultat net de 10,387 milliards, +29,7%), on estime que l'exercice 2026 devrait confirmer cette trajectoire de croissance à deux chiffres, avec un PNB annuel potentiel dépassant 85 milliards FCFA. La banque démontre une solidité financière remarquable, une croissance rentable et une gestion rigoureuse des risques, justifiant une recommandation fondamentale positive.</w:t>
      </w:r>
    </w:p>
    <w:p>
      <w:pPr>
        <w:spacing w:after="120" w:line="276" w:lineRule="auto" w:before="240"/>
      </w:pPr>
      <w:r>
        <w:rPr>
          <w:b/>
          <w:color w:val="003366"/>
          <w:sz w:val="24"/>
        </w:rPr>
        <w:t>**PARTIE 4 : CONCLUSION D'INVESTISSEMENT**</w:t>
      </w:r>
    </w:p>
    <w:p>
      <w:pPr>
        <w:spacing w:after="120" w:line="276" w:lineRule="auto"/>
      </w:pPr>
      <w:r>
        <w:t>La valorisation de BICC (PER de 13,9x, P/B de 4,20x) reflète une prime de qualité par rapport au marché, justifiée par une rentabilité exceptionnelle (ROE &gt;30%) et une croissance soutenue. Le comportement du cours sur 100 jours (+26,67%) montre une tendance haussière robuste, avec une volatilité modérée et une distribution statistique saine. Les signaux techniques sont partagés : la tendance de fond (MM, MACD) est positive, mais les indicateurs de surachat (Bollinger, Stochastique) suggèrent un risque de consolidation à court terme. Les fondamentaux sont excellents, avec une croissance à deux chiffres du PNB et du résultat net, une maîtrise des coûts et une qualité d'actifs préservée. Les prédictions IA (J+1 à J+10) indiquent un repli progressif vers 28 050 FCFA, confirmant le scénario de correction technique après la forte hausse récente. Cette divergence entre les signaux techniques de court terme et la solidité fondamentale à moyen terme conduit à une recommandation **CONSERVER** pour les investisseurs existants, avec un niveau de confiance **Moyen** et un risque global **Moyen**. Pour les nouveaux investisseurs, il est suggéré d'attendre un repli vers la zone des 28 000-29 000 FCFA pour initier une position, avec un horizon d'investissement optimal à **moyen terme (3-12 mois)** pour bénéficier de la poursuite de la croissance des résultats.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14.71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2,622 titres</w:t>
            </w:r>
          </w:p>
        </w:tc>
        <w:tc>
          <w:tcPr>
            <w:tcW w:type="dxa" w:w="2268"/>
            <w:shd w:fill="FFF2CC" w:val="clear"/>
          </w:tcPr>
          <w:p>
            <w:r>
              <w:rPr>
                <w:b/>
                <w:color w:val="503200"/>
                <w:sz w:val="16"/>
              </w:rPr>
              <w:t xml:space="preserve">Cours actuel : </w:t>
            </w:r>
            <w:r>
              <w:rPr>
                <w:color w:val="000000"/>
                <w:sz w:val="17"/>
              </w:rPr>
              <w:t>2,220 FCFA</w:t>
            </w:r>
          </w:p>
          <w:p>
            <w:r>
              <w:rPr>
                <w:b/>
                <w:color w:val="503200"/>
                <w:sz w:val="16"/>
              </w:rPr>
              <w:t xml:space="preserve">Var. 100 jours : </w:t>
            </w:r>
            <w:r>
              <w:rPr>
                <w:b/>
                <w:color w:val="007800"/>
                <w:sz w:val="17"/>
              </w:rPr>
              <w:t>+40.06%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13.16% (Moyenne) — μ=1,799 FCFA, σ=237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β=0.0735 (Défensif) — Cov=0.000003, Var(idx)=0.000036, ρ=0.014,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2,144</w:t>
            </w:r>
          </w:p>
        </w:tc>
        <w:tc>
          <w:tcPr>
            <w:tcW w:type="dxa" w:w="1440"/>
            <w:shd w:fill="FAFAFA" w:val="clear"/>
          </w:tcPr>
          <w:p>
            <w:r>
              <w:rPr>
                <w:b/>
                <w:sz w:val="17"/>
              </w:rPr>
              <w:t>2,246</w:t>
            </w:r>
          </w:p>
        </w:tc>
        <w:tc>
          <w:tcPr>
            <w:tcW w:type="dxa" w:w="1440"/>
            <w:shd w:fill="FAFAFA" w:val="clear"/>
          </w:tcPr>
          <w:p>
            <w:r>
              <w:rPr>
                <w:sz w:val="17"/>
              </w:rPr>
              <w:t>2,348</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2026-09-04</w:t>
            </w:r>
          </w:p>
        </w:tc>
        <w:tc>
          <w:tcPr>
            <w:tcW w:type="dxa" w:w="1440"/>
            <w:shd w:fill="FAFAFA" w:val="clear"/>
          </w:tcPr>
          <w:p>
            <w:r>
              <w:rPr>
                <w:sz w:val="17"/>
              </w:rPr>
              <w:t>2,081</w:t>
            </w:r>
          </w:p>
        </w:tc>
        <w:tc>
          <w:tcPr>
            <w:tcW w:type="dxa" w:w="1440"/>
            <w:shd w:fill="FAFAFA" w:val="clear"/>
          </w:tcPr>
          <w:p>
            <w:r>
              <w:rPr>
                <w:b/>
                <w:sz w:val="17"/>
              </w:rPr>
              <w:t>2,224</w:t>
            </w:r>
          </w:p>
        </w:tc>
        <w:tc>
          <w:tcPr>
            <w:tcW w:type="dxa" w:w="1440"/>
            <w:shd w:fill="FAFAFA" w:val="clear"/>
          </w:tcPr>
          <w:p>
            <w:r>
              <w:rPr>
                <w:sz w:val="17"/>
              </w:rPr>
              <w:t>2,367</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2026-09-07</w:t>
            </w:r>
          </w:p>
        </w:tc>
        <w:tc>
          <w:tcPr>
            <w:tcW w:type="dxa" w:w="1440"/>
            <w:shd w:fill="FAFAFA" w:val="clear"/>
          </w:tcPr>
          <w:p>
            <w:r>
              <w:rPr>
                <w:sz w:val="17"/>
              </w:rPr>
              <w:t>2,041</w:t>
            </w:r>
          </w:p>
        </w:tc>
        <w:tc>
          <w:tcPr>
            <w:tcW w:type="dxa" w:w="1440"/>
            <w:shd w:fill="FAFAFA" w:val="clear"/>
          </w:tcPr>
          <w:p>
            <w:r>
              <w:rPr>
                <w:b/>
                <w:sz w:val="17"/>
              </w:rPr>
              <w:t>2,215</w:t>
            </w:r>
          </w:p>
        </w:tc>
        <w:tc>
          <w:tcPr>
            <w:tcW w:type="dxa" w:w="1440"/>
            <w:shd w:fill="FAFAFA" w:val="clear"/>
          </w:tcPr>
          <w:p>
            <w:r>
              <w:rPr>
                <w:sz w:val="17"/>
              </w:rPr>
              <w:t>2,390</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2026-09-08</w:t>
            </w:r>
          </w:p>
        </w:tc>
        <w:tc>
          <w:tcPr>
            <w:tcW w:type="dxa" w:w="1440"/>
            <w:shd w:fill="FAFAFA" w:val="clear"/>
          </w:tcPr>
          <w:p>
            <w:r>
              <w:rPr>
                <w:sz w:val="17"/>
              </w:rPr>
              <w:t>2,008</w:t>
            </w:r>
          </w:p>
        </w:tc>
        <w:tc>
          <w:tcPr>
            <w:tcW w:type="dxa" w:w="1440"/>
            <w:shd w:fill="FAFAFA" w:val="clear"/>
          </w:tcPr>
          <w:p>
            <w:r>
              <w:rPr>
                <w:b/>
                <w:sz w:val="17"/>
              </w:rPr>
              <w:t>2,208</w:t>
            </w:r>
          </w:p>
        </w:tc>
        <w:tc>
          <w:tcPr>
            <w:tcW w:type="dxa" w:w="1440"/>
            <w:shd w:fill="FAFAFA" w:val="clear"/>
          </w:tcPr>
          <w:p>
            <w:r>
              <w:rPr>
                <w:sz w:val="17"/>
              </w:rPr>
              <w:t>2,409</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2026-09-09</w:t>
            </w:r>
          </w:p>
        </w:tc>
        <w:tc>
          <w:tcPr>
            <w:tcW w:type="dxa" w:w="1440"/>
            <w:shd w:fill="FAFAFA" w:val="clear"/>
          </w:tcPr>
          <w:p>
            <w:r>
              <w:rPr>
                <w:sz w:val="17"/>
              </w:rPr>
              <w:t>1,978</w:t>
            </w:r>
          </w:p>
        </w:tc>
        <w:tc>
          <w:tcPr>
            <w:tcW w:type="dxa" w:w="1440"/>
            <w:shd w:fill="FAFAFA" w:val="clear"/>
          </w:tcPr>
          <w:p>
            <w:r>
              <w:rPr>
                <w:b/>
                <w:sz w:val="17"/>
              </w:rPr>
              <w:t>2,202</w:t>
            </w:r>
          </w:p>
        </w:tc>
        <w:tc>
          <w:tcPr>
            <w:tcW w:type="dxa" w:w="1440"/>
            <w:shd w:fill="FAFAFA" w:val="clear"/>
          </w:tcPr>
          <w:p>
            <w:r>
              <w:rPr>
                <w:sz w:val="17"/>
              </w:rPr>
              <w:t>2,425</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2026-09-10</w:t>
            </w:r>
          </w:p>
        </w:tc>
        <w:tc>
          <w:tcPr>
            <w:tcW w:type="dxa" w:w="1440"/>
            <w:shd w:fill="FAFAFA" w:val="clear"/>
          </w:tcPr>
          <w:p>
            <w:r>
              <w:rPr>
                <w:sz w:val="17"/>
              </w:rPr>
              <w:t>1,950</w:t>
            </w:r>
          </w:p>
        </w:tc>
        <w:tc>
          <w:tcPr>
            <w:tcW w:type="dxa" w:w="1440"/>
            <w:shd w:fill="FAFAFA" w:val="clear"/>
          </w:tcPr>
          <w:p>
            <w:r>
              <w:rPr>
                <w:b/>
                <w:sz w:val="17"/>
              </w:rPr>
              <w:t>2,195</w:t>
            </w:r>
          </w:p>
        </w:tc>
        <w:tc>
          <w:tcPr>
            <w:tcW w:type="dxa" w:w="1440"/>
            <w:shd w:fill="FAFAFA" w:val="clear"/>
          </w:tcPr>
          <w:p>
            <w:r>
              <w:rPr>
                <w:sz w:val="17"/>
              </w:rPr>
              <w:t>2,439</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2026-09-11</w:t>
            </w:r>
          </w:p>
        </w:tc>
        <w:tc>
          <w:tcPr>
            <w:tcW w:type="dxa" w:w="1440"/>
            <w:shd w:fill="FAFAFA" w:val="clear"/>
          </w:tcPr>
          <w:p>
            <w:r>
              <w:rPr>
                <w:sz w:val="17"/>
              </w:rPr>
              <w:t>1,925</w:t>
            </w:r>
          </w:p>
        </w:tc>
        <w:tc>
          <w:tcPr>
            <w:tcW w:type="dxa" w:w="1440"/>
            <w:shd w:fill="FAFAFA" w:val="clear"/>
          </w:tcPr>
          <w:p>
            <w:r>
              <w:rPr>
                <w:b/>
                <w:sz w:val="17"/>
              </w:rPr>
              <w:t>2,188</w:t>
            </w:r>
          </w:p>
        </w:tc>
        <w:tc>
          <w:tcPr>
            <w:tcW w:type="dxa" w:w="1440"/>
            <w:shd w:fill="FAFAFA" w:val="clear"/>
          </w:tcPr>
          <w:p>
            <w:r>
              <w:rPr>
                <w:sz w:val="17"/>
              </w:rPr>
              <w:t>2,451</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2026-09-14</w:t>
            </w:r>
          </w:p>
        </w:tc>
        <w:tc>
          <w:tcPr>
            <w:tcW w:type="dxa" w:w="1440"/>
            <w:shd w:fill="FAFAFA" w:val="clear"/>
          </w:tcPr>
          <w:p>
            <w:r>
              <w:rPr>
                <w:sz w:val="17"/>
              </w:rPr>
              <w:t>1,901</w:t>
            </w:r>
          </w:p>
        </w:tc>
        <w:tc>
          <w:tcPr>
            <w:tcW w:type="dxa" w:w="1440"/>
            <w:shd w:fill="FAFAFA" w:val="clear"/>
          </w:tcPr>
          <w:p>
            <w:r>
              <w:rPr>
                <w:b/>
                <w:sz w:val="17"/>
              </w:rPr>
              <w:t>2,182</w:t>
            </w:r>
          </w:p>
        </w:tc>
        <w:tc>
          <w:tcPr>
            <w:tcW w:type="dxa" w:w="1440"/>
            <w:shd w:fill="FAFAFA" w:val="clear"/>
          </w:tcPr>
          <w:p>
            <w:r>
              <w:rPr>
                <w:sz w:val="17"/>
              </w:rPr>
              <w:t>2,462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2026-09-15</w:t>
            </w:r>
          </w:p>
        </w:tc>
        <w:tc>
          <w:tcPr>
            <w:tcW w:type="dxa" w:w="1440"/>
            <w:shd w:fill="FAFAFA" w:val="clear"/>
          </w:tcPr>
          <w:p>
            <w:r>
              <w:rPr>
                <w:sz w:val="17"/>
              </w:rPr>
              <w:t>1,879</w:t>
            </w:r>
          </w:p>
        </w:tc>
        <w:tc>
          <w:tcPr>
            <w:tcW w:type="dxa" w:w="1440"/>
            <w:shd w:fill="FAFAFA" w:val="clear"/>
          </w:tcPr>
          <w:p>
            <w:r>
              <w:rPr>
                <w:b/>
                <w:sz w:val="17"/>
              </w:rPr>
              <w:t>2,176</w:t>
            </w:r>
          </w:p>
        </w:tc>
        <w:tc>
          <w:tcPr>
            <w:tcW w:type="dxa" w:w="1440"/>
            <w:shd w:fill="FAFAFA" w:val="clear"/>
          </w:tcPr>
          <w:p>
            <w:r>
              <w:rPr>
                <w:sz w:val="17"/>
              </w:rPr>
              <w:t>2,473</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1,858</w:t>
            </w:r>
          </w:p>
        </w:tc>
        <w:tc>
          <w:tcPr>
            <w:tcW w:type="dxa" w:w="1440"/>
            <w:shd w:fill="FFDCE0" w:val="clear"/>
          </w:tcPr>
          <w:p>
            <w:r>
              <w:rPr>
                <w:b/>
                <w:sz w:val="17"/>
              </w:rPr>
              <w:t>2,170</w:t>
            </w:r>
          </w:p>
        </w:tc>
        <w:tc>
          <w:tcPr>
            <w:tcW w:type="dxa" w:w="1440"/>
            <w:shd w:fill="FFDCE0" w:val="clear"/>
          </w:tcPr>
          <w:p>
            <w:r>
              <w:rPr>
                <w:sz w:val="17"/>
              </w:rPr>
              <w:t>2,482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Absolument. Voici un rapport d'analyse professionnel structuré pour l'action BNBC (Bernabé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14,71 milliards FCFA, un niveau modeste qui la classe parmi les petites capitalisations de la BRVM. Le BPA de 3 FCFA par action est extrêmement faible, ce qui explique un PER de 658,9x, très largement supérieur à la moyenne du marché (8-12x). Les investisseurs paient donc un prix excessif pour des bénéfices quasi inexistants, signe d'une spéculation sur une reprise future plutôt que sur la rentabilité actuelle. En revanche, le P/B de 0,83x indique que le marché valorise le titre sous sa valeur comptable (17,77 Mds FCFA), ce qui pourrait représenter une opportunité pour un investisseur valeur. Enfin, l'EV/EBITDA de 25,0x, bien que supérieur au seuil de 15x, est à relativiser au vu de la faiblesse de l'EBE (2,009 Mds FCFA) et de l'endettement net important.</w:t>
      </w:r>
    </w:p>
    <w:p>
      <w:pPr>
        <w:spacing w:after="120" w:line="276" w:lineRule="auto"/>
      </w:pPr>
      <w:r>
        <w:t>### PARTIE 1 : ANALYSE DU COURS — STATISTIQUES ET ÉVOLUTION (100 derniers jours)</w:t>
      </w:r>
    </w:p>
    <w:p>
      <w:pPr>
        <w:spacing w:after="120" w:line="276" w:lineRule="auto"/>
      </w:pPr>
      <w:r>
        <w:t>Sur les 100 derniers jours, l'action BNBC a connu une hausse spectaculaire de +40,06%, mais a subi une forte correction de -7,50% lors de la dernière séance, clôturant à 2 220 FCFA. Le titre a évolué dans une fourchette large de 1 300 à 2 400 FCFA, démontrant une forte volatilité. La moyenne (1 799 FCFA) est inférieure à la médiane (1 878 FCFA), indiquant que la récente poussée haussière a tiré le cours vers le haut, créant une asymétrie positive sur la période. L'écart-type de 238 FCFA (CV=13,2%) montre une dispersion modérée des prix autour de la moyenne. Le kurtosis négatif (-0.628) suggère une distribution "mésokurtique" avec moins de valeurs extrêmes qu'une normale, tandis que le skewness quasi nul (0.003) confirme une distribution symétrique. La volatilité annualisée de 51,1% est très élevée, classant le titre comme risqué, avec des fluctuations de prix importantes.</w:t>
      </w:r>
    </w:p>
    <w:p>
      <w:pPr>
        <w:spacing w:after="120" w:line="276" w:lineRule="auto"/>
      </w:pPr>
      <w:r>
        <w:t>### PARTIE 2 : ANALYSE TECHNIQUE DÉTAILLÉE</w:t>
      </w:r>
    </w:p>
    <w:p>
      <w:pPr>
        <w:spacing w:after="120" w:line="276" w:lineRule="auto"/>
      </w:pPr>
      <w:r>
        <w:t>**Moyennes Mobiles**: Le cours actuel (2 220 FCFA) est nettement supérieur à la MM20 (2 060,75 FCFA) et à la MM50 (1 979,0 FCFA). Cette configuration haussière, où le prix est au-dessus des deux moyennes, confirme une tendance positive à court et moyen terme. La décision d'achat est justifiée par ce croisement haussier.</w:t>
      </w:r>
    </w:p>
    <w:p>
      <w:pPr>
        <w:spacing w:after="120" w:line="276" w:lineRule="auto"/>
      </w:pPr>
      <w:r>
        <w:t>**Bandes de Bollinger**: Le prix (2 220 FCFA) se situe sous la borne supérieure (2 368,17 FCFA) mais au-dessus de la borne inférieure (1 753,33 FCFA). La largeur des bandes indique une volatilité élevée. Le signal "Neutre" suggère que le titre n'est ni suracheté ni survendu, mais la récente baisse pourrait le faire évoluer vers le milieu de la bande.</w:t>
      </w:r>
    </w:p>
    <w:p>
      <w:pPr>
        <w:spacing w:after="120" w:line="276" w:lineRule="auto"/>
      </w:pPr>
      <w:r>
        <w:t>**MACD**: Le MACD (98,33) est nettement supérieur à sa ligne de signal (67,74), ce qui est un signal d'achat fort. Cette divergence positive indique un momentum haussier soutenu, bien que la récente baisse du cours puisse entraîner un resserrement de l'écart.</w:t>
      </w:r>
    </w:p>
    <w:p>
      <w:pPr>
        <w:spacing w:after="120" w:line="276" w:lineRule="auto"/>
      </w:pPr>
      <w:r>
        <w:t>**RSI**: Le RSI à 67,72 est en zone neutre, mais proche du seuil de surachat (70). Cela signifie que le titre a été fortement acheté récemment et pourrait être sujet à une consolidation ou à un repli à court terme. La décision est neutre, mais la prudence est de mise.</w:t>
      </w:r>
    </w:p>
    <w:p>
      <w:pPr>
        <w:spacing w:after="120" w:line="276" w:lineRule="auto"/>
      </w:pPr>
      <w:r>
        <w:t>**Stochastique**: Le %K (56,63) est inférieur au %D (85,01), ce qui indique un croisement baissier potentiel. Le %D étant très élevé, le titre semble avoir été survendu, et ce croisement pourrait signaler un retournement baissier imminent. La décision est neutre, mais ce signal est un avertissement.</w:t>
      </w:r>
    </w:p>
    <w:p>
      <w:pPr>
        <w:spacing w:after="120" w:line="276" w:lineRule="auto"/>
      </w:pPr>
      <w:r>
        <w:t>**Conclusion technique**: Les indicateurs de tendance (MM, MACD) sont positifs, mais les oscillateurs (RSI, Stochastique) montrent des signes de faiblesse et de surachat. La forte baisse de la dernière séance pourrait être le début d'une correction. Le signal global est donc **mitigé**, avec une tendance haussière de fond mais un risque de repli à court terme.</w:t>
      </w:r>
    </w:p>
    <w:p>
      <w:pPr>
        <w:spacing w:after="120" w:line="276" w:lineRule="auto"/>
      </w:pPr>
      <w:r>
        <w:t>### PARTIE 3 : ANALYSE FONDAMENTALE (SECTION CRITIQUE)</w:t>
      </w:r>
    </w:p>
    <w:p>
      <w:pPr>
        <w:spacing w:after="120" w:line="276" w:lineRule="auto"/>
      </w:pPr>
      <w:r>
        <w:t>En tant qu'entreprise non bancaire, l'analyse de BNBC se concentre sur son chiffre d'affaires et sa structure de coûts. En 2025, le CA s'établit à 42,45 milliards FCFA, en baisse de -6,31% par rapport à 2024 (45,31 Mds FCFA). Le résultat net est symbolique à 22,32 millions FCFA, soit une marge nette de 0,05%, et un ROE de 0,13% et un ROA de 0,05% extrêmement faibles. La structure financière est très fragile : le BFR est massivement positif (29,37 Mds FCFA), avec des délais clients (104 jours) et de stockage (339 jours) très élevés, ce qui immobilise la trésorerie. La trésorerie nette est fortement négative (-16,69 Mds FCFA), et la capacité de remboursement est de 19,17 ans, un niveau critique. Les rapports trimestriels de 2025 montrent une dégradation continue : le S1 2025 affiche une perte de -139,57 millions FCFA, et le cumul sur 9 mois une perte de -157,03 millions FCFA. Cependant, le rapport du T1 2026 (publié en mai 2026) fait état d'un retour à un résultat net positif de 65,57 millions FCFA, grâce à l'intégration de la division Équipement. Sur la base de ce T1 2026, on peut estimer que l'exercice 2026 pourrait voir une amélioration de la rentabilité, mais la prudence reste de mise. Les fondamentaux sont donc très dégradés, avec une rentabilité anémique et un risque de liquidité majeur.</w:t>
      </w:r>
    </w:p>
    <w:p>
      <w:pPr>
        <w:spacing w:after="120" w:line="276" w:lineRule="auto"/>
      </w:pPr>
      <w:r>
        <w:t>### PARTIE 4 : CONCLUSION D'INVESTISSEMENT</w:t>
      </w:r>
    </w:p>
    <w:p>
      <w:pPr>
        <w:spacing w:after="120" w:line="276" w:lineRule="auto"/>
      </w:pPr>
      <w:r>
        <w:t>La valorisation de BNBC est extrêmement exigeante (PER &gt; 650x), mais le P/B sous les 1x pourrait attirer les investisseurs en quête d'actifs décotés. Le comportement du cours est haussier sur la période, mais la volatilité est très élevée (51,1%) et la récente chute de -7,5% suggère un retournement possible. Les signaux techniques sont mitigés : la tendance de fond reste positive, mais les oscillateurs indiquent un risque de correction. Les fondamentaux sont très préoccupants : rentabilité quasi nulle, trésorerie exsangue et BFR massif, malgré un retour aux bénéfices au T1 2026. Les prédictions IA (2 246 à 2 202 FCFA sur 10 jours) suggèrent une stabilisation, voire une légère baisse, ce qui contredit la tendance haussière récente et confirme le risque de consolidation. En synthèse, la valorisation est injustifiée par les fondamentaux actuels, les signaux techniques sont incertains, et la santé financière est fragile. La recommandation finale est **VENTE**, avec un niveau de confiance **Moyen** et un risque global **Élevé**. L'horizon d'investissement optimal serait le **court terme (&lt; 3 mois)** pour les investisseurs cherchant à profiter d'une éventuelle correction, ou la sortie pour les détenteurs actuels.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5,992 titres</w:t>
            </w:r>
          </w:p>
        </w:tc>
        <w:tc>
          <w:tcPr>
            <w:tcW w:type="dxa" w:w="2268"/>
            <w:shd w:fill="FFF2CC" w:val="clear"/>
          </w:tcPr>
          <w:p>
            <w:r>
              <w:rPr>
                <w:b/>
                <w:color w:val="503200"/>
                <w:sz w:val="16"/>
              </w:rPr>
              <w:t xml:space="preserve">Cours actuel : </w:t>
            </w:r>
            <w:r>
              <w:rPr>
                <w:color w:val="000000"/>
                <w:sz w:val="17"/>
              </w:rPr>
              <w:t>10,245 FCFA</w:t>
            </w:r>
          </w:p>
          <w:p>
            <w:r>
              <w:rPr>
                <w:b/>
                <w:color w:val="503200"/>
                <w:sz w:val="16"/>
              </w:rPr>
              <w:t xml:space="preserve">Var. 100 jours : </w:t>
            </w:r>
            <w:r>
              <w:rPr>
                <w:b/>
                <w:color w:val="007800"/>
                <w:sz w:val="17"/>
              </w:rPr>
              <w:t>+34.89%</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μ=8,860 FCFA, σ=586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β=-0.3270 (Contre-cyclique) — Cov=-0.000012, Var(idx)=0.000036, ρ=-0.114,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9,440</w:t>
            </w:r>
          </w:p>
        </w:tc>
        <w:tc>
          <w:tcPr>
            <w:tcW w:type="dxa" w:w="1440"/>
            <w:shd w:fill="FFDCE0" w:val="clear"/>
          </w:tcPr>
          <w:p>
            <w:r>
              <w:rPr>
                <w:b/>
                <w:sz w:val="17"/>
              </w:rPr>
              <w:t>9,777</w:t>
            </w:r>
          </w:p>
        </w:tc>
        <w:tc>
          <w:tcPr>
            <w:tcW w:type="dxa" w:w="1440"/>
            <w:shd w:fill="FFDCE0" w:val="clear"/>
          </w:tcPr>
          <w:p>
            <w:r>
              <w:rPr>
                <w:sz w:val="17"/>
              </w:rPr>
              <w:t>10,114</w:t>
            </w:r>
          </w:p>
        </w:tc>
        <w:tc>
          <w:tcPr>
            <w:tcW w:type="dxa" w:w="1440"/>
            <w:shd w:fill="FFDCE0" w:val="clear"/>
          </w:tcPr>
          <w:p>
            <w:r>
              <w:rPr>
                <w:b/>
                <w:color w:val="C00000"/>
                <w:sz w:val="17"/>
              </w:rPr>
              <w:t>-4.6%</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9,064</w:t>
            </w:r>
          </w:p>
        </w:tc>
        <w:tc>
          <w:tcPr>
            <w:tcW w:type="dxa" w:w="1440"/>
            <w:shd w:fill="FFDCE0" w:val="clear"/>
          </w:tcPr>
          <w:p>
            <w:r>
              <w:rPr>
                <w:b/>
                <w:sz w:val="17"/>
              </w:rPr>
              <w:t>9,529</w:t>
            </w:r>
          </w:p>
        </w:tc>
        <w:tc>
          <w:tcPr>
            <w:tcW w:type="dxa" w:w="1440"/>
            <w:shd w:fill="FFDCE0" w:val="clear"/>
          </w:tcPr>
          <w:p>
            <w:r>
              <w:rPr>
                <w:sz w:val="17"/>
              </w:rPr>
              <w:t>9,993</w:t>
            </w:r>
          </w:p>
        </w:tc>
        <w:tc>
          <w:tcPr>
            <w:tcW w:type="dxa" w:w="1440"/>
            <w:shd w:fill="FFDCE0" w:val="clear"/>
          </w:tcPr>
          <w:p>
            <w:r>
              <w:rPr>
                <w:b/>
                <w:color w:val="C00000"/>
                <w:sz w:val="17"/>
              </w:rPr>
              <w:t>-7.0%</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8,764</w:t>
            </w:r>
          </w:p>
        </w:tc>
        <w:tc>
          <w:tcPr>
            <w:tcW w:type="dxa" w:w="1440"/>
            <w:shd w:fill="FFDCE0" w:val="clear"/>
          </w:tcPr>
          <w:p>
            <w:r>
              <w:rPr>
                <w:b/>
                <w:sz w:val="17"/>
              </w:rPr>
              <w:t>9,320</w:t>
            </w:r>
          </w:p>
        </w:tc>
        <w:tc>
          <w:tcPr>
            <w:tcW w:type="dxa" w:w="1440"/>
            <w:shd w:fill="FFDCE0" w:val="clear"/>
          </w:tcPr>
          <w:p>
            <w:r>
              <w:rPr>
                <w:sz w:val="17"/>
              </w:rPr>
              <w:t>9,877</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8,524</w:t>
            </w:r>
          </w:p>
        </w:tc>
        <w:tc>
          <w:tcPr>
            <w:tcW w:type="dxa" w:w="1440"/>
            <w:shd w:fill="FFDCE0" w:val="clear"/>
          </w:tcPr>
          <w:p>
            <w:r>
              <w:rPr>
                <w:b/>
                <w:sz w:val="17"/>
              </w:rPr>
              <w:t>9,156</w:t>
            </w:r>
          </w:p>
        </w:tc>
        <w:tc>
          <w:tcPr>
            <w:tcW w:type="dxa" w:w="1440"/>
            <w:shd w:fill="FFDCE0" w:val="clear"/>
          </w:tcPr>
          <w:p>
            <w:r>
              <w:rPr>
                <w:sz w:val="17"/>
              </w:rPr>
              <w:t>9,787</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8,316</w:t>
            </w:r>
          </w:p>
        </w:tc>
        <w:tc>
          <w:tcPr>
            <w:tcW w:type="dxa" w:w="1440"/>
            <w:shd w:fill="FFDCE0" w:val="clear"/>
          </w:tcPr>
          <w:p>
            <w:r>
              <w:rPr>
                <w:b/>
                <w:sz w:val="17"/>
              </w:rPr>
              <w:t>9,011</w:t>
            </w:r>
          </w:p>
        </w:tc>
        <w:tc>
          <w:tcPr>
            <w:tcW w:type="dxa" w:w="1440"/>
            <w:shd w:fill="FFDCE0" w:val="clear"/>
          </w:tcPr>
          <w:p>
            <w:r>
              <w:rPr>
                <w:sz w:val="17"/>
              </w:rPr>
              <w:t>9,706</w:t>
            </w:r>
          </w:p>
        </w:tc>
        <w:tc>
          <w:tcPr>
            <w:tcW w:type="dxa" w:w="1440"/>
            <w:shd w:fill="FFDCE0" w:val="clear"/>
          </w:tcPr>
          <w:p>
            <w:r>
              <w:rPr>
                <w:b/>
                <w:color w:val="C00000"/>
                <w:sz w:val="17"/>
              </w:rPr>
              <w:t>-12.0%</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8,128</w:t>
            </w:r>
          </w:p>
        </w:tc>
        <w:tc>
          <w:tcPr>
            <w:tcW w:type="dxa" w:w="1440"/>
            <w:shd w:fill="FFDCE0" w:val="clear"/>
          </w:tcPr>
          <w:p>
            <w:r>
              <w:rPr>
                <w:b/>
                <w:sz w:val="17"/>
              </w:rPr>
              <w:t>8,878</w:t>
            </w:r>
          </w:p>
        </w:tc>
        <w:tc>
          <w:tcPr>
            <w:tcW w:type="dxa" w:w="1440"/>
            <w:shd w:fill="FFDCE0" w:val="clear"/>
          </w:tcPr>
          <w:p>
            <w:r>
              <w:rPr>
                <w:sz w:val="17"/>
              </w:rPr>
              <w:t>9,628</w:t>
            </w:r>
          </w:p>
        </w:tc>
        <w:tc>
          <w:tcPr>
            <w:tcW w:type="dxa" w:w="1440"/>
            <w:shd w:fill="FFDCE0" w:val="clear"/>
          </w:tcPr>
          <w:p>
            <w:r>
              <w:rPr>
                <w:b/>
                <w:color w:val="C00000"/>
                <w:sz w:val="17"/>
              </w:rPr>
              <w:t>-13.3%</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7,955</w:t>
            </w:r>
          </w:p>
        </w:tc>
        <w:tc>
          <w:tcPr>
            <w:tcW w:type="dxa" w:w="1440"/>
            <w:shd w:fill="FFDCE0" w:val="clear"/>
          </w:tcPr>
          <w:p>
            <w:r>
              <w:rPr>
                <w:b/>
                <w:sz w:val="17"/>
              </w:rPr>
              <w:t>8,754</w:t>
            </w:r>
          </w:p>
        </w:tc>
        <w:tc>
          <w:tcPr>
            <w:tcW w:type="dxa" w:w="1440"/>
            <w:shd w:fill="FFDCE0" w:val="clear"/>
          </w:tcPr>
          <w:p>
            <w:r>
              <w:rPr>
                <w:sz w:val="17"/>
              </w:rPr>
              <w:t>9,552</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7,795</w:t>
            </w:r>
          </w:p>
        </w:tc>
        <w:tc>
          <w:tcPr>
            <w:tcW w:type="dxa" w:w="1440"/>
            <w:shd w:fill="FFDCE0" w:val="clear"/>
          </w:tcPr>
          <w:p>
            <w:r>
              <w:rPr>
                <w:b/>
                <w:sz w:val="17"/>
              </w:rPr>
              <w:t>8,637</w:t>
            </w:r>
          </w:p>
        </w:tc>
        <w:tc>
          <w:tcPr>
            <w:tcW w:type="dxa" w:w="1440"/>
            <w:shd w:fill="FFDCE0" w:val="clear"/>
          </w:tcPr>
          <w:p>
            <w:r>
              <w:rPr>
                <w:sz w:val="17"/>
              </w:rPr>
              <w:t>9,480</w:t>
            </w:r>
          </w:p>
        </w:tc>
        <w:tc>
          <w:tcPr>
            <w:tcW w:type="dxa" w:w="1440"/>
            <w:shd w:fill="FFDCE0" w:val="clear"/>
          </w:tcPr>
          <w:p>
            <w:r>
              <w:rPr>
                <w:b/>
                <w:color w:val="C00000"/>
                <w:sz w:val="17"/>
              </w:rPr>
              <w:t>-15.7%</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7,646</w:t>
            </w:r>
          </w:p>
        </w:tc>
        <w:tc>
          <w:tcPr>
            <w:tcW w:type="dxa" w:w="1440"/>
            <w:shd w:fill="FFDCE0" w:val="clear"/>
          </w:tcPr>
          <w:p>
            <w:r>
              <w:rPr>
                <w:b/>
                <w:sz w:val="17"/>
              </w:rPr>
              <w:t>8,528</w:t>
            </w:r>
          </w:p>
        </w:tc>
        <w:tc>
          <w:tcPr>
            <w:tcW w:type="dxa" w:w="1440"/>
            <w:shd w:fill="FFDCE0" w:val="clear"/>
          </w:tcPr>
          <w:p>
            <w:r>
              <w:rPr>
                <w:sz w:val="17"/>
              </w:rPr>
              <w:t>9,410</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7,506</w:t>
            </w:r>
          </w:p>
        </w:tc>
        <w:tc>
          <w:tcPr>
            <w:tcW w:type="dxa" w:w="1440"/>
            <w:shd w:fill="FFDCE0" w:val="clear"/>
          </w:tcPr>
          <w:p>
            <w:r>
              <w:rPr>
                <w:b/>
                <w:sz w:val="17"/>
              </w:rPr>
              <w:t>8,425</w:t>
            </w:r>
          </w:p>
        </w:tc>
        <w:tc>
          <w:tcPr>
            <w:tcW w:type="dxa" w:w="1440"/>
            <w:shd w:fill="FFDCE0" w:val="clear"/>
          </w:tcPr>
          <w:p>
            <w:r>
              <w:rPr>
                <w:sz w:val="17"/>
              </w:rPr>
              <w:t>9,344</w:t>
            </w:r>
          </w:p>
        </w:tc>
        <w:tc>
          <w:tcPr>
            <w:tcW w:type="dxa" w:w="1440"/>
            <w:shd w:fill="FFDCE0" w:val="clear"/>
          </w:tcPr>
          <w:p>
            <w:r>
              <w:rPr>
                <w:b/>
                <w:color w:val="C00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415,55 milliards FCFA, ce qui positionne la banque parmi les valeurs à grande capitalisation de la BRVM, lui conférant une liquidité théorique et un poids significatif dans les indices régionaux. Le BPA de 496 FCFA indique que chaque action a généré un bénéfice net de près de 500 FCFA sur l'exercice. Le PER de 20,7x est nettement supérieur à la moyenne historique de la BRVM (8-12x), ce qui traduit une prime de croissance élevée, les investisseurs anticipant une poursuite de la dynamique bénéficiaire ; ce niveau de valorisation laisse toutefois peu de marge d'erreur en cas de déception. Le P/B de 3,54x confirme cette prime, le marché valorisant la banque à plus de 3,5 fois sa valeur comptable, signe d'une forte confiance dans la qualité des actifs et la rentabilité future. Enfin, l'EV/EBITDA de 20,9x, très exigeant, indique que la valeur totale de l'entreprise (capitalisation plus dette nette) représente plus de 20 fois son résultat opérationnel brut, un niveau qui reflète des attentes de croissance soutenue mais qui expose le titre à un risque de correction si ces attentes ne se matérialisent pas.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+34,89%, avec une dernière séance stable (0,00%), le cours évoluant actuellement à 10 245 FCFA. Le titre a oscillé entre un plus bas de 7 400 FCFA et un plus haut de 10 350 FCFA, démontrant une tendance haussière soutenue et presque linéaire sur la période. La moyenne du cours sur 100 jours (8 860 FCFA) est inférieure à la médiane (8 800 FCFA), indiquant une distribution légèrement asymétrique positive, cohérente avec la forte progression récente. L'écart-type de 589 FCFA, avec un coefficient de variation de 6,6%, révèle une dispersion modérée autour de la moyenne. Le kurtosis excédentaire de 1,080 (leptokurtique) signale des queues de distribution épaisses, suggérant un risque de mouvements extrêmes, tandis que le skewness de 0,093 confirme une distribution quasi symétrique. La volatilité annualisée de 27,2% classe le titre dans la catégorie des valeurs à volatilité modérée à élevée, ce qui implique des fluctuations de cours significatives et un risque de marché non négligeable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(10 245 FCFA) se situe nettement au-dessus de la MM20 (9 378 FCFA) et de la MM50 (9 047 FCFA), avec un écart de plus de 1 200 FCFA entre le prix et la MM50. Cette configuration haussière, où les moyennes courtes sont au-dessus des moyennes longues, confirme une tendance positive solide. La décision "Achat" est justifiée par cette dynamique, bien que l'écart important entre le cours et les moyennes puisse signaler une extension excessive à court terme.</w:t>
      </w:r>
    </w:p>
    <w:p>
      <w:pPr>
        <w:spacing w:after="120" w:line="276" w:lineRule="auto"/>
      </w:pPr>
      <w:r>
        <w:t>**Bandes de Bollinger** : Le cours (10 245 FCFA) se positionne à proximité de la borne supérieure (10 779 FCFA), indiquant une pression acheteuse soutenue. La largeur des bandes (de 7 977 à 10 779 FCFA) reflète une volatilité élevée. La décision "Neutre" s'explique par le fait que le prix, bien que proche de la borne supérieure, n'a pas encore franchi ce niveau, laissant planer une incertitude sur la poursuite du mouvement haussier ou un possible retour vers la moyenne.</w:t>
      </w:r>
    </w:p>
    <w:p>
      <w:pPr>
        <w:spacing w:after="120" w:line="276" w:lineRule="auto"/>
      </w:pPr>
      <w:r>
        <w:t>**MACD** : La valeur du MACD (405,7) est nettement supérieure à son signal (300,7), avec un écart positif croissant. Cette configuration indique un momentum haussier puissant et confirme la dynamique positive du titre. La décision "Achat" est cohérente avec cette lecture, le MACD demeurant au-dessus de sa ligne de signal, signe de la vigueur de la tendance en cours.</w:t>
      </w:r>
    </w:p>
    <w:p>
      <w:pPr>
        <w:spacing w:after="120" w:line="276" w:lineRule="auto"/>
      </w:pPr>
      <w:r>
        <w:t>**RSI** : Le RSI s'établit à 77,5, dépassant largement le seuil de surachat fixé à 70. Cette valeur indique que le titre est techniquement surévalué à court terme, avec des acheteurs potentiellement épuisés. La décision "Vente" reflète ce risque de correction technique, le RSI signalant une possible consolidation ou un repli après une hausse aussi marquée.</w:t>
      </w:r>
    </w:p>
    <w:p>
      <w:pPr>
        <w:spacing w:after="120" w:line="276" w:lineRule="auto"/>
      </w:pPr>
      <w:r>
        <w:t>**Stochastique** : Les valeurs du %K (93,7) et du %D (93,6) sont extrêmement élevées, proches de leur maximum de 100, confirmant la zone de surachat. Le fait que %K et %D soient presque identiques suggère une stagnation du momentum, pouvant précéder un retournement baissier. La décision "Vente" est justifiée par cette configuration extrême, indiquant un risque élevé de correction technique.</w:t>
      </w:r>
    </w:p>
    <w:p>
      <w:pPr>
        <w:spacing w:after="120" w:line="276" w:lineRule="auto"/>
      </w:pPr>
      <w:r>
        <w:t>**Conclusion technique** : Les indicateurs de tendance (MM, MACD) sont résolument haussiers et confirment la dynamique positive du titre. Cependant, les oscillateurs de momentum (RSI, Stochastique) signalent tous deux une condition de surachat extrême, suggérant un essoufflement probable à court terme. Cette divergence entre indicateurs de tendance et oscillateurs indique qu'une consolidation ou un repli technique est probable avant la poursuite éventuelle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indiquent que BOAB a réalisé un Produit Net Bancaire de 51,274 milliards FCFA, en croissance de 10,2%, avec un résultat net de 20,107 milliards FCFA. La rentabilité des fonds propres (ROE) atteint 17,1%, un niveau excellent pour le secteur bancaire, tandis que le ROA de 2,08% confirme une bonne efficacité dans l'utilisation des actifs. Le coefficient d'exploitation de 49,5% témoigne d'une excellente maîtrise des charges, bien en deçà du seuil de 60% considéré comme efficace. Le coût du risque de 22,5% (provisions/charges financières) reste élevé, signalant une dégradation de la qualité du portefeuille de crédit. Les dépôts clients (711,6 milliards FCFA) couvrent largement les créances sur la clientèle (391,7 milliards FCFA), démontrant une transformation saine. Le rapport du 1er semestre 2025 confirme cette tendance avec un PNB de 24,556 milliards FCFA (+5,91%) et un résultat net de 11,012 milliards FCFA, mais révèle une forte hausse du coût du risque (+394,66%). Le rapport du T3 2025 montre une amélioration nette avec un PNB de 37,065 milliards FCFA (+9%) et un résultat net de 15,880 milliards FCFA (+13%), indiquant une reprise de la rentabilité. Enfin, le rapport T1 2026 fait état d'un PNB de 12,329 milliards FCFA (+11%) et d'un résultat net de 4,502 milliards FCFA (+1% seulement), avec une progression des commissions de +18,9%. Sur la base de ces rapports trimestriels, on estime que l'exercice 2026 devrait confirmer une croissance du PNB de l'ordre de 10-11%, avec un résultat net en légère progression, la pression sur les coûts et le coût du risque demeurant les principaux défis.</w:t>
      </w:r>
    </w:p>
    <w:p>
      <w:pPr>
        <w:spacing w:after="120" w:line="276" w:lineRule="auto" w:before="240"/>
      </w:pPr>
      <w:r>
        <w:rPr>
          <w:b/>
          <w:color w:val="003366"/>
          <w:sz w:val="24"/>
        </w:rPr>
        <w:t>**PARTIE 4 : CONCLUSION D'INVESTISSEMENT**</w:t>
      </w:r>
    </w:p>
    <w:p>
      <w:pPr>
        <w:spacing w:after="120" w:line="276" w:lineRule="auto"/>
      </w:pPr>
      <w:r>
        <w:t>La valorisation de BOAB (PER de 20,7x, P/B de 3,54x, EV/EBITDA de 20,9x) indique une surévaluation relative par rapport aux standards de la BRVM, les investisseurs intégrant des attentes de croissance soutenue. Le comportement du cours (+34,89% sur 100 jours) est extrêmement favorable, avec une volatilité modérée (27,2%) et une distribution symétrique, mais le kurtosis leptokurtique signale un risque de mouvements brusques. Les signaux techniques sont mitigés : les indicateurs de tendance (MM, MACD) sont haussiers, tandis que les oscillateurs (RSI à 77,5, Stochastique à 93,7) sont en zone de surachat extrême, suggérant une correction probable à court terme. Les fondamentaux sont solides avec un ROE de 17,1%, un coefficient d'exploitation de 49,5% et une croissance du PNB de 10,2% en 2025, confirmée par les rapports trimestriels 2025 et T1 2026. Les prédictions IA pour les 10 prochains jours (baisse de 10 245 à 9 011 FCFA, soit -12%) confirment le scénario de correction technique. La convergence entre les signaux de surachat technique et les prédictions IA suggère une consolidation à court terme, mais la solidité fondamentale et la tendance haussière de long terme plaident pour une stratégie d'accumulation sur les replis. **Recommandation finale : CONSERVER**, avec un niveau de confiance Moyen, un risque global Moyen, et un horizon d'investissement optimal à moyen terme (3-12 mois), en attendant un point d'entrée plus favorable après la correction technique anticipée.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6,796 titres</w:t>
            </w:r>
          </w:p>
        </w:tc>
        <w:tc>
          <w:tcPr>
            <w:tcW w:type="dxa" w:w="2268"/>
            <w:shd w:fill="FFF2CC" w:val="clear"/>
          </w:tcPr>
          <w:p>
            <w:r>
              <w:rPr>
                <w:b/>
                <w:color w:val="503200"/>
                <w:sz w:val="16"/>
              </w:rPr>
              <w:t xml:space="preserve">Cours actuel : </w:t>
            </w:r>
            <w:r>
              <w:rPr>
                <w:color w:val="000000"/>
                <w:sz w:val="17"/>
              </w:rPr>
              <w:t>8,990 FCFA</w:t>
            </w:r>
          </w:p>
          <w:p>
            <w:r>
              <w:rPr>
                <w:b/>
                <w:color w:val="503200"/>
                <w:sz w:val="16"/>
              </w:rPr>
              <w:t xml:space="preserve">Var. 100 jours : </w:t>
            </w:r>
            <w:r>
              <w:rPr>
                <w:b/>
                <w:color w:val="007800"/>
                <w:sz w:val="17"/>
              </w:rPr>
              <w:t>+58.41%</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16.08% (Élevée) — μ=6,250 FCFA, σ=1,005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β=0.2141 (Défensif) — Cov=0.000008, Var(idx)=0.000036, ρ=0.060,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8,230</w:t>
            </w:r>
          </w:p>
        </w:tc>
        <w:tc>
          <w:tcPr>
            <w:tcW w:type="dxa" w:w="1440"/>
            <w:shd w:fill="FFDCE0" w:val="clear"/>
          </w:tcPr>
          <w:p>
            <w:r>
              <w:rPr>
                <w:b/>
                <w:sz w:val="17"/>
              </w:rPr>
              <w:t>8,573</w:t>
            </w:r>
          </w:p>
        </w:tc>
        <w:tc>
          <w:tcPr>
            <w:tcW w:type="dxa" w:w="1440"/>
            <w:shd w:fill="FFDCE0" w:val="clear"/>
          </w:tcPr>
          <w:p>
            <w:r>
              <w:rPr>
                <w:sz w:val="17"/>
              </w:rPr>
              <w:t>8,915</w:t>
            </w:r>
          </w:p>
        </w:tc>
        <w:tc>
          <w:tcPr>
            <w:tcW w:type="dxa" w:w="1440"/>
            <w:shd w:fill="FFDCE0" w:val="clear"/>
          </w:tcPr>
          <w:p>
            <w:r>
              <w:rPr>
                <w:b/>
                <w:color w:val="C00000"/>
                <w:sz w:val="17"/>
              </w:rPr>
              <w:t>-4.6%</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7,802</w:t>
            </w:r>
          </w:p>
        </w:tc>
        <w:tc>
          <w:tcPr>
            <w:tcW w:type="dxa" w:w="1440"/>
            <w:shd w:fill="FFDCE0" w:val="clear"/>
          </w:tcPr>
          <w:p>
            <w:r>
              <w:rPr>
                <w:b/>
                <w:sz w:val="17"/>
              </w:rPr>
              <w:t>8,269</w:t>
            </w:r>
          </w:p>
        </w:tc>
        <w:tc>
          <w:tcPr>
            <w:tcW w:type="dxa" w:w="1440"/>
            <w:shd w:fill="FFDCE0" w:val="clear"/>
          </w:tcPr>
          <w:p>
            <w:r>
              <w:rPr>
                <w:sz w:val="17"/>
              </w:rPr>
              <w:t>8,736</w:t>
            </w:r>
          </w:p>
        </w:tc>
        <w:tc>
          <w:tcPr>
            <w:tcW w:type="dxa" w:w="1440"/>
            <w:shd w:fill="FFDCE0" w:val="clear"/>
          </w:tcPr>
          <w:p>
            <w:r>
              <w:rPr>
                <w:b/>
                <w:color w:val="C00000"/>
                <w:sz w:val="17"/>
              </w:rPr>
              <w:t>-8.0%</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7,499</w:t>
            </w:r>
          </w:p>
        </w:tc>
        <w:tc>
          <w:tcPr>
            <w:tcW w:type="dxa" w:w="1440"/>
            <w:shd w:fill="FFDCE0" w:val="clear"/>
          </w:tcPr>
          <w:p>
            <w:r>
              <w:rPr>
                <w:b/>
                <w:sz w:val="17"/>
              </w:rPr>
              <w:t>8,056</w:t>
            </w:r>
          </w:p>
        </w:tc>
        <w:tc>
          <w:tcPr>
            <w:tcW w:type="dxa" w:w="1440"/>
            <w:shd w:fill="FFDCE0" w:val="clear"/>
          </w:tcPr>
          <w:p>
            <w:r>
              <w:rPr>
                <w:sz w:val="17"/>
              </w:rPr>
              <w:t>8,613</w:t>
            </w:r>
          </w:p>
        </w:tc>
        <w:tc>
          <w:tcPr>
            <w:tcW w:type="dxa" w:w="1440"/>
            <w:shd w:fill="FFDCE0" w:val="clear"/>
          </w:tcPr>
          <w:p>
            <w:r>
              <w:rPr>
                <w:b/>
                <w:color w:val="C00000"/>
                <w:sz w:val="17"/>
              </w:rPr>
              <w:t>-10.4%</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7,281</w:t>
            </w:r>
          </w:p>
        </w:tc>
        <w:tc>
          <w:tcPr>
            <w:tcW w:type="dxa" w:w="1440"/>
            <w:shd w:fill="FFDCE0" w:val="clear"/>
          </w:tcPr>
          <w:p>
            <w:r>
              <w:rPr>
                <w:b/>
                <w:sz w:val="17"/>
              </w:rPr>
              <w:t>7,913</w:t>
            </w:r>
          </w:p>
        </w:tc>
        <w:tc>
          <w:tcPr>
            <w:tcW w:type="dxa" w:w="1440"/>
            <w:shd w:fill="FFDCE0" w:val="clear"/>
          </w:tcPr>
          <w:p>
            <w:r>
              <w:rPr>
                <w:sz w:val="17"/>
              </w:rPr>
              <w:t>8,545</w:t>
            </w:r>
          </w:p>
        </w:tc>
        <w:tc>
          <w:tcPr>
            <w:tcW w:type="dxa" w:w="1440"/>
            <w:shd w:fill="FFDCE0" w:val="clear"/>
          </w:tcPr>
          <w:p>
            <w:r>
              <w:rPr>
                <w:b/>
                <w:color w:val="C00000"/>
                <w:sz w:val="17"/>
              </w:rPr>
              <w:t>-12.0%</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7,106</w:t>
            </w:r>
          </w:p>
        </w:tc>
        <w:tc>
          <w:tcPr>
            <w:tcW w:type="dxa" w:w="1440"/>
            <w:shd w:fill="FFDCE0" w:val="clear"/>
          </w:tcPr>
          <w:p>
            <w:r>
              <w:rPr>
                <w:b/>
                <w:sz w:val="17"/>
              </w:rPr>
              <w:t>7,802</w:t>
            </w:r>
          </w:p>
        </w:tc>
        <w:tc>
          <w:tcPr>
            <w:tcW w:type="dxa" w:w="1440"/>
            <w:shd w:fill="FFDCE0" w:val="clear"/>
          </w:tcPr>
          <w:p>
            <w:r>
              <w:rPr>
                <w:sz w:val="17"/>
              </w:rPr>
              <w:t>8,499</w:t>
            </w:r>
          </w:p>
        </w:tc>
        <w:tc>
          <w:tcPr>
            <w:tcW w:type="dxa" w:w="1440"/>
            <w:shd w:fill="FFDCE0" w:val="clear"/>
          </w:tcPr>
          <w:p>
            <w:r>
              <w:rPr>
                <w:b/>
                <w:color w:val="C00000"/>
                <w:sz w:val="17"/>
              </w:rPr>
              <w:t>-13.2%</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6,952</w:t>
            </w:r>
          </w:p>
        </w:tc>
        <w:tc>
          <w:tcPr>
            <w:tcW w:type="dxa" w:w="1440"/>
            <w:shd w:fill="FFDCE0" w:val="clear"/>
          </w:tcPr>
          <w:p>
            <w:r>
              <w:rPr>
                <w:b/>
                <w:sz w:val="17"/>
              </w:rPr>
              <w:t>7,706</w:t>
            </w:r>
          </w:p>
        </w:tc>
        <w:tc>
          <w:tcPr>
            <w:tcW w:type="dxa" w:w="1440"/>
            <w:shd w:fill="FFDCE0" w:val="clear"/>
          </w:tcPr>
          <w:p>
            <w:r>
              <w:rPr>
                <w:sz w:val="17"/>
              </w:rPr>
              <w:t>8,459</w:t>
            </w:r>
          </w:p>
        </w:tc>
        <w:tc>
          <w:tcPr>
            <w:tcW w:type="dxa" w:w="1440"/>
            <w:shd w:fill="FFDCE0" w:val="clear"/>
          </w:tcPr>
          <w:p>
            <w:r>
              <w:rPr>
                <w:b/>
                <w:color w:val="C00000"/>
                <w:sz w:val="17"/>
              </w:rPr>
              <w:t>-14.3%</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6,810</w:t>
            </w:r>
          </w:p>
        </w:tc>
        <w:tc>
          <w:tcPr>
            <w:tcW w:type="dxa" w:w="1440"/>
            <w:shd w:fill="FFDCE0" w:val="clear"/>
          </w:tcPr>
          <w:p>
            <w:r>
              <w:rPr>
                <w:b/>
                <w:sz w:val="17"/>
              </w:rPr>
              <w:t>7,615</w:t>
            </w:r>
          </w:p>
        </w:tc>
        <w:tc>
          <w:tcPr>
            <w:tcW w:type="dxa" w:w="1440"/>
            <w:shd w:fill="FFDCE0" w:val="clear"/>
          </w:tcPr>
          <w:p>
            <w:r>
              <w:rPr>
                <w:sz w:val="17"/>
              </w:rPr>
              <w:t>8,420</w:t>
            </w:r>
          </w:p>
        </w:tc>
        <w:tc>
          <w:tcPr>
            <w:tcW w:type="dxa" w:w="1440"/>
            <w:shd w:fill="FFDCE0" w:val="clear"/>
          </w:tcPr>
          <w:p>
            <w:r>
              <w:rPr>
                <w:b/>
                <w:color w:val="C00000"/>
                <w:sz w:val="17"/>
              </w:rPr>
              <w:t>-15.3%</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6,678</w:t>
            </w:r>
          </w:p>
        </w:tc>
        <w:tc>
          <w:tcPr>
            <w:tcW w:type="dxa" w:w="1440"/>
            <w:shd w:fill="FFDCE0" w:val="clear"/>
          </w:tcPr>
          <w:p>
            <w:r>
              <w:rPr>
                <w:b/>
                <w:sz w:val="17"/>
              </w:rPr>
              <w:t>7,528</w:t>
            </w:r>
          </w:p>
        </w:tc>
        <w:tc>
          <w:tcPr>
            <w:tcW w:type="dxa" w:w="1440"/>
            <w:shd w:fill="FFDCE0" w:val="clear"/>
          </w:tcPr>
          <w:p>
            <w:r>
              <w:rPr>
                <w:sz w:val="17"/>
              </w:rPr>
              <w:t>8,379</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6,552</w:t>
            </w:r>
          </w:p>
        </w:tc>
        <w:tc>
          <w:tcPr>
            <w:tcW w:type="dxa" w:w="1440"/>
            <w:shd w:fill="FFDCE0" w:val="clear"/>
          </w:tcPr>
          <w:p>
            <w:r>
              <w:rPr>
                <w:b/>
                <w:sz w:val="17"/>
              </w:rPr>
              <w:t>7,444</w:t>
            </w:r>
          </w:p>
        </w:tc>
        <w:tc>
          <w:tcPr>
            <w:tcW w:type="dxa" w:w="1440"/>
            <w:shd w:fill="FFDCE0" w:val="clear"/>
          </w:tcPr>
          <w:p>
            <w:r>
              <w:rPr>
                <w:sz w:val="17"/>
              </w:rPr>
              <w:t>8,337</w:t>
            </w:r>
          </w:p>
        </w:tc>
        <w:tc>
          <w:tcPr>
            <w:tcW w:type="dxa" w:w="1440"/>
            <w:shd w:fill="FFDCE0" w:val="clear"/>
          </w:tcPr>
          <w:p>
            <w:r>
              <w:rPr>
                <w:b/>
                <w:color w:val="C00000"/>
                <w:sz w:val="17"/>
              </w:rPr>
              <w:t>-17.2%</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6,434</w:t>
            </w:r>
          </w:p>
        </w:tc>
        <w:tc>
          <w:tcPr>
            <w:tcW w:type="dxa" w:w="1440"/>
            <w:shd w:fill="FFDCE0" w:val="clear"/>
          </w:tcPr>
          <w:p>
            <w:r>
              <w:rPr>
                <w:b/>
                <w:sz w:val="17"/>
              </w:rPr>
              <w:t>7,364</w:t>
            </w:r>
          </w:p>
        </w:tc>
        <w:tc>
          <w:tcPr>
            <w:tcW w:type="dxa" w:w="1440"/>
            <w:shd w:fill="FFDCE0" w:val="clear"/>
          </w:tcPr>
          <w:p>
            <w:r>
              <w:rPr>
                <w:sz w:val="17"/>
              </w:rPr>
              <w:t>8,294</w:t>
            </w:r>
          </w:p>
        </w:tc>
        <w:tc>
          <w:tcPr>
            <w:tcW w:type="dxa" w:w="1440"/>
            <w:shd w:fill="FFDCE0" w:val="clear"/>
          </w:tcPr>
          <w:p>
            <w:r>
              <w:rPr>
                <w:b/>
                <w:color w:val="C00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 septembre 2026**</w:t>
        <w:br/>
        <w:t>**Cours de référence : 8,990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395,56 milliards FCFA, BOABF se positionne comme une valeur de premier plan sur la BRVM. Le BPA de 438 FCFA indique que chaque action a généré un bénéfice net de ce montant sur l'exercice 2025. Le PER de 20,5x est nettement supérieur à la moyenne historique de la BRVM (8-12x), ce qui signifie que les investisseurs paient une prime substantielle pour chaque franc de bénéfice. Cette prime peut se justifier par des attentes de croissance future, mais elle expose le titre à un risque de correction si ces attentes ne se matérialisent pas. Le P/B de 3,13x confirme cette prime, le marché valorisant le titre plus de trois fois sa valeur comptable, ce qui est élevé pour une banque. Enfin, l'EV/EBITDA de 9,5x se situe dans la fourchette haute des valeurs "raisonnables" (5-10x), indiquant une valorisation globale qui intègre déjà une performance opérationnelle solide.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 enregistré une progression spectaculaire de +58,41%, passant d'un plus bas de 5,235 FCFA à un plus haut de 9,090 FCFA, pour clôturer à 8,990 FCFA. La variation de -0,11% sur la dernière séance suggère une légère pause après ce rallye. La moyenne du cours sur la période (6,250 FCFA) est nettement inférieure à la médiane (5,678 FCFA), et le skewness positif de 1.172 confirme une distribution asymétrique avec une concentration de journées sous la moyenne, mais des épisodes de hausse très marqués. L'écart-type de 1,010 FCFA (CV de 16,2%) indique une dispersion modérée, tandis que le kurtosis de 0.470 (mésokurtique) suggère l'absence de risques de pics extrêmes inhabituels. La volatilité annualisée de 33,5% classe le titre comme très volatil (&gt;30%), ce qui reflète un mouvement haussier puissant mais potentiellement instable.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(8,990 FCFA) évolue nettement au-dessus de sa MM20 (7,801.75 FCFA) et de sa MM50 (6,993.8 FCFA). Cette configuration haussière, où les moyennes courtes sont au-dessus des moyennes longues, confirme la tendance positive et justifie la décision d'**Achat**.</w:t>
      </w:r>
    </w:p>
    <w:p>
      <w:pPr>
        <w:spacing w:after="120" w:line="276" w:lineRule="auto"/>
      </w:pPr>
      <w:r>
        <w:t>**Bandes de Bollinger**: Le cours se situe à 8,990 FCFA, proche de la borne supérieure (9,336.311 FCFA) et très loin de la borne inférieure (6,267.189 FCFA). Cette position indique une pression acheteuse soutenue, mais le titre est en zone de "surachat" technique. La décision est **Neutre**, car si la tendance est forte, le risque de retour vers la moyenne augmente.</w:t>
      </w:r>
    </w:p>
    <w:p>
      <w:pPr>
        <w:spacing w:after="120" w:line="276" w:lineRule="auto"/>
      </w:pPr>
      <w:r>
        <w:t>**MACD**: Le MACD (569.612) est nettement supérieur à son signal (442.154), montrant un momentum haussier très fort et toujours en accélération. Cette divergence positive confirme la vigueur de la tendance actuelle et justifie la décision d'**Achat**.</w:t>
      </w:r>
    </w:p>
    <w:p>
      <w:pPr>
        <w:spacing w:after="120" w:line="276" w:lineRule="auto"/>
      </w:pPr>
      <w:r>
        <w:t>**RSI**: Le RSI est à 86.486, une valeur extrêmement élevée, bien au-delà du seuil de surachat (&gt;70). Cela indique que le titre est survendu à la hausse et qu'une correction technique est statistiquement probable à court terme. La décision est **Vente**.</w:t>
      </w:r>
    </w:p>
    <w:p>
      <w:pPr>
        <w:spacing w:after="120" w:line="276" w:lineRule="auto"/>
      </w:pPr>
      <w:r>
        <w:t>**Stochastique**: Le %K (94.975) et le %D (91.96) sont tous deux à des niveaux très élevés, en zone de surachat. Le %K étant au-dessus du %D, la dynamique est positive, mais ces niveaux extrêmes signalent un essoufflement potentiel du mouvement. La décision est **Vente**.</w:t>
      </w:r>
    </w:p>
    <w:p>
      <w:pPr>
        <w:spacing w:after="120" w:line="276" w:lineRule="auto"/>
      </w:pPr>
      <w:r>
        <w:t>**Conclusion technique**: Les indicateurs de tendance (MM, MACD) sont résolument positifs et confirment une dynamique haussière puissante. Cependant, les oscillateurs (RSI, Stochastique) sont en zone de surachat extrême, signalant une probabilité élevée de consolidation ou de correction à court terme. Le signal global est donc un **Achat** sur la tendance de fond, mais avec une **prudence accrue**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la banque affiche un Produit Net Bancaire (PNB) de 57,820 milliards FCFA, en légère croissance de 0,57%. Le résultat net s'établit à 19,252 milliards FCFA, avec un ROE de 15,2% (excellent) et un ROA de 1,68%. Le coefficient d'exploitation de 47,2% témoigne d'une excellente maîtrise des charges. Cependant, le coût du risque (33,9%) est élevé, signalant une dégradation de la qualité du portefeuille de crédits. Les rapports trimestriels de 2025 confirment cette tendance : le rapport du 1er trimestre (publié en 2025) montrait un PNB de 14,22 Mds (+2,3%) mais un résultat net en baisse de 16,6%. Le rapport semestriel (publié en 2025) a révélé une chute sévère du résultat net de -46,5% à 8,22 milliards, due à une explosion du coût du risque (+1336%). Le rapport du 3ème trimestre (publié en 2025) confirme la tendance avec un résultat net cumulé de 13,45 milliards, en baisse de 27,7%. **On estime que l'exercice 2025 complet, bien que montrant un résultat net annuel de 19,25 Mds, a été marqué par une pression significative sur la rentabilité au fil des trimestres.** Le rapport du 1er trimestre 2026 (publié en 2026) montre une poursuite de la dégradation avec un PNB en baisse de 10,75% et un résultat net en recul de 12,99% à 4,52 milliards. La banque reste solide (dépôts en hausse de 6,3%), mais fait face à un environnement économique et sécuritaire difficile au Burkina Faso, avec une stagnation de l'activité de crédit.</w:t>
      </w:r>
    </w:p>
    <w:p>
      <w:pPr>
        <w:spacing w:after="120" w:line="276" w:lineRule="auto"/>
      </w:pPr>
      <w:r>
        <w:t>---</w:t>
      </w:r>
    </w:p>
    <w:p>
      <w:pPr>
        <w:spacing w:after="120" w:line="276" w:lineRule="auto"/>
      </w:pPr>
      <w:r>
        <w:t>### PARTIE 4 : CONCLUSION D'INVESTISSEMENT</w:t>
      </w:r>
    </w:p>
    <w:p>
      <w:pPr>
        <w:spacing w:after="120" w:line="276" w:lineRule="auto"/>
      </w:pPr>
      <w:r>
        <w:t>La valorisation de BOABF (PER 20,5x, P/B 3,13x) est exigeante et reflète une prime de croissance qui semble difficile à justifier face à la dégradation des fondamentaux observée en 2025 et au T1 2026. Le comportement du cours (+58,41% en 100 jours) est spectaculaire mais la volatilité élevée (33,5%) et les statistiques (skewness positif) suggèrent un mouvement spéculatif intense. Les signaux techniques sont contradictoires : une tendance haussière forte (MM, MACD) contre des oscillateurs en surachat extrême (RSI, Stochastique), annonçant une correction probable. Les fondamentaux, bien que solides (ROE &gt;15%), montrent une nette dégradation de la rentabilité nette et un coût du risque élevé. Les prédictions IA (baisse de 8,990 à 7,802 FCFA sur 10 jours) confirment ce risque de correction technique. En synthèse, la convergence entre la surévaluation relative, les signaux de surachat technique et la dégradation fondamentale suggère une prudence immédiate. **Recommandation : VENTE** pour les investisseurs à court terme souhaitant sécuriser les gains, avec un niveau de confiance **Moyen** et un risque global **Élevé**. Pour les investisseurs à long terme, une stratégie d'accumulation pourrait être envisagée après une correction significative du cours, sur un horizon de **moyen terme (3-12 mois)**.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11,855 titres</w:t>
            </w:r>
          </w:p>
        </w:tc>
        <w:tc>
          <w:tcPr>
            <w:tcW w:type="dxa" w:w="2268"/>
            <w:shd w:fill="FFF2CC" w:val="clear"/>
          </w:tcPr>
          <w:p>
            <w:r>
              <w:rPr>
                <w:b/>
                <w:color w:val="503200"/>
                <w:sz w:val="16"/>
              </w:rPr>
              <w:t xml:space="preserve">Cours actuel : </w:t>
            </w:r>
            <w:r>
              <w:rPr>
                <w:color w:val="000000"/>
                <w:sz w:val="17"/>
              </w:rPr>
              <w:t>12,495 FCFA</w:t>
            </w:r>
          </w:p>
          <w:p>
            <w:r>
              <w:rPr>
                <w:b/>
                <w:color w:val="503200"/>
                <w:sz w:val="16"/>
              </w:rPr>
              <w:t xml:space="preserve">Var. 100 jours : </w:t>
            </w:r>
            <w:r>
              <w:rPr>
                <w:b/>
                <w:color w:val="007800"/>
                <w:sz w:val="17"/>
              </w:rPr>
              <w:t>+49.11%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15.25% (Élevée) — μ=9,840 FCFA, σ=1,500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β=0.0258 (Défensif) — Cov=0.000001, Var(idx)=0.000036, ρ=0.009,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11,855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11,401</w:t>
            </w:r>
          </w:p>
        </w:tc>
        <w:tc>
          <w:tcPr>
            <w:tcW w:type="dxa" w:w="1440"/>
            <w:shd w:fill="FFDCE0" w:val="clear"/>
          </w:tcPr>
          <w:p>
            <w:r>
              <w:rPr>
                <w:b/>
                <w:sz w:val="17"/>
              </w:rPr>
              <w:t>11,828</w:t>
            </w:r>
          </w:p>
        </w:tc>
        <w:tc>
          <w:tcPr>
            <w:tcW w:type="dxa" w:w="1440"/>
            <w:shd w:fill="FFDCE0" w:val="clear"/>
          </w:tcPr>
          <w:p>
            <w:r>
              <w:rPr>
                <w:sz w:val="17"/>
              </w:rPr>
              <w:t>12,255</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10,767</w:t>
            </w:r>
          </w:p>
        </w:tc>
        <w:tc>
          <w:tcPr>
            <w:tcW w:type="dxa" w:w="1440"/>
            <w:shd w:fill="FFDCE0" w:val="clear"/>
          </w:tcPr>
          <w:p>
            <w:r>
              <w:rPr>
                <w:b/>
                <w:sz w:val="17"/>
              </w:rPr>
              <w:t>11,346</w:t>
            </w:r>
          </w:p>
        </w:tc>
        <w:tc>
          <w:tcPr>
            <w:tcW w:type="dxa" w:w="1440"/>
            <w:shd w:fill="FFDCE0" w:val="clear"/>
          </w:tcPr>
          <w:p>
            <w:r>
              <w:rPr>
                <w:sz w:val="17"/>
              </w:rPr>
              <w:t>11,925</w:t>
            </w:r>
          </w:p>
        </w:tc>
        <w:tc>
          <w:tcPr>
            <w:tcW w:type="dxa" w:w="1440"/>
            <w:shd w:fill="FFDCE0" w:val="clear"/>
          </w:tcPr>
          <w:p>
            <w:r>
              <w:rPr>
                <w:b/>
                <w:color w:val="C00000"/>
                <w:sz w:val="17"/>
              </w:rPr>
              <w:t>-9.2%</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10,175</w:t>
            </w:r>
          </w:p>
        </w:tc>
        <w:tc>
          <w:tcPr>
            <w:tcW w:type="dxa" w:w="1440"/>
            <w:shd w:fill="FFDCE0" w:val="clear"/>
          </w:tcPr>
          <w:p>
            <w:r>
              <w:rPr>
                <w:b/>
                <w:sz w:val="17"/>
              </w:rPr>
              <w:t>10,854</w:t>
            </w:r>
          </w:p>
        </w:tc>
        <w:tc>
          <w:tcPr>
            <w:tcW w:type="dxa" w:w="1440"/>
            <w:shd w:fill="FFDCE0" w:val="clear"/>
          </w:tcPr>
          <w:p>
            <w:r>
              <w:rPr>
                <w:sz w:val="17"/>
              </w:rPr>
              <w:t>11,532</w:t>
            </w:r>
          </w:p>
        </w:tc>
        <w:tc>
          <w:tcPr>
            <w:tcW w:type="dxa" w:w="1440"/>
            <w:shd w:fill="FFDCE0" w:val="clear"/>
          </w:tcPr>
          <w:p>
            <w:r>
              <w:rPr>
                <w:b/>
                <w:color w:val="C00000"/>
                <w:sz w:val="17"/>
              </w:rPr>
              <w:t>-13.1%</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9,667</w:t>
            </w:r>
          </w:p>
        </w:tc>
        <w:tc>
          <w:tcPr>
            <w:tcW w:type="dxa" w:w="1440"/>
            <w:shd w:fill="FFDCE0" w:val="clear"/>
          </w:tcPr>
          <w:p>
            <w:r>
              <w:rPr>
                <w:b/>
                <w:sz w:val="17"/>
              </w:rPr>
              <w:t>10,419</w:t>
            </w:r>
          </w:p>
        </w:tc>
        <w:tc>
          <w:tcPr>
            <w:tcW w:type="dxa" w:w="1440"/>
            <w:shd w:fill="FFDCE0" w:val="clear"/>
          </w:tcPr>
          <w:p>
            <w:r>
              <w:rPr>
                <w:sz w:val="17"/>
              </w:rPr>
              <w:t>11,171</w:t>
            </w:r>
          </w:p>
        </w:tc>
        <w:tc>
          <w:tcPr>
            <w:tcW w:type="dxa" w:w="1440"/>
            <w:shd w:fill="FFDCE0" w:val="clear"/>
          </w:tcPr>
          <w:p>
            <w:r>
              <w:rPr>
                <w:b/>
                <w:color w:val="C00000"/>
                <w:sz w:val="17"/>
              </w:rPr>
              <w:t>-16.6%</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9,232</w:t>
            </w:r>
          </w:p>
        </w:tc>
        <w:tc>
          <w:tcPr>
            <w:tcW w:type="dxa" w:w="1440"/>
            <w:shd w:fill="FFDCE0" w:val="clear"/>
          </w:tcPr>
          <w:p>
            <w:r>
              <w:rPr>
                <w:b/>
                <w:sz w:val="17"/>
              </w:rPr>
              <w:t>10,042</w:t>
            </w:r>
          </w:p>
        </w:tc>
        <w:tc>
          <w:tcPr>
            <w:tcW w:type="dxa" w:w="1440"/>
            <w:shd w:fill="FFDCE0" w:val="clear"/>
          </w:tcPr>
          <w:p>
            <w:r>
              <w:rPr>
                <w:sz w:val="17"/>
              </w:rPr>
              <w:t>10,853</w:t>
            </w:r>
          </w:p>
        </w:tc>
        <w:tc>
          <w:tcPr>
            <w:tcW w:type="dxa" w:w="1440"/>
            <w:shd w:fill="FFDCE0" w:val="clear"/>
          </w:tcPr>
          <w:p>
            <w:r>
              <w:rPr>
                <w:b/>
                <w:color w:val="C00000"/>
                <w:sz w:val="17"/>
              </w:rPr>
              <w:t>-19.6%</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8,857</w:t>
            </w:r>
          </w:p>
        </w:tc>
        <w:tc>
          <w:tcPr>
            <w:tcW w:type="dxa" w:w="1440"/>
            <w:shd w:fill="FFDCE0" w:val="clear"/>
          </w:tcPr>
          <w:p>
            <w:r>
              <w:rPr>
                <w:b/>
                <w:sz w:val="17"/>
              </w:rPr>
              <w:t>9,716</w:t>
            </w:r>
          </w:p>
        </w:tc>
        <w:tc>
          <w:tcPr>
            <w:tcW w:type="dxa" w:w="1440"/>
            <w:shd w:fill="FFDCE0" w:val="clear"/>
          </w:tcPr>
          <w:p>
            <w:r>
              <w:rPr>
                <w:sz w:val="17"/>
              </w:rPr>
              <w:t>10,575</w:t>
            </w:r>
          </w:p>
        </w:tc>
        <w:tc>
          <w:tcPr>
            <w:tcW w:type="dxa" w:w="1440"/>
            <w:shd w:fill="FFDCE0" w:val="clear"/>
          </w:tcPr>
          <w:p>
            <w:r>
              <w:rPr>
                <w:b/>
                <w:color w:val="C00000"/>
                <w:sz w:val="17"/>
              </w:rPr>
              <w:t>-22.2%</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8,532</w:t>
            </w:r>
          </w:p>
        </w:tc>
        <w:tc>
          <w:tcPr>
            <w:tcW w:type="dxa" w:w="1440"/>
            <w:shd w:fill="FFDCE0" w:val="clear"/>
          </w:tcPr>
          <w:p>
            <w:r>
              <w:rPr>
                <w:b/>
                <w:sz w:val="17"/>
              </w:rPr>
              <w:t>9,433</w:t>
            </w:r>
          </w:p>
        </w:tc>
        <w:tc>
          <w:tcPr>
            <w:tcW w:type="dxa" w:w="1440"/>
            <w:shd w:fill="FFDCE0" w:val="clear"/>
          </w:tcPr>
          <w:p>
            <w:r>
              <w:rPr>
                <w:sz w:val="17"/>
              </w:rPr>
              <w:t>10,334</w:t>
            </w:r>
          </w:p>
        </w:tc>
        <w:tc>
          <w:tcPr>
            <w:tcW w:type="dxa" w:w="1440"/>
            <w:shd w:fill="FFDCE0" w:val="clear"/>
          </w:tcPr>
          <w:p>
            <w:r>
              <w:rPr>
                <w:b/>
                <w:color w:val="C00000"/>
                <w:sz w:val="17"/>
              </w:rPr>
              <w:t>-24.5%</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8,247</w:t>
            </w:r>
          </w:p>
        </w:tc>
        <w:tc>
          <w:tcPr>
            <w:tcW w:type="dxa" w:w="1440"/>
            <w:shd w:fill="FFDCE0" w:val="clear"/>
          </w:tcPr>
          <w:p>
            <w:r>
              <w:rPr>
                <w:b/>
                <w:sz w:val="17"/>
              </w:rPr>
              <w:t>9,185</w:t>
            </w:r>
          </w:p>
        </w:tc>
        <w:tc>
          <w:tcPr>
            <w:tcW w:type="dxa" w:w="1440"/>
            <w:shd w:fill="FFDCE0" w:val="clear"/>
          </w:tcPr>
          <w:p>
            <w:r>
              <w:rPr>
                <w:sz w:val="17"/>
              </w:rPr>
              <w:t>10,123</w:t>
            </w:r>
          </w:p>
        </w:tc>
        <w:tc>
          <w:tcPr>
            <w:tcW w:type="dxa" w:w="1440"/>
            <w:shd w:fill="FFDCE0" w:val="clear"/>
          </w:tcPr>
          <w:p>
            <w:r>
              <w:rPr>
                <w:b/>
                <w:color w:val="C00000"/>
                <w:sz w:val="17"/>
              </w:rPr>
              <w:t>-26.5%</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7,995</w:t>
            </w:r>
          </w:p>
        </w:tc>
        <w:tc>
          <w:tcPr>
            <w:tcW w:type="dxa" w:w="1440"/>
            <w:shd w:fill="FFDCE0" w:val="clear"/>
          </w:tcPr>
          <w:p>
            <w:r>
              <w:rPr>
                <w:b/>
                <w:sz w:val="17"/>
              </w:rPr>
              <w:t>8,966</w:t>
            </w:r>
          </w:p>
        </w:tc>
        <w:tc>
          <w:tcPr>
            <w:tcW w:type="dxa" w:w="1440"/>
            <w:shd w:fill="FFDCE0" w:val="clear"/>
          </w:tcPr>
          <w:p>
            <w:r>
              <w:rPr>
                <w:sz w:val="17"/>
              </w:rPr>
              <w:t>9,937</w:t>
            </w:r>
          </w:p>
        </w:tc>
        <w:tc>
          <w:tcPr>
            <w:tcW w:type="dxa" w:w="1440"/>
            <w:shd w:fill="FFDCE0" w:val="clear"/>
          </w:tcPr>
          <w:p>
            <w:r>
              <w:rPr>
                <w:b/>
                <w:color w:val="C00000"/>
                <w:sz w:val="17"/>
              </w:rPr>
              <w:t>-28.2%</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7,771</w:t>
            </w:r>
          </w:p>
        </w:tc>
        <w:tc>
          <w:tcPr>
            <w:tcW w:type="dxa" w:w="1440"/>
            <w:shd w:fill="FFDCE0" w:val="clear"/>
          </w:tcPr>
          <w:p>
            <w:r>
              <w:rPr>
                <w:b/>
                <w:sz w:val="17"/>
              </w:rPr>
              <w:t>8,772</w:t>
            </w:r>
          </w:p>
        </w:tc>
        <w:tc>
          <w:tcPr>
            <w:tcW w:type="dxa" w:w="1440"/>
            <w:shd w:fill="FFDCE0" w:val="clear"/>
          </w:tcPr>
          <w:p>
            <w:r>
              <w:rPr>
                <w:sz w:val="17"/>
              </w:rPr>
              <w:t>9,773</w:t>
            </w:r>
          </w:p>
        </w:tc>
        <w:tc>
          <w:tcPr>
            <w:tcW w:type="dxa" w:w="1440"/>
            <w:shd w:fill="FFDCE0" w:val="clear"/>
          </w:tcPr>
          <w:p>
            <w:r>
              <w:rPr>
                <w:b/>
                <w:color w:val="C00000"/>
                <w:sz w:val="17"/>
              </w:rPr>
              <w:t>-29.8%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499,80 milliards FCFA positionne BOAC comme l'une des valeurs les plus significatives de la BRVM, reflétant son statut de banque systémique en Côte d'Ivoire. Le BPA de 888 FCFA indique une capacité bénéficiaire solide par action. Le PER de 14,1x est supérieur à la moyenne historique de la BRVM (8-12x), ce qui suggère que le marché intègre déjà des perspectives de croissance future, mais sans excès spéculatif majeur. Le P/B de 3,92x, bien que dans la fourchette de 2-4x, témoigne d'une prime de croissance accordée par le marché par rapport à la valeur comptable des actifs. En revanche, l'EV/EBITDA de 27,4x est particulièrement exigeant, indiquant que la valeur d'entreprise est élevée par rapport à la capacité opérationnelle de la banque, un signal de prudence pour les investisseurs cherchant des marges de sécurité.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+49,11%, passant d'un plus bas de 8 380 FCFA à un plus haut de 13 450 FCFA, avec un cours actuel de 12 495 FCFA. La variation à J-1 est nulle, suggérant une pause après ce rallye soutenu. La moyenne du cours sur la période (9 840 FCFA) est nettement inférieure à la médiane (9 192 FCFA) et au cours actuel, confirmant une distribution asymétrique positive (skewness de 1,164) où la majorité des séances se sont déroulées sous la moyenne, avec des épisodes de forte hausse récents. L'écart-type de 1 508 FCFA (CV de 15,3%) indique une dispersion modérée des prix autour de la moyenne. Le kurtosis de -0,081, proche de zéro, révèle une distribution mésokurtique sans risque de pics extrêmes particuliers. La volatilité annualisée de 25,8% classe le titre dans la catégorie modérée (15-30%), ce qui est acceptable pour une valeur bancaire en phase de croissance.</w:t>
      </w:r>
    </w:p>
    <w:p>
      <w:pPr>
        <w:spacing w:after="120" w:line="276" w:lineRule="auto" w:before="240"/>
      </w:pPr>
      <w:r>
        <w:rPr>
          <w:b/>
          <w:color w:val="003366"/>
          <w:sz w:val="24"/>
        </w:rPr>
        <w:t>**PARTIE 2 : ANALYSE TECHNIQUE DÉTAILLÉE**</w:t>
      </w:r>
    </w:p>
    <w:p>
      <w:pPr>
        <w:spacing w:after="120" w:line="276" w:lineRule="auto"/>
      </w:pPr>
      <w:r>
        <w:t>**Moyennes Mobiles** : Le cours actuel (12 495 FCFA) se positionne au-dessus de la MM20 (12 542,5 FCFA) et nettement au-dessus de la MM50 (10 901,8 FCFA), confirmant une tendance haussière de moyen terme. La MM20 étant supérieure à la MM50, la configuration est bullish, justifiant la décision d'achat signalée.</w:t>
      </w:r>
    </w:p>
    <w:p>
      <w:pPr>
        <w:spacing w:after="120" w:line="276" w:lineRule="auto"/>
      </w:pPr>
      <w:r>
        <w:t>**Bandes de Bollinger** : Le prix évolue entre la borne supérieure (13 790,9 FCFA) et la borne inférieure (11 294,1 FCFA), se situant dans la partie médiane-haute du canal. Cette position neutre suggère une volatilité normale sans condition de surachat ou de survente extrême, laissant place à une poursuite de la tendance.</w:t>
      </w:r>
    </w:p>
    <w:p>
      <w:pPr>
        <w:spacing w:after="120" w:line="276" w:lineRule="auto"/>
      </w:pPr>
      <w:r>
        <w:t>**MACD** : La valeur du MACD (482,71) est inférieure à son signal (645,29), indiquant un momentum baissier à court terme. Cette divergence négative, malgré la tendance haussière de fond, justifie la décision de vente et appelle à la prudence pour les prochaines séances.</w:t>
      </w:r>
    </w:p>
    <w:p>
      <w:pPr>
        <w:spacing w:after="120" w:line="276" w:lineRule="auto"/>
      </w:pPr>
      <w:r>
        <w:t>**RSI** : À 50,32, le RSI se situe exactement dans la zone neutre (30-70), indiquant un équilibre entre pressions acheteuses et vendeuses. Cette valeur ne signale ni surachat ni survente, laissant les investisseurs dans l'attente d'une direction claire.</w:t>
      </w:r>
    </w:p>
    <w:p>
      <w:pPr>
        <w:spacing w:after="120" w:line="276" w:lineRule="auto"/>
      </w:pPr>
      <w:r>
        <w:t>**Stochastique** : Le %K (17,32) est inférieur au %D (19,96), mais les deux sont en zone de survente (&lt;20), suggérant un potentiel de rebond technique. La décision d'achat signalée indique que le marché pourrait corriger la récente faiblesse à court terme.</w:t>
      </w:r>
    </w:p>
    <w:p>
      <w:pPr>
        <w:spacing w:after="120" w:line="276" w:lineRule="auto"/>
      </w:pPr>
      <w:r>
        <w:t>**Conclusion technique** : Les signaux sont mitigés avec une tendance de fond haussière (MM, Stochastique) contrastant avec un momentum court terme négatif (MACD) et une neutralité du RSI. Cette configuration suggère une phase de consolidation après la forte hausse, avec un potentiel de reprise si le support des MM20 se maintient.</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BOAC révèlent une banque performante avec un Produit Net Bancaire de 73,545 milliards FCFA et un résultat net de 35,540 milliards FCFA, démontrant une marge nette exceptionnelle de 48,32%. Le ROE de 27,91% et le ROA de 3,22% confirment une excellente création de valeur, bien au-delà des seuils d'excellence (&gt;15% pour le ROE). Le coefficient d'exploitation de 36,70% témoigne d'une efficacité opérationnelle remarquable, tandis que le coût du risque de 6,67% reste élevé, signalant une vigilance nécessaire sur la qualité du portefeuille de crédits. Les dépôts clientèle (850,548 milliards FCFA) représentent près du double des créances sur la clientèle (430,433 milliards FCFA), indiquant une forte liquidité et une capacité de transformation limitée. En croisant avec les rapports narratifs, le rapport du T1 2025 (PNB de 18,39 milliards, +4,93% et résultat net de 10,70 milliards, +14,59%) montre une dynamique positive, mais le rapport du T3 2025 (PNB cumulé de 53,49 milliards, +0,23% et résultat net de 26,63 milliards, +1,29%) révèle une stagnation préoccupante sur neuf mois. En 2024, le PNB était de 72,724 milliards (+19,6%) avec un résultat net de 32,044 milliards (+22,9%), confirmant une année exceptionnelle. Les objectifs triennaux 2027 (croissance du PNB de +11,6% sur trois ans) indiquent des ambitions de redémarrage, mais la contraction des crédits (-11,97% au T3 2025) et la hausse des frais généraux (+2,23%) constituent des points de vigilance pour la rentabilité future.</w:t>
      </w:r>
    </w:p>
    <w:p>
      <w:pPr>
        <w:spacing w:after="120" w:line="276" w:lineRule="auto" w:before="240"/>
      </w:pPr>
      <w:r>
        <w:rPr>
          <w:b/>
          <w:color w:val="003366"/>
          <w:sz w:val="24"/>
        </w:rPr>
        <w:t>**PARTIE 4 : CONCLUSION D'INVESTISSEMENT**</w:t>
      </w:r>
    </w:p>
    <w:p>
      <w:pPr>
        <w:spacing w:after="120" w:line="276" w:lineRule="auto"/>
      </w:pPr>
      <w:r>
        <w:t>La valorisation actuelle de BOAC (PER 14,1x, P/B 3,92x, EV/EBITDA 27,4x) suggère une surévaluation relative par rapport aux standards BRVM, intégrant des attentes de croissance élevées. Le comportement du cours (+49,11% sur 100 jours) avec une volatilité modérée (25,8%) et une asymétrie positive témoigne d'un intérêt marqué des investisseurs, mais la stagnation du cours à J-1 et les statistiques montrant une majorité de séances sous la moyenne indiquent un possible épuisement du rallye. Les signaux techniques sont divergents : la tendance de fond reste haussière (MM, Stochastique en zone de survente) mais le momentum court terme s'affaiblit (MACD vendeur, RSI neutre). Les fondamentaux sont solides avec un ROE de 27,91% et un coefficient d'exploitation de 36,70%, mais la stagnation du PNB sur neuf mois en 2025 et la contraction des crédits tempèrent l'optimisme. Les prédictions IA (baisse progressive de 11 828 FCFA à 10 042 FCFA sur 10 jours) confirment cette phase de correction attendue. La recommandation finale est **CONSERVER** avec un niveau de confiance **Moyen** et un risque global **Moyen**, suggérant un horizon d'investissement de moyen terme (3-12 mois) pour observer la reprise de la croissance du PNB et l'amélioration de la qualité du portefeuille de crédits avant de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6,183 titres</w:t>
            </w:r>
          </w:p>
        </w:tc>
        <w:tc>
          <w:tcPr>
            <w:tcW w:type="dxa" w:w="2268"/>
            <w:shd w:fill="FFF2CC" w:val="clear"/>
          </w:tcPr>
          <w:p>
            <w:r>
              <w:rPr>
                <w:b/>
                <w:color w:val="503200"/>
                <w:sz w:val="16"/>
              </w:rPr>
              <w:t xml:space="preserve">Cours actuel : </w:t>
            </w:r>
            <w:r>
              <w:rPr>
                <w:color w:val="000000"/>
                <w:sz w:val="17"/>
              </w:rPr>
              <w:t>6,490 FCFA</w:t>
            </w:r>
          </w:p>
          <w:p>
            <w:r>
              <w:rPr>
                <w:b/>
                <w:color w:val="503200"/>
                <w:sz w:val="16"/>
              </w:rPr>
              <w:t xml:space="preserve">Var. 100 jours : </w:t>
            </w:r>
            <w:r>
              <w:rPr>
                <w:b/>
                <w:color w:val="007800"/>
                <w:sz w:val="17"/>
              </w:rPr>
              <w:t>+39.57%</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12.23% (Moyenne) — μ=5,198 FCFA, σ=636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β=0.3155 (Défensif) — Cov=0.000011, Var(idx)=0.000036, ρ=0.093,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6,193</w:t>
            </w:r>
          </w:p>
        </w:tc>
        <w:tc>
          <w:tcPr>
            <w:tcW w:type="dxa" w:w="1440"/>
            <w:shd w:fill="FAFAFA" w:val="clear"/>
          </w:tcPr>
          <w:p>
            <w:r>
              <w:rPr>
                <w:b/>
                <w:sz w:val="17"/>
              </w:rPr>
              <w:t>6,385</w:t>
            </w:r>
          </w:p>
        </w:tc>
        <w:tc>
          <w:tcPr>
            <w:tcW w:type="dxa" w:w="1440"/>
            <w:shd w:fill="FAFAFA" w:val="clear"/>
          </w:tcPr>
          <w:p>
            <w:r>
              <w:rPr>
                <w:sz w:val="17"/>
              </w:rPr>
              <w:t>6,577</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5,970</w:t>
            </w:r>
          </w:p>
        </w:tc>
        <w:tc>
          <w:tcPr>
            <w:tcW w:type="dxa" w:w="1440"/>
            <w:shd w:fill="FFDCE0" w:val="clear"/>
          </w:tcPr>
          <w:p>
            <w:r>
              <w:rPr>
                <w:b/>
                <w:sz w:val="17"/>
              </w:rPr>
              <w:t>6,235</w:t>
            </w:r>
          </w:p>
        </w:tc>
        <w:tc>
          <w:tcPr>
            <w:tcW w:type="dxa" w:w="1440"/>
            <w:shd w:fill="FFDCE0" w:val="clear"/>
          </w:tcPr>
          <w:p>
            <w:r>
              <w:rPr>
                <w:sz w:val="17"/>
              </w:rPr>
              <w:t>6,501</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5,775</w:t>
            </w:r>
          </w:p>
        </w:tc>
        <w:tc>
          <w:tcPr>
            <w:tcW w:type="dxa" w:w="1440"/>
            <w:shd w:fill="FFDCE0" w:val="clear"/>
          </w:tcPr>
          <w:p>
            <w:r>
              <w:rPr>
                <w:b/>
                <w:sz w:val="17"/>
              </w:rPr>
              <w:t>6,092</w:t>
            </w:r>
          </w:p>
        </w:tc>
        <w:tc>
          <w:tcPr>
            <w:tcW w:type="dxa" w:w="1440"/>
            <w:shd w:fill="FFDCE0" w:val="clear"/>
          </w:tcPr>
          <w:p>
            <w:r>
              <w:rPr>
                <w:sz w:val="17"/>
              </w:rPr>
              <w:t>6,409</w:t>
            </w:r>
          </w:p>
        </w:tc>
        <w:tc>
          <w:tcPr>
            <w:tcW w:type="dxa" w:w="1440"/>
            <w:shd w:fill="FFDCE0" w:val="clear"/>
          </w:tcPr>
          <w:p>
            <w:r>
              <w:rPr>
                <w:b/>
                <w:color w:val="C00000"/>
                <w:sz w:val="17"/>
              </w:rPr>
              <w:t>-6.1%</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5,610</w:t>
            </w:r>
          </w:p>
        </w:tc>
        <w:tc>
          <w:tcPr>
            <w:tcW w:type="dxa" w:w="1440"/>
            <w:shd w:fill="FFDCE0" w:val="clear"/>
          </w:tcPr>
          <w:p>
            <w:r>
              <w:rPr>
                <w:b/>
                <w:sz w:val="17"/>
              </w:rPr>
              <w:t>5,969</w:t>
            </w:r>
          </w:p>
        </w:tc>
        <w:tc>
          <w:tcPr>
            <w:tcW w:type="dxa" w:w="1440"/>
            <w:shd w:fill="FFDCE0" w:val="clear"/>
          </w:tcPr>
          <w:p>
            <w:r>
              <w:rPr>
                <w:sz w:val="17"/>
              </w:rPr>
              <w:t>6,328</w:t>
            </w:r>
          </w:p>
        </w:tc>
        <w:tc>
          <w:tcPr>
            <w:tcW w:type="dxa" w:w="1440"/>
            <w:shd w:fill="FFDCE0" w:val="clear"/>
          </w:tcPr>
          <w:p>
            <w:r>
              <w:rPr>
                <w:b/>
                <w:color w:val="C00000"/>
                <w:sz w:val="17"/>
              </w:rPr>
              <w:t>-8.0%</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5,469</w:t>
            </w:r>
          </w:p>
        </w:tc>
        <w:tc>
          <w:tcPr>
            <w:tcW w:type="dxa" w:w="1440"/>
            <w:shd w:fill="FFDCE0" w:val="clear"/>
          </w:tcPr>
          <w:p>
            <w:r>
              <w:rPr>
                <w:b/>
                <w:sz w:val="17"/>
              </w:rPr>
              <w:t>5,863</w:t>
            </w:r>
          </w:p>
        </w:tc>
        <w:tc>
          <w:tcPr>
            <w:tcW w:type="dxa" w:w="1440"/>
            <w:shd w:fill="FFDCE0" w:val="clear"/>
          </w:tcPr>
          <w:p>
            <w:r>
              <w:rPr>
                <w:sz w:val="17"/>
              </w:rPr>
              <w:t>6,257</w:t>
            </w:r>
          </w:p>
        </w:tc>
        <w:tc>
          <w:tcPr>
            <w:tcW w:type="dxa" w:w="1440"/>
            <w:shd w:fill="FFDCE0" w:val="clear"/>
          </w:tcPr>
          <w:p>
            <w:r>
              <w:rPr>
                <w:b/>
                <w:color w:val="C00000"/>
                <w:sz w:val="17"/>
              </w:rPr>
              <w:t>-9.7%</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5,344</w:t>
            </w:r>
          </w:p>
        </w:tc>
        <w:tc>
          <w:tcPr>
            <w:tcW w:type="dxa" w:w="1440"/>
            <w:shd w:fill="FFDCE0" w:val="clear"/>
          </w:tcPr>
          <w:p>
            <w:r>
              <w:rPr>
                <w:b/>
                <w:sz w:val="17"/>
              </w:rPr>
              <w:t>5,768</w:t>
            </w:r>
          </w:p>
        </w:tc>
        <w:tc>
          <w:tcPr>
            <w:tcW w:type="dxa" w:w="1440"/>
            <w:shd w:fill="FFDCE0" w:val="clear"/>
          </w:tcPr>
          <w:p>
            <w:r>
              <w:rPr>
                <w:sz w:val="17"/>
              </w:rPr>
              <w:t>6,193</w:t>
            </w:r>
          </w:p>
        </w:tc>
        <w:tc>
          <w:tcPr>
            <w:tcW w:type="dxa" w:w="1440"/>
            <w:shd w:fill="FFDCE0" w:val="clear"/>
          </w:tcPr>
          <w:p>
            <w:r>
              <w:rPr>
                <w:b/>
                <w:color w:val="C00000"/>
                <w:sz w:val="17"/>
              </w:rPr>
              <w:t>-11.1%</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5,230</w:t>
            </w:r>
          </w:p>
        </w:tc>
        <w:tc>
          <w:tcPr>
            <w:tcW w:type="dxa" w:w="1440"/>
            <w:shd w:fill="FFDCE0" w:val="clear"/>
          </w:tcPr>
          <w:p>
            <w:r>
              <w:rPr>
                <w:b/>
                <w:sz w:val="17"/>
              </w:rPr>
              <w:t>5,682</w:t>
            </w:r>
          </w:p>
        </w:tc>
        <w:tc>
          <w:tcPr>
            <w:tcW w:type="dxa" w:w="1440"/>
            <w:shd w:fill="FFDCE0" w:val="clear"/>
          </w:tcPr>
          <w:p>
            <w:r>
              <w:rPr>
                <w:sz w:val="17"/>
              </w:rPr>
              <w:t>6,134</w:t>
            </w:r>
          </w:p>
        </w:tc>
        <w:tc>
          <w:tcPr>
            <w:tcW w:type="dxa" w:w="1440"/>
            <w:shd w:fill="FFDCE0" w:val="clear"/>
          </w:tcPr>
          <w:p>
            <w:r>
              <w:rPr>
                <w:b/>
                <w:color w:val="C00000"/>
                <w:sz w:val="17"/>
              </w:rPr>
              <w:t>-12.5%</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5,125</w:t>
            </w:r>
          </w:p>
        </w:tc>
        <w:tc>
          <w:tcPr>
            <w:tcW w:type="dxa" w:w="1440"/>
            <w:shd w:fill="FFDCE0" w:val="clear"/>
          </w:tcPr>
          <w:p>
            <w:r>
              <w:rPr>
                <w:b/>
                <w:sz w:val="17"/>
              </w:rPr>
              <w:t>5,602</w:t>
            </w:r>
          </w:p>
        </w:tc>
        <w:tc>
          <w:tcPr>
            <w:tcW w:type="dxa" w:w="1440"/>
            <w:shd w:fill="FFDCE0" w:val="clear"/>
          </w:tcPr>
          <w:p>
            <w:r>
              <w:rPr>
                <w:sz w:val="17"/>
              </w:rPr>
              <w:t>6,078</w:t>
            </w:r>
          </w:p>
        </w:tc>
        <w:tc>
          <w:tcPr>
            <w:tcW w:type="dxa" w:w="1440"/>
            <w:shd w:fill="FFDCE0" w:val="clear"/>
          </w:tcPr>
          <w:p>
            <w:r>
              <w:rPr>
                <w:b/>
                <w:color w:val="C00000"/>
                <w:sz w:val="17"/>
              </w:rPr>
              <w:t>-13.7%</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5,028</w:t>
            </w:r>
          </w:p>
        </w:tc>
        <w:tc>
          <w:tcPr>
            <w:tcW w:type="dxa" w:w="1440"/>
            <w:shd w:fill="FFDCE0" w:val="clear"/>
          </w:tcPr>
          <w:p>
            <w:r>
              <w:rPr>
                <w:b/>
                <w:sz w:val="17"/>
              </w:rPr>
              <w:t>5,526</w:t>
            </w:r>
          </w:p>
        </w:tc>
        <w:tc>
          <w:tcPr>
            <w:tcW w:type="dxa" w:w="1440"/>
            <w:shd w:fill="FFDCE0" w:val="clear"/>
          </w:tcPr>
          <w:p>
            <w:r>
              <w:rPr>
                <w:sz w:val="17"/>
              </w:rPr>
              <w:t>6,025</w:t>
            </w:r>
          </w:p>
        </w:tc>
        <w:tc>
          <w:tcPr>
            <w:tcW w:type="dxa" w:w="1440"/>
            <w:shd w:fill="FFDCE0" w:val="clear"/>
          </w:tcPr>
          <w:p>
            <w:r>
              <w:rPr>
                <w:b/>
                <w:color w:val="C00000"/>
                <w:sz w:val="17"/>
              </w:rPr>
              <w:t>-14.8%</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4,937</w:t>
            </w:r>
          </w:p>
        </w:tc>
        <w:tc>
          <w:tcPr>
            <w:tcW w:type="dxa" w:w="1440"/>
            <w:shd w:fill="FFDCE0" w:val="clear"/>
          </w:tcPr>
          <w:p>
            <w:r>
              <w:rPr>
                <w:b/>
                <w:sz w:val="17"/>
              </w:rPr>
              <w:t>5,456</w:t>
            </w:r>
          </w:p>
        </w:tc>
        <w:tc>
          <w:tcPr>
            <w:tcW w:type="dxa" w:w="1440"/>
            <w:shd w:fill="FFDCE0" w:val="clear"/>
          </w:tcPr>
          <w:p>
            <w:r>
              <w:rPr>
                <w:sz w:val="17"/>
              </w:rPr>
              <w:t>5,975</w:t>
            </w:r>
          </w:p>
        </w:tc>
        <w:tc>
          <w:tcPr>
            <w:tcW w:type="dxa" w:w="1440"/>
            <w:shd w:fill="FFDCE0" w:val="clear"/>
          </w:tcPr>
          <w:p>
            <w:r>
              <w:rPr>
                <w:b/>
                <w:color w:val="C00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178,15 milliards FCFA, ce qui positionne la banque parmi les valeurs moyennes du marché de la BRVM. Le BPA de 404 FCFA indique que chaque action génère un bénéfice substantiel, justifiant un PER de 16,1x. Ce ratio est nettement supérieur à la moyenne historique de la BRVM (8-12x), signifiant que les investisseurs acceptent de payer une prime significative pour la qualité des actifs et la croissance affichée. Le P/B de 3,58x confirme cette prime, le marché valorisant la banque à plus de 3,5 fois sa valeur comptable, ce qui reflète une forte confiance dans la création de valeur future. Enfin, l'EV/EBITDA de 8,5x se situe dans la fourchette raisonnable (5-10x), indiquant que la valorisation globale de l'entreprise, rapportée à sa capacité opérationnelle, demeure cohérente avec les standards du secteur bancaire régional.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+39,57%, avec une légère hausse de +0,15% lors de la dernière séance, témoignant d'une dynamique haussière soutenue. Le cours a évolué dans une fourchette large de 4 425 FCFA (plus bas) à 6 700 FCFA (plus haut), démontrant une forte amplitude de trading. La moyenne de 5 198 FCFA, inférieure à la médiane de 4 968 FCFA, révèle une distribution asymétrique positive (skewness de 0,786), indiquant que le cours a passé davantage de journées sous sa moyenne avant de connaître des poussées haussières récentes. L'écart-type de 639 FCFA (CV=12,3%) traduit une dispersion modérée autour de la moyenne, tandis que le kurtosis de -0,599 (mésokurtique) suggère une distribution proche de la normale, sans risque excessif de mouvements extrêmes. La volatilité annualisée de 32,0% classe le titre dans la catégorie élevée (&gt;30%), reflétant un profil de risque marqué mais récompensé par une performance substantielle.</w:t>
      </w:r>
    </w:p>
    <w:p>
      <w:pPr>
        <w:spacing w:after="120" w:line="276" w:lineRule="auto" w:before="240"/>
      </w:pPr>
      <w:r>
        <w:rPr>
          <w:b/>
          <w:color w:val="003366"/>
          <w:sz w:val="24"/>
        </w:rPr>
        <w:t>**PARTIE 2 : ANALYSE TECHNIQUE DÉTAILLÉE**</w:t>
      </w:r>
    </w:p>
    <w:p>
      <w:pPr>
        <w:spacing w:after="120" w:line="276" w:lineRule="auto"/>
      </w:pPr>
      <w:r>
        <w:t>**Moyennes Mobiles** : Le cours actuel de 6 490 FCFA se positionne nettement au-dessus de la MM20 (6 194,5 FCFA) et de la MM50 (5 690,4 FCFA), confirmant une tendance haussière solide. La configuration des moyennes mobiles, avec la MM20 au-dessus de la MM50, valide la dynamique positive et justifie la décision d'Achat.</w:t>
      </w:r>
    </w:p>
    <w:p>
      <w:pPr>
        <w:spacing w:after="120" w:line="276" w:lineRule="auto"/>
      </w:pPr>
      <w:r>
        <w:t>**Bandes de Bollinger** : Le prix évolue dans la partie supérieure des bandes, entre la borne inférieure de 5 465,9 FCFA et la borne supérieure de 6 923,1 FCFA. Le cours à 6 490 FCFA se rapproche de la borne supérieure sans la toucher, indiquant une volatilité modérée et une pression acheteuse persistante. La décision Neutre s'explique par l'absence de sortie des bandes.</w:t>
      </w:r>
    </w:p>
    <w:p>
      <w:pPr>
        <w:spacing w:after="120" w:line="276" w:lineRule="auto"/>
      </w:pPr>
      <w:r>
        <w:t>**MACD** : La valeur du MACD (261,019) est légèrement inférieure à son signal (264,038), suggérant un affaiblissement du momentum haussier à court terme. Cette divergence négative, bien que minime, justifie la décision de Vente, signalant un possible essoufflement de la tendance.</w:t>
      </w:r>
    </w:p>
    <w:p>
      <w:pPr>
        <w:spacing w:after="120" w:line="276" w:lineRule="auto"/>
      </w:pPr>
      <w:r>
        <w:t>**RSI** : Avec une valeur de 72,449, le RSI dépasse le seuil de surachat (&gt;70), indiquant que le titre est techniquement survendu et qu'un repli correctif est probable. Cette situation justifie la décision de Vente, les acheteurs potentiels étant invités à patienter.</w:t>
      </w:r>
    </w:p>
    <w:p>
      <w:pPr>
        <w:spacing w:after="120" w:line="276" w:lineRule="auto"/>
      </w:pPr>
      <w:r>
        <w:t>**Stochastique** : Le %K (62,5) est inférieur au %D (67,59), suggérant un croisement baissier potentiel. Cette configuration, bien que neutre, indique un affaiblissement de la dynamique haussière à court terme.</w:t>
      </w:r>
    </w:p>
    <w:p>
      <w:pPr>
        <w:spacing w:after="120" w:line="276" w:lineRule="auto"/>
      </w:pPr>
      <w:r>
        <w:t>**Conclusion technique** : Les indicateurs sont mitigés, avec une tendance de fond haussière (moyennes mobiles) mais des signaux de surachat à court terme (RSI, MACD). La prudence est recommandée, un repli technique étant probable avant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BOAM affiche un Produit Net Bancaire de 37,996 milliards FCFA, en croissance de 5,08%, et un résultat net de 11,081 milliards FCFA, démontrant une rentabilité solide. Le ROE de 22,24% et le ROA de 1,87% témoignent d'une excellente gestion des fonds propres et des actifs. Le coefficient d'exploitation de 63,14% reste légèrement au-dessus du seuil d'efficacité (&lt;60%), mais s'améliore progressivement. Le coût du risque de 43,39% demeure élevé, reflétant les défis sécuritaires et économiques du Mali. Les dépôts clientèle (502,89 milliards FCFA) couvrent largement les créances clientèle (253,65 milliards FCFA), indiquant une transformation saine. Les rapports trimestriels 2025 confirment cette trajectoire : le T1 affiche un résultat net en hausse de 91,18%, le S1 de +28,8% (6,21 milliards FCFA), et le T3 de +26,2% (9,16 milliards FCFA). Sur la base de ces performances, on estime que l'exercice 2025 devrait clôturer avec un résultat net supérieur à 11 milliards FCFA, confirmant la solidité fondamentale de la banque malgré un environnement difficile.</w:t>
      </w:r>
    </w:p>
    <w:p>
      <w:pPr>
        <w:spacing w:after="120" w:line="276" w:lineRule="auto" w:before="240"/>
      </w:pPr>
      <w:r>
        <w:rPr>
          <w:b/>
          <w:color w:val="003366"/>
          <w:sz w:val="24"/>
        </w:rPr>
        <w:t>**PARTIE 4 : CONCLUSION D'INVESTISSEMENT**</w:t>
      </w:r>
    </w:p>
    <w:p>
      <w:pPr>
        <w:spacing w:after="120" w:line="276" w:lineRule="auto"/>
      </w:pPr>
      <w:r>
        <w:t>La valorisation de BOAM (PER 16,1x, P/B 3,58x) indique une prime de croissance justifiée par des fondamentaux solides, mais qui limite le potentiel de hausse à court terme. Le comportement du cours (+39,57% sur 100 jours) démontre une dynamique haussière impressionnante, bien que la volatilité élevée (32%) et les statistiques (asymétrie positive) suggèrent des corrections possibles. Les signaux techniques sont divergents : les moyennes mobiles restent haussières, mais le RSI (72,4) et le MACD signalent un essoufflement imminent. Les fondamentaux, avec un ROE de 22,24% et une croissance soutenue du résultat net, confirment la qualité de l'investissement. Les prédictions IA (6 385 à 5 863 FCFA sur 10 jours) anticipent un repli de 9,7%, corroborant les signaux techniques de surachat. En synthèse, la convergence entre les signaux techniques (surachat) et les prédictions IA suggère une consolidation à court terme, mais les fondamentaux robustes et la croissance soutenue justifient une vision positive à moyen terme. **Recommandation : CONSERVER** avec un niveau de confiance Moyen, un risque global Élevé, et un horizon d'investissement optimal à moyen terme (3-12 mois), en attendant un point d'entrée plus favorable après correction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112.22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10,406 titres</w:t>
            </w:r>
          </w:p>
        </w:tc>
        <w:tc>
          <w:tcPr>
            <w:tcW w:type="dxa" w:w="2268"/>
            <w:shd w:fill="FFF2CC" w:val="clear"/>
          </w:tcPr>
          <w:p>
            <w:r>
              <w:rPr>
                <w:b/>
                <w:color w:val="503200"/>
                <w:sz w:val="16"/>
              </w:rPr>
              <w:t xml:space="preserve">Cours actuel : </w:t>
            </w:r>
            <w:r>
              <w:rPr>
                <w:color w:val="000000"/>
                <w:sz w:val="17"/>
              </w:rPr>
              <w:t>5,395 FCFA</w:t>
            </w:r>
          </w:p>
          <w:p>
            <w:r>
              <w:rPr>
                <w:b/>
                <w:color w:val="503200"/>
                <w:sz w:val="16"/>
              </w:rPr>
              <w:t xml:space="preserve">Var. 100 jours : </w:t>
            </w:r>
            <w:r>
              <w:rPr>
                <w:b/>
                <w:color w:val="007800"/>
                <w:sz w:val="17"/>
              </w:rPr>
              <w:t>+92.68%</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19.67% (Élevée) — μ=4,231 FCFA, σ=832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β=0.2595 (Défensif) — Cov=0.000009, Var(idx)=0.000036, ρ=0.062,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5,249</w:t>
            </w:r>
          </w:p>
        </w:tc>
        <w:tc>
          <w:tcPr>
            <w:tcW w:type="dxa" w:w="1440"/>
            <w:shd w:fill="FAFAFA" w:val="clear"/>
          </w:tcPr>
          <w:p>
            <w:r>
              <w:rPr>
                <w:b/>
                <w:sz w:val="17"/>
              </w:rPr>
              <w:t>5,407</w:t>
            </w:r>
          </w:p>
        </w:tc>
        <w:tc>
          <w:tcPr>
            <w:tcW w:type="dxa" w:w="1440"/>
            <w:shd w:fill="FAFAFA" w:val="clear"/>
          </w:tcPr>
          <w:p>
            <w:r>
              <w:rPr>
                <w:sz w:val="17"/>
              </w:rPr>
              <w:t>5,565</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2026-09-04</w:t>
            </w:r>
          </w:p>
        </w:tc>
        <w:tc>
          <w:tcPr>
            <w:tcW w:type="dxa" w:w="1440"/>
            <w:shd w:fill="FAFAFA" w:val="clear"/>
          </w:tcPr>
          <w:p>
            <w:r>
              <w:rPr>
                <w:sz w:val="17"/>
              </w:rPr>
              <w:t>5,165</w:t>
            </w:r>
          </w:p>
        </w:tc>
        <w:tc>
          <w:tcPr>
            <w:tcW w:type="dxa" w:w="1440"/>
            <w:shd w:fill="FAFAFA" w:val="clear"/>
          </w:tcPr>
          <w:p>
            <w:r>
              <w:rPr>
                <w:b/>
                <w:sz w:val="17"/>
              </w:rPr>
              <w:t>5,387</w:t>
            </w:r>
          </w:p>
        </w:tc>
        <w:tc>
          <w:tcPr>
            <w:tcW w:type="dxa" w:w="1440"/>
            <w:shd w:fill="FAFAFA" w:val="clear"/>
          </w:tcPr>
          <w:p>
            <w:r>
              <w:rPr>
                <w:sz w:val="17"/>
              </w:rPr>
              <w:t>5,610</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5,101</w:t>
            </w:r>
          </w:p>
        </w:tc>
        <w:tc>
          <w:tcPr>
            <w:tcW w:type="dxa" w:w="1440"/>
            <w:shd w:fill="FAFAFA" w:val="clear"/>
          </w:tcPr>
          <w:p>
            <w:r>
              <w:rPr>
                <w:b/>
                <w:sz w:val="17"/>
              </w:rPr>
              <w:t>5,373</w:t>
            </w:r>
          </w:p>
        </w:tc>
        <w:tc>
          <w:tcPr>
            <w:tcW w:type="dxa" w:w="1440"/>
            <w:shd w:fill="FAFAFA" w:val="clear"/>
          </w:tcPr>
          <w:p>
            <w:r>
              <w:rPr>
                <w:sz w:val="17"/>
              </w:rPr>
              <w:t>5,646</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2026-09-08</w:t>
            </w:r>
          </w:p>
        </w:tc>
        <w:tc>
          <w:tcPr>
            <w:tcW w:type="dxa" w:w="1440"/>
            <w:shd w:fill="FAFAFA" w:val="clear"/>
          </w:tcPr>
          <w:p>
            <w:r>
              <w:rPr>
                <w:sz w:val="17"/>
              </w:rPr>
              <w:t>5,046</w:t>
            </w:r>
          </w:p>
        </w:tc>
        <w:tc>
          <w:tcPr>
            <w:tcW w:type="dxa" w:w="1440"/>
            <w:shd w:fill="FAFAFA" w:val="clear"/>
          </w:tcPr>
          <w:p>
            <w:r>
              <w:rPr>
                <w:b/>
                <w:sz w:val="17"/>
              </w:rPr>
              <w:t>5,360</w:t>
            </w:r>
          </w:p>
        </w:tc>
        <w:tc>
          <w:tcPr>
            <w:tcW w:type="dxa" w:w="1440"/>
            <w:shd w:fill="FAFAFA" w:val="clear"/>
          </w:tcPr>
          <w:p>
            <w:r>
              <w:rPr>
                <w:sz w:val="17"/>
              </w:rPr>
              <w:t>5,674</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2026-09-09</w:t>
            </w:r>
          </w:p>
        </w:tc>
        <w:tc>
          <w:tcPr>
            <w:tcW w:type="dxa" w:w="1440"/>
            <w:shd w:fill="FAFAFA" w:val="clear"/>
          </w:tcPr>
          <w:p>
            <w:r>
              <w:rPr>
                <w:sz w:val="17"/>
              </w:rPr>
              <w:t>4,997</w:t>
            </w:r>
          </w:p>
        </w:tc>
        <w:tc>
          <w:tcPr>
            <w:tcW w:type="dxa" w:w="1440"/>
            <w:shd w:fill="FAFAFA" w:val="clear"/>
          </w:tcPr>
          <w:p>
            <w:r>
              <w:rPr>
                <w:b/>
                <w:sz w:val="17"/>
              </w:rPr>
              <w:t>5,347</w:t>
            </w:r>
          </w:p>
        </w:tc>
        <w:tc>
          <w:tcPr>
            <w:tcW w:type="dxa" w:w="1440"/>
            <w:shd w:fill="FAFAFA" w:val="clear"/>
          </w:tcPr>
          <w:p>
            <w:r>
              <w:rPr>
                <w:sz w:val="17"/>
              </w:rPr>
              <w:t>5,697</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2026-09-10</w:t>
            </w:r>
          </w:p>
        </w:tc>
        <w:tc>
          <w:tcPr>
            <w:tcW w:type="dxa" w:w="1440"/>
            <w:shd w:fill="FAFAFA" w:val="clear"/>
          </w:tcPr>
          <w:p>
            <w:r>
              <w:rPr>
                <w:sz w:val="17"/>
              </w:rPr>
              <w:t>4,951</w:t>
            </w:r>
          </w:p>
        </w:tc>
        <w:tc>
          <w:tcPr>
            <w:tcW w:type="dxa" w:w="1440"/>
            <w:shd w:fill="FAFAFA" w:val="clear"/>
          </w:tcPr>
          <w:p>
            <w:r>
              <w:rPr>
                <w:b/>
                <w:sz w:val="17"/>
              </w:rPr>
              <w:t>5,334</w:t>
            </w:r>
          </w:p>
        </w:tc>
        <w:tc>
          <w:tcPr>
            <w:tcW w:type="dxa" w:w="1440"/>
            <w:shd w:fill="FAFAFA" w:val="clear"/>
          </w:tcPr>
          <w:p>
            <w:r>
              <w:rPr>
                <w:sz w:val="17"/>
              </w:rPr>
              <w:t>5,716</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2026-09-11</w:t>
            </w:r>
          </w:p>
        </w:tc>
        <w:tc>
          <w:tcPr>
            <w:tcW w:type="dxa" w:w="1440"/>
            <w:shd w:fill="FAFAFA" w:val="clear"/>
          </w:tcPr>
          <w:p>
            <w:r>
              <w:rPr>
                <w:sz w:val="17"/>
              </w:rPr>
              <w:t>4,909</w:t>
            </w:r>
          </w:p>
        </w:tc>
        <w:tc>
          <w:tcPr>
            <w:tcW w:type="dxa" w:w="1440"/>
            <w:shd w:fill="FAFAFA" w:val="clear"/>
          </w:tcPr>
          <w:p>
            <w:r>
              <w:rPr>
                <w:b/>
                <w:sz w:val="17"/>
              </w:rPr>
              <w:t>5,321</w:t>
            </w:r>
          </w:p>
        </w:tc>
        <w:tc>
          <w:tcPr>
            <w:tcW w:type="dxa" w:w="1440"/>
            <w:shd w:fill="FAFAFA" w:val="clear"/>
          </w:tcPr>
          <w:p>
            <w:r>
              <w:rPr>
                <w:sz w:val="17"/>
              </w:rPr>
              <w:t>5,733</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2026-09-14</w:t>
            </w:r>
          </w:p>
        </w:tc>
        <w:tc>
          <w:tcPr>
            <w:tcW w:type="dxa" w:w="1440"/>
            <w:shd w:fill="FAFAFA" w:val="clear"/>
          </w:tcPr>
          <w:p>
            <w:r>
              <w:rPr>
                <w:sz w:val="17"/>
              </w:rPr>
              <w:t>4,869</w:t>
            </w:r>
          </w:p>
        </w:tc>
        <w:tc>
          <w:tcPr>
            <w:tcW w:type="dxa" w:w="1440"/>
            <w:shd w:fill="FAFAFA" w:val="clear"/>
          </w:tcPr>
          <w:p>
            <w:r>
              <w:rPr>
                <w:b/>
                <w:sz w:val="17"/>
              </w:rPr>
              <w:t>5,308</w:t>
            </w:r>
          </w:p>
        </w:tc>
        <w:tc>
          <w:tcPr>
            <w:tcW w:type="dxa" w:w="1440"/>
            <w:shd w:fill="FAFAFA" w:val="clear"/>
          </w:tcPr>
          <w:p>
            <w:r>
              <w:rPr>
                <w:sz w:val="17"/>
              </w:rPr>
              <w:t>5,747</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2026-09-15</w:t>
            </w:r>
          </w:p>
        </w:tc>
        <w:tc>
          <w:tcPr>
            <w:tcW w:type="dxa" w:w="1440"/>
            <w:shd w:fill="FAFAFA" w:val="clear"/>
          </w:tcPr>
          <w:p>
            <w:r>
              <w:rPr>
                <w:sz w:val="17"/>
              </w:rPr>
              <w:t>4,831</w:t>
            </w:r>
          </w:p>
        </w:tc>
        <w:tc>
          <w:tcPr>
            <w:tcW w:type="dxa" w:w="1440"/>
            <w:shd w:fill="FAFAFA" w:val="clear"/>
          </w:tcPr>
          <w:p>
            <w:r>
              <w:rPr>
                <w:b/>
                <w:sz w:val="17"/>
              </w:rPr>
              <w:t>5,295</w:t>
            </w:r>
          </w:p>
        </w:tc>
        <w:tc>
          <w:tcPr>
            <w:tcW w:type="dxa" w:w="1440"/>
            <w:shd w:fill="FAFAFA" w:val="clear"/>
          </w:tcPr>
          <w:p>
            <w:r>
              <w:rPr>
                <w:sz w:val="17"/>
              </w:rPr>
              <w:t>5,760</w:t>
            </w:r>
          </w:p>
        </w:tc>
        <w:tc>
          <w:tcPr>
            <w:tcW w:type="dxa" w:w="1440"/>
            <w:shd w:fill="FAFAFA" w:val="clear"/>
          </w:tcPr>
          <w:p>
            <w:r>
              <w:rPr>
                <w:b/>
                <w:color w:val="C00000"/>
                <w:sz w:val="17"/>
              </w:rPr>
              <w:t>-1.8%</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4,794</w:t>
            </w:r>
          </w:p>
        </w:tc>
        <w:tc>
          <w:tcPr>
            <w:tcW w:type="dxa" w:w="1440"/>
            <w:shd w:fill="FFDCE0" w:val="clear"/>
          </w:tcPr>
          <w:p>
            <w:r>
              <w:rPr>
                <w:b/>
                <w:sz w:val="17"/>
              </w:rPr>
              <w:t>5,283</w:t>
            </w:r>
          </w:p>
        </w:tc>
        <w:tc>
          <w:tcPr>
            <w:tcW w:type="dxa" w:w="1440"/>
            <w:shd w:fill="FFDCE0" w:val="clear"/>
          </w:tcPr>
          <w:p>
            <w:r>
              <w:rPr>
                <w:sz w:val="17"/>
              </w:rPr>
              <w:t>5,772</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112,22 milliards FCFA, un niveau significatif pour une banque de cette taille dans l'espace BRVM. Le BPA de 20 FCFA par action est particulièrement faible, ce qui explique un PER de 274,4x, extrêmement élevé par rapport à la moyenne du marché BRVM (8-12x). Les investisseurs paient donc un prix très supérieur aux bénéfices actuels, traduisant une anticipation de redressement majeur. Le P/B de 3,11x indique que le marché valorise la banque à plus de trois fois sa valeur comptable, une prime de croissance substantielle qui semble difficile à justifier au vu des fondamentaux actuels. Enfin, l'EV/EBITDA de 40,7x, très supérieur au seuil exigeant de 15x, confirme une valorisation extrêmement tendue qui laisse peu de place à l'erreur dans l'exécution du plan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+92,68%, passant d'un plus bas de 2 800 FCFA à un plus haut de 5 645 FCFA, pour clôturer à 5 395 FCFA, avec un léger repli de -1,10% lors de la dernière séance. Cette tendance fortement haussière s'accompagne d'une moyenne de 4 231 FCFA, inférieure à la médiane de 3 918 FCFA, indiquant une distribution asymétrique positive où les fortes hausses récentes tirent la moyenne vers le haut. L'écart-type de 836 FCFA (CV de 19,8%) révèle une dispersion modérée des prix autour de la moyenne. Le kurtosis négatif de -1,362 signale une distribution platykurtique, avec moins de valeurs extrêmes que la normale, tandis que le skewness de 0,172 confirme une symétrie relative. La volatilité annualisée de 39,5% classe le titre dans la catégorie des actifs à forte volatilité, un niveau élevé qui reflète l'ampleur du mouvement haussier récent et le risque associé.</w:t>
      </w:r>
    </w:p>
    <w:p>
      <w:pPr>
        <w:spacing w:after="120" w:line="276" w:lineRule="auto" w:before="240"/>
      </w:pPr>
      <w:r>
        <w:rPr>
          <w:b/>
          <w:color w:val="003366"/>
          <w:sz w:val="24"/>
        </w:rPr>
        <w:t>**PARTIE 2 : ANALYSE TECHNIQUE DÉTAILLÉE**</w:t>
      </w:r>
    </w:p>
    <w:p>
      <w:pPr>
        <w:spacing w:after="120" w:line="276" w:lineRule="auto"/>
      </w:pPr>
      <w:r>
        <w:t>**Moyennes Mobiles** : Le cours actuel de 5 395 FCFA se positionne nettement au-dessus de la MM20 (5 257,5 FCFA) et de la MM50 (4 959 FCFA), confirmant une dynamique haussière solide à court et moyen terme. L'écart positif entre le prix et les moyennes mobiles indique une tendance soutenue, justifiant la décision d'achat.</w:t>
      </w:r>
    </w:p>
    <w:p>
      <w:pPr>
        <w:spacing w:after="120" w:line="276" w:lineRule="auto"/>
      </w:pPr>
      <w:r>
        <w:t>**Bandes de Bollinger** : Le prix évolue entre la borne inférieure (4 924,5 FCFA) et la borne supérieure (5 590,5 FCFA), se situant à environ 70% de la largeur des bandes. Cette position suggère une volatilité modérée sans excès, le prix n'étant pas en zone de surachat extrême. La décision neutre reflète un équilibre entre momentum haussier et risque de correction.</w:t>
      </w:r>
    </w:p>
    <w:p>
      <w:pPr>
        <w:spacing w:after="120" w:line="276" w:lineRule="auto"/>
      </w:pPr>
      <w:r>
        <w:t>**MACD** : La valeur du MACD (138,55) est légèrement inférieure à son signal (139,93), indiquant un affaiblissement du momentum haussier à très court terme. Cette divergence négative, bien que minime, suggère une possible consolidation après la forte progression récente, justifiant la décision de vente.</w:t>
      </w:r>
    </w:p>
    <w:p>
      <w:pPr>
        <w:spacing w:after="120" w:line="276" w:lineRule="auto"/>
      </w:pPr>
      <w:r>
        <w:t>**RSI** : À 68,55, le RSI se situe en zone neutre-haute, proche du seuil de surachat de 70. Cette valeur indique que le titre a fortement monté mais ne présente pas encore de signal de surachat extrême, laissant une marge de progression tout en suggérant une prudence accrue.</w:t>
      </w:r>
    </w:p>
    <w:p>
      <w:pPr>
        <w:spacing w:after="120" w:line="276" w:lineRule="auto"/>
      </w:pPr>
      <w:r>
        <w:t>**Stochastique** : Le %K (54,13) est inférieur au %D (63,00), indiquant un croisement baissier récent dans la zone neutre. Cette configuration suggère un essoufflement du momentum haussier à court terme, justifiant la décision neutre avec une vigilance particulière sur les prochaines séances.</w:t>
      </w:r>
    </w:p>
    <w:p>
      <w:pPr>
        <w:spacing w:after="120" w:line="276" w:lineRule="auto"/>
      </w:pPr>
      <w:r>
        <w:t>**Conclusion technique** : Les indicateurs techniques présentent un tableau contrasté : la tendance de fond reste haussière (MM20/MM50), mais les oscillateurs (MACD, Stochastique) montrent des signes d'essoufflement à court terme. Le RSI proche du seuil de surachat et le prix proche de la borne supérieure de Bollinger suggèrent un risque de consolidation dans les prochaines séances, sans remettre en cause la tendance haussière de moyen terme.</w:t>
      </w:r>
    </w:p>
    <w:p>
      <w:pPr>
        <w:spacing w:after="120" w:line="276" w:lineRule="auto" w:before="240"/>
      </w:pPr>
      <w:r>
        <w:rPr>
          <w:b/>
          <w:color w:val="003366"/>
          <w:sz w:val="24"/>
        </w:rPr>
        <w:t>**PARTIE 3 : ANALYSE FONDAMENTALE (SECTION CRITIQUE)**</w:t>
      </w:r>
    </w:p>
    <w:p>
      <w:pPr>
        <w:spacing w:after="120" w:line="276" w:lineRule="auto"/>
      </w:pPr>
      <w:r>
        <w:t>En 2025, les données structurées de BOAN révèlent une situation financière contrastée. Le Produit Net Bancaire s'établit à 21,125 milliards FCFA, en légère baisse de 1,2% par rapport à 2024 (21,38 milliards FCFA), avec un coefficient d'exploitation dégradé à 74,4%, bien au-dessus du seuil d'efficacité de 60%. Le résultat net chute de 91,8% à seulement 409 millions FCFA, contre 5,002 milliards FCFA en 2024, entraînant un ROE de 1,13% et un ROA de 0,14%, des niveaux très faibles. Le coût du risque atteint 67,3% des charges financières, reflétant un portefeuille de crédits de mauvaise qualité, avec un taux de créances en souffrance de 24% contre 12% en moyenne UEMOA. Les dépôts clientèle (183,28 milliards FCFA) couvrent confortablement les créances sur la clientèle (128,45 milliards FCFA), mais la contraction volontaire des crédits (-20,9%) et l'erreur comptable de 1,821 milliard FCFA ont lourdement pesé sur les résultats. Les rapports trimestriels 2025 montrent une dégradation progressive : T1 (résultat net -50,2%), S1 (-25,2%), 9 mois (-33,1%). Cependant, le rapport T1 2026, daté de mars 2026, indique un net redressement avec un résultat net de 1 467,3 millions FCFA (+28,9%), un PNB de 5,17 milliards FCFA (+7,9%) et un coefficient d'exploitation amélioré à 56,2%. Sur cette base, on estime que l'exercice 2026 pourrait voir un résultat net annuel de 5,5 à 6 milliards FCFA, soit une multiplication par plus de 13 par rapport à 2025, si la tendance se maintient. La banque bénéficie du soutien du Groupe BOA et d'un ratio de solvabilité conforme (14,06%), mais reste exposée à un environnement macroéconomique nigérien fragile.</w:t>
      </w:r>
    </w:p>
    <w:p>
      <w:pPr>
        <w:spacing w:after="120" w:line="276" w:lineRule="auto" w:before="240"/>
      </w:pPr>
      <w:r>
        <w:rPr>
          <w:b/>
          <w:color w:val="003366"/>
          <w:sz w:val="24"/>
        </w:rPr>
        <w:t>**PARTIE 4 : CONCLUSION D'INVESTISSEMENT**</w:t>
      </w:r>
    </w:p>
    <w:p>
      <w:pPr>
        <w:spacing w:after="120" w:line="276" w:lineRule="auto"/>
      </w:pPr>
      <w:r>
        <w:t>La valorisation de BOAN apparaît extrêmement exigeante avec un PER de 274,4x et un EV/EBITDA de 40,7x, reflétant une anticipation très optimiste du marché malgré des fondamentaux 2025 très dégradés (ROE de 1,13%, résultat net en chute de 91,8%). Le comportement du cours (+92,68% en 100 jours) avec une volatilité élevée de 39,5% témoigne d'un momentum haussier puissant, mais les statistiques descriptives (kurtosis platykurtique, skewness symétrique) suggèrent une distribution des rendements moins extrême que la normale. Les signaux techniques sont mitigés : les moyennes mobiles restent haussières, mais le MACD et le Stochastique montrent un essoufflement à court terme, tandis que le RSI approche la zone de surachat. Les fondamentaux, bien que très faibles en 2025, montrent des signes encourageants de redressement au T1 2026 (+28,9% du résultat net, coefficient d'exploitation à 56,2%), soutenus par le plan stratégique et la croissance économique attendue au Niger. Les prédictions IA pour les 10 prochains jours (5 407 à 5 347 FCFA) suggèrent une légère consolidation, contredisant partiellement la tendance haussière récente. La convergence entre l'amélioration fondamentale naissante et la tendance technique haussière, malgré une valorisation très tendue, conduit à une recommandation **CONSERVER** avec un niveau de confiance **Moyen**, un risque global **Élevé**, et un horizon d'investissement optimal à **moyen terme (3-12 mois)** pour observer la confirmation du redressement engagé et l'évolution du contexte géopolitique nigérien.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296.64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9,832 titres</w:t>
            </w:r>
          </w:p>
        </w:tc>
        <w:tc>
          <w:tcPr>
            <w:tcW w:type="dxa" w:w="2268"/>
            <w:shd w:fill="FFF2CC" w:val="clear"/>
          </w:tcPr>
          <w:p>
            <w:r>
              <w:rPr>
                <w:b/>
                <w:color w:val="503200"/>
                <w:sz w:val="16"/>
              </w:rPr>
              <w:t xml:space="preserve">Cours actuel : </w:t>
            </w:r>
            <w:r>
              <w:rPr>
                <w:color w:val="000000"/>
                <w:sz w:val="17"/>
              </w:rPr>
              <w:t>8,240 FCFA</w:t>
            </w:r>
          </w:p>
          <w:p>
            <w:r>
              <w:rPr>
                <w:b/>
                <w:color w:val="503200"/>
                <w:sz w:val="16"/>
              </w:rPr>
              <w:t xml:space="preserve">Var. 100 jours : </w:t>
            </w:r>
            <w:r>
              <w:rPr>
                <w:b/>
                <w:color w:val="007800"/>
                <w:sz w:val="17"/>
              </w:rPr>
              <w:t>+23.26%</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5.65% (Moyenne) — μ=7,465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β=0.2659 (Défensif) — Cov=0.000010, Var(idx)=0.000036, ρ=0.103,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9,832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7,810</w:t>
            </w:r>
          </w:p>
        </w:tc>
        <w:tc>
          <w:tcPr>
            <w:tcW w:type="dxa" w:w="1440"/>
            <w:shd w:fill="FFDCE0" w:val="clear"/>
          </w:tcPr>
          <w:p>
            <w:r>
              <w:rPr>
                <w:b/>
                <w:sz w:val="17"/>
              </w:rPr>
              <w:t>8,030</w:t>
            </w:r>
          </w:p>
        </w:tc>
        <w:tc>
          <w:tcPr>
            <w:tcW w:type="dxa" w:w="1440"/>
            <w:shd w:fill="FFDCE0" w:val="clear"/>
          </w:tcPr>
          <w:p>
            <w:r>
              <w:rPr>
                <w:sz w:val="17"/>
              </w:rPr>
              <w:t>8,249</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7,580</w:t>
            </w:r>
          </w:p>
        </w:tc>
        <w:tc>
          <w:tcPr>
            <w:tcW w:type="dxa" w:w="1440"/>
            <w:shd w:fill="FFDCE0" w:val="clear"/>
          </w:tcPr>
          <w:p>
            <w:r>
              <w:rPr>
                <w:b/>
                <w:sz w:val="17"/>
              </w:rPr>
              <w:t>7,884</w:t>
            </w:r>
          </w:p>
        </w:tc>
        <w:tc>
          <w:tcPr>
            <w:tcW w:type="dxa" w:w="1440"/>
            <w:shd w:fill="FFDCE0" w:val="clear"/>
          </w:tcPr>
          <w:p>
            <w:r>
              <w:rPr>
                <w:sz w:val="17"/>
              </w:rPr>
              <w:t>8,189</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7,379</w:t>
            </w:r>
          </w:p>
        </w:tc>
        <w:tc>
          <w:tcPr>
            <w:tcW w:type="dxa" w:w="1440"/>
            <w:shd w:fill="FFDCE0" w:val="clear"/>
          </w:tcPr>
          <w:p>
            <w:r>
              <w:rPr>
                <w:b/>
                <w:sz w:val="17"/>
              </w:rPr>
              <w:t>7,745</w:t>
            </w:r>
          </w:p>
        </w:tc>
        <w:tc>
          <w:tcPr>
            <w:tcW w:type="dxa" w:w="1440"/>
            <w:shd w:fill="FFDCE0" w:val="clear"/>
          </w:tcPr>
          <w:p>
            <w:r>
              <w:rPr>
                <w:sz w:val="17"/>
              </w:rPr>
              <w:t>8,111</w:t>
            </w:r>
          </w:p>
        </w:tc>
        <w:tc>
          <w:tcPr>
            <w:tcW w:type="dxa" w:w="1440"/>
            <w:shd w:fill="FFDCE0" w:val="clear"/>
          </w:tcPr>
          <w:p>
            <w:r>
              <w:rPr>
                <w:b/>
                <w:color w:val="C00000"/>
                <w:sz w:val="17"/>
              </w:rPr>
              <w:t>-6.0%</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7,202</w:t>
            </w:r>
          </w:p>
        </w:tc>
        <w:tc>
          <w:tcPr>
            <w:tcW w:type="dxa" w:w="1440"/>
            <w:shd w:fill="FFDCE0" w:val="clear"/>
          </w:tcPr>
          <w:p>
            <w:r>
              <w:rPr>
                <w:b/>
                <w:sz w:val="17"/>
              </w:rPr>
              <w:t>7,618</w:t>
            </w:r>
          </w:p>
        </w:tc>
        <w:tc>
          <w:tcPr>
            <w:tcW w:type="dxa" w:w="1440"/>
            <w:shd w:fill="FFDCE0" w:val="clear"/>
          </w:tcPr>
          <w:p>
            <w:r>
              <w:rPr>
                <w:sz w:val="17"/>
              </w:rPr>
              <w:t>8,034</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7,042</w:t>
            </w:r>
          </w:p>
        </w:tc>
        <w:tc>
          <w:tcPr>
            <w:tcW w:type="dxa" w:w="1440"/>
            <w:shd w:fill="FFDCE0" w:val="clear"/>
          </w:tcPr>
          <w:p>
            <w:r>
              <w:rPr>
                <w:b/>
                <w:sz w:val="17"/>
              </w:rPr>
              <w:t>7,500</w:t>
            </w:r>
          </w:p>
        </w:tc>
        <w:tc>
          <w:tcPr>
            <w:tcW w:type="dxa" w:w="1440"/>
            <w:shd w:fill="FFDCE0" w:val="clear"/>
          </w:tcPr>
          <w:p>
            <w:r>
              <w:rPr>
                <w:sz w:val="17"/>
              </w:rPr>
              <w:t>7,958</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6,895</w:t>
            </w:r>
          </w:p>
        </w:tc>
        <w:tc>
          <w:tcPr>
            <w:tcW w:type="dxa" w:w="1440"/>
            <w:shd w:fill="FFDCE0" w:val="clear"/>
          </w:tcPr>
          <w:p>
            <w:r>
              <w:rPr>
                <w:b/>
                <w:sz w:val="17"/>
              </w:rPr>
              <w:t>7,389</w:t>
            </w:r>
          </w:p>
        </w:tc>
        <w:tc>
          <w:tcPr>
            <w:tcW w:type="dxa" w:w="1440"/>
            <w:shd w:fill="FFDCE0" w:val="clear"/>
          </w:tcPr>
          <w:p>
            <w:r>
              <w:rPr>
                <w:sz w:val="17"/>
              </w:rPr>
              <w:t>7,883</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6,758</w:t>
            </w:r>
          </w:p>
        </w:tc>
        <w:tc>
          <w:tcPr>
            <w:tcW w:type="dxa" w:w="1440"/>
            <w:shd w:fill="FFDCE0" w:val="clear"/>
          </w:tcPr>
          <w:p>
            <w:r>
              <w:rPr>
                <w:b/>
                <w:sz w:val="17"/>
              </w:rPr>
              <w:t>7,284</w:t>
            </w:r>
          </w:p>
        </w:tc>
        <w:tc>
          <w:tcPr>
            <w:tcW w:type="dxa" w:w="1440"/>
            <w:shd w:fill="FFDCE0" w:val="clear"/>
          </w:tcPr>
          <w:p>
            <w:r>
              <w:rPr>
                <w:sz w:val="17"/>
              </w:rPr>
              <w:t>7,811</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6,631</w:t>
            </w:r>
          </w:p>
        </w:tc>
        <w:tc>
          <w:tcPr>
            <w:tcW w:type="dxa" w:w="1440"/>
            <w:shd w:fill="FFDCE0" w:val="clear"/>
          </w:tcPr>
          <w:p>
            <w:r>
              <w:rPr>
                <w:b/>
                <w:sz w:val="17"/>
              </w:rPr>
              <w:t>7,186</w:t>
            </w:r>
          </w:p>
        </w:tc>
        <w:tc>
          <w:tcPr>
            <w:tcW w:type="dxa" w:w="1440"/>
            <w:shd w:fill="FFDCE0" w:val="clear"/>
          </w:tcPr>
          <w:p>
            <w:r>
              <w:rPr>
                <w:sz w:val="17"/>
              </w:rPr>
              <w:t>7,741</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6,512</w:t>
            </w:r>
          </w:p>
        </w:tc>
        <w:tc>
          <w:tcPr>
            <w:tcW w:type="dxa" w:w="1440"/>
            <w:shd w:fill="FFDCE0" w:val="clear"/>
          </w:tcPr>
          <w:p>
            <w:r>
              <w:rPr>
                <w:b/>
                <w:sz w:val="17"/>
              </w:rPr>
              <w:t>7,093</w:t>
            </w:r>
          </w:p>
        </w:tc>
        <w:tc>
          <w:tcPr>
            <w:tcW w:type="dxa" w:w="1440"/>
            <w:shd w:fill="FFDCE0" w:val="clear"/>
          </w:tcPr>
          <w:p>
            <w:r>
              <w:rPr>
                <w:sz w:val="17"/>
              </w:rPr>
              <w:t>7,674</w:t>
            </w:r>
          </w:p>
        </w:tc>
        <w:tc>
          <w:tcPr>
            <w:tcW w:type="dxa" w:w="1440"/>
            <w:shd w:fill="FFDCE0" w:val="clear"/>
          </w:tcPr>
          <w:p>
            <w:r>
              <w:rPr>
                <w:b/>
                <w:color w:val="C00000"/>
                <w:sz w:val="17"/>
              </w:rPr>
              <w:t>-13.9%</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6,400</w:t>
            </w:r>
          </w:p>
        </w:tc>
        <w:tc>
          <w:tcPr>
            <w:tcW w:type="dxa" w:w="1440"/>
            <w:shd w:fill="FFDCE0" w:val="clear"/>
          </w:tcPr>
          <w:p>
            <w:r>
              <w:rPr>
                <w:b/>
                <w:sz w:val="17"/>
              </w:rPr>
              <w:t>7,004</w:t>
            </w:r>
          </w:p>
        </w:tc>
        <w:tc>
          <w:tcPr>
            <w:tcW w:type="dxa" w:w="1440"/>
            <w:shd w:fill="FFDCE0" w:val="clear"/>
          </w:tcPr>
          <w:p>
            <w:r>
              <w:rPr>
                <w:sz w:val="17"/>
              </w:rPr>
              <w:t>7,609</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structuré et professionnel pour l'action BOAS,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296,64 milliards FCFA, ce qui en fait l'une des valeurs les plus significatives de la cote de la BRVM, reflétant son statut de banque majeure dans la zone UEMOA. Avec un BPA de 608 FCFA, chaque action génère un bénéfice substantiel. Le PER de 13,5x est légèrement supérieur à la moyenne historique de la BRVM (8-12x), indiquant que le marché valorise la croissance future de la banque, mais sans excès. Le P/B de 3,07x confirme cette prime, le marché acceptant de payer plus de trois fois la valeur comptable des actifs, signe d'une confiance dans la création de valeur. Enfin, un EV/EBITDA de 8,8x, dans la fourchette raisonnable de 5-10x, suggère que la valorisation globale de l'entreprise reste cohérente avec sa capacité opérationnelle à générer des profits.</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avec une progression totale de +23,26%, bien que la dernière séance ait clôturé en légère baisse de -0,12% à 8 240 FCFA. Le titre a évolué dans une fourchette de 6 685 à 8 500 FCFA, démontrant une dynamique haussière soutenue. Les statistiques descriptives révèlent une distribution des prix relativement symétrique (Skewness de 0,197) et mésokurtique (Kurtosis de -0,063), indiquant une absence de pics de volatilité extrêmes et une dispersion normale autour de la moyenne de 7 465 FCFA. Le cours actuel étant nettement supérieur à la moyenne et à la médiane (7 430 FCFA), cela confirme la vigueur de la tendance récente. L'écart-type de 424 FCFA (CV=5,7%) montre une dispersion modérée, et la volatilité annualisée de 24,4% classe le titre dans la catégorie à risque modéré, typique des valeurs de croissance sur ce marché.</w:t>
      </w:r>
    </w:p>
    <w:p>
      <w:pPr>
        <w:spacing w:after="120" w:line="276" w:lineRule="auto"/>
      </w:pPr>
      <w:r>
        <w:t>### **PARTIE 2 : ANALYSE TECHNIQUE DÉTAILLÉE**</w:t>
      </w:r>
    </w:p>
    <w:p>
      <w:pPr>
        <w:spacing w:after="120" w:line="276" w:lineRule="auto"/>
      </w:pPr>
      <w:r>
        <w:t>**Moyennes Mobiles:** Le cours actuel de 8 240 FCFA se positionne nettement au-dessus de la MM20 (7 973,5 FCFA) et de la MM50 (7 680,5 FCFA). Cette configuration haussière, où les moyennes sont orientées à la hausse, confirme la solidité de la tendance de fond et justifie la décision d'**Achat**.</w:t>
      </w:r>
    </w:p>
    <w:p>
      <w:pPr>
        <w:spacing w:after="120" w:line="276" w:lineRule="auto"/>
      </w:pPr>
      <w:r>
        <w:t>**Bandes de Bollinger:** Le prix se situe en dessous de la borne supérieure (8 600,9 FCFA) mais au-dessus de la borne inférieure (7 346,1 FCFA). La largeur des bandes indique une volatilité modérée. Le fait que le cours ne touche pas la borne supérieure suggère une absence de surachat extrême, mais la proximité de cette borne maintient une pression haussière. La décision est **Neutre**, le prix étant dans la moitié supérieure de la bande.</w:t>
      </w:r>
    </w:p>
    <w:p>
      <w:pPr>
        <w:spacing w:after="120" w:line="276" w:lineRule="auto"/>
      </w:pPr>
      <w:r>
        <w:t>**MACD:** La valeur du MACD (188,39) est supérieure à sa ligne de signal (166,91), avec les deux indicateurs en territoire positif. Cette configuration classique de croisement haussier confirme un momentum positif et une dynamique d'achat toujours en vigueur, justifiant la décision d'**Achat**.</w:t>
      </w:r>
    </w:p>
    <w:p>
      <w:pPr>
        <w:spacing w:after="120" w:line="276" w:lineRule="auto"/>
      </w:pPr>
      <w:r>
        <w:t>**RSI:** Le RSI à 75,7 est entré en zone de surachat (au-delà de 70). Cela indique que le titre a fortement monté sur une courte période et qu'un repli technique ou une consolidation est probable à court terme. La décision de **Vente** est donc un signal de prudence, suggérant de ne pas acheter à ces niveaux sans correction.</w:t>
      </w:r>
    </w:p>
    <w:p>
      <w:pPr>
        <w:spacing w:after="120" w:line="276" w:lineRule="auto"/>
      </w:pPr>
      <w:r>
        <w:t>**Stochastique:** Les valeurs de %K (67,9) et %D (70,6) sont élevées mais ne sont pas encore en zone de surachat extrême (&gt;80). Le fait que %K soit passé sous %D pourrait indiquer un début de retournement baissier à court terme. La décision est **Neutre**, signalant une possible pause dans la dynamique haussière.</w:t>
      </w:r>
    </w:p>
    <w:p>
      <w:pPr>
        <w:spacing w:after="120" w:line="276" w:lineRule="auto"/>
      </w:pPr>
      <w:r>
        <w:t>**Conclusion technique:** Les indicateurs de tendance (MM, MACD) sont résolument positifs, confirmant une tendance haussière de fond. Cependant, les oscillateurs de momentum (RSI, Stochastique) signalent des conditions de surachat, suggérant un risque de consolidation ou de correction à court terme. Le scénario le plus probable est une pause dans la hausse avant une reprise de la tendance, ou une correction qui offrirait un meilleur point d'entrée.</w:t>
      </w:r>
    </w:p>
    <w:p>
      <w:pPr>
        <w:spacing w:after="120" w:line="276" w:lineRule="auto"/>
      </w:pPr>
      <w:r>
        <w:t>### **PARTIE 3 : ANALYSE FONDAMENTALE (SECTION CRITIQUE)**</w:t>
      </w:r>
    </w:p>
    <w:p>
      <w:pPr>
        <w:spacing w:after="120" w:line="276" w:lineRule="auto"/>
      </w:pPr>
      <w:r>
        <w:t>En 2025, les données financières structurées de BOAS confirment la solidité de son modèle de banque commerciale. Le Produit Net Bancaire (PNB) s'établit à 51,926 milliards FCFA, générant un résultat net de 21,905 milliards FCFA. La banque affiche une rentabilité exceptionnelle avec un ROE de 22,69% et un ROA de 2,62%, démontrant une excellente utilisation de ses capitaux propres et de ses actifs. Son efficacité opérationnelle est remarquable, avec un coefficient d'exploitation de 44,02%, bien en dessous du seuil de 60% considéré comme sain. Le coût du risque, à 23,3% des charges financières, reste un point de vigilance, mais les rapports trimestriels de 2025 montrent une nette amélioration. Le rapport du 3ème trimestre 2025 (publié fin 2025) fait état d'un PNB cumulé de 37,44 milliards FCFA (+6,71% sur un an) et d'un résultat net de 16,37 milliards FCFA (+10,01%), avec un coût du risque en baisse à -0,5% du PNB. Sur la base de ces performances, on estime que la banque est en mesure de maintenir une croissance à deux chiffres de son résultat net pour l'exercice 2025, portée par une collecte de dépôts dynamique (686,9 Mds FCFA au bilan) et une gestion rigoureuse des coûts. Les perspectives pour 2026, appuyées par le rapport du 1er trimestre 2026 (PNB en hausse de 6,82% et résultat net de 5,741 milliards FCFA), restent positives, bien que la croissance des crédits (+4,76%) soit inférieure à celle des dépôts, ce qui pourrait peser sur les marges futures.</w:t>
      </w:r>
    </w:p>
    <w:p>
      <w:pPr>
        <w:spacing w:after="120" w:line="276" w:lineRule="auto"/>
      </w:pPr>
      <w:r>
        <w:t>### **PARTIE 4 : CONCLUSION D'INVESTISSEMENT**</w:t>
      </w:r>
    </w:p>
    <w:p>
      <w:pPr>
        <w:spacing w:after="120" w:line="276" w:lineRule="auto"/>
      </w:pPr>
      <w:r>
        <w:t>La synthèse des analyses fait ressortir un profil d'investissement solide mais contrasté à court terme. La valorisation (Partie 0), avec un PER de 13,5x et un P/B de 3,07x, est attrayante pour une banque affichant une telle qualité de croissance et de rentabilité, sans être excessive. Le comportement du cours (Partie 1) est très favorable, avec une tendance haussière marquée et une volatilité maîtrisée. Cependant, les signaux techniques (Partie 2) sont mitigés : la tendance de fond (MM, MACD) est haussière, mais les oscillateurs (RSI) crient au surachat, suggérant un risque de correction. Les fondamentaux (Partie 3) sont excellents, avec une croissance soutenue du PNB et du résultat net, une efficacité opérationnelle de premier ordre et une amélioration de la qualité du risque. Les prédictions IA pour les 10 prochains jours, qui anticipent une baisse progressive vers 7 500 FCFA, semblent confirmer le scénario technique d'une consolidation à court terme. En conclusion, la convergence entre la solidité fondamentale, la tendance haussière de moyen terme et la prédiction d'un repli temporaire suggère une stratégie d'**ACHAT** sur les points bas. La recommandation est d'**ACHETER** en cas de repli vers la zone des 7 700-7 900 FCFA, avec un niveau de confiance **Moyen** et un risque global **Moyen**. L'horizon d'investissement optimal serait le **moyen terme (3-12 mois)** pour capitaliser sur la croissance des résultats après une probable phase de consolidation.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2,251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-20.90%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7.57% (Moyenne) — μ=3,757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β=0.2658 (Défensif) — Cov=0.000010, Var(idx)=0.000036, ρ=0.049,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2026-09-03</w:t>
            </w:r>
          </w:p>
        </w:tc>
        <w:tc>
          <w:tcPr>
            <w:tcW w:type="dxa" w:w="1440"/>
            <w:shd w:fill="C6EFCE" w:val="clear"/>
          </w:tcPr>
          <w:p>
            <w:r>
              <w:rPr>
                <w:sz w:val="17"/>
              </w:rPr>
              <w:t>3,510</w:t>
            </w:r>
          </w:p>
        </w:tc>
        <w:tc>
          <w:tcPr>
            <w:tcW w:type="dxa" w:w="1440"/>
            <w:shd w:fill="C6EFCE" w:val="clear"/>
          </w:tcPr>
          <w:p>
            <w:r>
              <w:rPr>
                <w:b/>
                <w:sz w:val="17"/>
              </w:rPr>
              <w:t>3,656</w:t>
            </w:r>
          </w:p>
        </w:tc>
        <w:tc>
          <w:tcPr>
            <w:tcW w:type="dxa" w:w="1440"/>
            <w:shd w:fill="C6EFCE" w:val="clear"/>
          </w:tcPr>
          <w:p>
            <w:r>
              <w:rPr>
                <w:sz w:val="17"/>
              </w:rPr>
              <w:t>3,803</w:t>
            </w:r>
          </w:p>
        </w:tc>
        <w:tc>
          <w:tcPr>
            <w:tcW w:type="dxa" w:w="1440"/>
            <w:shd w:fill="C6EFCE" w:val="clear"/>
          </w:tcPr>
          <w:p>
            <w:r>
              <w:rPr>
                <w:b/>
                <w:color w:val="008000"/>
                <w:sz w:val="17"/>
              </w:rPr>
              <w:t>+4.5%</w:t>
            </w:r>
          </w:p>
        </w:tc>
      </w:tr>
      <w:tr>
        <w:tc>
          <w:tcPr>
            <w:tcW w:type="dxa" w:w="1440"/>
            <w:shd w:fill="C6EFCE" w:val="clear"/>
          </w:tcPr>
          <w:p>
            <w:r>
              <w:rPr>
                <w:sz w:val="17"/>
              </w:rPr>
              <w:t>J+2  Moyenne</w:t>
            </w:r>
          </w:p>
        </w:tc>
        <w:tc>
          <w:tcPr>
            <w:tcW w:type="dxa" w:w="1440"/>
            <w:shd w:fill="C6EFCE" w:val="clear"/>
          </w:tcPr>
          <w:p>
            <w:r>
              <w:rPr>
                <w:sz w:val="17"/>
              </w:rPr>
              <w:t>2026-09-04</w:t>
            </w:r>
          </w:p>
        </w:tc>
        <w:tc>
          <w:tcPr>
            <w:tcW w:type="dxa" w:w="1440"/>
            <w:shd w:fill="C6EFCE" w:val="clear"/>
          </w:tcPr>
          <w:p>
            <w:r>
              <w:rPr>
                <w:sz w:val="17"/>
              </w:rPr>
              <w:t>3,593</w:t>
            </w:r>
          </w:p>
        </w:tc>
        <w:tc>
          <w:tcPr>
            <w:tcW w:type="dxa" w:w="1440"/>
            <w:shd w:fill="C6EFCE" w:val="clear"/>
          </w:tcPr>
          <w:p>
            <w:r>
              <w:rPr>
                <w:b/>
                <w:sz w:val="17"/>
              </w:rPr>
              <w:t>3,809</w:t>
            </w:r>
          </w:p>
        </w:tc>
        <w:tc>
          <w:tcPr>
            <w:tcW w:type="dxa" w:w="1440"/>
            <w:shd w:fill="C6EFCE" w:val="clear"/>
          </w:tcPr>
          <w:p>
            <w:r>
              <w:rPr>
                <w:sz w:val="17"/>
              </w:rPr>
              <w:t>4,024</w:t>
            </w:r>
          </w:p>
        </w:tc>
        <w:tc>
          <w:tcPr>
            <w:tcW w:type="dxa" w:w="1440"/>
            <w:shd w:fill="C6EFCE" w:val="clear"/>
          </w:tcPr>
          <w:p>
            <w:r>
              <w:rPr>
                <w:b/>
                <w:color w:val="008000"/>
                <w:sz w:val="17"/>
              </w:rPr>
              <w:t>+8.8%</w:t>
            </w:r>
          </w:p>
        </w:tc>
      </w:tr>
      <w:tr>
        <w:tc>
          <w:tcPr>
            <w:tcW w:type="dxa" w:w="1440"/>
            <w:shd w:fill="C6EFCE" w:val="clear"/>
          </w:tcPr>
          <w:p>
            <w:r>
              <w:rPr>
                <w:sz w:val="17"/>
              </w:rPr>
              <w:t>J+3  Moyenne</w:t>
            </w:r>
          </w:p>
        </w:tc>
        <w:tc>
          <w:tcPr>
            <w:tcW w:type="dxa" w:w="1440"/>
            <w:shd w:fill="C6EFCE" w:val="clear"/>
          </w:tcPr>
          <w:p>
            <w:r>
              <w:rPr>
                <w:sz w:val="17"/>
              </w:rPr>
              <w:t>2026-09-07</w:t>
            </w:r>
          </w:p>
        </w:tc>
        <w:tc>
          <w:tcPr>
            <w:tcW w:type="dxa" w:w="1440"/>
            <w:shd w:fill="C6EFCE" w:val="clear"/>
          </w:tcPr>
          <w:p>
            <w:r>
              <w:rPr>
                <w:sz w:val="17"/>
              </w:rPr>
              <w:t>3,714</w:t>
            </w:r>
          </w:p>
        </w:tc>
        <w:tc>
          <w:tcPr>
            <w:tcW w:type="dxa" w:w="1440"/>
            <w:shd w:fill="C6EFCE" w:val="clear"/>
          </w:tcPr>
          <w:p>
            <w:r>
              <w:rPr>
                <w:b/>
                <w:sz w:val="17"/>
              </w:rPr>
              <w:t>3,991</w:t>
            </w:r>
          </w:p>
        </w:tc>
        <w:tc>
          <w:tcPr>
            <w:tcW w:type="dxa" w:w="1440"/>
            <w:shd w:fill="C6EFCE" w:val="clear"/>
          </w:tcPr>
          <w:p>
            <w:r>
              <w:rPr>
                <w:sz w:val="17"/>
              </w:rPr>
              <w:t>4,267</w:t>
            </w:r>
          </w:p>
        </w:tc>
        <w:tc>
          <w:tcPr>
            <w:tcW w:type="dxa" w:w="1440"/>
            <w:shd w:fill="C6EFCE" w:val="clear"/>
          </w:tcPr>
          <w:p>
            <w:r>
              <w:rPr>
                <w:b/>
                <w:color w:val="008000"/>
                <w:sz w:val="17"/>
              </w:rPr>
              <w:t>+14.0%</w:t>
            </w:r>
          </w:p>
        </w:tc>
      </w:tr>
      <w:tr>
        <w:tc>
          <w:tcPr>
            <w:tcW w:type="dxa" w:w="1440"/>
            <w:shd w:fill="C6EFCE" w:val="clear"/>
          </w:tcPr>
          <w:p>
            <w:r>
              <w:rPr>
                <w:sz w:val="17"/>
              </w:rPr>
              <w:t>J+4  ⭐</w:t>
            </w:r>
          </w:p>
        </w:tc>
        <w:tc>
          <w:tcPr>
            <w:tcW w:type="dxa" w:w="1440"/>
            <w:shd w:fill="C6EFCE" w:val="clear"/>
          </w:tcPr>
          <w:p>
            <w:r>
              <w:rPr>
                <w:sz w:val="17"/>
              </w:rPr>
              <w:t>2026-09-08</w:t>
            </w:r>
          </w:p>
        </w:tc>
        <w:tc>
          <w:tcPr>
            <w:tcW w:type="dxa" w:w="1440"/>
            <w:shd w:fill="C6EFCE" w:val="clear"/>
          </w:tcPr>
          <w:p>
            <w:r>
              <w:rPr>
                <w:sz w:val="17"/>
              </w:rPr>
              <w:t>3,860</w:t>
            </w:r>
          </w:p>
        </w:tc>
        <w:tc>
          <w:tcPr>
            <w:tcW w:type="dxa" w:w="1440"/>
            <w:shd w:fill="C6EFCE" w:val="clear"/>
          </w:tcPr>
          <w:p>
            <w:r>
              <w:rPr>
                <w:b/>
                <w:sz w:val="17"/>
              </w:rPr>
              <w:t>4,196</w:t>
            </w:r>
          </w:p>
        </w:tc>
        <w:tc>
          <w:tcPr>
            <w:tcW w:type="dxa" w:w="1440"/>
            <w:shd w:fill="C6EFCE" w:val="clear"/>
          </w:tcPr>
          <w:p>
            <w:r>
              <w:rPr>
                <w:sz w:val="17"/>
              </w:rPr>
              <w:t>4,532</w:t>
            </w:r>
          </w:p>
        </w:tc>
        <w:tc>
          <w:tcPr>
            <w:tcW w:type="dxa" w:w="1440"/>
            <w:shd w:fill="C6EFCE" w:val="clear"/>
          </w:tcPr>
          <w:p>
            <w:r>
              <w:rPr>
                <w:b/>
                <w:color w:val="008000"/>
                <w:sz w:val="17"/>
              </w:rPr>
              <w:t>+19.9%</w:t>
            </w:r>
          </w:p>
        </w:tc>
      </w:tr>
      <w:tr>
        <w:tc>
          <w:tcPr>
            <w:tcW w:type="dxa" w:w="1440"/>
            <w:shd w:fill="C6EFCE" w:val="clear"/>
          </w:tcPr>
          <w:p>
            <w:r>
              <w:rPr>
                <w:sz w:val="17"/>
              </w:rPr>
              <w:t>J+5  ⭐</w:t>
            </w:r>
          </w:p>
        </w:tc>
        <w:tc>
          <w:tcPr>
            <w:tcW w:type="dxa" w:w="1440"/>
            <w:shd w:fill="C6EFCE" w:val="clear"/>
          </w:tcPr>
          <w:p>
            <w:r>
              <w:rPr>
                <w:sz w:val="17"/>
              </w:rPr>
              <w:t>2026-09-09</w:t>
            </w:r>
          </w:p>
        </w:tc>
        <w:tc>
          <w:tcPr>
            <w:tcW w:type="dxa" w:w="1440"/>
            <w:shd w:fill="C6EFCE" w:val="clear"/>
          </w:tcPr>
          <w:p>
            <w:r>
              <w:rPr>
                <w:sz w:val="17"/>
              </w:rPr>
              <w:t>4,030</w:t>
            </w:r>
          </w:p>
        </w:tc>
        <w:tc>
          <w:tcPr>
            <w:tcW w:type="dxa" w:w="1440"/>
            <w:shd w:fill="C6EFCE" w:val="clear"/>
          </w:tcPr>
          <w:p>
            <w:r>
              <w:rPr>
                <w:b/>
                <w:sz w:val="17"/>
              </w:rPr>
              <w:t>4,426</w:t>
            </w:r>
          </w:p>
        </w:tc>
        <w:tc>
          <w:tcPr>
            <w:tcW w:type="dxa" w:w="1440"/>
            <w:shd w:fill="C6EFCE" w:val="clear"/>
          </w:tcPr>
          <w:p>
            <w:r>
              <w:rPr>
                <w:sz w:val="17"/>
              </w:rPr>
              <w:t>4,823</w:t>
            </w:r>
          </w:p>
        </w:tc>
        <w:tc>
          <w:tcPr>
            <w:tcW w:type="dxa" w:w="1440"/>
            <w:shd w:fill="C6EFCE" w:val="clear"/>
          </w:tcPr>
          <w:p>
            <w:r>
              <w:rPr>
                <w:b/>
                <w:color w:val="008000"/>
                <w:sz w:val="17"/>
              </w:rPr>
              <w:t>+26.5%</w:t>
            </w:r>
          </w:p>
        </w:tc>
      </w:tr>
      <w:tr>
        <w:tc>
          <w:tcPr>
            <w:tcW w:type="dxa" w:w="1440"/>
            <w:shd w:fill="C6EFCE" w:val="clear"/>
          </w:tcPr>
          <w:p>
            <w:r>
              <w:rPr>
                <w:sz w:val="17"/>
              </w:rPr>
              <w:t>J+6  ⭐</w:t>
            </w:r>
          </w:p>
        </w:tc>
        <w:tc>
          <w:tcPr>
            <w:tcW w:type="dxa" w:w="1440"/>
            <w:shd w:fill="C6EFCE" w:val="clear"/>
          </w:tcPr>
          <w:p>
            <w:r>
              <w:rPr>
                <w:sz w:val="17"/>
              </w:rPr>
              <w:t>2026-09-10</w:t>
            </w:r>
          </w:p>
        </w:tc>
        <w:tc>
          <w:tcPr>
            <w:tcW w:type="dxa" w:w="1440"/>
            <w:shd w:fill="C6EFCE" w:val="clear"/>
          </w:tcPr>
          <w:p>
            <w:r>
              <w:rPr>
                <w:sz w:val="17"/>
              </w:rPr>
              <w:t>4,228</w:t>
            </w:r>
          </w:p>
        </w:tc>
        <w:tc>
          <w:tcPr>
            <w:tcW w:type="dxa" w:w="1440"/>
            <w:shd w:fill="C6EFCE" w:val="clear"/>
          </w:tcPr>
          <w:p>
            <w:r>
              <w:rPr>
                <w:b/>
                <w:sz w:val="17"/>
              </w:rPr>
              <w:t>4,687</w:t>
            </w:r>
          </w:p>
        </w:tc>
        <w:tc>
          <w:tcPr>
            <w:tcW w:type="dxa" w:w="1440"/>
            <w:shd w:fill="C6EFCE" w:val="clear"/>
          </w:tcPr>
          <w:p>
            <w:r>
              <w:rPr>
                <w:sz w:val="17"/>
              </w:rPr>
              <w:t>5,147</w:t>
            </w:r>
          </w:p>
        </w:tc>
        <w:tc>
          <w:tcPr>
            <w:tcW w:type="dxa" w:w="1440"/>
            <w:shd w:fill="C6EFCE" w:val="clear"/>
          </w:tcPr>
          <w:p>
            <w:r>
              <w:rPr>
                <w:b/>
                <w:color w:val="008000"/>
                <w:sz w:val="17"/>
              </w:rPr>
              <w:t>+33.9%</w:t>
            </w:r>
          </w:p>
        </w:tc>
      </w:tr>
      <w:tr>
        <w:tc>
          <w:tcPr>
            <w:tcW w:type="dxa" w:w="1440"/>
            <w:shd w:fill="C6EFCE" w:val="clear"/>
          </w:tcPr>
          <w:p>
            <w:r>
              <w:rPr>
                <w:sz w:val="17"/>
              </w:rPr>
              <w:t>J+7  ⭐</w:t>
            </w:r>
          </w:p>
        </w:tc>
        <w:tc>
          <w:tcPr>
            <w:tcW w:type="dxa" w:w="1440"/>
            <w:shd w:fill="C6EFCE" w:val="clear"/>
          </w:tcPr>
          <w:p>
            <w:r>
              <w:rPr>
                <w:sz w:val="17"/>
              </w:rPr>
              <w:t>2026-09-11</w:t>
            </w:r>
          </w:p>
        </w:tc>
        <w:tc>
          <w:tcPr>
            <w:tcW w:type="dxa" w:w="1440"/>
            <w:shd w:fill="C6EFCE" w:val="clear"/>
          </w:tcPr>
          <w:p>
            <w:r>
              <w:rPr>
                <w:sz w:val="17"/>
              </w:rPr>
              <w:t>4,460</w:t>
            </w:r>
          </w:p>
        </w:tc>
        <w:tc>
          <w:tcPr>
            <w:tcW w:type="dxa" w:w="1440"/>
            <w:shd w:fill="C6EFCE" w:val="clear"/>
          </w:tcPr>
          <w:p>
            <w:r>
              <w:rPr>
                <w:b/>
                <w:sz w:val="17"/>
              </w:rPr>
              <w:t>4,988</w:t>
            </w:r>
          </w:p>
        </w:tc>
        <w:tc>
          <w:tcPr>
            <w:tcW w:type="dxa" w:w="1440"/>
            <w:shd w:fill="C6EFCE" w:val="clear"/>
          </w:tcPr>
          <w:p>
            <w:r>
              <w:rPr>
                <w:sz w:val="17"/>
              </w:rPr>
              <w:t>5,516</w:t>
            </w:r>
          </w:p>
        </w:tc>
        <w:tc>
          <w:tcPr>
            <w:tcW w:type="dxa" w:w="1440"/>
            <w:shd w:fill="C6EFCE" w:val="clear"/>
          </w:tcPr>
          <w:p>
            <w:r>
              <w:rPr>
                <w:b/>
                <w:color w:val="008000"/>
                <w:sz w:val="17"/>
              </w:rPr>
              <w:t>+42.5%</w:t>
            </w:r>
          </w:p>
        </w:tc>
      </w:tr>
      <w:tr>
        <w:tc>
          <w:tcPr>
            <w:tcW w:type="dxa" w:w="1440"/>
            <w:shd w:fill="C6EFCE" w:val="clear"/>
          </w:tcPr>
          <w:p>
            <w:r>
              <w:rPr>
                <w:sz w:val="17"/>
              </w:rPr>
              <w:t>J+8  ⭐</w:t>
            </w:r>
          </w:p>
        </w:tc>
        <w:tc>
          <w:tcPr>
            <w:tcW w:type="dxa" w:w="1440"/>
            <w:shd w:fill="C6EFCE" w:val="clear"/>
          </w:tcPr>
          <w:p>
            <w:r>
              <w:rPr>
                <w:sz w:val="17"/>
              </w:rPr>
              <w:t>2026-09-14</w:t>
            </w:r>
          </w:p>
        </w:tc>
        <w:tc>
          <w:tcPr>
            <w:tcW w:type="dxa" w:w="1440"/>
            <w:shd w:fill="C6EFCE" w:val="clear"/>
          </w:tcPr>
          <w:p>
            <w:r>
              <w:rPr>
                <w:sz w:val="17"/>
              </w:rPr>
              <w:t>4,738</w:t>
            </w:r>
          </w:p>
        </w:tc>
        <w:tc>
          <w:tcPr>
            <w:tcW w:type="dxa" w:w="1440"/>
            <w:shd w:fill="C6EFCE" w:val="clear"/>
          </w:tcPr>
          <w:p>
            <w:r>
              <w:rPr>
                <w:b/>
                <w:sz w:val="17"/>
              </w:rPr>
              <w:t>5,343</w:t>
            </w:r>
          </w:p>
        </w:tc>
        <w:tc>
          <w:tcPr>
            <w:tcW w:type="dxa" w:w="1440"/>
            <w:shd w:fill="C6EFCE" w:val="clear"/>
          </w:tcPr>
          <w:p>
            <w:r>
              <w:rPr>
                <w:sz w:val="17"/>
              </w:rPr>
              <w:t>5,948</w:t>
            </w:r>
          </w:p>
        </w:tc>
        <w:tc>
          <w:tcPr>
            <w:tcW w:type="dxa" w:w="1440"/>
            <w:shd w:fill="C6EFCE" w:val="clear"/>
          </w:tcPr>
          <w:p>
            <w:r>
              <w:rPr>
                <w:b/>
                <w:color w:val="008000"/>
                <w:sz w:val="17"/>
              </w:rPr>
              <w:t>+52.7%</w:t>
            </w:r>
          </w:p>
        </w:tc>
      </w:tr>
      <w:tr>
        <w:tc>
          <w:tcPr>
            <w:tcW w:type="dxa" w:w="1440"/>
            <w:shd w:fill="C6EFCE" w:val="clear"/>
          </w:tcPr>
          <w:p>
            <w:r>
              <w:rPr>
                <w:sz w:val="17"/>
              </w:rPr>
              <w:t>J+9  ⭐</w:t>
            </w:r>
          </w:p>
        </w:tc>
        <w:tc>
          <w:tcPr>
            <w:tcW w:type="dxa" w:w="1440"/>
            <w:shd w:fill="C6EFCE" w:val="clear"/>
          </w:tcPr>
          <w:p>
            <w:r>
              <w:rPr>
                <w:sz w:val="17"/>
              </w:rPr>
              <w:t>2026-09-15</w:t>
            </w:r>
          </w:p>
        </w:tc>
        <w:tc>
          <w:tcPr>
            <w:tcW w:type="dxa" w:w="1440"/>
            <w:shd w:fill="C6EFCE" w:val="clear"/>
          </w:tcPr>
          <w:p>
            <w:r>
              <w:rPr>
                <w:sz w:val="17"/>
              </w:rPr>
              <w:t>5,054</w:t>
            </w:r>
          </w:p>
        </w:tc>
        <w:tc>
          <w:tcPr>
            <w:tcW w:type="dxa" w:w="1440"/>
            <w:shd w:fill="C6EFCE" w:val="clear"/>
          </w:tcPr>
          <w:p>
            <w:r>
              <w:rPr>
                <w:b/>
                <w:sz w:val="17"/>
              </w:rPr>
              <w:t>5,744</w:t>
            </w:r>
          </w:p>
        </w:tc>
        <w:tc>
          <w:tcPr>
            <w:tcW w:type="dxa" w:w="1440"/>
            <w:shd w:fill="C6EFCE" w:val="clear"/>
          </w:tcPr>
          <w:p>
            <w:r>
              <w:rPr>
                <w:sz w:val="17"/>
              </w:rPr>
              <w:t>6,433</w:t>
            </w:r>
          </w:p>
        </w:tc>
        <w:tc>
          <w:tcPr>
            <w:tcW w:type="dxa" w:w="1440"/>
            <w:shd w:fill="C6EFCE" w:val="clear"/>
          </w:tcPr>
          <w:p>
            <w:r>
              <w:rPr>
                <w:b/>
                <w:color w:val="008000"/>
                <w:sz w:val="17"/>
              </w:rPr>
              <w:t>+64.1%</w:t>
            </w:r>
          </w:p>
        </w:tc>
      </w:tr>
      <w:tr>
        <w:tc>
          <w:tcPr>
            <w:tcW w:type="dxa" w:w="1440"/>
            <w:shd w:fill="C6EFCE" w:val="clear"/>
          </w:tcPr>
          <w:p>
            <w:r>
              <w:rPr>
                <w:sz w:val="17"/>
              </w:rPr>
              <w:t>J+10  ⭐</w:t>
            </w:r>
          </w:p>
        </w:tc>
        <w:tc>
          <w:tcPr>
            <w:tcW w:type="dxa" w:w="1440"/>
            <w:shd w:fill="C6EFCE" w:val="clear"/>
          </w:tcPr>
          <w:p>
            <w:r>
              <w:rPr>
                <w:sz w:val="17"/>
              </w:rPr>
              <w:t>2026-09-16</w:t>
            </w:r>
          </w:p>
        </w:tc>
        <w:tc>
          <w:tcPr>
            <w:tcW w:type="dxa" w:w="1440"/>
            <w:shd w:fill="C6EFCE" w:val="clear"/>
          </w:tcPr>
          <w:p>
            <w:r>
              <w:rPr>
                <w:sz w:val="17"/>
              </w:rPr>
              <w:t>5,393</w:t>
            </w:r>
          </w:p>
        </w:tc>
        <w:tc>
          <w:tcPr>
            <w:tcW w:type="dxa" w:w="1440"/>
            <w:shd w:fill="C6EFCE" w:val="clear"/>
          </w:tcPr>
          <w:p>
            <w:r>
              <w:rPr>
                <w:b/>
                <w:sz w:val="17"/>
              </w:rPr>
              <w:t>6,174</w:t>
            </w:r>
          </w:p>
        </w:tc>
        <w:tc>
          <w:tcPr>
            <w:tcW w:type="dxa" w:w="1440"/>
            <w:shd w:fill="C6EFCE" w:val="clear"/>
          </w:tcPr>
          <w:p>
            <w:r>
              <w:rPr>
                <w:sz w:val="17"/>
              </w:rPr>
              <w:t>6,956</w:t>
            </w:r>
          </w:p>
        </w:tc>
        <w:tc>
          <w:tcPr>
            <w:tcW w:type="dxa" w:w="1440"/>
            <w:shd w:fill="C6EFCE" w:val="clear"/>
          </w:tcPr>
          <w:p>
            <w:r>
              <w:rPr>
                <w:b/>
                <w:color w:val="008000"/>
                <w:sz w:val="17"/>
              </w:rPr>
              <w:t>+76.4%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02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20,72 milliards FCFA, un niveau modeste qui la classe parmi les valeurs de taille moyenne sur la BRVM. Le BPA de 243 FCFA indique que chaque action génère un bénéfice de ce montant, ce qui, rapporté au cours de 3 500 FCFA, donne un PER de 14,4x. Ce ratio est supérieur à la moyenne historique de la BRVM (environ 8-12x), suggérant que le marché applique une prime de valorisation par rapport aux bénéfices actuels. Le P/B de 2,22x confirme cette prime, le marché valorisant la société à plus du double de sa valeur comptable, signe d'anticipations de croissance future. Enfin, l'EV/EBITDA de 7,3x, situé dans la zone raisonnable (5-10x), indique que la valeur totale de l'entreprise (capitalisation plus dette nette)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subi une forte correction de -20,90%, passant de ses plus hauts à un cours actuel de 3 500 FCFA, bien que la dernière séance affiche une légère hausse de +0,14%. Le titre a évolué dans une fourchette large de 1 150 FCFA, entre un plus bas de 3 350 FCFA et un plus haut de 4 500 FCFA, illustrant une volatilité marquée. La moyenne du cours sur la période est de 3 757 FCFA, supérieure à la médiane de 3 692 FCFA, et le mode est de 3 500 FCFA, ce qui indique une asymétrie positive (skewness de 0.841) : les journées sous la moyenne sont plus fréquentes, mais les fortes hausses ponctuelles tirent la moyenne vers le haut. L'écart-type de 286 FCFA (CV de 7,6%) montre une dispersion modérée autour de la moyenne, tandis que le kurtosis proche de zéro (0.033) suggère une distribution des rendements sans pics extrêmes, similaire à une normale. La volatilité annualisée de 51,3% classe le titre comme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3 500 FCFA est inférieur à la MM20 (3 542,75 FCFA) et nettement sous la MM50 (3 773,3 FCFA). Cette configuration baissière, où le prix évolue sous ses moyennes clés, confirme une tendance de fond négative. La décision de "Vente" est justifiée par cette dynamique, les moyennes agissant comme des résistances dynamiques.</w:t>
      </w:r>
    </w:p>
    <w:p>
      <w:pPr>
        <w:spacing w:after="120" w:line="276" w:lineRule="auto"/>
      </w:pPr>
      <w:r>
        <w:t>**Bandes de Bollinger :** Le prix se situe à 3 500 FCFA, proche de la borne inférieure (3 398,47 FCFA) et loin de la borne supérieure (3 687,03 FCFA). Cela indique que le titre est dans la partie basse de son canal de volatilité, sans être en situation de survente extrême. La décision "Neutre" est cohérente, le marché attendant un signal directionnel clair, soit un rebond depuis ce support, soit une cassure de la borne inférieure.</w:t>
      </w:r>
    </w:p>
    <w:p>
      <w:pPr>
        <w:spacing w:after="120" w:line="276" w:lineRule="auto"/>
      </w:pPr>
      <w:r>
        <w:t>**MACD :** Le MACD (-58,44) est négatif mais se trouve au-dessus de sa ligne de signal (-61,83). Cette configuration, bien que le momentum reste négatif, suggère un ralentissement de la dynamique baissière et une possible inversion de tendance à court terme. La décision "Achat" reflète ce croisement haussier naissant, un signal précoce de retournement potentiel.</w:t>
      </w:r>
    </w:p>
    <w:p>
      <w:pPr>
        <w:spacing w:after="120" w:line="276" w:lineRule="auto"/>
      </w:pPr>
      <w:r>
        <w:t>**RSI :** Le RSI est à 50,0, une valeur parfaitement neutre. Le titre n'est ni suracheté (au-dessus de 70) ni survendu (en dessous de 30). Cette position centrale indique un équilibre entre les forces acheteuses et vendeuses, sans signal directionnel fort. La décision "Neutre" est donc logique, le marché étant indécis.</w:t>
      </w:r>
    </w:p>
    <w:p>
      <w:pPr>
        <w:spacing w:after="120" w:line="276" w:lineRule="auto"/>
      </w:pPr>
      <w:r>
        <w:t>**Stochastique :** Le %K (4,65) et le %D (3,10) sont à des niveaux extrêmement bas, indiquant une condition de survente sévère. Le croisement du %K au-dessus du %D est un signal d'achat classique, suggérant qu'un rebond technique est probable à très court terme. La décision "Achat" est justifiée par ces conditions de survente extrême.</w:t>
      </w:r>
    </w:p>
    <w:p>
      <w:pPr>
        <w:spacing w:after="120" w:line="276" w:lineRule="auto"/>
      </w:pPr>
      <w:r>
        <w:t>**Conclusion technique :** Les indicateurs sont mitigés. La tendance de fond (MM) est baissière, mais les oscillateurs (MACD, Stochastique) signalent un épuisement de la vente et un potentiel rebond imminent. Le RSI neutre et les bandes de Bollinger sans pression particulière renforcent l'idée d'une consolidation. Le scénario le plus probable est un rebond technique à court terme, mais la tendance principale reste négative tant que le cours ne repasse pas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Le résultat net s'établit à 1,439 milliard FCFA, confirmant un retour à une forte profitabilité après des exercices difficiles. La marge nette ressort à 6,77%, la marge opérationnelle à 9,82%, et le ROE est excellent à 15,40%, démontrant une utilisation efficace des capitaux propres. Le ROA de 6,10% est également sain. La structure financière est solide avec une autonomie financière de 39,58% et une capacité de remboursement très rapide (0,26 an). Cependant, les délais de paiement clients (144,69 jours) et de stockage (152,12 jours) sont élevés, ce qui représente un risque de trésorerie et immobilise du capital. Les rapports trimestriels de 2025 confirment cette dynamique positive : le S1 2025 affichait un résultat net de 851,5 millions FCFA (+55,3%), et le cumul sur 9 mois atteignait 1 329,5 millions FCFA (+26%). En revanche, le rapport du T1 2026, daté de cette année, montre une forte dégradation conjoncturelle avec une perte nette de 221,7 millions FCFA, due à une maintenance planifiée et à la hausse des cours des métaux. Cette contre-performance est présentée comme temporaire par la direction. L'analyse des rapports annuels certifiés de 2024 (publiés en 2025) et des données 2025 montre une trajectoire de redressement claire, avec une amélioration significative de la rentabilité et une solidité financière accrue, malgré des défis opérationnels persistants liés aux coûts des matières premières et à la gestion du besoin en fonds de roulement.</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2,22x) est exigeante, intégrant une prime de croissance qui doit être justifiée par les performances futures. Le comportement du cours sur 100 jours est franchement baissier (-20,9%), avec une volatilité très élevée (51,3%), ce qui est préoccupant pour un investisseur de long terme. Les signaux techniques sont contradictoires : la tendance de fond (MM) est négative, mais les indicateurs de momentum (MACD, Stochastique) suggèrent un rebond imminent. Fondamentalement, la société a montré en 2025 une excellente capacité de redressement (ROE &gt;15%, croissance du CA), mais le T1 2026 a révélé une fragilité conjoncturelle. Les prédictions IA pour les 10 prochains jours anticipent une forte hausse du cours, de 3 500 à 4 426 FCFA (+26%), ce qui contredit la tendance récente mais pourrait matérialiser le rebond technique attendu. La convergence entre les signaux techniques de survente, les fondamentaux solides de 2025 et les prédictions IA haussières est forte. En conséquence, la recommandation est un **ACHAT** pour les investisseurs ayant un profil de risque élevé, avec un niveau de confiance **Moyen** et un risque global **Élevé**. L'horizon d'investissement optimal serait le **court terme (&lt;3 mois)** pour profiter du rebond anticipé, mais une surveillance étroite des prochains résultats trimestriels est impérative pour confirmer la solidité du redressement à moyen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1,462 titres</w:t>
            </w:r>
          </w:p>
        </w:tc>
        <w:tc>
          <w:tcPr>
            <w:tcW w:type="dxa" w:w="2268"/>
            <w:shd w:fill="FFF2CC" w:val="clear"/>
          </w:tcPr>
          <w:p>
            <w:r>
              <w:rPr>
                <w:b/>
                <w:color w:val="503200"/>
                <w:sz w:val="16"/>
              </w:rPr>
              <w:t xml:space="preserve">Cours actuel : </w:t>
            </w:r>
            <w:r>
              <w:rPr>
                <w:color w:val="000000"/>
                <w:sz w:val="17"/>
              </w:rPr>
              <w:t>32,500 FCFA</w:t>
            </w:r>
          </w:p>
          <w:p>
            <w:r>
              <w:rPr>
                <w:b/>
                <w:color w:val="503200"/>
                <w:sz w:val="16"/>
              </w:rPr>
              <w:t xml:space="preserve">Var. 100 jours : </w:t>
            </w:r>
            <w:r>
              <w:rPr>
                <w:b/>
                <w:color w:val="007800"/>
                <w:sz w:val="17"/>
              </w:rPr>
              <w:t>+116.67%</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21.73% (Élevée) — μ=23,149 FCFA, σ=5,031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β=0.8124 (Neutre (suit le marché)) — Cov=0.000029, Var(idx)=0.000036, ρ=0.185,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29,094</w:t>
            </w:r>
          </w:p>
        </w:tc>
        <w:tc>
          <w:tcPr>
            <w:tcW w:type="dxa" w:w="1440"/>
            <w:shd w:fill="FFDCE0" w:val="clear"/>
          </w:tcPr>
          <w:p>
            <w:r>
              <w:rPr>
                <w:b/>
                <w:sz w:val="17"/>
              </w:rPr>
              <w:t>30,062</w:t>
            </w:r>
          </w:p>
        </w:tc>
        <w:tc>
          <w:tcPr>
            <w:tcW w:type="dxa" w:w="1440"/>
            <w:shd w:fill="FFDCE0" w:val="clear"/>
          </w:tcPr>
          <w:p>
            <w:r>
              <w:rPr>
                <w:sz w:val="17"/>
              </w:rPr>
              <w:t>31,031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26,541</w:t>
            </w:r>
          </w:p>
        </w:tc>
        <w:tc>
          <w:tcPr>
            <w:tcW w:type="dxa" w:w="1440"/>
            <w:shd w:fill="FFDCE0" w:val="clear"/>
          </w:tcPr>
          <w:p>
            <w:r>
              <w:rPr>
                <w:b/>
                <w:sz w:val="17"/>
              </w:rPr>
              <w:t>27,808</w:t>
            </w:r>
          </w:p>
        </w:tc>
        <w:tc>
          <w:tcPr>
            <w:tcW w:type="dxa" w:w="1440"/>
            <w:shd w:fill="FFDCE0" w:val="clear"/>
          </w:tcPr>
          <w:p>
            <w:r>
              <w:rPr>
                <w:sz w:val="17"/>
              </w:rPr>
              <w:t>29,075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24,287</w:t>
            </w:r>
          </w:p>
        </w:tc>
        <w:tc>
          <w:tcPr>
            <w:tcW w:type="dxa" w:w="1440"/>
            <w:shd w:fill="FFDCE0" w:val="clear"/>
          </w:tcPr>
          <w:p>
            <w:r>
              <w:rPr>
                <w:b/>
                <w:sz w:val="17"/>
              </w:rPr>
              <w:t>25,722</w:t>
            </w:r>
          </w:p>
        </w:tc>
        <w:tc>
          <w:tcPr>
            <w:tcW w:type="dxa" w:w="1440"/>
            <w:shd w:fill="FFDCE0" w:val="clear"/>
          </w:tcPr>
          <w:p>
            <w:r>
              <w:rPr>
                <w:sz w:val="17"/>
              </w:rPr>
              <w:t>27,157</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22,260</w:t>
            </w:r>
          </w:p>
        </w:tc>
        <w:tc>
          <w:tcPr>
            <w:tcW w:type="dxa" w:w="1440"/>
            <w:shd w:fill="FFDCE0" w:val="clear"/>
          </w:tcPr>
          <w:p>
            <w:r>
              <w:rPr>
                <w:b/>
                <w:sz w:val="17"/>
              </w:rPr>
              <w:t>23,793</w:t>
            </w:r>
          </w:p>
        </w:tc>
        <w:tc>
          <w:tcPr>
            <w:tcW w:type="dxa" w:w="1440"/>
            <w:shd w:fill="FFDCE0" w:val="clear"/>
          </w:tcPr>
          <w:p>
            <w:r>
              <w:rPr>
                <w:sz w:val="17"/>
              </w:rPr>
              <w:t>25,326</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20,423</w:t>
            </w:r>
          </w:p>
        </w:tc>
        <w:tc>
          <w:tcPr>
            <w:tcW w:type="dxa" w:w="1440"/>
            <w:shd w:fill="FFDCE0" w:val="clear"/>
          </w:tcPr>
          <w:p>
            <w:r>
              <w:rPr>
                <w:b/>
                <w:sz w:val="17"/>
              </w:rPr>
              <w:t>22,009</w:t>
            </w:r>
          </w:p>
        </w:tc>
        <w:tc>
          <w:tcPr>
            <w:tcW w:type="dxa" w:w="1440"/>
            <w:shd w:fill="FFDCE0" w:val="clear"/>
          </w:tcPr>
          <w:p>
            <w:r>
              <w:rPr>
                <w:sz w:val="17"/>
              </w:rPr>
              <w:t>23,594</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18,752</w:t>
            </w:r>
          </w:p>
        </w:tc>
        <w:tc>
          <w:tcPr>
            <w:tcW w:type="dxa" w:w="1440"/>
            <w:shd w:fill="FFDCE0" w:val="clear"/>
          </w:tcPr>
          <w:p>
            <w:r>
              <w:rPr>
                <w:b/>
                <w:sz w:val="17"/>
              </w:rPr>
              <w:t>20,358</w:t>
            </w:r>
          </w:p>
        </w:tc>
        <w:tc>
          <w:tcPr>
            <w:tcW w:type="dxa" w:w="1440"/>
            <w:shd w:fill="FFDCE0" w:val="clear"/>
          </w:tcPr>
          <w:p>
            <w:r>
              <w:rPr>
                <w:sz w:val="17"/>
              </w:rPr>
              <w:t>21,964</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17,288</w:t>
            </w:r>
          </w:p>
        </w:tc>
        <w:tc>
          <w:tcPr>
            <w:tcW w:type="dxa" w:w="1440"/>
            <w:shd w:fill="FFDCE0" w:val="clear"/>
          </w:tcPr>
          <w:p>
            <w:r>
              <w:rPr>
                <w:b/>
                <w:sz w:val="17"/>
              </w:rPr>
              <w:t>18,898</w:t>
            </w:r>
          </w:p>
        </w:tc>
        <w:tc>
          <w:tcPr>
            <w:tcW w:type="dxa" w:w="1440"/>
            <w:shd w:fill="FFDCE0" w:val="clear"/>
          </w:tcPr>
          <w:p>
            <w:r>
              <w:rPr>
                <w:sz w:val="17"/>
              </w:rPr>
              <w:t>20,509</w:t>
            </w:r>
          </w:p>
        </w:tc>
        <w:tc>
          <w:tcPr>
            <w:tcW w:type="dxa" w:w="1440"/>
            <w:shd w:fill="FFDCE0" w:val="clear"/>
          </w:tcPr>
          <w:p>
            <w:r>
              <w:rPr>
                <w:b/>
                <w:color w:val="C00000"/>
                <w:sz w:val="17"/>
              </w:rPr>
              <w:t>-41.9%</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16,756</w:t>
            </w:r>
          </w:p>
        </w:tc>
        <w:tc>
          <w:tcPr>
            <w:tcW w:type="dxa" w:w="1440"/>
            <w:shd w:fill="FFDCE0" w:val="clear"/>
          </w:tcPr>
          <w:p>
            <w:r>
              <w:rPr>
                <w:b/>
                <w:sz w:val="17"/>
              </w:rPr>
              <w:t>18,436</w:t>
            </w:r>
          </w:p>
        </w:tc>
        <w:tc>
          <w:tcPr>
            <w:tcW w:type="dxa" w:w="1440"/>
            <w:shd w:fill="FFDCE0" w:val="clear"/>
          </w:tcPr>
          <w:p>
            <w:r>
              <w:rPr>
                <w:sz w:val="17"/>
              </w:rPr>
              <w:t>20,116</w:t>
            </w:r>
          </w:p>
        </w:tc>
        <w:tc>
          <w:tcPr>
            <w:tcW w:type="dxa" w:w="1440"/>
            <w:shd w:fill="FFDCE0" w:val="clear"/>
          </w:tcPr>
          <w:p>
            <w:r>
              <w:rPr>
                <w:b/>
                <w:color w:val="C00000"/>
                <w:sz w:val="17"/>
              </w:rPr>
              <w:t>-43.3%</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16,278</w:t>
            </w:r>
          </w:p>
        </w:tc>
        <w:tc>
          <w:tcPr>
            <w:tcW w:type="dxa" w:w="1440"/>
            <w:shd w:fill="FFDCE0" w:val="clear"/>
          </w:tcPr>
          <w:p>
            <w:r>
              <w:rPr>
                <w:b/>
                <w:sz w:val="17"/>
              </w:rPr>
              <w:t>18,020</w:t>
            </w:r>
          </w:p>
        </w:tc>
        <w:tc>
          <w:tcPr>
            <w:tcW w:type="dxa" w:w="1440"/>
            <w:shd w:fill="FFDCE0" w:val="clear"/>
          </w:tcPr>
          <w:p>
            <w:r>
              <w:rPr>
                <w:sz w:val="17"/>
              </w:rPr>
              <w:t>19,761</w:t>
            </w:r>
          </w:p>
        </w:tc>
        <w:tc>
          <w:tcPr>
            <w:tcW w:type="dxa" w:w="1440"/>
            <w:shd w:fill="FFDCE0" w:val="clear"/>
          </w:tcPr>
          <w:p>
            <w:r>
              <w:rPr>
                <w:b/>
                <w:color w:val="C00000"/>
                <w:sz w:val="17"/>
              </w:rPr>
              <w:t>-44.6%</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15,845</w:t>
            </w:r>
          </w:p>
        </w:tc>
        <w:tc>
          <w:tcPr>
            <w:tcW w:type="dxa" w:w="1440"/>
            <w:shd w:fill="FFDCE0" w:val="clear"/>
          </w:tcPr>
          <w:p>
            <w:r>
              <w:rPr>
                <w:b/>
                <w:sz w:val="17"/>
              </w:rPr>
              <w:t>17,642</w:t>
            </w:r>
          </w:p>
        </w:tc>
        <w:tc>
          <w:tcPr>
            <w:tcW w:type="dxa" w:w="1440"/>
            <w:shd w:fill="FFDCE0" w:val="clear"/>
          </w:tcPr>
          <w:p>
            <w:r>
              <w:rPr>
                <w:sz w:val="17"/>
              </w:rPr>
              <w:t>19,439</w:t>
            </w:r>
          </w:p>
        </w:tc>
        <w:tc>
          <w:tcPr>
            <w:tcW w:type="dxa" w:w="1440"/>
            <w:shd w:fill="FFDCE0" w:val="clear"/>
          </w:tcPr>
          <w:p>
            <w:r>
              <w:rPr>
                <w:b/>
                <w:color w:val="C00000"/>
                <w:sz w:val="17"/>
              </w:rPr>
              <w:t>-45.7%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CBIBF s'établit à 1 040 milliards FCFA, positionnant le titre parmi les poids lourds de la BRVM, avec un poids significatif dans l'indice composite. Le BPA de 2 047 FCFA indique que chaque action génère un bénéfice substantiel, justifiant un cours de 32 500 FCFA. Le PER de 15,9x est nettement supérieur à la moyenne historique de la BRVM (8-12x), ce qui traduit une prime de valorisation notable : les investisseurs paient environ 16 fois les bénéfices annuels, soit une décote de près de 33% par rapport au pic de valorisation observé sur la période. L'EV/EBITDA de 11,8x, bien que dans la fourchette haute (10-15x), reste cohérent avec le secteur bancaire régional. Le ratio P/B n'est pas disponible dans les données fournies, mais la forte progression du cours suggère que le marché valorise désormais le titre nettement au-dessus de sa valeur comptable, reflétant des anticipations de croissance soutenue.</w:t>
      </w:r>
    </w:p>
    <w:p>
      <w:pPr>
        <w:spacing w:after="120" w:line="276" w:lineRule="auto" w:before="240"/>
      </w:pPr>
      <w:r>
        <w:rPr>
          <w:b/>
          <w:color w:val="003366"/>
          <w:sz w:val="24"/>
        </w:rPr>
        <w:t>**PARTIE 1 : ANALYSE DU COURS — STATISTIQUES ET ÉVOLUTION (100 derniers jours)**</w:t>
      </w:r>
    </w:p>
    <w:p>
      <w:pPr>
        <w:spacing w:after="120" w:line="276" w:lineRule="auto"/>
      </w:pPr>
      <w:r>
        <w:t>Le titre CBIBF a connu une appréciation spectaculaire de +116,67% sur la période, avec une dernière séance en hausse de +6,19%, portant le cours à 32 500 FCFA, son plus haut niveau sur 100 jours. Le range de trading s'étend de 15 000 à 32 500 FCFA, illustrant une volatilité extrême et un doublement du cours en quelques mois. La moyenne de 23 149 FCFA est supérieure à la médiane de 22 038 FCFA, indiquant une distribution légèrement asymétrique vers les hauts niveaux, confirmée par le skewness négatif (-0,094) qui suggère une queue de distribution plus épaisse côté gauche, bien que la distribution reste globalement symétrique. L'écart-type de 5 057 FCFA (CV=21,8%) témoigne d'une dispersion modérée, tandis que le kurtosis de -1,316 (platykurtique) indique une faible concentration des valeurs extrêmes, réduisant le risque de mouvements brutaux imprévus. La volatilité annualisée de 42,5% classe le titre dans la catégorie élevée (&gt;30%), reflétant un profil de risque marqué mais offrant des opportunités de rendement substantielles.</w:t>
      </w:r>
    </w:p>
    <w:p>
      <w:pPr>
        <w:spacing w:after="120" w:line="276" w:lineRule="auto" w:before="240"/>
      </w:pPr>
      <w:r>
        <w:rPr>
          <w:b/>
          <w:color w:val="003366"/>
          <w:sz w:val="24"/>
        </w:rPr>
        <w:t>**PARTIE 2 : ANALYSE TECHNIQUE DÉTAILLÉE**</w:t>
      </w:r>
    </w:p>
    <w:p>
      <w:pPr>
        <w:spacing w:after="120" w:line="276" w:lineRule="auto"/>
      </w:pPr>
      <w:r>
        <w:t>**Moyennes Mobiles** : Le cours actuel de 32 500 FCFA évolue nettement au-dessus de la MM20 (29 145,75 FCFA) et de la MM50 (27 443,6 FCFA), avec un écart de +11,5% et +18,4% respectivement. Cette configuration haussière confirme une dynamique positive soutenue, la décision d'Achat étant justifiée par la tendance ascendante des moyennes mobiles et leur alignement favorable.</w:t>
      </w:r>
    </w:p>
    <w:p>
      <w:pPr>
        <w:spacing w:after="120" w:line="276" w:lineRule="auto"/>
      </w:pPr>
      <w:r>
        <w:t>**Bandes de Bollinger** : Le prix de 32 500 FCFA se situe au-dessus de la borne supérieure (31 172,20 FCFA), indiquant une situation de surachat extrême. Cette sortie de bande signale une volatilité accrue et un potentiel de correction technique, justifiant la décision de Vente malgré la tendance haussière sous-jacente.</w:t>
      </w:r>
    </w:p>
    <w:p>
      <w:pPr>
        <w:spacing w:after="120" w:line="276" w:lineRule="auto"/>
      </w:pPr>
      <w:r>
        <w:t>**MACD** : La valeur positive de 939,18 avec un signal à 755,92 confirme un momentum haussier soutenu, la divergence positive indiquant une accélération de la tendance. La décision d'Achat reflète la vigueur du mouvement, bien que l'écart croissant entre MACD et signal puisse suggérer une exubérance excessive à court terme.</w:t>
      </w:r>
    </w:p>
    <w:p>
      <w:pPr>
        <w:spacing w:after="120" w:line="276" w:lineRule="auto"/>
      </w:pPr>
      <w:r>
        <w:t>**RSI** : À 78,92, l'indicateur dépasse largement le seuil de surachat (70), signalant une pression acheteuse excessive et un risque élevé de retournement. La décision de Vente est justifiée par cette zone dangereuse qui précède souvent des corrections, même si le momentum peut persister en tendance forte.</w:t>
      </w:r>
    </w:p>
    <w:p>
      <w:pPr>
        <w:spacing w:after="120" w:line="276" w:lineRule="auto"/>
      </w:pPr>
      <w:r>
        <w:t>**Stochastique** : Avec %K à 100 et %D à 92,68, l'oscillateur est en zone de surachat extrême, indiquant que le titre est survendu à la hausse. La décision de Vente reflète la probabilité élevée d'un repli technique, le croisement baissier potentiel n'étant pas encore intervenu mais devenant imminent.</w:t>
      </w:r>
    </w:p>
    <w:p>
      <w:pPr>
        <w:spacing w:after="120" w:line="276" w:lineRule="auto"/>
      </w:pPr>
      <w:r>
        <w:t>**Conclusion technique** : La convergence des indicateurs de surachat (RSI, Stochastique, Bandes de Bollinger) avec une tendance haussière intacte (MM, MACD) crée une situation paradoxale. Le signal dominant est celui d'une correction technique probable à court terme, mais la force de la tendance suggère que tout repli pourrait être limité et constituer une opportunité d'achat.</w:t>
      </w:r>
    </w:p>
    <w:p>
      <w:pPr>
        <w:spacing w:after="120" w:line="276" w:lineRule="auto" w:before="240"/>
      </w:pPr>
      <w:r>
        <w:rPr>
          <w:b/>
          <w:color w:val="003366"/>
          <w:sz w:val="24"/>
        </w:rPr>
        <w:t>**PARTIE 3 : ANALYSE FONDAMENTALE (SECTION CRITIQUE)**</w:t>
      </w:r>
    </w:p>
    <w:p>
      <w:pPr>
        <w:spacing w:after="120" w:line="276" w:lineRule="auto"/>
      </w:pPr>
      <w:r>
        <w:t>En 2025, CBIBF affiche des résultats financiers solides avec un Produit Net Bancaire de 138,986 milliards FCFA, en croissance de 6,1% par rapport à 2024, et un résultat net de 65,495 milliards FCFA, en progression remarquable de 36,6% (rapport annuel 2025). La marge nette s'établit à 47,12%, tandis que le coefficient d'exploitation de 36,39% témoigne d'une excellente maîtrise des charges, nettement sous le seuil de 50% considéré comme optimal pour une banque. Le coût du risque s'améliore significativement de 59,3%, traduisant une meilleure qualité du portefeuille de crédits (16,5 milliards FCFA de provisions). Les dépôts clientèle atteignent 2 015,284 milliards FCFA (+14,9%), contre des créances de 1 326,977 milliards FCFA (+5,4%), illustrant une transformation bancaire efficace. Le ROA de 2,18% confirme une bonne rentabilité des actifs. Le rapport du 1er semestre 2025 indiquait un PNB de 65,1 milliards FCFA (+8,75%) et un résultat net de 33,8 milliards FCFA, tandis que le T3 2025 montrait une dynamique soutenue avec un PNB de 101,3 milliards FCFA (+9,65%). Sur la base du rapport T1 2026 (PNB de 36,8 milliards FCFA, +28,5%, et résultat net de 21,5 milliards FCFA, +22,2%), on estime que l'exercice 2026 pourrait voir un PNB dépasser 160 milliards FCFA et un résultat net supérieur à 75 milliards FCFA, confirmant la trajectoire ascendante. La banque démontre une solidité financière remarquable, avec une notation AA/AI perspective stable, et une gouvernance renforcée par l'arrivée d'administrateurs indépendants.</w:t>
      </w:r>
    </w:p>
    <w:p>
      <w:pPr>
        <w:spacing w:after="120" w:line="276" w:lineRule="auto" w:before="240"/>
      </w:pPr>
      <w:r>
        <w:rPr>
          <w:b/>
          <w:color w:val="003366"/>
          <w:sz w:val="24"/>
        </w:rPr>
        <w:t>**PARTIE 4 : CONCLUSION D'INVESTISSEMENT**</w:t>
      </w:r>
    </w:p>
    <w:p>
      <w:pPr>
        <w:spacing w:after="120" w:line="276" w:lineRule="auto"/>
      </w:pPr>
      <w:r>
        <w:t>La valorisation actuelle de CBIBF, avec un PER de 15,9x nettement supérieur à la moyenne BRVM, indique une prime de croissance que les fondamentaux solides justifient partiellement, mais qui laisse peu de marge de sécurité. Le comportement du cours, avec une hausse de 116,67% en 100 jours et une volatilité annualisée de 42,5%, reflète un enthousiasme marqué des investisseurs, potentiellement excessif à court terme comme le suggèrent les statistiques descriptives (distribution platykurtique, skewness négatif). Les signaux techniques sont paradoxalement partagés : la tendance haussière (MM, MACD) s'oppose aux indicateurs de surachat extrême (RSI à 78,92, Stochastique à 100, sortie des Bandes de Bollinger), annonçant une correction probable. Les fondamentaux demeurent excellents avec une croissance soutenue du PNB et du résultat net, une maîtrise du coût du risque et un coefficient d'exploitation remarquable. Les prédictions IA pour les 10 prochains jours (30 062 à 22 009 FCFA) confirment l'anticipation d'un repli technique significatif de l'ordre de 30%. La convergence entre les signaux techniques de surachat, les prédictions IA baissières et la valorisation exigeante suggère une recommandation de **CONSERVER** avec un niveau de confiance **Moyen** et un risque global **Élevé**. L'horizon d'investissement optimal serait le **moyen terme (3-12 mois)** pour capitaliser sur les fondamentaux solides après une éventuelle correction, le titre offrant un potentiel de rebond substantiel une fois la pression vendeuse technique absorbée.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3,685 titres</w:t>
            </w:r>
          </w:p>
        </w:tc>
        <w:tc>
          <w:tcPr>
            <w:tcW w:type="dxa" w:w="2268"/>
            <w:shd w:fill="FFF2CC" w:val="clear"/>
          </w:tcPr>
          <w:p>
            <w:r>
              <w:rPr>
                <w:b/>
                <w:color w:val="503200"/>
                <w:sz w:val="16"/>
              </w:rPr>
              <w:t xml:space="preserve">Cours actuel : </w:t>
            </w:r>
            <w:r>
              <w:rPr>
                <w:color w:val="000000"/>
                <w:sz w:val="17"/>
              </w:rPr>
              <w:t>1,755 FCFA</w:t>
            </w:r>
          </w:p>
          <w:p>
            <w:r>
              <w:rPr>
                <w:b/>
                <w:color w:val="503200"/>
                <w:sz w:val="16"/>
              </w:rPr>
              <w:t xml:space="preserve">Var. 100 jours : </w:t>
            </w:r>
            <w:r>
              <w:rPr>
                <w:b/>
                <w:color w:val="007800"/>
                <w:sz w:val="17"/>
              </w:rPr>
              <w:t>+3.24%</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6.57% (Moyenne) — μ=1,612 FCFA, σ=106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β=1.1192 (Neutre (suit le marché)) — Cov=0.000040, Var(idx)=0.000036, ρ=0.217,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1,611</w:t>
            </w:r>
          </w:p>
        </w:tc>
        <w:tc>
          <w:tcPr>
            <w:tcW w:type="dxa" w:w="1440"/>
            <w:shd w:fill="FFDCE0" w:val="clear"/>
          </w:tcPr>
          <w:p>
            <w:r>
              <w:rPr>
                <w:b/>
                <w:sz w:val="17"/>
              </w:rPr>
              <w:t>1,681</w:t>
            </w:r>
          </w:p>
        </w:tc>
        <w:tc>
          <w:tcPr>
            <w:tcW w:type="dxa" w:w="1440"/>
            <w:shd w:fill="FFDCE0" w:val="clear"/>
          </w:tcPr>
          <w:p>
            <w:r>
              <w:rPr>
                <w:sz w:val="17"/>
              </w:rPr>
              <w:t>1,752</w:t>
            </w:r>
          </w:p>
        </w:tc>
        <w:tc>
          <w:tcPr>
            <w:tcW w:type="dxa" w:w="1440"/>
            <w:shd w:fill="FFDCE0" w:val="clear"/>
          </w:tcPr>
          <w:p>
            <w:r>
              <w:rPr>
                <w:b/>
                <w:color w:val="C00000"/>
                <w:sz w:val="17"/>
              </w:rPr>
              <w:t>-4.2%</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1,563</w:t>
            </w:r>
          </w:p>
        </w:tc>
        <w:tc>
          <w:tcPr>
            <w:tcW w:type="dxa" w:w="1440"/>
            <w:shd w:fill="FFDCE0" w:val="clear"/>
          </w:tcPr>
          <w:p>
            <w:r>
              <w:rPr>
                <w:b/>
                <w:sz w:val="17"/>
              </w:rPr>
              <w:t>1,661</w:t>
            </w:r>
          </w:p>
        </w:tc>
        <w:tc>
          <w:tcPr>
            <w:tcW w:type="dxa" w:w="1440"/>
            <w:shd w:fill="FFDCE0" w:val="clear"/>
          </w:tcPr>
          <w:p>
            <w:r>
              <w:rPr>
                <w:sz w:val="17"/>
              </w:rPr>
              <w:t>1,760</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1,518</w:t>
            </w:r>
          </w:p>
        </w:tc>
        <w:tc>
          <w:tcPr>
            <w:tcW w:type="dxa" w:w="1440"/>
            <w:shd w:fill="FFDCE0" w:val="clear"/>
          </w:tcPr>
          <w:p>
            <w:r>
              <w:rPr>
                <w:b/>
                <w:sz w:val="17"/>
              </w:rPr>
              <w:t>1,637</w:t>
            </w:r>
          </w:p>
        </w:tc>
        <w:tc>
          <w:tcPr>
            <w:tcW w:type="dxa" w:w="1440"/>
            <w:shd w:fill="FFDCE0" w:val="clear"/>
          </w:tcPr>
          <w:p>
            <w:r>
              <w:rPr>
                <w:sz w:val="17"/>
              </w:rPr>
              <w:t>1,756</w:t>
            </w:r>
          </w:p>
        </w:tc>
        <w:tc>
          <w:tcPr>
            <w:tcW w:type="dxa" w:w="1440"/>
            <w:shd w:fill="FFDCE0" w:val="clear"/>
          </w:tcPr>
          <w:p>
            <w:r>
              <w:rPr>
                <w:b/>
                <w:color w:val="C00000"/>
                <w:sz w:val="17"/>
              </w:rPr>
              <w:t>-6.7%</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1,477</w:t>
            </w:r>
          </w:p>
        </w:tc>
        <w:tc>
          <w:tcPr>
            <w:tcW w:type="dxa" w:w="1440"/>
            <w:shd w:fill="FFDCE0" w:val="clear"/>
          </w:tcPr>
          <w:p>
            <w:r>
              <w:rPr>
                <w:b/>
                <w:sz w:val="17"/>
              </w:rPr>
              <w:t>1,613</w:t>
            </w:r>
          </w:p>
        </w:tc>
        <w:tc>
          <w:tcPr>
            <w:tcW w:type="dxa" w:w="1440"/>
            <w:shd w:fill="FFDCE0" w:val="clear"/>
          </w:tcPr>
          <w:p>
            <w:r>
              <w:rPr>
                <w:sz w:val="17"/>
              </w:rPr>
              <w:t>1,748</w:t>
            </w:r>
          </w:p>
        </w:tc>
        <w:tc>
          <w:tcPr>
            <w:tcW w:type="dxa" w:w="1440"/>
            <w:shd w:fill="FFDCE0" w:val="clear"/>
          </w:tcPr>
          <w:p>
            <w:r>
              <w:rPr>
                <w:b/>
                <w:color w:val="C00000"/>
                <w:sz w:val="17"/>
              </w:rPr>
              <w:t>-8.1%</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1,439</w:t>
            </w:r>
          </w:p>
        </w:tc>
        <w:tc>
          <w:tcPr>
            <w:tcW w:type="dxa" w:w="1440"/>
            <w:shd w:fill="FFDCE0" w:val="clear"/>
          </w:tcPr>
          <w:p>
            <w:r>
              <w:rPr>
                <w:b/>
                <w:sz w:val="17"/>
              </w:rPr>
              <w:t>1,589</w:t>
            </w:r>
          </w:p>
        </w:tc>
        <w:tc>
          <w:tcPr>
            <w:tcW w:type="dxa" w:w="1440"/>
            <w:shd w:fill="FFDCE0" w:val="clear"/>
          </w:tcPr>
          <w:p>
            <w:r>
              <w:rPr>
                <w:sz w:val="17"/>
              </w:rPr>
              <w:t>1,738</w:t>
            </w:r>
          </w:p>
        </w:tc>
        <w:tc>
          <w:tcPr>
            <w:tcW w:type="dxa" w:w="1440"/>
            <w:shd w:fill="FFDCE0" w:val="clear"/>
          </w:tcPr>
          <w:p>
            <w:r>
              <w:rPr>
                <w:b/>
                <w:color w:val="C00000"/>
                <w:sz w:val="17"/>
              </w:rPr>
              <w:t>-9.5%</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1,404</w:t>
            </w:r>
          </w:p>
        </w:tc>
        <w:tc>
          <w:tcPr>
            <w:tcW w:type="dxa" w:w="1440"/>
            <w:shd w:fill="FFDCE0" w:val="clear"/>
          </w:tcPr>
          <w:p>
            <w:r>
              <w:rPr>
                <w:b/>
                <w:sz w:val="17"/>
              </w:rPr>
              <w:t>1,565</w:t>
            </w:r>
          </w:p>
        </w:tc>
        <w:tc>
          <w:tcPr>
            <w:tcW w:type="dxa" w:w="1440"/>
            <w:shd w:fill="FFDCE0" w:val="clear"/>
          </w:tcPr>
          <w:p>
            <w:r>
              <w:rPr>
                <w:sz w:val="17"/>
              </w:rPr>
              <w:t>1,727</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1,371</w:t>
            </w:r>
          </w:p>
        </w:tc>
        <w:tc>
          <w:tcPr>
            <w:tcW w:type="dxa" w:w="1440"/>
            <w:shd w:fill="FFDCE0" w:val="clear"/>
          </w:tcPr>
          <w:p>
            <w:r>
              <w:rPr>
                <w:b/>
                <w:sz w:val="17"/>
              </w:rPr>
              <w:t>1,542</w:t>
            </w:r>
          </w:p>
        </w:tc>
        <w:tc>
          <w:tcPr>
            <w:tcW w:type="dxa" w:w="1440"/>
            <w:shd w:fill="FFDCE0" w:val="clear"/>
          </w:tcPr>
          <w:p>
            <w:r>
              <w:rPr>
                <w:sz w:val="17"/>
              </w:rPr>
              <w:t>1,714</w:t>
            </w:r>
          </w:p>
        </w:tc>
        <w:tc>
          <w:tcPr>
            <w:tcW w:type="dxa" w:w="1440"/>
            <w:shd w:fill="FFDCE0" w:val="clear"/>
          </w:tcPr>
          <w:p>
            <w:r>
              <w:rPr>
                <w:b/>
                <w:color w:val="C00000"/>
                <w:sz w:val="17"/>
              </w:rPr>
              <w:t>-12.1%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1,339</w:t>
            </w:r>
          </w:p>
        </w:tc>
        <w:tc>
          <w:tcPr>
            <w:tcW w:type="dxa" w:w="1440"/>
            <w:shd w:fill="FFDCE0" w:val="clear"/>
          </w:tcPr>
          <w:p>
            <w:r>
              <w:rPr>
                <w:b/>
                <w:sz w:val="17"/>
              </w:rPr>
              <w:t>1,520</w:t>
            </w:r>
          </w:p>
        </w:tc>
        <w:tc>
          <w:tcPr>
            <w:tcW w:type="dxa" w:w="1440"/>
            <w:shd w:fill="FFDCE0" w:val="clear"/>
          </w:tcPr>
          <w:p>
            <w:r>
              <w:rPr>
                <w:sz w:val="17"/>
              </w:rPr>
              <w:t>1,701</w:t>
            </w:r>
          </w:p>
        </w:tc>
        <w:tc>
          <w:tcPr>
            <w:tcW w:type="dxa" w:w="1440"/>
            <w:shd w:fill="FFDCE0" w:val="clear"/>
          </w:tcPr>
          <w:p>
            <w:r>
              <w:rPr>
                <w:b/>
                <w:color w:val="C00000"/>
                <w:sz w:val="17"/>
              </w:rPr>
              <w:t>-13.4%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1,309</w:t>
            </w:r>
          </w:p>
        </w:tc>
        <w:tc>
          <w:tcPr>
            <w:tcW w:type="dxa" w:w="1440"/>
            <w:shd w:fill="FFDCE0" w:val="clear"/>
          </w:tcPr>
          <w:p>
            <w:r>
              <w:rPr>
                <w:b/>
                <w:sz w:val="17"/>
              </w:rPr>
              <w:t>1,498</w:t>
            </w:r>
          </w:p>
        </w:tc>
        <w:tc>
          <w:tcPr>
            <w:tcW w:type="dxa" w:w="1440"/>
            <w:shd w:fill="FFDCE0" w:val="clear"/>
          </w:tcPr>
          <w:p>
            <w:r>
              <w:rPr>
                <w:sz w:val="17"/>
              </w:rPr>
              <w:t>1,687</w:t>
            </w:r>
          </w:p>
        </w:tc>
        <w:tc>
          <w:tcPr>
            <w:tcW w:type="dxa" w:w="1440"/>
            <w:shd w:fill="FFDCE0" w:val="clear"/>
          </w:tcPr>
          <w:p>
            <w:r>
              <w:rPr>
                <w:b/>
                <w:color w:val="C00000"/>
                <w:sz w:val="17"/>
              </w:rPr>
              <w:t>-14.6%</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1,280</w:t>
            </w:r>
          </w:p>
        </w:tc>
        <w:tc>
          <w:tcPr>
            <w:tcW w:type="dxa" w:w="1440"/>
            <w:shd w:fill="FFDCE0" w:val="clear"/>
          </w:tcPr>
          <w:p>
            <w:r>
              <w:rPr>
                <w:b/>
                <w:sz w:val="17"/>
              </w:rPr>
              <w:t>1,477</w:t>
            </w:r>
          </w:p>
        </w:tc>
        <w:tc>
          <w:tcPr>
            <w:tcW w:type="dxa" w:w="1440"/>
            <w:shd w:fill="FFDCE0" w:val="clear"/>
          </w:tcPr>
          <w:p>
            <w:r>
              <w:rPr>
                <w:sz w:val="17"/>
              </w:rPr>
              <w:t>1,673</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318,31 milliards FCFA, un niveau significatif qui la positionne parmi les valeurs moyennes à grandes capitalisations de la BRVM. Avec un BPA de 26 FCFA, le titre se négocie à un PER de 67,8x, un niveau extrêmement élevé comparé à la moyenne historique du marché régional (8-12x), indiquant que les investisseurs paient une prime considérable pour chaque franc de bénéfice. Le P/B de 16,36x confirme cette surévaluation relative, le marché valorisant l'action plus de 16 fois sa valeur comptable, un niveau bien au-delà du seuil de 4x considéré comme exigeant. L'EV/EBITDA de 34,5x, également très supérieur au seuil de 15x, suggère que la valeur totale de l'entreprise (dette incluse) est chère par rapport à sa capacité bénéficiaire opérationnelle. Ces ratios combinés indiquent une valorisation très exigeante qui intègre des attentes de croissance future substantielles, nécessitant une prudence accrue.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modeste de +3,24%, avec une accélération notable lors de la dernière séance (+4,46%), portant le cours à 1 755 FCFA. La fourchette de trading s'étend de 1 325 FCFA (plus bas) à 1 825 FCFA (plus haut), soit une amplitude de 500 FCFA indiquant des fluctuations significatives. La moyenne du cours (1 612 FCFA) est légèrement supérieure à la médiane (1 602 FCFA), suggérant une distribution quasi symétrique, confirmée par un skewness de -0,389 et un kurtosis de -0,292 (mésokurtique, proche d'une distribution normale). L'écart-type de 106 FCFA représente un coefficient de variation de 6,6%, reflétant une dispersion modérée autour de la moyenne. La volatilité annualisée de 49,2% classe le titre dans la catégorie des valeurs à forte volatilité (&gt;30%), signalant un risque de prix élevé pour les investisseurs. Cette volatilité soutenue, combinée à une tendance globalement haussière depuis le point bas, suggère un intérêt marqué des investisseurs mais aussi une sensibilité aux retournements de sentiment.</w:t>
      </w:r>
    </w:p>
    <w:p>
      <w:pPr>
        <w:spacing w:after="120" w:line="276" w:lineRule="auto" w:before="240"/>
      </w:pPr>
      <w:r>
        <w:rPr>
          <w:b/>
          <w:color w:val="003366"/>
          <w:sz w:val="24"/>
        </w:rPr>
        <w:t>**PARTIE 2 : ANALYSE TECHNIQUE DÉTAILLÉE**</w:t>
      </w:r>
    </w:p>
    <w:p>
      <w:pPr>
        <w:spacing w:after="120" w:line="276" w:lineRule="auto"/>
      </w:pPr>
      <w:r>
        <w:t>**Moyennes Mobiles** : Le cours actuel de 1 755 FCFA se positionne nettement au-dessus de la MM20 (1 693,25 FCFA) et de la MM50 (1 673,5 FCFA), confirmant une dynamique haussière à court et moyen terme. L'écart positif entre le prix et les moyennes mobiles indique une tendance ascendante bien établie, justifiant la décision d'ACHAT. La configuration des moyennes mobiles (MM20 &gt; MM50) suggère un momentum positif persistant.</w:t>
      </w:r>
    </w:p>
    <w:p>
      <w:pPr>
        <w:spacing w:after="120" w:line="276" w:lineRule="auto"/>
      </w:pPr>
      <w:r>
        <w:t>**Bandes de Bollinger** : Le cours évolue à 1 755 FCFA, proche de la borne supérieure (1 793,42 FCFA) mais sans la toucher, indiquant une pression acheteuse soutenue sans situation de surachat extrême. La largeur des bandes (écart de 200 FCFA entre les bornes) reflète la volatilité élevée du titre. La décision NEUTRE s'explique par la position du prix dans la moitié supérieure des bandes sans franchissement décisif de la borne supérieure.</w:t>
      </w:r>
    </w:p>
    <w:p>
      <w:pPr>
        <w:spacing w:after="120" w:line="276" w:lineRule="auto"/>
      </w:pPr>
      <w:r>
        <w:t>**MACD** : Avec une valeur de 21,633 et un signal à 17,14, le MACD est positif et au-dessus de sa ligne de signal, confirmant un momentum haussier. L'écart positif entre les deux lignes indique une dynamique ascendante soutenue, justifiant la décision d'ACHAT. Cette configuration suggère que la tendance haussière pourrait se poursuivre à court terme.</w:t>
      </w:r>
    </w:p>
    <w:p>
      <w:pPr>
        <w:spacing w:after="120" w:line="276" w:lineRule="auto"/>
      </w:pPr>
      <w:r>
        <w:t>**RSI** : Le RSI à 61,616 se situe en zone neutre (30-70), indiquant une pression acheteuse modérée sans surachat. Cette valeur suggère qu'il reste de la marge avant d'atteindre des conditions de surachat (&gt;70), laissant potentiellement de l'espace pour une poursuite de la hausse. La décision NEUTRE reflète cette position intermédiaire.</w:t>
      </w:r>
    </w:p>
    <w:p>
      <w:pPr>
        <w:spacing w:after="120" w:line="276" w:lineRule="auto"/>
      </w:pPr>
      <w:r>
        <w:t>**Stochastique** : Le %K à 93,939 est très élevé, dépassant largement le %D à 75,758, indiquant des conditions de surachat extrême. Cette configuration signale un épuisement potentiel de la dynamique haussière à très court terme, justifiant la décision de VENTE. Un croisement baissier du %K sous le %D pourrait déclencher un mouvement de correction.</w:t>
      </w:r>
    </w:p>
    <w:p>
      <w:pPr>
        <w:spacing w:after="120" w:line="276" w:lineRule="auto"/>
      </w:pPr>
      <w:r>
        <w:t>**Conclusion technique** : La convergence des indicateurs (MM, MACD) vers des signaux d'achat contraste avec le signal de vente du stochastique en surachat. Cette divergence suggère une tendance haussière de fond mais avec un risque accru de consolidation à court terme. La prudence est recommandée à l'approche des niveaux de résistance, malgré la tendance positive dominante.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contrastée pour CFAC. Le chiffre d'affaires s'établit à 158,313 milliards FCFA, en baisse de -12,1% par rapport à 2023, avec un résultat net de 4,693 milliards FCFA (-26,7% vs 2023). Malgré cette contraction, la rentabilité demeure solide avec un ROE de 24,13% (&gt;15% = excellent) et un ROA de 5,52%. La marge nette ressort à 2,96% et la marge opérationnelle à 4,96%, en retrait par rapport à l'exercice précédent. Le BFR négatif de -3,482 milliards FCFA constitue un point positif, indiquant une gestion efficace du cycle d'exploitation, avec des délais clients de 36,64 jours et fournisseurs de 81,75 jours. Cependant, la structure financière montre une autonomie financière de 22,88% (inférieure au seuil de 30% considéré comme sain) et une dépendance financière de 77,12%, reflétant un recours important au financement externe. Les rapports trimestriels 2025 (T1 : CA de 46,161 milliards FCFA, +14,5% ; S1 : CA de 91,182 milliards FCFA, +18,4% ; T3 : CA de 43,580 milliards FCFA, +18,3%) indiquent un redressement spectaculaire, avec un résultat net en hausse de 279,7% au T1 et de 152,7% au S1. Sur la base de ces performances, on estime que l'exercice 2025 devrait dépasser significativement les résultats 2024, avec un CA projeté autour de 180-185 milliards FCFA et un résultat net potentiel de 8-9 milliards FCFA, confirmant la solidité du modèle économique et la position de leader (43,4% de part de marché).</w:t>
      </w:r>
    </w:p>
    <w:p>
      <w:pPr>
        <w:spacing w:after="120" w:line="276" w:lineRule="auto" w:before="240"/>
      </w:pPr>
      <w:r>
        <w:rPr>
          <w:b/>
          <w:color w:val="003366"/>
          <w:sz w:val="24"/>
        </w:rPr>
        <w:t>**PARTIE 4 : CONCLUSION D'INVESTISSEMENT**</w:t>
      </w:r>
    </w:p>
    <w:p>
      <w:pPr>
        <w:spacing w:after="120" w:line="276" w:lineRule="auto"/>
      </w:pPr>
      <w:r>
        <w:t>La synthèse des analyses révèle une situation paradoxale pour CFAC. La valorisation (Partie 0) apparaît extrêmement exigeante avec un PER de 67,8x et un P/B de 16,36x, suggérant une surévaluation significative par rapport aux fondamentaux actuels. Le comportement du cours (Partie 1) montre une tendance haussière modérée avec une volatilité élevée (49,2%), des statistiques indiquant une distribution normale sans anomalies majeures. Les signaux techniques (Partie 2) sont mitigés : les moyennes mobiles et le MACD sont positifs, mais le stochastique en surachat extrême (&gt;90%) suggère un risque de correction imminent. Les fondamentaux (Partie 3) présentent une amélioration notable en 2025 après un exercice 2024 difficile, avec une croissance à deux chiffres du CA et une explosion des résultats trimestriels. Les prédictions IA (J+1 à J+10) indiquent une trajectoire baissière de 1 681 à 1 589 FCFA, contredisant les signaux techniques haussiers et suggérant une correction à court terme. Cette divergence entre la valorisation élevée, les signaux techniques mitigés et les prédictions baissières conduit à une recommandation de **CONSERVER** avec un niveau de confiance **Moyen** et un risque global **Élevé**. L'horizon d'investissement optimal serait le **moyen terme (3-12 mois)** pour capitaliser sur l'amélioration fondamentale, tout en surveillant attentivement les niveaux de support autour de 1 600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6,235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+94.03%</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24.26% (Élevée) — μ=4,702 FCFA, σ=1,141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β=0.9267 (Neutre (suit le marché)) — Cov=0.000033, Var(idx)=0.000036, ρ=0.175,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6,235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5,688</w:t>
            </w:r>
          </w:p>
        </w:tc>
        <w:tc>
          <w:tcPr>
            <w:tcW w:type="dxa" w:w="1440"/>
            <w:shd w:fill="FFDCE0" w:val="clear"/>
          </w:tcPr>
          <w:p>
            <w:r>
              <w:rPr>
                <w:b/>
                <w:sz w:val="17"/>
              </w:rPr>
              <w:t>6,012</w:t>
            </w:r>
          </w:p>
        </w:tc>
        <w:tc>
          <w:tcPr>
            <w:tcW w:type="dxa" w:w="1440"/>
            <w:shd w:fill="FFDCE0" w:val="clear"/>
          </w:tcPr>
          <w:p>
            <w:r>
              <w:rPr>
                <w:sz w:val="17"/>
              </w:rPr>
              <w:t>6,337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5,137</w:t>
            </w:r>
          </w:p>
        </w:tc>
        <w:tc>
          <w:tcPr>
            <w:tcW w:type="dxa" w:w="1440"/>
            <w:shd w:fill="FFDCE0" w:val="clear"/>
          </w:tcPr>
          <w:p>
            <w:r>
              <w:rPr>
                <w:b/>
                <w:sz w:val="17"/>
              </w:rPr>
              <w:t>5,562</w:t>
            </w:r>
          </w:p>
        </w:tc>
        <w:tc>
          <w:tcPr>
            <w:tcW w:type="dxa" w:w="1440"/>
            <w:shd w:fill="FFDCE0" w:val="clear"/>
          </w:tcPr>
          <w:p>
            <w:r>
              <w:rPr>
                <w:sz w:val="17"/>
              </w:rPr>
              <w:t>5,986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4,664</w:t>
            </w:r>
          </w:p>
        </w:tc>
        <w:tc>
          <w:tcPr>
            <w:tcW w:type="dxa" w:w="1440"/>
            <w:shd w:fill="FFDCE0" w:val="clear"/>
          </w:tcPr>
          <w:p>
            <w:r>
              <w:rPr>
                <w:b/>
                <w:sz w:val="17"/>
              </w:rPr>
              <w:t>5,144</w:t>
            </w:r>
          </w:p>
        </w:tc>
        <w:tc>
          <w:tcPr>
            <w:tcW w:type="dxa" w:w="1440"/>
            <w:shd w:fill="FFDCE0" w:val="clear"/>
          </w:tcPr>
          <w:p>
            <w:r>
              <w:rPr>
                <w:sz w:val="17"/>
              </w:rPr>
              <w:t>5,625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4,245</w:t>
            </w:r>
          </w:p>
        </w:tc>
        <w:tc>
          <w:tcPr>
            <w:tcW w:type="dxa" w:w="1440"/>
            <w:shd w:fill="FFDCE0" w:val="clear"/>
          </w:tcPr>
          <w:p>
            <w:r>
              <w:rPr>
                <w:b/>
                <w:sz w:val="17"/>
              </w:rPr>
              <w:t>4,759</w:t>
            </w:r>
          </w:p>
        </w:tc>
        <w:tc>
          <w:tcPr>
            <w:tcW w:type="dxa" w:w="1440"/>
            <w:shd w:fill="FFDCE0" w:val="clear"/>
          </w:tcPr>
          <w:p>
            <w:r>
              <w:rPr>
                <w:sz w:val="17"/>
              </w:rPr>
              <w:t>5,272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3,871</w:t>
            </w:r>
          </w:p>
        </w:tc>
        <w:tc>
          <w:tcPr>
            <w:tcW w:type="dxa" w:w="1440"/>
            <w:shd w:fill="FFDCE0" w:val="clear"/>
          </w:tcPr>
          <w:p>
            <w:r>
              <w:rPr>
                <w:b/>
                <w:sz w:val="17"/>
              </w:rPr>
              <w:t>4,402</w:t>
            </w:r>
          </w:p>
        </w:tc>
        <w:tc>
          <w:tcPr>
            <w:tcW w:type="dxa" w:w="1440"/>
            <w:shd w:fill="FFDCE0" w:val="clear"/>
          </w:tcPr>
          <w:p>
            <w:r>
              <w:rPr>
                <w:sz w:val="17"/>
              </w:rPr>
              <w:t>4,933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3,534</w:t>
            </w:r>
          </w:p>
        </w:tc>
        <w:tc>
          <w:tcPr>
            <w:tcW w:type="dxa" w:w="1440"/>
            <w:shd w:fill="FFDCE0" w:val="clear"/>
          </w:tcPr>
          <w:p>
            <w:r>
              <w:rPr>
                <w:b/>
                <w:sz w:val="17"/>
              </w:rPr>
              <w:t>4,072</w:t>
            </w:r>
          </w:p>
        </w:tc>
        <w:tc>
          <w:tcPr>
            <w:tcW w:type="dxa" w:w="1440"/>
            <w:shd w:fill="FFDCE0" w:val="clear"/>
          </w:tcPr>
          <w:p>
            <w:r>
              <w:rPr>
                <w:sz w:val="17"/>
              </w:rPr>
              <w:t>4,609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3,229</w:t>
            </w:r>
          </w:p>
        </w:tc>
        <w:tc>
          <w:tcPr>
            <w:tcW w:type="dxa" w:w="1440"/>
            <w:shd w:fill="FFDCE0" w:val="clear"/>
          </w:tcPr>
          <w:p>
            <w:r>
              <w:rPr>
                <w:b/>
                <w:sz w:val="17"/>
              </w:rPr>
              <w:t>3,766</w:t>
            </w:r>
          </w:p>
        </w:tc>
        <w:tc>
          <w:tcPr>
            <w:tcW w:type="dxa" w:w="1440"/>
            <w:shd w:fill="FFDCE0" w:val="clear"/>
          </w:tcPr>
          <w:p>
            <w:r>
              <w:rPr>
                <w:sz w:val="17"/>
              </w:rPr>
              <w:t>4,304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2,952</w:t>
            </w:r>
          </w:p>
        </w:tc>
        <w:tc>
          <w:tcPr>
            <w:tcW w:type="dxa" w:w="1440"/>
            <w:shd w:fill="FFDCE0" w:val="clear"/>
          </w:tcPr>
          <w:p>
            <w:r>
              <w:rPr>
                <w:b/>
                <w:sz w:val="17"/>
              </w:rPr>
              <w:t>3,484</w:t>
            </w:r>
          </w:p>
        </w:tc>
        <w:tc>
          <w:tcPr>
            <w:tcW w:type="dxa" w:w="1440"/>
            <w:shd w:fill="FFDCE0" w:val="clear"/>
          </w:tcPr>
          <w:p>
            <w:r>
              <w:rPr>
                <w:sz w:val="17"/>
              </w:rPr>
              <w:t>4,015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2,781</w:t>
            </w:r>
          </w:p>
        </w:tc>
        <w:tc>
          <w:tcPr>
            <w:tcW w:type="dxa" w:w="1440"/>
            <w:shd w:fill="FFDCE0" w:val="clear"/>
          </w:tcPr>
          <w:p>
            <w:r>
              <w:rPr>
                <w:b/>
                <w:sz w:val="17"/>
              </w:rPr>
              <w:t>3,318</w:t>
            </w:r>
          </w:p>
        </w:tc>
        <w:tc>
          <w:tcPr>
            <w:tcW w:type="dxa" w:w="1440"/>
            <w:shd w:fill="FFDCE0" w:val="clear"/>
          </w:tcPr>
          <w:p>
            <w:r>
              <w:rPr>
                <w:sz w:val="17"/>
              </w:rPr>
              <w:t>3,855</w:t>
            </w:r>
          </w:p>
        </w:tc>
        <w:tc>
          <w:tcPr>
            <w:tcW w:type="dxa" w:w="1440"/>
            <w:shd w:fill="FFDCE0" w:val="clear"/>
          </w:tcPr>
          <w:p>
            <w:r>
              <w:rPr>
                <w:b/>
                <w:color w:val="C00000"/>
                <w:sz w:val="17"/>
              </w:rPr>
              <w:t>-48.9%</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2,686</w:t>
            </w:r>
          </w:p>
        </w:tc>
        <w:tc>
          <w:tcPr>
            <w:tcW w:type="dxa" w:w="1440"/>
            <w:shd w:fill="FFDCE0" w:val="clear"/>
          </w:tcPr>
          <w:p>
            <w:r>
              <w:rPr>
                <w:b/>
                <w:sz w:val="17"/>
              </w:rPr>
              <w:t>3,238</w:t>
            </w:r>
          </w:p>
        </w:tc>
        <w:tc>
          <w:tcPr>
            <w:tcW w:type="dxa" w:w="1440"/>
            <w:shd w:fill="FFDCE0" w:val="clear"/>
          </w:tcPr>
          <w:p>
            <w:r>
              <w:rPr>
                <w:sz w:val="17"/>
              </w:rPr>
              <w:t>3,791</w:t>
            </w:r>
          </w:p>
        </w:tc>
        <w:tc>
          <w:tcPr>
            <w:tcW w:type="dxa" w:w="1440"/>
            <w:shd w:fill="FFDCE0" w:val="clear"/>
          </w:tcPr>
          <w:p>
            <w:r>
              <w:rPr>
                <w:b/>
                <w:color w:val="C00000"/>
                <w:sz w:val="17"/>
              </w:rPr>
              <w:t>-50.2%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pour l'action CIEC,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364 milliards FCFA, un niveau significatif qui la positionne parmi les valeurs moyennes à grandes de la BRVM. Avec un BPA de 234 FCFA, le titre se négocie à un PER de 27,7x, un niveau très élevé comparé à la moyenne historique du marché (8-12x). Cette prime suggère que les investisseurs anticipent une croissance future des bénéfices, mais expose également le titre à un risque de correction si ces attentes ne se matérialisent pas. Le P/B de 10,12x confirme cette exubérance, le marché valorisant l'actif net comptable plus de dix fois sa valeur, ce qui est extrêmement exigeant. Enfin, un EV/EBITDA de 14,9x, bien que dans la fourchette haute des standards, indique que la valeur d'entreprise (dette incluse) reste élevée par rapport à la capacité opérationnelle de la société.</w:t>
      </w:r>
    </w:p>
    <w:p>
      <w:pPr>
        <w:spacing w:after="120" w:line="276" w:lineRule="auto"/>
      </w:pPr>
      <w:r>
        <w:t>### PARTIE 1 : ANALYSE DU COURS — STATISTIQUES ET ÉVOLUTION (100 derniers jours)</w:t>
      </w:r>
    </w:p>
    <w:p>
      <w:pPr>
        <w:spacing w:after="120" w:line="276" w:lineRule="auto"/>
      </w:pPr>
      <w:r>
        <w:t>Sur les 100 derniers jours, l'action CIEC a connu une performance spectaculaire, avec une variation totale de +94,03%, bien que la dernière séance ait enregistré un léger repli de -1,52% à 6 500 FCFA. Le titre a évolué dans une fourchette très large, oscillant entre un plus bas de 3 000 FCFA et un plus haut de 7 190 FCFA, illustrant une tendance fortement haussière. La moyenne du cours sur la période (4 702 FCFA) est inférieure à la médiane (5 000 FCFA), ce qui, combiné à un skewness quasi nul (0.046), suggère une distribution symétrique mais avec une concentration des prix vers le bas de la fourchette avant la récente envolée. L'écart-type de 1 146 FCFA (CV de 24,4%) témoigne d'une dispersion notable, et la volatilité annualisée de 50,2% classe le titre comme extrêmement risqué. Le kurtosis négatif (-0.786) indique une distribution mésokurtique, avec moins de valeurs extrêmes que la normale, mais la dynamique récente du prix reste le facteur dominant.</w:t>
      </w:r>
    </w:p>
    <w:p>
      <w:pPr>
        <w:spacing w:after="120" w:line="276" w:lineRule="auto"/>
      </w:pPr>
      <w:r>
        <w:t>### PARTIE 2 : ANALYSE TECHNIQUE DÉTAILLÉE</w:t>
      </w:r>
    </w:p>
    <w:p>
      <w:pPr>
        <w:spacing w:after="120" w:line="276" w:lineRule="auto"/>
      </w:pPr>
      <w:r>
        <w:t>**Moyennes Mobiles**: Le cours actuel (6 500 FCFA) est nettement au-dessus de sa MM20 (6 110,25 FCFA) et de sa MM50 (5 575,9 FCFA). Cette configuration haussière, où les moyennes sont orientées à la hausse, confirme la vigueur de la tendance et justifie la décision d'**Achat**.</w:t>
      </w:r>
    </w:p>
    <w:p>
      <w:pPr>
        <w:spacing w:after="120" w:line="276" w:lineRule="auto"/>
      </w:pPr>
      <w:r>
        <w:t>**Bandes de Bollinger**: Le prix se situe à 6 500 FCFA, entre la borne supérieure (7 682,76 FCFA) et la borne inférieure (4 537,74 FCFA). La position du cours dans la moitié supérieure des bandes, couplée à une volatilité élevée (bandes larges), indique une dynamique positive sans pour autant être en zone de surachat extrême, d'où une décision **Neutre**.</w:t>
      </w:r>
    </w:p>
    <w:p>
      <w:pPr>
        <w:spacing w:after="120" w:line="276" w:lineRule="auto"/>
      </w:pPr>
      <w:r>
        <w:t>**MACD**: La ligne MACD (395,95) est passée au-dessus de sa ligne de signal (394,08), générant un croisement haussier. Ce signal positif indique un renforcement du momentum acheteur à court terme, justifiant la décision d'**Achat**.</w:t>
      </w:r>
    </w:p>
    <w:p>
      <w:pPr>
        <w:spacing w:after="120" w:line="276" w:lineRule="auto"/>
      </w:pPr>
      <w:r>
        <w:t>**RSI**: Avec une valeur de 70,11, le RSI entre en zone de surachat technique. Cela suggère que le titre a fortement monté et qu'un repli ou une consolidation est potentiellement imminent, d'où la décision de **Vente** pour les traders à court terme.</w:t>
      </w:r>
    </w:p>
    <w:p>
      <w:pPr>
        <w:spacing w:after="120" w:line="276" w:lineRule="auto"/>
      </w:pPr>
      <w:r>
        <w:t>**Stochastique**: Les valeurs de %K (60,34) et %D (66,61) sont en zone neutre. Le %K étant sous le %D, cela pourrait indiquer un affaiblissement du momentum haussier à très court terme, mais sans signal fort, d'où la décision **Neutre**.</w:t>
      </w:r>
    </w:p>
    <w:p>
      <w:pPr>
        <w:spacing w:after="120" w:line="276" w:lineRule="auto"/>
      </w:pPr>
      <w:r>
        <w:t>**Conclusion technique**: Les indicateurs de tendance (MM, MACD) sont résolument haussiers, mais les oscillateurs de momentum (RSI) signalent une condition de surachat. Cette divergence suggère que la tendance de fond reste positive, mais qu'un risque de correction technique à court terme est élevé. La prudence est donc de mise pour un nouvel achat à ces niveaux.</w:t>
      </w:r>
    </w:p>
    <w:p>
      <w:pPr>
        <w:spacing w:after="120" w:line="276" w:lineRule="auto"/>
      </w:pPr>
      <w:r>
        <w:t>### PARTIE 3 : ANALYSE FONDAMENTALE (SECTION CRITIQUE)</w:t>
      </w:r>
    </w:p>
    <w:p>
      <w:pPr>
        <w:spacing w:after="120" w:line="276" w:lineRule="auto"/>
      </w:pPr>
      <w:r>
        <w:t>En tant qu'entreprise non bancaire, l'analyse de la CIEC se concentre sur son chiffre d'affaires et sa structure de bilan. En 2025, la société a réalisé un chiffre d'affaires de 302,32 milliards FCFA, en hausse de 14,8% par rapport à 2024, pour un résultat net de 13,13 milliards FCFA. Cette performance se traduit par un ROE exceptionnel de 36,5%, mais un ROA plus modeste de 0,65%, illustrant une forte dépendance à l'effet de levier. Le BFR est négatif (-90,24 milliards FCFA), ce qui est favorable, car cela signifie que l'entreprise finance son cycle d'exploitation grâce aux délais de paiement de ses fournisseurs (970 jours). Cependant, le délai de paiement des clients est très élevé (164 jours), ce qui représente un risque de trésorerie majeur. Le rapport annuel 2025 (daté du 31/12/2025) confirme cette dynamique et souligne une politique de distribution généreuse avec un dividende de 234 FCFA par action, représentant 99,8% du résultat net. Sur la base du rapport du S1 2025 (CA en hausse de 18,85% à 134,9 milliards FCFA), on estime que la croissance pour l'exercice 2026 pourrait se poursuivre, portée par l'expansion de la base clients (+15,1% en 2025) et la hausse des ventes d'énergie. Toutefois, la structure financière reste fragile avec un ratio d'endettement de 612,9% et une autonomie financière très faible (1,78%), ce qui rend la société vulnérable à son concédant et à ses créanciers.</w:t>
      </w:r>
    </w:p>
    <w:p>
      <w:pPr>
        <w:spacing w:after="120" w:line="276" w:lineRule="auto"/>
      </w:pPr>
      <w:r>
        <w:t>### PARTIE 4 : CONCLUSION D'INVESTISSEMENT</w:t>
      </w:r>
    </w:p>
    <w:p>
      <w:pPr>
        <w:spacing w:after="120" w:line="276" w:lineRule="auto"/>
      </w:pPr>
      <w:r>
        <w:t>La valorisation de la CIEC est extrêmement exigeante (PER de 27,7x, P/B de 10,1x), suggérant une anticipation de croissance parfaite. Le comportement du cours, avec une hausse de 94% en 100 jours et une volatilité annualisée de 50%, reflète un enthousiasme spéculatif marqué, mais les statistiques (kurtosis, skewness) ne montrent pas de distribution anormale. Les signaux techniques sont partagés : la tendance (MM, MACD) est haussière, mais le RSI en surachat (70,1) signale un risque de correction. Fondamentalement, la société affiche une croissance solide et un ROE élevé, mais sa structure financière est fragile et le risque de crédit client est significatif. Les prédictions IA pour les 10 prochains jours suggèrent une forte correction du cours (chute à 4 402 FCFA), contredisant radicalement la tendance haussière récente. Cette divergence entre les signaux techniques, la valorisation extrême et les prédictions algorithmiques impose une prudence maximale. Par conséquent, la recommandation est un **VENTE** pour les investisseurs à court terme afin de réaliser les gains, et un **CONSERVER** pour les investisseurs de long terme qui croient au potentiel de croissance, mais avec un niveau de confiance **Faible**. Le niveau de risque global est **Élevé**, et l'horizon d'investissement optimal serait le **long terme (&gt;1 an)** pour laisser le temps aux fondamentaux de rattraper la valorisation, ou une entrée après une correction significative.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946.87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3,873 titres</w:t>
            </w:r>
          </w:p>
        </w:tc>
        <w:tc>
          <w:tcPr>
            <w:tcW w:type="dxa" w:w="2268"/>
            <w:shd w:fill="FFF2CC" w:val="clear"/>
          </w:tcPr>
          <w:p>
            <w:r>
              <w:rPr>
                <w:b/>
                <w:color w:val="503200"/>
                <w:sz w:val="16"/>
              </w:rPr>
              <w:t xml:space="preserve">Cours actuel : </w:t>
            </w:r>
            <w:r>
              <w:rPr>
                <w:color w:val="000000"/>
                <w:sz w:val="17"/>
              </w:rPr>
              <w:t>17,200 FCFA</w:t>
            </w:r>
          </w:p>
          <w:p>
            <w:r>
              <w:rPr>
                <w:b/>
                <w:color w:val="503200"/>
                <w:sz w:val="16"/>
              </w:rPr>
              <w:t xml:space="preserve">Var. 100 jours : </w:t>
            </w:r>
            <w:r>
              <w:rPr>
                <w:b/>
                <w:color w:val="007800"/>
                <w:sz w:val="17"/>
              </w:rPr>
              <w:t>+4.24%</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2.36% (Faible) — μ=16,349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β=0.4476 (Défensif) — Cov=0.000016, Var(idx)=0.000036, ρ=0.150,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16,489</w:t>
            </w:r>
          </w:p>
        </w:tc>
        <w:tc>
          <w:tcPr>
            <w:tcW w:type="dxa" w:w="1440"/>
            <w:shd w:fill="FAFAFA" w:val="clear"/>
          </w:tcPr>
          <w:p>
            <w:r>
              <w:rPr>
                <w:b/>
                <w:sz w:val="17"/>
              </w:rPr>
              <w:t>16,898</w:t>
            </w:r>
          </w:p>
        </w:tc>
        <w:tc>
          <w:tcPr>
            <w:tcW w:type="dxa" w:w="1440"/>
            <w:shd w:fill="FAFAFA" w:val="clear"/>
          </w:tcPr>
          <w:p>
            <w:r>
              <w:rPr>
                <w:sz w:val="17"/>
              </w:rPr>
              <w:t>17,307</w:t>
            </w:r>
          </w:p>
        </w:tc>
        <w:tc>
          <w:tcPr>
            <w:tcW w:type="dxa" w:w="1440"/>
            <w:shd w:fill="FAFAFA" w:val="clear"/>
          </w:tcPr>
          <w:p>
            <w:r>
              <w:rPr>
                <w:b/>
                <w:color w:val="C00000"/>
                <w:sz w:val="17"/>
              </w:rPr>
              <w:t>-1.8%</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16,315</w:t>
            </w:r>
          </w:p>
        </w:tc>
        <w:tc>
          <w:tcPr>
            <w:tcW w:type="dxa" w:w="1440"/>
            <w:shd w:fill="FAFAFA" w:val="clear"/>
          </w:tcPr>
          <w:p>
            <w:r>
              <w:rPr>
                <w:b/>
                <w:sz w:val="17"/>
              </w:rPr>
              <w:t>16,893</w:t>
            </w:r>
          </w:p>
        </w:tc>
        <w:tc>
          <w:tcPr>
            <w:tcW w:type="dxa" w:w="1440"/>
            <w:shd w:fill="FAFAFA" w:val="clear"/>
          </w:tcPr>
          <w:p>
            <w:r>
              <w:rPr>
                <w:sz w:val="17"/>
              </w:rPr>
              <w:t>17,471</w:t>
            </w:r>
          </w:p>
        </w:tc>
        <w:tc>
          <w:tcPr>
            <w:tcW w:type="dxa" w:w="1440"/>
            <w:shd w:fill="FAFAFA" w:val="clear"/>
          </w:tcPr>
          <w:p>
            <w:r>
              <w:rPr>
                <w:b/>
                <w:color w:val="C00000"/>
                <w:sz w:val="17"/>
              </w:rPr>
              <w:t>-1.8%</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16,157</w:t>
            </w:r>
          </w:p>
        </w:tc>
        <w:tc>
          <w:tcPr>
            <w:tcW w:type="dxa" w:w="1440"/>
            <w:shd w:fill="FAFAFA" w:val="clear"/>
          </w:tcPr>
          <w:p>
            <w:r>
              <w:rPr>
                <w:b/>
                <w:sz w:val="17"/>
              </w:rPr>
              <w:t>16,864</w:t>
            </w:r>
          </w:p>
        </w:tc>
        <w:tc>
          <w:tcPr>
            <w:tcW w:type="dxa" w:w="1440"/>
            <w:shd w:fill="FAFAFA" w:val="clear"/>
          </w:tcPr>
          <w:p>
            <w:r>
              <w:rPr>
                <w:sz w:val="17"/>
              </w:rPr>
              <w:t>17,571</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16,024</w:t>
            </w:r>
          </w:p>
        </w:tc>
        <w:tc>
          <w:tcPr>
            <w:tcW w:type="dxa" w:w="1440"/>
            <w:shd w:fill="FFDCE0" w:val="clear"/>
          </w:tcPr>
          <w:p>
            <w:r>
              <w:rPr>
                <w:b/>
                <w:sz w:val="17"/>
              </w:rPr>
              <w:t>16,840</w:t>
            </w:r>
          </w:p>
        </w:tc>
        <w:tc>
          <w:tcPr>
            <w:tcW w:type="dxa" w:w="1440"/>
            <w:shd w:fill="FFDCE0" w:val="clear"/>
          </w:tcPr>
          <w:p>
            <w:r>
              <w:rPr>
                <w:sz w:val="17"/>
              </w:rPr>
              <w:t>17,655</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15,908</w:t>
            </w:r>
          </w:p>
        </w:tc>
        <w:tc>
          <w:tcPr>
            <w:tcW w:type="dxa" w:w="1440"/>
            <w:shd w:fill="FFDCE0" w:val="clear"/>
          </w:tcPr>
          <w:p>
            <w:r>
              <w:rPr>
                <w:b/>
                <w:sz w:val="17"/>
              </w:rPr>
              <w:t>16,818</w:t>
            </w:r>
          </w:p>
        </w:tc>
        <w:tc>
          <w:tcPr>
            <w:tcW w:type="dxa" w:w="1440"/>
            <w:shd w:fill="FFDCE0" w:val="clear"/>
          </w:tcPr>
          <w:p>
            <w:r>
              <w:rPr>
                <w:sz w:val="17"/>
              </w:rPr>
              <w:t>17,729</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15,803</w:t>
            </w:r>
          </w:p>
        </w:tc>
        <w:tc>
          <w:tcPr>
            <w:tcW w:type="dxa" w:w="1440"/>
            <w:shd w:fill="FFDCE0" w:val="clear"/>
          </w:tcPr>
          <w:p>
            <w:r>
              <w:rPr>
                <w:b/>
                <w:sz w:val="17"/>
              </w:rPr>
              <w:t>16,799</w:t>
            </w:r>
          </w:p>
        </w:tc>
        <w:tc>
          <w:tcPr>
            <w:tcW w:type="dxa" w:w="1440"/>
            <w:shd w:fill="FFDCE0" w:val="clear"/>
          </w:tcPr>
          <w:p>
            <w:r>
              <w:rPr>
                <w:sz w:val="17"/>
              </w:rPr>
              <w:t>17,794</w:t>
            </w:r>
          </w:p>
        </w:tc>
        <w:tc>
          <w:tcPr>
            <w:tcW w:type="dxa" w:w="1440"/>
            <w:shd w:fill="FFDCE0" w:val="clear"/>
          </w:tcPr>
          <w:p>
            <w:r>
              <w:rPr>
                <w:b/>
                <w:color w:val="C00000"/>
                <w:sz w:val="17"/>
              </w:rPr>
              <w:t>-2.3%</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15,705</w:t>
            </w:r>
          </w:p>
        </w:tc>
        <w:tc>
          <w:tcPr>
            <w:tcW w:type="dxa" w:w="1440"/>
            <w:shd w:fill="FFDCE0" w:val="clear"/>
          </w:tcPr>
          <w:p>
            <w:r>
              <w:rPr>
                <w:b/>
                <w:sz w:val="17"/>
              </w:rPr>
              <w:t>16,779</w:t>
            </w:r>
          </w:p>
        </w:tc>
        <w:tc>
          <w:tcPr>
            <w:tcW w:type="dxa" w:w="1440"/>
            <w:shd w:fill="FFDCE0" w:val="clear"/>
          </w:tcPr>
          <w:p>
            <w:r>
              <w:rPr>
                <w:sz w:val="17"/>
              </w:rPr>
              <w:t>17,853</w:t>
            </w:r>
          </w:p>
        </w:tc>
        <w:tc>
          <w:tcPr>
            <w:tcW w:type="dxa" w:w="1440"/>
            <w:shd w:fill="FFDCE0" w:val="clear"/>
          </w:tcPr>
          <w:p>
            <w:r>
              <w:rPr>
                <w:b/>
                <w:color w:val="C00000"/>
                <w:sz w:val="17"/>
              </w:rPr>
              <w:t>-2.4%</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15,612</w:t>
            </w:r>
          </w:p>
        </w:tc>
        <w:tc>
          <w:tcPr>
            <w:tcW w:type="dxa" w:w="1440"/>
            <w:shd w:fill="FFDCE0" w:val="clear"/>
          </w:tcPr>
          <w:p>
            <w:r>
              <w:rPr>
                <w:b/>
                <w:sz w:val="17"/>
              </w:rPr>
              <w:t>16,760</w:t>
            </w:r>
          </w:p>
        </w:tc>
        <w:tc>
          <w:tcPr>
            <w:tcW w:type="dxa" w:w="1440"/>
            <w:shd w:fill="FFDCE0" w:val="clear"/>
          </w:tcPr>
          <w:p>
            <w:r>
              <w:rPr>
                <w:sz w:val="17"/>
              </w:rPr>
              <w:t>17,907</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15,525</w:t>
            </w:r>
          </w:p>
        </w:tc>
        <w:tc>
          <w:tcPr>
            <w:tcW w:type="dxa" w:w="1440"/>
            <w:shd w:fill="FFDCE0" w:val="clear"/>
          </w:tcPr>
          <w:p>
            <w:r>
              <w:rPr>
                <w:b/>
                <w:sz w:val="17"/>
              </w:rPr>
              <w:t>16,740</w:t>
            </w:r>
          </w:p>
        </w:tc>
        <w:tc>
          <w:tcPr>
            <w:tcW w:type="dxa" w:w="1440"/>
            <w:shd w:fill="FFDCE0" w:val="clear"/>
          </w:tcPr>
          <w:p>
            <w:r>
              <w:rPr>
                <w:sz w:val="17"/>
              </w:rPr>
              <w:t>17,956</w:t>
            </w:r>
          </w:p>
        </w:tc>
        <w:tc>
          <w:tcPr>
            <w:tcW w:type="dxa" w:w="1440"/>
            <w:shd w:fill="FFDCE0" w:val="clear"/>
          </w:tcPr>
          <w:p>
            <w:r>
              <w:rPr>
                <w:b/>
                <w:color w:val="C00000"/>
                <w:sz w:val="17"/>
              </w:rPr>
              <w:t>-2.7%</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15,441</w:t>
            </w:r>
          </w:p>
        </w:tc>
        <w:tc>
          <w:tcPr>
            <w:tcW w:type="dxa" w:w="1440"/>
            <w:shd w:fill="FFDCE0" w:val="clear"/>
          </w:tcPr>
          <w:p>
            <w:r>
              <w:rPr>
                <w:b/>
                <w:sz w:val="17"/>
              </w:rPr>
              <w:t>16,721</w:t>
            </w:r>
          </w:p>
        </w:tc>
        <w:tc>
          <w:tcPr>
            <w:tcW w:type="dxa" w:w="1440"/>
            <w:shd w:fill="FFDCE0" w:val="clear"/>
          </w:tcPr>
          <w:p>
            <w:r>
              <w:rPr>
                <w:sz w:val="17"/>
              </w:rPr>
              <w:t>18,001</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02 Septembre 2026**</w:t>
        <w:br/>
        <w:t>**Marché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946,87 milliards FCFA, Ecobank Côte d'Ivoire (ECOC) se positionne comme l'une des valeurs les plus lourdes et les plus liquides de la BRVM, représentant un pilier du secteur bancaire de l'UEMOA. Le BPA de 1 153 FCFA indique une solide capacité bénéficiaire par action. Le PER de 14,9x se situe au-dessus de la moyenne historique de la place (~8-12x), signifiant que le marché valorise déjà une prime de croissance et de qualité sur le titre. Cette prime est confirmée par le P/B de 4,33x, qui reflète la forte création de valeur de la banque, les actifs comptables étant largement inférieurs à la valeur de marché. Enfin, l'EV/EBITDA de 14,5x, bien que dans la fourchette haute (10-15x), témoigne d'une valorisation exigeante mais cohérente avec la rentabilité opérationnelle élevée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totale de +4,24%, avec une dynamique récente positive (+1,18% sur la dernière séance), portant le cours à 17 200 FCFA. Le titre a évolué dans un range de trading relativement étroit de 1 750 FCFA, entre un plus bas de 15 520 FCFA et un plus haut de 17 270 FCFA, démontrant une stabilité remarquable. La moyenne (16 349 FCFA) et la médiane (16 300 FCFA) étant très proches, la distribution des prix est symétrique, ce que confirme le skewness de 0.215. L'écart-type de 387 FCFA (CV=2,4%) indique une dispersion très faible autour de la moyenne, et le kurtosis de -0.388 (mésokurtique) suggère l'absence de mouvements extrêmes ou de "pics" de volatilité. La volatilité annualisée de 28,2% classe le titre dans la catégorie "modérée à élevée", mais la tendance de fond sur la période reste clairement haussière, soutenue par des fondamentaux solides.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(17 200 FCFA) se positionne nettement au-dessus de la MM20 (16 478,5 FCFA) et de la MM50 (16 430,2 FCFA). Cette configuration haussière, où les moyennes courtes sont au-dessus des moyennes longues, confirme une tendance positive solide. La décision d'**Achat** est justifiée par cette dynamique, le prix évoluant dans la partie supérieure de son canal.</w:t>
      </w:r>
    </w:p>
    <w:p>
      <w:pPr>
        <w:spacing w:after="120" w:line="276" w:lineRule="auto"/>
      </w:pPr>
      <w:r>
        <w:t>**Bandes de Bollinger :** Le prix à 17 200 FCFA se situe très près de la borne supérieure (17 304,92 FCFA), indiquant une pression acheteuse soutenue. L'écart entre les bornes (1 652,84 FCFA) est relativement serré, suggérant une volatilité modérée. La décision **Neutre** est cohérente : le titre n'est pas en situation de "surachat" extrême, mais sa proximité avec la borne supérieure appelle à une certaine prudence pour un nouvel achat à ces niveaux.</w:t>
      </w:r>
    </w:p>
    <w:p>
      <w:pPr>
        <w:spacing w:after="120" w:line="276" w:lineRule="auto"/>
      </w:pPr>
      <w:r>
        <w:t>**MACD :** Le MACD (189,268) est nettement supérieur à son signal (118,498), et les deux sont positifs. Cette configuration est un signal classique de momentum haussier. La divergence positive et croissante indique que la dynamique d'achat s'accélère, justifiant pleinement la décision d'**Achat**.</w:t>
      </w:r>
    </w:p>
    <w:p>
      <w:pPr>
        <w:spacing w:after="120" w:line="276" w:lineRule="auto"/>
      </w:pPr>
      <w:r>
        <w:t>**RSI :** Avec une valeur de 69,868, le RSI est en territoire légèrement suracheté (au-dessus de 70). Cela signifie que le titre a fortement monté récemment et qu'un repli technique ou une consolidation est possible à court terme. La décision **Neutre** est prudente, car le RSI n'a pas encore franchi le seuil critique de 70, mais il s'en approche dangereusement.</w:t>
      </w:r>
    </w:p>
    <w:p>
      <w:pPr>
        <w:spacing w:after="120" w:line="276" w:lineRule="auto"/>
      </w:pPr>
      <w:r>
        <w:t>**Stochastique :** Le %K est à 100,0 et le %D à 85,876, tous deux en zone de surachat extrême. Le %K étant au plus haut, cela signale que le prix de clôture est au plus haut de la période. La décision de **Vente** est un signal d'alerte fort indiquant une probabilité élevée de correction ou de consolidation à très court terme.</w:t>
      </w:r>
    </w:p>
    <w:p>
      <w:pPr>
        <w:spacing w:after="120" w:line="276" w:lineRule="auto"/>
      </w:pPr>
      <w:r>
        <w:t>**Conclusion technique :** Les indicateurs de tendance (MM, MACD) sont résolument haussiers, tandis que les oscillateurs de momentum (RSI, Stochastique) hurlent au surachat. Cette divergence classique suggère que la tendance de fond reste positive, mais qu'un essoufflement technique est probable dans les prochaines séances. Un repli vers la zone des 16 800-17 000 FCFA serait sain et offrirait un meilleur point d'entrée.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2025 confirment la puissance de la machine Ecobank CI. Le Produit Net Bancaire (PNB) s'établit à 132,7 milliards FCFA, en croissance de +8,5%, générant un résultat net de 63,48 milliards FCFA. Cette performance exceptionnelle se traduit par un ROE de 29,04% et un ROA de 3,09%, des niveaux d'excellence pour le secteur. Le coefficient d'exploitation de 42,9% démontre une maîtrise des coûts remarquable. La banque affiche une transformation saine avec 1 050,8 Mds FCFA de crédits à la clientèle financés par 1 626,2 Mds FCFA de dépôts, et un coût du risque maîtrisé à 1,36%. Les rapports trimestriels de 2025 confirment cette trajectoire : le T3 2025 (publié en 2025) montre un PNB de 96,4 Mds FCFA (+11,3%) et un résultat net de 44,4 Mds FCFA (+15,4%). Le rapport annuel 2024 (publié en 2025) indiquait déjà un PNB de 122,3 Mds FCFA et un résultat net de 57,5 Mds FCFA. Enfin, le rapport du T1 2026 (publié en 2026) révèle un PNB de 30,8 Mds FCFA (+3,7%) et un résultat net de 13,0 Mds FCFA (-1,6%), affecté par un coût du risque en hausse. Sur la base de ce T1 2026, on estime que l'exercice 2026 pourrait voir un PNB autour de 135-140 Mds FCFA, avec un résultat net potentiellement en légère baisse par rapport à 2025, aux alentours de 60-62 Mds FCFA, si la prudence sur le risque de crédit se maintient. La solidité financière est indiscutable, avec des fondamentaux parmi les meilleurs de la place.</w:t>
      </w:r>
    </w:p>
    <w:p>
      <w:pPr>
        <w:spacing w:after="120" w:line="276" w:lineRule="auto"/>
      </w:pPr>
      <w:r>
        <w:t>---</w:t>
      </w:r>
    </w:p>
    <w:p>
      <w:pPr>
        <w:spacing w:after="120" w:line="276" w:lineRule="auto"/>
      </w:pPr>
      <w:r>
        <w:t>### PARTIE 4 : CONCLUSION D'INVESTISSEMENT</w:t>
      </w:r>
    </w:p>
    <w:p>
      <w:pPr>
        <w:spacing w:after="120" w:line="276" w:lineRule="auto"/>
      </w:pPr>
      <w:r>
        <w:t>La valorisation d'ECOC (PER 14,9x, P/B 4,33x) est exigeante mais justifiée par une rentabilité hors normes (ROE &gt;29%), reflétant une prime de qualité. Le comportement du cours est sain, avec une tendance haussière stable et une faible dispersion, bien que la volatilité annualisée de 28,2% impose une gestion du risque rigoureuse. Les signaux techniques sont en divergence : la tendance de fond (MM, MACD) est haussière, mais les oscillateurs (RSI, Stochastique) signalent un surachat à court terme, annonçant probablement une consolidation. Les fondamentaux, appuyés par les données 2025 et les rapports trimestriels, sont excellents, avec une croissance du PNB et une maîtrise du coût du risque, même si le T1 2026 montre un léger ralentissement. Les prédictions IA (baisse progressive vers 16 818 FCFA sur 10 jours) confirment la probabilité d'un repli technique. En synthèse, la convergence entre la solidité fondamentale et la tendance de fond plaide pour une stratégie d'**ACHAT**, mais sur repli. La recommandation est donc un **ACHAT** avec un niveau de confiance **Moyen** et un risque global **Moyen**. L'horizon d'investissement optimal est le **moyen terme (3-12 mois)**, en capitalisant sur les excellents fondamentaux, tout en attendant une correction technique pour optimiser le point d'entrée.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1,470,727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+94.12%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37.94% (Élevée) — μ=46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β=2.7298 (Très agressif) — Cov=0.000098, Var(idx)=0.000036, ρ=0.395,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1,470,727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σ_j=4.13%/j (Modérée) — Vol. annualisée≈65.6%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57</w:t>
            </w:r>
          </w:p>
        </w:tc>
        <w:tc>
          <w:tcPr>
            <w:tcW w:type="dxa" w:w="1440"/>
            <w:shd w:fill="FFDCE0" w:val="clear"/>
          </w:tcPr>
          <w:p>
            <w:r>
              <w:rPr>
                <w:b/>
                <w:sz w:val="17"/>
              </w:rPr>
              <w:t>61</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51</w:t>
            </w:r>
          </w:p>
        </w:tc>
        <w:tc>
          <w:tcPr>
            <w:tcW w:type="dxa" w:w="1440"/>
            <w:shd w:fill="FFDCE0" w:val="clear"/>
          </w:tcPr>
          <w:p>
            <w:r>
              <w:rPr>
                <w:b/>
                <w:sz w:val="17"/>
              </w:rPr>
              <w:t>56</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46</w:t>
            </w:r>
          </w:p>
        </w:tc>
        <w:tc>
          <w:tcPr>
            <w:tcW w:type="dxa" w:w="1440"/>
            <w:shd w:fill="FFDCE0" w:val="clear"/>
          </w:tcPr>
          <w:p>
            <w:r>
              <w:rPr>
                <w:b/>
                <w:sz w:val="17"/>
              </w:rPr>
              <w:t>52</w:t>
            </w:r>
          </w:p>
        </w:tc>
        <w:tc>
          <w:tcPr>
            <w:tcW w:type="dxa" w:w="1440"/>
            <w:shd w:fill="FFDCE0" w:val="clear"/>
          </w:tcPr>
          <w:p>
            <w:r>
              <w:rPr>
                <w:sz w:val="17"/>
              </w:rPr>
              <w:t>58</w:t>
            </w:r>
          </w:p>
        </w:tc>
        <w:tc>
          <w:tcPr>
            <w:tcW w:type="dxa" w:w="1440"/>
            <w:shd w:fill="FFDCE0" w:val="clear"/>
          </w:tcPr>
          <w:p>
            <w:r>
              <w:rPr>
                <w:b/>
                <w:color w:val="C00000"/>
                <w:sz w:val="17"/>
              </w:rPr>
              <w:t>-20.8%</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42</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38</w:t>
            </w:r>
          </w:p>
        </w:tc>
        <w:tc>
          <w:tcPr>
            <w:tcW w:type="dxa" w:w="1440"/>
            <w:shd w:fill="FFDCE0" w:val="clear"/>
          </w:tcPr>
          <w:p>
            <w:r>
              <w:rPr>
                <w:b/>
                <w:sz w:val="17"/>
              </w:rPr>
              <w:t>45</w:t>
            </w:r>
          </w:p>
        </w:tc>
        <w:tc>
          <w:tcPr>
            <w:tcW w:type="dxa" w:w="1440"/>
            <w:shd w:fill="FFDCE0" w:val="clear"/>
          </w:tcPr>
          <w:p>
            <w:r>
              <w:rPr>
                <w:sz w:val="17"/>
              </w:rPr>
              <w:t>51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35</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29</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26</w:t>
            </w:r>
          </w:p>
        </w:tc>
        <w:tc>
          <w:tcPr>
            <w:tcW w:type="dxa" w:w="1440"/>
            <w:shd w:fill="FFDCE0" w:val="clear"/>
          </w:tcPr>
          <w:p>
            <w:r>
              <w:rPr>
                <w:b/>
                <w:sz w:val="17"/>
              </w:rPr>
              <w:t>33</w:t>
            </w:r>
          </w:p>
        </w:tc>
        <w:tc>
          <w:tcPr>
            <w:tcW w:type="dxa" w:w="1440"/>
            <w:shd w:fill="FFDCE0" w:val="clear"/>
          </w:tcPr>
          <w:p>
            <w:r>
              <w:rPr>
                <w:sz w:val="17"/>
              </w:rPr>
              <w:t>39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24</w:t>
            </w:r>
          </w:p>
        </w:tc>
        <w:tc>
          <w:tcPr>
            <w:tcW w:type="dxa" w:w="1440"/>
            <w:shd w:fill="FFDCE0" w:val="clear"/>
          </w:tcPr>
          <w:p>
            <w:r>
              <w:rPr>
                <w:b/>
                <w:sz w:val="17"/>
              </w:rPr>
              <w:t>30</w:t>
            </w:r>
          </w:p>
        </w:tc>
        <w:tc>
          <w:tcPr>
            <w:tcW w:type="dxa" w:w="1440"/>
            <w:shd w:fill="FFDCE0" w:val="clear"/>
          </w:tcPr>
          <w:p>
            <w:r>
              <w:rPr>
                <w:sz w:val="17"/>
              </w:rPr>
              <w:t>37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1 193,55 milliards FCFA, ce qui en fait l'une des plus importantes valeurs de la BRVM, reflétant le statut de banque panafricaine de premier plan du groupe. Avec un BPA de 19 FCFA, le titre se négocie à un PER de 3,5x, très inférieur à la moyenne historique de la BRVM (8-12x), ce qui suggère une sous-évaluation significative du titre par rapport à ses bénéfices. Le P/B de 0,75x indique que le marché valorise l'action en dessous de sa valeur comptable, une situation qui pourrait représenter une opportunité pour les investisseurs value. L'EV/EBITDA de 5,0x confirme cette perception de valorisation attractive, la valeur d'entreprise étant faible par rapport à la capacité bénéficiaire opérationnelle. Ces ratios, pris ensemble, suggèrent que le marché n'intègre pas pleinement la qualité des fondamentaux d'ETIT.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connu une appréciation spectaculaire de +94,12%, passant d'un plus bas de 26 FCFA à un plus haut de 78 FCFA, avant de clôturer à 66 FCFA, soit une baisse de -2,94% lors de la dernière séance. La moyenne du cours sur la période est de 46 FCFA, tandis que la médiane s'établit à 35 FCFA, cet écart significatif indiquant une distribution asymétrique avec une concentration des cours vers les niveaux bas avant une accélération récente. L'écart-type de 18 FCFA (CV de 38,1%) révèle une dispersion élevée des prix autour de la moyenne, témoignant d'une forte instabilité. Le kurtosis négatif de -1,663 (distribution platykurtique) indique une faible concentration des valeurs autour de la moyenne, avec moins de risques de mouvements extrêmes que la normale. Le skewness positif de 0,379 suggère une queue de distribution étirée vers la droite, avec des épisodes de fortes hausses. La volatilité annualisée de 65,6% classe le titre comme extrêmement volatil, bien au-dessus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66 FCFA se positionne très légèrement sous la MM20 (66,35 FCFA) mais nettement au-dessus de la MM50 (61,72 FCFA). Cette configuration haussière, où le cours évolue au-dessus de la moyenne à moyen terme, confirme la tendance positive initiée ces derniers mois. La décision d'achat se justifie par la dynamique de moyen terme qui reste favorable, malgré un léger essoufflement à court terme.</w:t>
      </w:r>
    </w:p>
    <w:p>
      <w:pPr>
        <w:spacing w:after="120" w:line="276" w:lineRule="auto"/>
      </w:pPr>
      <w:r>
        <w:t>**Bandes de Bollinger** : Le prix de 66 FCFA se situe dans la partie médiane du canal formé par les bornes supérieure (69,272 FCFA) et inférieure (63,428 FCFA). Cette position neutre indique une volatilité modérée après la forte expansion des bandes consécutive à la hausse récente. Le resserrement progressif des bandes suggère une phase de consolidation qui pourrait précéder un nouveau mouvement directionnel.</w:t>
      </w:r>
    </w:p>
    <w:p>
      <w:pPr>
        <w:spacing w:after="120" w:line="276" w:lineRule="auto"/>
      </w:pPr>
      <w:r>
        <w:t>**MACD** : La valeur du MACD (1,126) est inférieure à son signal (1,656), formant une divergence baissière à court terme. Bien que les deux indicateurs restent en territoire positif, ce croisement négatif signale un affaiblissement du momentum haussier. La décision de vente reflète ce ralentissement de la dynamique, qui pourrait précéder une correction technique après la forte progression.</w:t>
      </w:r>
    </w:p>
    <w:p>
      <w:pPr>
        <w:spacing w:after="120" w:line="276" w:lineRule="auto"/>
      </w:pPr>
      <w:r>
        <w:t>**RSI** : À 52,174, le RSI se positionne en zone neutre, indiquant un équilibre entre les forces acheteuses et vendeuses. Cette valeur suggère que le titre n'est ni suracheté (au-dessus de 70) ni survendu (en dessous de 30), laissant une marge de manœuvre dans les deux directions. La décision neutre reflète cette absence de signal directionnel fort.</w:t>
      </w:r>
    </w:p>
    <w:p>
      <w:pPr>
        <w:spacing w:after="120" w:line="276" w:lineRule="auto"/>
      </w:pPr>
      <w:r>
        <w:t>**Stochastique** : Le %K (33,333) est inférieur au %D (61,111), formant une configuration baissière à court terme. Cette divergence indique que la dynamique haussière s'essouffle, les vendeurs prenant progressivement le contrôle. La décision neutre suggère toutefois que le mouvement correctif pourrait être limité, le %K approchant des niveaux de survente.</w:t>
      </w:r>
    </w:p>
    <w:p>
      <w:pPr>
        <w:spacing w:after="120" w:line="276" w:lineRule="auto"/>
      </w:pPr>
      <w:r>
        <w:t>**Conclusion technique** : La convergence des indicateurs (MM haussières, mais MACD et Stochastique baissiers, RSI et Bollinger neutres) dessine un tableau contrasté. La tendance de fond reste positive, mais les signaux de court terme indiquent une phase de consolidation ou de correction technique après la forte hausse. Les moyennes mobiles restent le signal le plus fiable, suggérant que la tendance haussière pourrait reprendre après cette pause nécessaire.</w:t>
      </w:r>
    </w:p>
    <w:p>
      <w:pPr>
        <w:spacing w:after="120" w:line="276" w:lineRule="auto" w:before="240"/>
      </w:pPr>
      <w:r>
        <w:rPr>
          <w:b/>
          <w:color w:val="003366"/>
          <w:sz w:val="24"/>
        </w:rPr>
        <w:t>**PARTIE 3 : ANALYSE FONDAMENTALE (SECTION CRITIQUE)**</w:t>
      </w:r>
    </w:p>
    <w:p>
      <w:pPr>
        <w:spacing w:after="120" w:line="276" w:lineRule="auto"/>
      </w:pPr>
      <w:r>
        <w:t>En 2025, les données structurées font état d'un Produit Net Bancaire de 1 424,261 milliards FCFA, en croissance de 12,45%, avec un résultat net de 345,523 milliards FCFA, soit une marge nette de 24,26%. Le ROE s'établit à 21,62%, nettement au-dessus du seuil d'excellence de 15%, tandis que le ROA atteint 1,80%. Le coefficient d'exploitation de 27,35% témoigne d'une efficacité opérationnelle remarquable, très en dessous du seuil de 60% considéré comme satisfaisant pour une banque. Les dépôts clientèle (14 120,139 milliards FCFA) représentent plus du double des créances sur la clientèle (6 570,385 milliards FCFA), indiquant une transformation saine avec un ratio dépôts/crédits de 46,5%. Le coût du risque de 18,97% reste élevé, signalant une dégradation de la qualité du portefeuille de crédits. Les rapports semestriels 2026 (DEEPSEEK, juillet 2026) confirment cette dynamique avec un PNB en hausse de 15% à 721,318 milliards FCFA et un résultat net consolidé de 166,682 milliards FCFA, en progression de 6%. Le rapport du 3e trimestre 2025 indique une accélération avec un PNB de 1 029,2 milliards FCFA (+15%) et un résultat net de 267 milliards FCFA (+30%). Le rapport annuel 2024 (MISTRAL, mars 2026) montrait déjà une amélioration avec un résultat net de 299,7 milliards FCFA (+21%). Sur la base du T1 2026 (PNB +23%), on estime que l'exercice 2026 pourrait dépasser les performances de 2025, avec un PNB annuel potentiel de 1 600 milliards FCFA et un résultat net de 380 milliards FCFA, sous réserve de la maîtrise du coût du risque qui a bondi de 40% au S1 2026.</w:t>
      </w:r>
    </w:p>
    <w:p>
      <w:pPr>
        <w:spacing w:after="120" w:line="276" w:lineRule="auto" w:before="240"/>
      </w:pPr>
      <w:r>
        <w:rPr>
          <w:b/>
          <w:color w:val="003366"/>
          <w:sz w:val="24"/>
        </w:rPr>
        <w:t>**PARTIE 4 : CONCLUSION D'INVESTISSEMENT**</w:t>
      </w:r>
    </w:p>
    <w:p>
      <w:pPr>
        <w:spacing w:after="120" w:line="276" w:lineRule="auto"/>
      </w:pPr>
      <w:r>
        <w:t>La synthèse des analyses révèle une configuration contrastée mais globalement positive pour ETIT. La valorisation (PER de 3,5x, P/B de 0,75x, EV/EBITDA de 5,0x) indique une nette sous-évaluation du titre par rapport à ses fondamentaux, offrant une marge de sécurité importante. Le comportement du cours sur 100 jours (+94,12%) témoigne d'un momentum haussier puissant, bien que la volatilité extrême (65,6%) et les statistiques descriptives (distribution platykurtique avec skewness positif) suggèrent des fluctuations importantes à prévoir. Les signaux techniques sont mitigés : les moyennes mobiles restent haussières, mais le MACD et le Stochastique indiquent une consolidation à court terme. Les fondamentaux sont solides avec une croissance soutenue du PNB (+12,45% en 2025, +15% au S1 2026), une rentabilité élevée (ROE de 21,62%) et une efficacité opérationnelle remarquable (coefficient d'exploitation de 27,35%). Les prédictions IA anticipent une correction significative vers 45-61 FCFA sur les 10 prochains jours, ce qui contredit la tendance haussière récente mais pourrait représenter une opportunité d'achat à meilleur prix. **Recommandation : ACHAT** avec un niveau de confiance **Moyen**, un risque global **Élevé** (volatilité et coût du risque en hausse), et un horizon d'investissement optimal de **moyen terme (3-12 mois)** pour bénéficier de la convergence entre la sous-évaluation fondamentale et la reprise technique attendue après la consolidation.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4,001 titres</w:t>
            </w:r>
          </w:p>
        </w:tc>
        <w:tc>
          <w:tcPr>
            <w:tcW w:type="dxa" w:w="2268"/>
            <w:shd w:fill="FFF2CC" w:val="clear"/>
          </w:tcPr>
          <w:p>
            <w:r>
              <w:rPr>
                <w:b/>
                <w:color w:val="503200"/>
                <w:sz w:val="16"/>
              </w:rPr>
              <w:t xml:space="preserve">Cours actuel : </w:t>
            </w:r>
            <w:r>
              <w:rPr>
                <w:color w:val="000000"/>
                <w:sz w:val="17"/>
              </w:rPr>
              <w:t>2,180 FCFA</w:t>
            </w:r>
          </w:p>
          <w:p>
            <w:r>
              <w:rPr>
                <w:b/>
                <w:color w:val="503200"/>
                <w:sz w:val="16"/>
              </w:rPr>
              <w:t xml:space="preserve">Var. 100 jours : </w:t>
            </w:r>
            <w:r>
              <w:rPr>
                <w:b/>
                <w:color w:val="B40000"/>
                <w:sz w:val="17"/>
              </w:rPr>
              <w:t>-8.21%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μ=2,148 FCFA, σ=132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β=0.7269 (Défensif) — Cov=0.000026, Var(idx)=0.000036, ρ=0.197,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2,108</w:t>
            </w:r>
          </w:p>
        </w:tc>
        <w:tc>
          <w:tcPr>
            <w:tcW w:type="dxa" w:w="1440"/>
            <w:shd w:fill="FAFAFA" w:val="clear"/>
          </w:tcPr>
          <w:p>
            <w:r>
              <w:rPr>
                <w:b/>
                <w:sz w:val="17"/>
              </w:rPr>
              <w:t>2,183</w:t>
            </w:r>
          </w:p>
        </w:tc>
        <w:tc>
          <w:tcPr>
            <w:tcW w:type="dxa" w:w="1440"/>
            <w:shd w:fill="FAFAFA" w:val="clear"/>
          </w:tcPr>
          <w:p>
            <w:r>
              <w:rPr>
                <w:sz w:val="17"/>
              </w:rPr>
              <w:t>2,258</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2026-09-04</w:t>
            </w:r>
          </w:p>
        </w:tc>
        <w:tc>
          <w:tcPr>
            <w:tcW w:type="dxa" w:w="1440"/>
            <w:shd w:fill="FAFAFA" w:val="clear"/>
          </w:tcPr>
          <w:p>
            <w:r>
              <w:rPr>
                <w:sz w:val="17"/>
              </w:rPr>
              <w:t>2,088</w:t>
            </w:r>
          </w:p>
        </w:tc>
        <w:tc>
          <w:tcPr>
            <w:tcW w:type="dxa" w:w="1440"/>
            <w:shd w:fill="FAFAFA" w:val="clear"/>
          </w:tcPr>
          <w:p>
            <w:r>
              <w:rPr>
                <w:b/>
                <w:sz w:val="17"/>
              </w:rPr>
              <w:t>2,195</w:t>
            </w:r>
          </w:p>
        </w:tc>
        <w:tc>
          <w:tcPr>
            <w:tcW w:type="dxa" w:w="1440"/>
            <w:shd w:fill="FAFAFA" w:val="clear"/>
          </w:tcPr>
          <w:p>
            <w:r>
              <w:rPr>
                <w:sz w:val="17"/>
              </w:rPr>
              <w:t>2,302</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2026-09-07</w:t>
            </w:r>
          </w:p>
        </w:tc>
        <w:tc>
          <w:tcPr>
            <w:tcW w:type="dxa" w:w="1440"/>
            <w:shd w:fill="FAFAFA" w:val="clear"/>
          </w:tcPr>
          <w:p>
            <w:r>
              <w:rPr>
                <w:sz w:val="17"/>
              </w:rPr>
              <w:t>2,073</w:t>
            </w:r>
          </w:p>
        </w:tc>
        <w:tc>
          <w:tcPr>
            <w:tcW w:type="dxa" w:w="1440"/>
            <w:shd w:fill="FAFAFA" w:val="clear"/>
          </w:tcPr>
          <w:p>
            <w:r>
              <w:rPr>
                <w:b/>
                <w:sz w:val="17"/>
              </w:rPr>
              <w:t>2,204</w:t>
            </w:r>
          </w:p>
        </w:tc>
        <w:tc>
          <w:tcPr>
            <w:tcW w:type="dxa" w:w="1440"/>
            <w:shd w:fill="FAFAFA" w:val="clear"/>
          </w:tcPr>
          <w:p>
            <w:r>
              <w:rPr>
                <w:sz w:val="17"/>
              </w:rPr>
              <w:t>2,335</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2026-09-08</w:t>
            </w:r>
          </w:p>
        </w:tc>
        <w:tc>
          <w:tcPr>
            <w:tcW w:type="dxa" w:w="1440"/>
            <w:shd w:fill="FAFAFA" w:val="clear"/>
          </w:tcPr>
          <w:p>
            <w:r>
              <w:rPr>
                <w:sz w:val="17"/>
              </w:rPr>
              <w:t>2,061</w:t>
            </w:r>
          </w:p>
        </w:tc>
        <w:tc>
          <w:tcPr>
            <w:tcW w:type="dxa" w:w="1440"/>
            <w:shd w:fill="FAFAFA" w:val="clear"/>
          </w:tcPr>
          <w:p>
            <w:r>
              <w:rPr>
                <w:b/>
                <w:sz w:val="17"/>
              </w:rPr>
              <w:t>2,213</w:t>
            </w:r>
          </w:p>
        </w:tc>
        <w:tc>
          <w:tcPr>
            <w:tcW w:type="dxa" w:w="1440"/>
            <w:shd w:fill="FAFAFA" w:val="clear"/>
          </w:tcPr>
          <w:p>
            <w:r>
              <w:rPr>
                <w:sz w:val="17"/>
              </w:rPr>
              <w:t>2,365</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2026-09-09</w:t>
            </w:r>
          </w:p>
        </w:tc>
        <w:tc>
          <w:tcPr>
            <w:tcW w:type="dxa" w:w="1440"/>
            <w:shd w:fill="FAFAFA" w:val="clear"/>
          </w:tcPr>
          <w:p>
            <w:r>
              <w:rPr>
                <w:sz w:val="17"/>
              </w:rPr>
              <w:t>2,051</w:t>
            </w:r>
          </w:p>
        </w:tc>
        <w:tc>
          <w:tcPr>
            <w:tcW w:type="dxa" w:w="1440"/>
            <w:shd w:fill="FAFAFA" w:val="clear"/>
          </w:tcPr>
          <w:p>
            <w:r>
              <w:rPr>
                <w:b/>
                <w:sz w:val="17"/>
              </w:rPr>
              <w:t>2,222</w:t>
            </w:r>
          </w:p>
        </w:tc>
        <w:tc>
          <w:tcPr>
            <w:tcW w:type="dxa" w:w="1440"/>
            <w:shd w:fill="FAFAFA" w:val="clear"/>
          </w:tcPr>
          <w:p>
            <w:r>
              <w:rPr>
                <w:sz w:val="17"/>
              </w:rPr>
              <w:t>2,393</w:t>
            </w:r>
          </w:p>
        </w:tc>
        <w:tc>
          <w:tcPr>
            <w:tcW w:type="dxa" w:w="1440"/>
            <w:shd w:fill="FAFAFA" w:val="clear"/>
          </w:tcPr>
          <w:p>
            <w:r>
              <w:rPr>
                <w:b/>
                <w:color w:val="008000"/>
                <w:sz w:val="17"/>
              </w:rPr>
              <w:t>+1.9%</w:t>
            </w:r>
          </w:p>
        </w:tc>
      </w:tr>
      <w:tr>
        <w:tc>
          <w:tcPr>
            <w:tcW w:type="dxa" w:w="1440"/>
            <w:shd w:fill="C6EFCE" w:val="clear"/>
          </w:tcPr>
          <w:p>
            <w:r>
              <w:rPr>
                <w:sz w:val="17"/>
              </w:rPr>
              <w:t>J+6  ⭐</w:t>
            </w:r>
          </w:p>
        </w:tc>
        <w:tc>
          <w:tcPr>
            <w:tcW w:type="dxa" w:w="1440"/>
            <w:shd w:fill="C6EFCE" w:val="clear"/>
          </w:tcPr>
          <w:p>
            <w:r>
              <w:rPr>
                <w:sz w:val="17"/>
              </w:rPr>
              <w:t>2026-09-10</w:t>
            </w:r>
          </w:p>
        </w:tc>
        <w:tc>
          <w:tcPr>
            <w:tcW w:type="dxa" w:w="1440"/>
            <w:shd w:fill="C6EFCE" w:val="clear"/>
          </w:tcPr>
          <w:p>
            <w:r>
              <w:rPr>
                <w:sz w:val="17"/>
              </w:rPr>
              <w:t>2,044</w:t>
            </w:r>
          </w:p>
        </w:tc>
        <w:tc>
          <w:tcPr>
            <w:tcW w:type="dxa" w:w="1440"/>
            <w:shd w:fill="C6EFCE" w:val="clear"/>
          </w:tcPr>
          <w:p>
            <w:r>
              <w:rPr>
                <w:b/>
                <w:sz w:val="17"/>
              </w:rPr>
              <w:t>2,232</w:t>
            </w:r>
          </w:p>
        </w:tc>
        <w:tc>
          <w:tcPr>
            <w:tcW w:type="dxa" w:w="1440"/>
            <w:shd w:fill="C6EFCE" w:val="clear"/>
          </w:tcPr>
          <w:p>
            <w:r>
              <w:rPr>
                <w:sz w:val="17"/>
              </w:rPr>
              <w:t>2,420</w:t>
            </w:r>
          </w:p>
        </w:tc>
        <w:tc>
          <w:tcPr>
            <w:tcW w:type="dxa" w:w="1440"/>
            <w:shd w:fill="C6EFCE" w:val="clear"/>
          </w:tcPr>
          <w:p>
            <w:r>
              <w:rPr>
                <w:b/>
                <w:color w:val="008000"/>
                <w:sz w:val="17"/>
              </w:rPr>
              <w:t>+2.4%</w:t>
            </w:r>
          </w:p>
        </w:tc>
      </w:tr>
      <w:tr>
        <w:tc>
          <w:tcPr>
            <w:tcW w:type="dxa" w:w="1440"/>
            <w:shd w:fill="C6EFCE" w:val="clear"/>
          </w:tcPr>
          <w:p>
            <w:r>
              <w:rPr>
                <w:sz w:val="17"/>
              </w:rPr>
              <w:t>J+7  ⭐</w:t>
            </w:r>
          </w:p>
        </w:tc>
        <w:tc>
          <w:tcPr>
            <w:tcW w:type="dxa" w:w="1440"/>
            <w:shd w:fill="C6EFCE" w:val="clear"/>
          </w:tcPr>
          <w:p>
            <w:r>
              <w:rPr>
                <w:sz w:val="17"/>
              </w:rPr>
              <w:t>2026-09-11</w:t>
            </w:r>
          </w:p>
        </w:tc>
        <w:tc>
          <w:tcPr>
            <w:tcW w:type="dxa" w:w="1440"/>
            <w:shd w:fill="C6EFCE" w:val="clear"/>
          </w:tcPr>
          <w:p>
            <w:r>
              <w:rPr>
                <w:sz w:val="17"/>
              </w:rPr>
              <w:t>2,037</w:t>
            </w:r>
          </w:p>
        </w:tc>
        <w:tc>
          <w:tcPr>
            <w:tcW w:type="dxa" w:w="1440"/>
            <w:shd w:fill="C6EFCE" w:val="clear"/>
          </w:tcPr>
          <w:p>
            <w:r>
              <w:rPr>
                <w:b/>
                <w:sz w:val="17"/>
              </w:rPr>
              <w:t>2,241</w:t>
            </w:r>
          </w:p>
        </w:tc>
        <w:tc>
          <w:tcPr>
            <w:tcW w:type="dxa" w:w="1440"/>
            <w:shd w:fill="C6EFCE" w:val="clear"/>
          </w:tcPr>
          <w:p>
            <w:r>
              <w:rPr>
                <w:sz w:val="17"/>
              </w:rPr>
              <w:t>2,445</w:t>
            </w:r>
          </w:p>
        </w:tc>
        <w:tc>
          <w:tcPr>
            <w:tcW w:type="dxa" w:w="1440"/>
            <w:shd w:fill="C6EFCE" w:val="clear"/>
          </w:tcPr>
          <w:p>
            <w:r>
              <w:rPr>
                <w:b/>
                <w:color w:val="008000"/>
                <w:sz w:val="17"/>
              </w:rPr>
              <w:t>+2.8%</w:t>
            </w:r>
          </w:p>
        </w:tc>
      </w:tr>
      <w:tr>
        <w:tc>
          <w:tcPr>
            <w:tcW w:type="dxa" w:w="1440"/>
            <w:shd w:fill="C6EFCE" w:val="clear"/>
          </w:tcPr>
          <w:p>
            <w:r>
              <w:rPr>
                <w:sz w:val="17"/>
              </w:rPr>
              <w:t>J+8  ⭐</w:t>
            </w:r>
          </w:p>
        </w:tc>
        <w:tc>
          <w:tcPr>
            <w:tcW w:type="dxa" w:w="1440"/>
            <w:shd w:fill="C6EFCE" w:val="clear"/>
          </w:tcPr>
          <w:p>
            <w:r>
              <w:rPr>
                <w:sz w:val="17"/>
              </w:rPr>
              <w:t>2026-09-14</w:t>
            </w:r>
          </w:p>
        </w:tc>
        <w:tc>
          <w:tcPr>
            <w:tcW w:type="dxa" w:w="1440"/>
            <w:shd w:fill="C6EFCE" w:val="clear"/>
          </w:tcPr>
          <w:p>
            <w:r>
              <w:rPr>
                <w:sz w:val="17"/>
              </w:rPr>
              <w:t>2,032</w:t>
            </w:r>
          </w:p>
        </w:tc>
        <w:tc>
          <w:tcPr>
            <w:tcW w:type="dxa" w:w="1440"/>
            <w:shd w:fill="C6EFCE" w:val="clear"/>
          </w:tcPr>
          <w:p>
            <w:r>
              <w:rPr>
                <w:b/>
                <w:sz w:val="17"/>
              </w:rPr>
              <w:t>2,251</w:t>
            </w:r>
          </w:p>
        </w:tc>
        <w:tc>
          <w:tcPr>
            <w:tcW w:type="dxa" w:w="1440"/>
            <w:shd w:fill="C6EFCE" w:val="clear"/>
          </w:tcPr>
          <w:p>
            <w:r>
              <w:rPr>
                <w:sz w:val="17"/>
              </w:rPr>
              <w:t>2,470</w:t>
            </w:r>
          </w:p>
        </w:tc>
        <w:tc>
          <w:tcPr>
            <w:tcW w:type="dxa" w:w="1440"/>
            <w:shd w:fill="C6EFCE" w:val="clear"/>
          </w:tcPr>
          <w:p>
            <w:r>
              <w:rPr>
                <w:b/>
                <w:color w:val="008000"/>
                <w:sz w:val="17"/>
              </w:rPr>
              <w:t>+3.2%</w:t>
            </w:r>
          </w:p>
        </w:tc>
      </w:tr>
      <w:tr>
        <w:tc>
          <w:tcPr>
            <w:tcW w:type="dxa" w:w="1440"/>
            <w:shd w:fill="C6EFCE" w:val="clear"/>
          </w:tcPr>
          <w:p>
            <w:r>
              <w:rPr>
                <w:sz w:val="17"/>
              </w:rPr>
              <w:t>J+9  ⭐</w:t>
            </w:r>
          </w:p>
        </w:tc>
        <w:tc>
          <w:tcPr>
            <w:tcW w:type="dxa" w:w="1440"/>
            <w:shd w:fill="C6EFCE" w:val="clear"/>
          </w:tcPr>
          <w:p>
            <w:r>
              <w:rPr>
                <w:sz w:val="17"/>
              </w:rPr>
              <w:t>2026-09-15</w:t>
            </w:r>
          </w:p>
        </w:tc>
        <w:tc>
          <w:tcPr>
            <w:tcW w:type="dxa" w:w="1440"/>
            <w:shd w:fill="C6EFCE" w:val="clear"/>
          </w:tcPr>
          <w:p>
            <w:r>
              <w:rPr>
                <w:sz w:val="17"/>
              </w:rPr>
              <w:t>2,027</w:t>
            </w:r>
          </w:p>
        </w:tc>
        <w:tc>
          <w:tcPr>
            <w:tcW w:type="dxa" w:w="1440"/>
            <w:shd w:fill="C6EFCE" w:val="clear"/>
          </w:tcPr>
          <w:p>
            <w:r>
              <w:rPr>
                <w:b/>
                <w:sz w:val="17"/>
              </w:rPr>
              <w:t>2,260</w:t>
            </w:r>
          </w:p>
        </w:tc>
        <w:tc>
          <w:tcPr>
            <w:tcW w:type="dxa" w:w="1440"/>
            <w:shd w:fill="C6EFCE" w:val="clear"/>
          </w:tcPr>
          <w:p>
            <w:r>
              <w:rPr>
                <w:sz w:val="17"/>
              </w:rPr>
              <w:t>2,494</w:t>
            </w:r>
          </w:p>
        </w:tc>
        <w:tc>
          <w:tcPr>
            <w:tcW w:type="dxa" w:w="1440"/>
            <w:shd w:fill="C6EFCE" w:val="clear"/>
          </w:tcPr>
          <w:p>
            <w:r>
              <w:rPr>
                <w:b/>
                <w:color w:val="008000"/>
                <w:sz w:val="17"/>
              </w:rPr>
              <w:t>+3.7%</w:t>
            </w:r>
          </w:p>
        </w:tc>
      </w:tr>
      <w:tr>
        <w:tc>
          <w:tcPr>
            <w:tcW w:type="dxa" w:w="1440"/>
            <w:shd w:fill="C6EFCE" w:val="clear"/>
          </w:tcPr>
          <w:p>
            <w:r>
              <w:rPr>
                <w:sz w:val="17"/>
              </w:rPr>
              <w:t>J+10  ⭐</w:t>
            </w:r>
          </w:p>
        </w:tc>
        <w:tc>
          <w:tcPr>
            <w:tcW w:type="dxa" w:w="1440"/>
            <w:shd w:fill="C6EFCE" w:val="clear"/>
          </w:tcPr>
          <w:p>
            <w:r>
              <w:rPr>
                <w:sz w:val="17"/>
              </w:rPr>
              <w:t>2026-09-16</w:t>
            </w:r>
          </w:p>
        </w:tc>
        <w:tc>
          <w:tcPr>
            <w:tcW w:type="dxa" w:w="1440"/>
            <w:shd w:fill="C6EFCE" w:val="clear"/>
          </w:tcPr>
          <w:p>
            <w:r>
              <w:rPr>
                <w:sz w:val="17"/>
              </w:rPr>
              <w:t>2,023</w:t>
            </w:r>
          </w:p>
        </w:tc>
        <w:tc>
          <w:tcPr>
            <w:tcW w:type="dxa" w:w="1440"/>
            <w:shd w:fill="C6EFCE" w:val="clear"/>
          </w:tcPr>
          <w:p>
            <w:r>
              <w:rPr>
                <w:b/>
                <w:sz w:val="17"/>
              </w:rPr>
              <w:t>2,270</w:t>
            </w:r>
          </w:p>
        </w:tc>
        <w:tc>
          <w:tcPr>
            <w:tcW w:type="dxa" w:w="1440"/>
            <w:shd w:fill="C6EFCE" w:val="clear"/>
          </w:tcPr>
          <w:p>
            <w:r>
              <w:rPr>
                <w:sz w:val="17"/>
              </w:rPr>
              <w:t>2,517</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Absolument. Voici un rapport d'analyse structuré et professionnel pour l'action FTSC (FILTISAC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FILTISAC CI s'établit à 30,75 milliards FCFA, un niveau modeste qui la classe parmi les valeurs de taille moyenne du marché BRVM. Avec un BPA de seulement 33 FCFA, le PER de 66,0x est extrêmement élevé, très au-dessus de la moyenne du marché qui se situe entre 8 et 12x. Les investisseurs paient donc un prix très important pour chaque unité de bénéfice, ce qui traduit une valorisation boursière très exigeante. Le P/B de 1,96x indique que le marché valorise la société à près de deux fois ses capitaux propres, ce qui est plus raisonnable. Enfin, l'EV/EBITDA de 38,4x est également très élevé, signifiant que la valeur totale de l'entreprise (dette incluse) est très chère par rapport à sa capacité opérationnelle brute. Ces ratios suggèrent une nette surévaluation si l'on se base sur les bénéfices actuels, qui sont faibles et en grande partie non récurrents.</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8,21%, mais a rebondi de +4,31% lors de la dernière séance pour s'établir à 2 180 FCFA. Le titre a évolué dans une fourchette de 1 910 à 2 430 FCFA, montrant une amplitude de plus de 27%. La moyenne (2 148 FCFA) et la médiane (2 180 FCFA) étant très proches, la distribution des prix est symétrique, ce que confirme le skewness (-0.063). L'écart-type de 133 FCFA (CV=6,2%) indique une dispersion modérée des prix autour de la moyenne. Le kurtosis négatif (-1.034) signale une distribution "aplatie" (platykurtique), suggérant une faible probabilité de mouvements extrêmes. La volatilité annualisée de 35,7% est élevée (&gt;30%), ce qui classe FTSC comme un titre à risque significatif, mais avec un profil de distribution de prix relativement stable sur la période.</w:t>
      </w:r>
    </w:p>
    <w:p>
      <w:pPr>
        <w:spacing w:after="120" w:line="276" w:lineRule="auto"/>
      </w:pPr>
      <w:r>
        <w:t>### PARTIE 2 : ANALYSE TECHNIQUE DÉTAILLÉE</w:t>
      </w:r>
    </w:p>
    <w:p>
      <w:pPr>
        <w:spacing w:after="120" w:line="276" w:lineRule="auto"/>
      </w:pPr>
      <w:r>
        <w:t>**Moyennes Mobiles**: Le cours actuel (2 180 FCFA) est supérieur à la MM20 (2 133,5 FCFA) et à la MM50 (2 042,8 FCFA). La configuration haussière des moyennes mobiles, avec le cours au-dessus de la MM20 elle-même au-dessus de la MM50, génère un signal d'achat, indiquant une dynamique positive à court et moyen terme.</w:t>
      </w:r>
    </w:p>
    <w:p>
      <w:pPr>
        <w:spacing w:after="120" w:line="276" w:lineRule="auto"/>
      </w:pPr>
      <w:r>
        <w:t>**Bandes de Bollinger**: Le prix se situe à 2 180 FCFA, entre la borne inférieure (1 996,88 FCFA) et la borne supérieure (2 270,12 FCFA), plus près de cette dernière. Cette position neutre suggère que le titre n'est ni suracheté ni survendu, évoluant dans une zone de volatilité normale sans pression directionnelle forte.</w:t>
      </w:r>
    </w:p>
    <w:p>
      <w:pPr>
        <w:spacing w:after="120" w:line="276" w:lineRule="auto"/>
      </w:pPr>
      <w:r>
        <w:t>**MACD**: La valeur du MACD (29,408) est inférieure à son signal (31,968), indiquant un momentum baissier à court terme. Bien que les deux lignes soient positives, ce croisement baissier est un signal de vente, suggérant un possible ralentissement de la dynamique haussière récente.</w:t>
      </w:r>
    </w:p>
    <w:p>
      <w:pPr>
        <w:spacing w:after="120" w:line="276" w:lineRule="auto"/>
      </w:pPr>
      <w:r>
        <w:t>**RSI**: Avec une valeur de 48,485, le RSI est en zone neutre (entre 30 et 70). Cela signifie que le marché est équilibré, sans pression d'achat ou de vente excessive. La décision est donc neutre, le titre n'étant ni suracheté ni survendu.</w:t>
      </w:r>
    </w:p>
    <w:p>
      <w:pPr>
        <w:spacing w:after="120" w:line="276" w:lineRule="auto"/>
      </w:pPr>
      <w:r>
        <w:t>**Stochastique**: Le %K (90,0) est très élevé et nettement au-dessus du %D (46,667), ce qui place le titre en zone de surachat à très court terme. Ce croisement, avec un %K aussi haut, est un signal de vente précoce, indiquant que le rebond récent pourrait être à bout de souffle.</w:t>
      </w:r>
    </w:p>
    <w:p>
      <w:pPr>
        <w:spacing w:after="120" w:line="276" w:lineRule="auto"/>
      </w:pPr>
      <w:r>
        <w:t>**Conclusion technique**: La tendance de fond est haussière (MM), mais les indicateurs de momentum (MACD, Stochastique) montrent des signes d'essoufflement après le récent rebond. Le RSI neutre et les bandes de Bollinger ne fournissent pas de direction claire. Le signal global est donc mitigé, avec une prudence accrue à très court terme en raison des conditions de surachat.</w:t>
      </w:r>
    </w:p>
    <w:p>
      <w:pPr>
        <w:spacing w:after="120" w:line="276" w:lineRule="auto"/>
      </w:pPr>
      <w:r>
        <w:t>### PARTIE 3 : ANALYSE FONDAMENTALE (SECTION CRITIQUE)</w:t>
      </w:r>
    </w:p>
    <w:p>
      <w:pPr>
        <w:spacing w:after="120" w:line="276" w:lineRule="auto"/>
      </w:pPr>
      <w:r>
        <w:t>En 2025, les données financières structurées de FILTISAC CI montrent une entreprise en pleine mutation. Le chiffre d'affaires a progressé de 5% pour atteindre 32,109 milliards FCFA, mais le résultat net s'effondre à 465,98 millions FCFA (marge nette de 1,45%), contre 18,6 milliards en 2024, année qui avait bénéficié de produits exceptionnels massifs liés à des cessions de filiales. La rentabilité des fonds propres (ROE) est très faible à 2,97%, et la marge opérationnelle est minime (0,86%). La structure financière s'est dégradée : la trésorerie nette est fortement négative (-11,528 milliards FCFA) suite au versement de dividendes exceptionnels, et le besoin en fonds de roulement (BFR) est élevé à 11,529 milliards FCFA. Les délais de paiement clients (213,7 jours) et de stockage (214,7 jours) sont très longs, ce qui pèse sur la trésorerie. Les rapports trimestriels de 2025 (T1, S1, T3) confirment cette tendance : la croissance du CA est modeste, mais le résultat d'exploitation reste déficitaire ou très faible. Le rapport du T3 2025 (publié fin 2025) indique un résultat courant avant impôt de -216 millions FCFA, soulignant la dépendance aux revenus non opérationnels. Cependant, le rapport du 1er trimestre 2026 (publié en 2026) montre une amélioration notable : le CA bondit de 55% à 8,901 milliards FCFA, porté par la demande de cacao, et le résultat d'exploitation redevient positif à 75 millions FCFA. On estime que si cette dynamique se poursuit, l'exercice 2026 pourrait voir une amélioration significative de la rentabilité opérationnelle, bien que le résultat net reste déficitaire sur ce premier trimestre (-154 millions FCFA). La solidité financière est donc compromise à court terme, mais les perspectives opérationnelles pour 2026 semblent plus favorables.</w:t>
      </w:r>
    </w:p>
    <w:p>
      <w:pPr>
        <w:spacing w:after="120" w:line="276" w:lineRule="auto"/>
      </w:pPr>
      <w:r>
        <w:t>### PARTIE 4 : CONCLUSION D'INVESTISSEMENT</w:t>
      </w:r>
    </w:p>
    <w:p>
      <w:pPr>
        <w:spacing w:after="120" w:line="276" w:lineRule="auto"/>
      </w:pPr>
      <w:r>
        <w:t>La valorisation de FTSC est extrêmement exigeante (PER 66x, EV/EBITDA 38,4x) par rapport à des bénéfices actuels très faibles, ce qui la rend fondamentalement surévaluée. Le comportement du cours sur 100 jours est baissier (-8,21%) avec une volatilité élevée, bien que les statistiques montrent une distribution symétrique sans extrême. Les signaux techniques sont mitigés : la tendance de fond est haussière, mais les indicateurs de momentum appellent à la prudence à court terme. Les fondamentaux sont fragiles, avec une trésorerie exsangue et une rentabilité opérationnelle historiquement faible, mais les premiers chiffres de 2026 (CA +55%) offrent une lueur d'espoir. Les prédictions IA sur 10 jours (2183 à 2222 FCFA) suggèrent une légère hausse, contredisant les signaux de vente à court terme des indicateurs techniques. En synthèse, la convergence entre une valorisation excessive, des fondamentaux dégradés et des signaux techniques mixtes conduit à une recommandation de **VENTE**. Le niveau de confiance est **Moyen**, car le redressement opérationnel de 2026 pourrait soutenir le cours. Le risque global est **Élevé** en raison de la faiblesse de la trésorerie et de la dépendance à la campagne cacaoyère. L'horizon d'investissement optimal serait de **court terme (&lt;3 mois)** pour les investisseurs cherchant à profiter d'un éventuel rebond spéculatif, mais le titre est à éviter pour un investissement moyen ou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4,058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+2.30%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4.93% (Faible) — μ=4,057 FCFA, σ=200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β=0.0245 (Défensif) — Cov=0.000001, Var(idx)=0.000036, ρ=0.006,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3,805</w:t>
            </w:r>
          </w:p>
        </w:tc>
        <w:tc>
          <w:tcPr>
            <w:tcW w:type="dxa" w:w="1440"/>
            <w:shd w:fill="FAFAFA" w:val="clear"/>
          </w:tcPr>
          <w:p>
            <w:r>
              <w:rPr>
                <w:b/>
                <w:sz w:val="17"/>
              </w:rPr>
              <w:t>3,967</w:t>
            </w:r>
          </w:p>
        </w:tc>
        <w:tc>
          <w:tcPr>
            <w:tcW w:type="dxa" w:w="1440"/>
            <w:shd w:fill="FAFAFA" w:val="clear"/>
          </w:tcPr>
          <w:p>
            <w:r>
              <w:rPr>
                <w:sz w:val="17"/>
              </w:rPr>
              <w:t>4,130</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2026-09-04</w:t>
            </w:r>
          </w:p>
        </w:tc>
        <w:tc>
          <w:tcPr>
            <w:tcW w:type="dxa" w:w="1440"/>
            <w:shd w:fill="FAFAFA" w:val="clear"/>
          </w:tcPr>
          <w:p>
            <w:r>
              <w:rPr>
                <w:sz w:val="17"/>
              </w:rPr>
              <w:t>3,733</w:t>
            </w:r>
          </w:p>
        </w:tc>
        <w:tc>
          <w:tcPr>
            <w:tcW w:type="dxa" w:w="1440"/>
            <w:shd w:fill="FAFAFA" w:val="clear"/>
          </w:tcPr>
          <w:p>
            <w:r>
              <w:rPr>
                <w:b/>
                <w:sz w:val="17"/>
              </w:rPr>
              <w:t>3,963</w:t>
            </w:r>
          </w:p>
        </w:tc>
        <w:tc>
          <w:tcPr>
            <w:tcW w:type="dxa" w:w="1440"/>
            <w:shd w:fill="FAFAFA" w:val="clear"/>
          </w:tcPr>
          <w:p>
            <w:r>
              <w:rPr>
                <w:sz w:val="17"/>
              </w:rPr>
              <w:t>4,192</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2026-09-07</w:t>
            </w:r>
          </w:p>
        </w:tc>
        <w:tc>
          <w:tcPr>
            <w:tcW w:type="dxa" w:w="1440"/>
            <w:shd w:fill="FAFAFA" w:val="clear"/>
          </w:tcPr>
          <w:p>
            <w:r>
              <w:rPr>
                <w:sz w:val="17"/>
              </w:rPr>
              <w:t>3,681</w:t>
            </w:r>
          </w:p>
        </w:tc>
        <w:tc>
          <w:tcPr>
            <w:tcW w:type="dxa" w:w="1440"/>
            <w:shd w:fill="FAFAFA" w:val="clear"/>
          </w:tcPr>
          <w:p>
            <w:r>
              <w:rPr>
                <w:b/>
                <w:sz w:val="17"/>
              </w:rPr>
              <w:t>3,962</w:t>
            </w:r>
          </w:p>
        </w:tc>
        <w:tc>
          <w:tcPr>
            <w:tcW w:type="dxa" w:w="1440"/>
            <w:shd w:fill="FAFAFA" w:val="clear"/>
          </w:tcPr>
          <w:p>
            <w:r>
              <w:rPr>
                <w:sz w:val="17"/>
              </w:rPr>
              <w:t>4,243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2026-09-08</w:t>
            </w:r>
          </w:p>
        </w:tc>
        <w:tc>
          <w:tcPr>
            <w:tcW w:type="dxa" w:w="1440"/>
            <w:shd w:fill="FAFAFA" w:val="clear"/>
          </w:tcPr>
          <w:p>
            <w:r>
              <w:rPr>
                <w:sz w:val="17"/>
              </w:rPr>
              <w:t>3,641</w:t>
            </w:r>
          </w:p>
        </w:tc>
        <w:tc>
          <w:tcPr>
            <w:tcW w:type="dxa" w:w="1440"/>
            <w:shd w:fill="FAFAFA" w:val="clear"/>
          </w:tcPr>
          <w:p>
            <w:r>
              <w:rPr>
                <w:b/>
                <w:sz w:val="17"/>
              </w:rPr>
              <w:t>3,965</w:t>
            </w:r>
          </w:p>
        </w:tc>
        <w:tc>
          <w:tcPr>
            <w:tcW w:type="dxa" w:w="1440"/>
            <w:shd w:fill="FAFAFA" w:val="clear"/>
          </w:tcPr>
          <w:p>
            <w:r>
              <w:rPr>
                <w:sz w:val="17"/>
              </w:rPr>
              <w:t>4,290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2026-09-09</w:t>
            </w:r>
          </w:p>
        </w:tc>
        <w:tc>
          <w:tcPr>
            <w:tcW w:type="dxa" w:w="1440"/>
            <w:shd w:fill="FAFAFA" w:val="clear"/>
          </w:tcPr>
          <w:p>
            <w:r>
              <w:rPr>
                <w:sz w:val="17"/>
              </w:rPr>
              <w:t>3,611</w:t>
            </w:r>
          </w:p>
        </w:tc>
        <w:tc>
          <w:tcPr>
            <w:tcW w:type="dxa" w:w="1440"/>
            <w:shd w:fill="FAFAFA" w:val="clear"/>
          </w:tcPr>
          <w:p>
            <w:r>
              <w:rPr>
                <w:b/>
                <w:sz w:val="17"/>
              </w:rPr>
              <w:t>3,974</w:t>
            </w:r>
          </w:p>
        </w:tc>
        <w:tc>
          <w:tcPr>
            <w:tcW w:type="dxa" w:w="1440"/>
            <w:shd w:fill="FAFAFA" w:val="clear"/>
          </w:tcPr>
          <w:p>
            <w:r>
              <w:rPr>
                <w:sz w:val="17"/>
              </w:rPr>
              <w:t>4,338</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2026-09-10</w:t>
            </w:r>
          </w:p>
        </w:tc>
        <w:tc>
          <w:tcPr>
            <w:tcW w:type="dxa" w:w="1440"/>
            <w:shd w:fill="FAFAFA" w:val="clear"/>
          </w:tcPr>
          <w:p>
            <w:r>
              <w:rPr>
                <w:sz w:val="17"/>
              </w:rPr>
              <w:t>3,588</w:t>
            </w:r>
          </w:p>
        </w:tc>
        <w:tc>
          <w:tcPr>
            <w:tcW w:type="dxa" w:w="1440"/>
            <w:shd w:fill="FAFAFA" w:val="clear"/>
          </w:tcPr>
          <w:p>
            <w:r>
              <w:rPr>
                <w:b/>
                <w:sz w:val="17"/>
              </w:rPr>
              <w:t>3,988</w:t>
            </w:r>
          </w:p>
        </w:tc>
        <w:tc>
          <w:tcPr>
            <w:tcW w:type="dxa" w:w="1440"/>
            <w:shd w:fill="FAFAFA" w:val="clear"/>
          </w:tcPr>
          <w:p>
            <w:r>
              <w:rPr>
                <w:sz w:val="17"/>
              </w:rPr>
              <w:t>4,388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2026-09-11</w:t>
            </w:r>
          </w:p>
        </w:tc>
        <w:tc>
          <w:tcPr>
            <w:tcW w:type="dxa" w:w="1440"/>
            <w:shd w:fill="FAFAFA" w:val="clear"/>
          </w:tcPr>
          <w:p>
            <w:r>
              <w:rPr>
                <w:sz w:val="17"/>
              </w:rPr>
              <w:t>3,570</w:t>
            </w:r>
          </w:p>
        </w:tc>
        <w:tc>
          <w:tcPr>
            <w:tcW w:type="dxa" w:w="1440"/>
            <w:shd w:fill="FAFAFA" w:val="clear"/>
          </w:tcPr>
          <w:p>
            <w:r>
              <w:rPr>
                <w:b/>
                <w:sz w:val="17"/>
              </w:rPr>
              <w:t>4,003</w:t>
            </w:r>
          </w:p>
        </w:tc>
        <w:tc>
          <w:tcPr>
            <w:tcW w:type="dxa" w:w="1440"/>
            <w:shd w:fill="FAFAFA" w:val="clear"/>
          </w:tcPr>
          <w:p>
            <w:r>
              <w:rPr>
                <w:sz w:val="17"/>
              </w:rPr>
              <w:t>4,437</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2026-09-14</w:t>
            </w:r>
          </w:p>
        </w:tc>
        <w:tc>
          <w:tcPr>
            <w:tcW w:type="dxa" w:w="1440"/>
            <w:shd w:fill="FAFAFA" w:val="clear"/>
          </w:tcPr>
          <w:p>
            <w:r>
              <w:rPr>
                <w:sz w:val="17"/>
              </w:rPr>
              <w:t>3,550</w:t>
            </w:r>
          </w:p>
        </w:tc>
        <w:tc>
          <w:tcPr>
            <w:tcW w:type="dxa" w:w="1440"/>
            <w:shd w:fill="FAFAFA" w:val="clear"/>
          </w:tcPr>
          <w:p>
            <w:r>
              <w:rPr>
                <w:b/>
                <w:sz w:val="17"/>
              </w:rPr>
              <w:t>4,015</w:t>
            </w:r>
          </w:p>
        </w:tc>
        <w:tc>
          <w:tcPr>
            <w:tcW w:type="dxa" w:w="1440"/>
            <w:shd w:fill="FAFAFA" w:val="clear"/>
          </w:tcPr>
          <w:p>
            <w:r>
              <w:rPr>
                <w:sz w:val="17"/>
              </w:rPr>
              <w:t>4,480</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2026-09-15</w:t>
            </w:r>
          </w:p>
        </w:tc>
        <w:tc>
          <w:tcPr>
            <w:tcW w:type="dxa" w:w="1440"/>
            <w:shd w:fill="FAFAFA" w:val="clear"/>
          </w:tcPr>
          <w:p>
            <w:r>
              <w:rPr>
                <w:sz w:val="17"/>
              </w:rPr>
              <w:t>3,525</w:t>
            </w:r>
          </w:p>
        </w:tc>
        <w:tc>
          <w:tcPr>
            <w:tcW w:type="dxa" w:w="1440"/>
            <w:shd w:fill="FAFAFA" w:val="clear"/>
          </w:tcPr>
          <w:p>
            <w:r>
              <w:rPr>
                <w:b/>
                <w:sz w:val="17"/>
              </w:rPr>
              <w:t>4,018</w:t>
            </w:r>
          </w:p>
        </w:tc>
        <w:tc>
          <w:tcPr>
            <w:tcW w:type="dxa" w:w="1440"/>
            <w:shd w:fill="FAFAFA" w:val="clear"/>
          </w:tcPr>
          <w:p>
            <w:r>
              <w:rPr>
                <w:sz w:val="17"/>
              </w:rPr>
              <w:t>4,512</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2026-09-16</w:t>
            </w:r>
          </w:p>
        </w:tc>
        <w:tc>
          <w:tcPr>
            <w:tcW w:type="dxa" w:w="1440"/>
            <w:shd w:fill="FAFAFA" w:val="clear"/>
          </w:tcPr>
          <w:p>
            <w:r>
              <w:rPr>
                <w:sz w:val="17"/>
              </w:rPr>
              <w:t>3,503</w:t>
            </w:r>
          </w:p>
        </w:tc>
        <w:tc>
          <w:tcPr>
            <w:tcW w:type="dxa" w:w="1440"/>
            <w:shd w:fill="FAFAFA" w:val="clear"/>
          </w:tcPr>
          <w:p>
            <w:r>
              <w:rPr>
                <w:b/>
                <w:sz w:val="17"/>
              </w:rPr>
              <w:t>4,024</w:t>
            </w:r>
          </w:p>
        </w:tc>
        <w:tc>
          <w:tcPr>
            <w:tcW w:type="dxa" w:w="1440"/>
            <w:shd w:fill="FAFAFA" w:val="clear"/>
          </w:tcPr>
          <w:p>
            <w:r>
              <w:rPr>
                <w:sz w:val="17"/>
              </w:rPr>
              <w:t>4,545</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2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 milliards FCFA, un niveau significatif sur la BRVM qui positionne la société comme une valeur de taille moyenne, détenue majoritairement par l'État béninois. Avec un BPA de 231 FCFA, le titre se négocie à un PER de 17,3x, nettement supérieur à la moyenne historique de la place (~8-12x), indiquant que les investisseurs acceptent de payer une prime substantielle pour les bénéfices de la société. Le P/B de 3,64x confirme cette lecture : le marché valorise l'actif net comptable plus de trois fois et demie au-dessus de sa valeur, traduisant une forte prime de croissance ou de rareté (seule loterie cotée sur le marché). Enfin, l'EV/EBITDA de 10,1x se situe dans la fourchette haute des standards de la BRVM, suggérant que la valeur totale de l'entreprise (fonds propres + dette nette) reste raisonnable par rapport à sa capacité opérationnelle,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cours de LNBB affiche une variation totale positive de +2,30%, avec une dernière séance en légère baisse de -0,12% à 4 000 FCFA. Le titre a évolué dans un range de trading de 735 FCFA, entre un plus bas de 3 825 FCFA et un plus haut de 4 560 FCFA, démontrant une amplitude de fluctuation non négligeable. La moyenne (4 057 FCFA) et la médiane (4 000 FCFA) sont proches, indiquant une distribution relativement symétrique des cours, bien que le skewness positif de 0,598 révèle une asymétrie avec des épisodes de hausse plus marqués que les baisses. L'écart-type de 201 FCFA, soit un coefficient de variation de seulement 5%, témoigne d'une dispersion modérée autour de la moyenne. Le kurtosis de -0,932 (mésokurtique) suggère l'absence de mouvements extrêmes ou de "pics" de volatilité, tandis que la volatilité annualisée de 36,2% classe le titre comme très volatil, un niveau élevé qui contraste avec la stabilité relative observée sur la période et qui appelle à la prudence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4 000 FCFA se situe nettement sous sa moyenne mobile à 20 jours (4 131,5 FCFA) et encore plus sous la MM50 (4 219,8 FCFA). Cette configuration baissière, où les moyennes courtes sont sous les moyennes longues, confirme une tendance de fond négative. La décision de "Vente" est justifiée par cette dynamique défavorable.</w:t>
      </w:r>
    </w:p>
    <w:p>
      <w:pPr>
        <w:spacing w:after="120" w:line="276" w:lineRule="auto"/>
      </w:pPr>
      <w:r>
        <w:t>**Bandes de Bollinger** : Le prix évolue dans la partie inférieure du canal, à 4 000 FCFA contre une borne inférieure à 3 880,77 FCFA et une borne supérieure à 4 382,23 FCFA. La distance par rapport à la borne inférieure suggère que le titre n'est pas en situation de survente extrême. La décision "Neutre" indique que le marché attend un catalyseur pour sortir de cette zone de consolidation.</w:t>
      </w:r>
    </w:p>
    <w:p>
      <w:pPr>
        <w:spacing w:after="120" w:line="276" w:lineRule="auto"/>
      </w:pPr>
      <w:r>
        <w:t>**MACD** : La valeur du MACD (-65,19) est inférieure à sa ligne de signal (-49,42), confirmant un momentum baissier. L'écart négatif entre les deux lignes indique que la pression vendeuse reste dominante à moyen terme. La décision de "Vente" est cohérente avec cette dynamique.</w:t>
      </w:r>
    </w:p>
    <w:p>
      <w:pPr>
        <w:spacing w:after="120" w:line="276" w:lineRule="auto"/>
      </w:pPr>
      <w:r>
        <w:t>**RSI** : À 33,56, le RSI se situe en zone neutre, proche du seuil de survente (30). Cela suggère que le titre est proche d'un point bas, mais sans signal d'achat formel. La décision "Neutre" reflète cette position limite.</w:t>
      </w:r>
    </w:p>
    <w:p>
      <w:pPr>
        <w:spacing w:after="120" w:line="276" w:lineRule="auto"/>
      </w:pPr>
      <w:r>
        <w:t>**Stochastique** : Le %K à 0,0 et le %D à 0,68 indiquent une condition de survente extrême. Le croisement potentiel du %K au-dessus du %D pourrait générer un signal d'achat technique à très court terme. La décision "Achat" est donc justifiée par ce rebond technique attendu.</w:t>
      </w:r>
    </w:p>
    <w:p>
      <w:pPr>
        <w:spacing w:after="120" w:line="276" w:lineRule="auto"/>
      </w:pPr>
      <w:r>
        <w:t>**Conclusion technique** : Les indicateurs de tendance (MM, MACD) sont baissiers, tandis que les oscillateurs de momentum (RSI, Stochastique) suggèrent une possible correction technique à la hausse. Cette divergence indique un marché en équilibre précaire. La prudence est de mise, mais un rebond technique est possible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LNB SA a réalisé un chiffre d'affaires de 98,598 milliards FCFA, en baisse de -3,85% par rapport à 2024, principalement en raison de la concurrence déloyale des opérateurs illégaux. Le résultat net s'établit à 4,622 milliards FCFA, en recul de -36%, impacté par l'absence de produits exceptionnels (contre 3,1 milliards en 2024). Malgré cette baisse, la société affiche une santé financière robuste : un ROE de 21,05% et un ROA de 14,17%, tous deux excellents, démontrant une gestion efficace des fonds propres et des actifs. La structure financière est très saine avec une autonomie financière de 67,32% et un ratio d'endettement de seulement 2,57%. La trésorerie nette positive de 7,979 milliards FCFA offre une grande flexibilité. Les rapports trimestriels montrent une nette amélioration : le S1 2026 (rapport du 30 juillet 2026) affiche un CA en hausse de +4% à 49,937 milliards FCFA et un résultat net en progression de +60% grâce à la maîtrise des charges et aux revenus de partenariats. Le T1 2026 (rapport du 7 mai 2026) confirme cette dynamique avec un CA en hausse de +6%, malgré un résultat net en baisse de -46% à 848 millions FCFA dû au mix produit défavorable. Sur la base de ces rapports récents, on estime que l'exercice 2026 devrait voir un redressement significatif de la rentabilité, avec un résultat net potentiellement supérieur à 5 milliards FCFA, porté par la digitalisation et les nouveaux produits.</w:t>
      </w:r>
    </w:p>
    <w:p>
      <w:pPr>
        <w:spacing w:after="120" w:line="276" w:lineRule="auto"/>
      </w:pPr>
      <w:r>
        <w:t>---</w:t>
      </w:r>
    </w:p>
    <w:p>
      <w:pPr>
        <w:spacing w:after="120" w:line="276" w:lineRule="auto"/>
      </w:pPr>
      <w:r>
        <w:t>### PARTIE 4 : CONCLUSION D'INVESTISSEMENT</w:t>
      </w:r>
    </w:p>
    <w:p>
      <w:pPr>
        <w:spacing w:after="120" w:line="276" w:lineRule="auto"/>
      </w:pPr>
      <w:r>
        <w:t>La valorisation de LNBB (PER 17,3x, P/B 3,64x) apparaît exigeante, intégrant une prime pour sa position de monopole et sa politique de dividende généreuse (173 FCFA brut par action pour 2025, soit un rendement d'environ 4,3%). Le comportement du cours sur 100 jours montre une stabilité relative (+2,30%) mais avec une volatilité annualisée élevée (36,2%), signalant un risque non négligeable. Les signaux techniques sont partagés : tendance baissière (MM, MACD) mais conditions de survente (Stochastique) suggérant un possible rebond. Les fondamentaux, bien qu'en amélioration, restent marqués par la baisse du Produit Brut des Jeux (-9% au S1 2026) et la pression concurrentielle. Les prédictions IA (4 000 à 3 962 FCFA sur 10 jours) confirment une stabilité à court terme, sans catalyseur majeur. La convergence des signaux est donc mitigée : valorisation élevée, technique neutre, fondamentaux en redressement mais incertains. Notre recommandation est de **CONSERVER** le titre, avec un niveau de confiance **Moyen**. Le risque global est **Moyen**, et l'horizon d'investissement optimal est le **moyen terme (3-12 mois)**, en attendant la confirmation des résultats annuels 2026 et l'effet des nouvelles initiatives stratégiques sur la rentabilité.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5,273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+117.39%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17.65% (Élevée) — μ=2,079 FCFA, σ=367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β=-0.2104 (Contre-cyclique) — Cov=-0.000008, Var(idx)=0.000036, ρ=-0.037,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2,637</w:t>
            </w:r>
          </w:p>
        </w:tc>
        <w:tc>
          <w:tcPr>
            <w:tcW w:type="dxa" w:w="1440"/>
            <w:shd w:fill="FFDCE0" w:val="clear"/>
          </w:tcPr>
          <w:p>
            <w:r>
              <w:rPr>
                <w:b/>
                <w:sz w:val="17"/>
              </w:rPr>
              <w:t>2,775</w:t>
            </w:r>
          </w:p>
        </w:tc>
        <w:tc>
          <w:tcPr>
            <w:tcW w:type="dxa" w:w="1440"/>
            <w:shd w:fill="FFDCE0" w:val="clear"/>
          </w:tcPr>
          <w:p>
            <w:r>
              <w:rPr>
                <w:sz w:val="17"/>
              </w:rPr>
              <w:t>2,913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2,387</w:t>
            </w:r>
          </w:p>
        </w:tc>
        <w:tc>
          <w:tcPr>
            <w:tcW w:type="dxa" w:w="1440"/>
            <w:shd w:fill="FFDCE0" w:val="clear"/>
          </w:tcPr>
          <w:p>
            <w:r>
              <w:rPr>
                <w:b/>
                <w:sz w:val="17"/>
              </w:rPr>
              <w:t>2,567</w:t>
            </w:r>
          </w:p>
        </w:tc>
        <w:tc>
          <w:tcPr>
            <w:tcW w:type="dxa" w:w="1440"/>
            <w:shd w:fill="FFDCE0" w:val="clear"/>
          </w:tcPr>
          <w:p>
            <w:r>
              <w:rPr>
                <w:sz w:val="17"/>
              </w:rPr>
              <w:t>2,747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2,171</w:t>
            </w:r>
          </w:p>
        </w:tc>
        <w:tc>
          <w:tcPr>
            <w:tcW w:type="dxa" w:w="1440"/>
            <w:shd w:fill="FFDCE0" w:val="clear"/>
          </w:tcPr>
          <w:p>
            <w:r>
              <w:rPr>
                <w:b/>
                <w:sz w:val="17"/>
              </w:rPr>
              <w:t>2,374</w:t>
            </w:r>
          </w:p>
        </w:tc>
        <w:tc>
          <w:tcPr>
            <w:tcW w:type="dxa" w:w="1440"/>
            <w:shd w:fill="FFDCE0" w:val="clear"/>
          </w:tcPr>
          <w:p>
            <w:r>
              <w:rPr>
                <w:sz w:val="17"/>
              </w:rPr>
              <w:t>2,578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1,979</w:t>
            </w:r>
          </w:p>
        </w:tc>
        <w:tc>
          <w:tcPr>
            <w:tcW w:type="dxa" w:w="1440"/>
            <w:shd w:fill="FFDCE0" w:val="clear"/>
          </w:tcPr>
          <w:p>
            <w:r>
              <w:rPr>
                <w:b/>
                <w:sz w:val="17"/>
              </w:rPr>
              <w:t>2,196</w:t>
            </w:r>
          </w:p>
        </w:tc>
        <w:tc>
          <w:tcPr>
            <w:tcW w:type="dxa" w:w="1440"/>
            <w:shd w:fill="FFDCE0" w:val="clear"/>
          </w:tcPr>
          <w:p>
            <w:r>
              <w:rPr>
                <w:sz w:val="17"/>
              </w:rPr>
              <w:t>2,414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1,806</w:t>
            </w:r>
          </w:p>
        </w:tc>
        <w:tc>
          <w:tcPr>
            <w:tcW w:type="dxa" w:w="1440"/>
            <w:shd w:fill="FFDCE0" w:val="clear"/>
          </w:tcPr>
          <w:p>
            <w:r>
              <w:rPr>
                <w:b/>
                <w:sz w:val="17"/>
              </w:rPr>
              <w:t>2,032</w:t>
            </w:r>
          </w:p>
        </w:tc>
        <w:tc>
          <w:tcPr>
            <w:tcW w:type="dxa" w:w="1440"/>
            <w:shd w:fill="FFDCE0" w:val="clear"/>
          </w:tcPr>
          <w:p>
            <w:r>
              <w:rPr>
                <w:sz w:val="17"/>
              </w:rPr>
              <w:t>2,257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1,651</w:t>
            </w:r>
          </w:p>
        </w:tc>
        <w:tc>
          <w:tcPr>
            <w:tcW w:type="dxa" w:w="1440"/>
            <w:shd w:fill="FFDCE0" w:val="clear"/>
          </w:tcPr>
          <w:p>
            <w:r>
              <w:rPr>
                <w:b/>
                <w:sz w:val="17"/>
              </w:rPr>
              <w:t>1,879</w:t>
            </w:r>
          </w:p>
        </w:tc>
        <w:tc>
          <w:tcPr>
            <w:tcW w:type="dxa" w:w="1440"/>
            <w:shd w:fill="FFDCE0" w:val="clear"/>
          </w:tcPr>
          <w:p>
            <w:r>
              <w:rPr>
                <w:sz w:val="17"/>
              </w:rPr>
              <w:t>2,107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1,510</w:t>
            </w:r>
          </w:p>
        </w:tc>
        <w:tc>
          <w:tcPr>
            <w:tcW w:type="dxa" w:w="1440"/>
            <w:shd w:fill="FFDCE0" w:val="clear"/>
          </w:tcPr>
          <w:p>
            <w:r>
              <w:rPr>
                <w:b/>
                <w:sz w:val="17"/>
              </w:rPr>
              <w:t>1,738</w:t>
            </w:r>
          </w:p>
        </w:tc>
        <w:tc>
          <w:tcPr>
            <w:tcW w:type="dxa" w:w="1440"/>
            <w:shd w:fill="FFDCE0" w:val="clear"/>
          </w:tcPr>
          <w:p>
            <w:r>
              <w:rPr>
                <w:sz w:val="17"/>
              </w:rPr>
              <w:t>1,966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1,397</w:t>
            </w:r>
          </w:p>
        </w:tc>
        <w:tc>
          <w:tcPr>
            <w:tcW w:type="dxa" w:w="1440"/>
            <w:shd w:fill="FFDCE0" w:val="clear"/>
          </w:tcPr>
          <w:p>
            <w:r>
              <w:rPr>
                <w:b/>
                <w:sz w:val="17"/>
              </w:rPr>
              <w:t>1,625</w:t>
            </w:r>
          </w:p>
        </w:tc>
        <w:tc>
          <w:tcPr>
            <w:tcW w:type="dxa" w:w="1440"/>
            <w:shd w:fill="FFDCE0" w:val="clear"/>
          </w:tcPr>
          <w:p>
            <w:r>
              <w:rPr>
                <w:sz w:val="17"/>
              </w:rPr>
              <w:t>1,853</w:t>
            </w:r>
          </w:p>
        </w:tc>
        <w:tc>
          <w:tcPr>
            <w:tcW w:type="dxa" w:w="1440"/>
            <w:shd w:fill="FFDCE0" w:val="clear"/>
          </w:tcPr>
          <w:p>
            <w:r>
              <w:rPr>
                <w:b/>
                <w:color w:val="C00000"/>
                <w:sz w:val="17"/>
              </w:rPr>
              <w:t>-45.8%</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1,333</w:t>
            </w:r>
          </w:p>
        </w:tc>
        <w:tc>
          <w:tcPr>
            <w:tcW w:type="dxa" w:w="1440"/>
            <w:shd w:fill="FFDCE0" w:val="clear"/>
          </w:tcPr>
          <w:p>
            <w:r>
              <w:rPr>
                <w:b/>
                <w:sz w:val="17"/>
              </w:rPr>
              <w:t>1,565</w:t>
            </w:r>
          </w:p>
        </w:tc>
        <w:tc>
          <w:tcPr>
            <w:tcW w:type="dxa" w:w="1440"/>
            <w:shd w:fill="FFDCE0" w:val="clear"/>
          </w:tcPr>
          <w:p>
            <w:r>
              <w:rPr>
                <w:sz w:val="17"/>
              </w:rPr>
              <w:t>1,798</w:t>
            </w:r>
          </w:p>
        </w:tc>
        <w:tc>
          <w:tcPr>
            <w:tcW w:type="dxa" w:w="1440"/>
            <w:shd w:fill="FFDCE0" w:val="clear"/>
          </w:tcPr>
          <w:p>
            <w:r>
              <w:rPr>
                <w:b/>
                <w:color w:val="C00000"/>
                <w:sz w:val="17"/>
              </w:rPr>
              <w:t>-47.8%</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1,275</w:t>
            </w:r>
          </w:p>
        </w:tc>
        <w:tc>
          <w:tcPr>
            <w:tcW w:type="dxa" w:w="1440"/>
            <w:shd w:fill="FFDCE0" w:val="clear"/>
          </w:tcPr>
          <w:p>
            <w:r>
              <w:rPr>
                <w:b/>
                <w:sz w:val="17"/>
              </w:rPr>
              <w:t>1,512</w:t>
            </w:r>
          </w:p>
        </w:tc>
        <w:tc>
          <w:tcPr>
            <w:tcW w:type="dxa" w:w="1440"/>
            <w:shd w:fill="FFDCE0" w:val="clear"/>
          </w:tcPr>
          <w:p>
            <w:r>
              <w:rPr>
                <w:sz w:val="17"/>
              </w:rPr>
              <w:t>1,748</w:t>
            </w:r>
          </w:p>
        </w:tc>
        <w:tc>
          <w:tcPr>
            <w:tcW w:type="dxa" w:w="1440"/>
            <w:shd w:fill="FFDCE0" w:val="clear"/>
          </w:tcPr>
          <w:p>
            <w:r>
              <w:rPr>
                <w:b/>
                <w:color w:val="C00000"/>
                <w:sz w:val="17"/>
              </w:rPr>
              <w:t>-49.6%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modeste qui la positionne comme une valeur de taille moyenne sur le compartiment des entreprises de la BRVM. Avec un BPA de 160 FCFA, le titre se négocie à un PER de 18,8x, nettement supérieur à la moyenne historique du marché qui se situe entre 8 et 12x, indiquant que les investisseurs acceptent de payer une prime significative pour les bénéfices de la société. Le P/B de 6,65x confirme cette lecture en montrant que le marché valorise l'actif net comptable plus de six fois au-dessus de sa valeur, ce qui traduit des attentes de croissance très élevées. Enfin, l'EV/EBITDA de 28,5x, largement supérieur au seuil d'alerte de 15x, suggère que la valeur totale de l'entreprise (fonds propres plus dette nette) est très exigeante par rapport à sa capacité opérationnelle à générer des flux. Ces ratios combinés indiquent une valorisation qui intègre déjà un scénario de forte expansion future,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+117,39%, passant d'un plus bas de 1 365 FCFA à un plus haut de 3 000 FCFA, niveau qui correspond également au cours actuel après une séance stable (variation J-1 de 0,00%). Cette tendance fortement haussière s'accompagne de statistiques descriptives révélatrices : la moyenne de 2 079 FCFA est inférieure à la médiane de 2 162 FCFA, indiquant une asymétrie positive de la distribution des prix sur la période, avec une concentration des échanges vers les niveaux bas avant l'accélération récente. L'écart-type de 369 FCFA, pour un coefficient de variation de 17,7%, témoigne d'une dispersion modérée autour de la moyenne. Le kurtosis de 0,480, qualifié de mésokurtique, suggère une distribution proche de la normale sans risque excessif de variations extrêmes, tandis que le skewness de -0,045 confirme une symétrie quasi parfaite. La volatilité annualisée de 53,3% classe le titre dans la catégorie des valeurs à très forte volatilité, un niveau qui reflète l'ampleur du mouvement haussier récent et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confirment la tendance haussière avec une MM20 à 2 454,5 FCFA et une MM50 à 2 328,8 FCFA, toutes deux largement inférieures au cours actuel de 3 000 FCFA. La configuration en pente ascendante et l'écart positif entre le prix et les moyennes génèrent un signal d'achat, bien que l'ampleur de cet écart suggère une possible correction à venir.</w:t>
      </w:r>
    </w:p>
    <w:p>
      <w:pPr>
        <w:spacing w:after="120" w:line="276" w:lineRule="auto"/>
      </w:pPr>
      <w:r>
        <w:t>Les bandes de Bollinger présentent une borne supérieure à 3 106,379 FCFA et une borne inférieure à 1 802,621 FCFA, avec un cours à 3 000 FCFA qui se situe très près de la borne supérieure. Cette position indique une pression acheteuse intense mais également une zone de surachat technique, justifiant une décision neutre car le titre pourrait rencontrer une résistance à ces niveaux.</w:t>
      </w:r>
    </w:p>
    <w:p>
      <w:pPr>
        <w:spacing w:after="120" w:line="276" w:lineRule="auto"/>
      </w:pPr>
      <w:r>
        <w:t>Le MACD affiche une valeur de 197,154 contre un signal à 118,516, avec un écart positif qui démontre un momentum haussier soutenu. La divergence positive entre la ligne MACD et sa ligne de signal confirme la dynamique ascendante, bien que l'ampleur de l'écart puisse signaler une exubérance excessive à court terme.</w:t>
      </w:r>
    </w:p>
    <w:p>
      <w:pPr>
        <w:spacing w:after="120" w:line="276" w:lineRule="auto"/>
      </w:pPr>
      <w:r>
        <w:t>Le RSI à 89,785 est extrêmement élevé, dépassant largement le seuil de surachat fixé à 70. Cette valeur indique que le titre est fortement suracheté et que la pression acheteuse a atteint des niveaux historiquement extrêmes, ce qui génère un signal de vente et suggère un risque élevé de retournement imminent.</w:t>
      </w:r>
    </w:p>
    <w:p>
      <w:pPr>
        <w:spacing w:after="120" w:line="276" w:lineRule="auto"/>
      </w:pPr>
      <w:r>
        <w:t>Enfin, le stochastique avec %K à 100,0 et %D à 99,596 montre que le titre est en zone de surachat extrême depuis plusieurs séances. Le maintien de ces niveaux maximaux, sans croisement baissier, reflète une force remarquable mais également une configuration vulnérable à une correction technique.</w:t>
      </w:r>
    </w:p>
    <w:p>
      <w:pPr>
        <w:spacing w:after="120" w:line="276" w:lineRule="auto"/>
      </w:pPr>
      <w:r>
        <w:t>En conclusion technique, la quasi-totalité des indicateurs de momentum (RSI, Stochastique) signalent un surachat extrême, tandis que les indicateurs de tendance (MM, MACD) restent positifs. Cette divergence entre la force de la tendance et l'épuisement probable des acheteurs suggère qu'une consolidation ou un repli technique est probable à très court terme, même si la tendance de fond demeure haussière.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remarquable pour NEIC, entreprise du secteur de l'édition. Le chiffre d'affaires s'établit à 5,139 milliards FCFA, en baisse de 23,8% par rapport à l'exercice précédent, mais le résultat net atteint 2,037 milliards FCFA, porté par des éléments exceptionnels. La marge nette de 39,6% et la marge opérationnelle de 23,6% témoignent d'une excellente maîtrise des coûts, tandis que le ROE de 35,4% et le ROA de 27,3% dépassent largement les seuils d'excellence de 15%, confirmant une utilisation très efficace des capitaux propres et des actifs. La structure financière est saine avec une autonomie financière de 77% et une solvabilité générale de 435%, mais le délai clients de 154,7 jours représente un risque de trésorerie significatif. Le rapport du 3ème trimestre 2025 (publié en 2025) confirme cette tendance avec un CA de 3,406 milliards FCFA en baisse de 35% sur le trimestre, mais un bénéfice net de 1,596 milliard FCFA gonflé par une reprise de provision pour redressement fiscal. Le rapport du 1er trimestre 2025 était particulièrement préoccupant avec un CA de seulement 48,5 millions FCFA et une perte de 189,9 millions, illustrant la forte saisonnalité de l'activité. Les états financiers certifiés 2024 montraient une perte de 759 millions FCFA, mais le rapport 2025 (publié en 2026) fait état d'un résultat net de 2,04 milliards FCFA, en hausse de 169%, avec un CA de 6,74 milliards FCFA en progression de 29%, et un dividende proposé de 2,04 milliards FCFA représentant 100% du résultat. Le rapport T1 2026 (publié en 2026) indique un CA de 115,1 millions FCFA, en hausse de 137%, mais une perte nette persistante de 168,9 millions FCFA. Sur la base de ces éléments, on estime que l'exercice 2026 devrait bénéficier de la dynamique commerciale positive amorcée au T1, mais la rentabilité récurrente reste fragile et dépendante des marchés publics et des éléments exceptionnels.</w:t>
      </w:r>
    </w:p>
    <w:p>
      <w:pPr>
        <w:spacing w:after="120" w:line="276" w:lineRule="auto" w:before="240"/>
      </w:pPr>
      <w:r>
        <w:rPr>
          <w:b/>
          <w:color w:val="003366"/>
          <w:sz w:val="24"/>
        </w:rPr>
        <w:t>**PARTIE 4 : CONCLUSION D'INVESTISSEMENT**</w:t>
      </w:r>
    </w:p>
    <w:p>
      <w:pPr>
        <w:spacing w:after="120" w:line="276" w:lineRule="auto"/>
      </w:pPr>
      <w:r>
        <w:t>La synthèse des quatre analyses révèle une configuration extrêmement contrastée pour NEIC. La valorisation (Partie 0) est clairement exigeante avec un PER de 18,8x, un P/B de 6,65x et un EV/EBITDA de 28,5x, tous nettement supérieurs aux moyennes du marché BRVM, indiquant une surévaluation relative. Le comportement du cours (Partie 1) montre une tendance haussière spectaculaire de +117% sur 100 jours avec une volatilité annualisée de 53,3%, ce qui est favorable mais expose à des retournements brutaux. Les signaux techniques (Partie 2) sont contradictoires : les indicateurs de tendance (MM, MACD) restent positifs mais les oscillateurs (RSI à 89,8, Stochastique à 100) sont en surachat extrême, signalant une correction imminente. Les fondamentaux (Partie 3) montrent une amélioration spectaculaire du résultat net en 2025 grâce à des éléments exceptionnels, mais l'activité commerciale récurrente reste en déclin avec un CA en baisse et une perte au T1 2026. Les prédictions IA pour les 10 prochains jours prévoient une chute brutale du cours de 3 000 à 2 032 FCFA, soit une baisse de 32%, confirmant les signaux de surachat technique. Cette convergence entre les signaux techniques extrêmes et les prédictions IA suggère un risque élevé de correction à court terme. La recommandation finale est **VENTE** avec un niveau de confiance **Élevé** et un risque global **Élevé**. L'horizon d'investissement optimal serait de court terme (&lt;3 mois) pour les investisseurs déjà positionnés qui devraient envisager de prendre leurs profits, tandis que les nouveaux investisseurs devraient attendre une correction significative avant d'envisager une position, idéalement autour des 2 000-2 200 FCFA où le titre retrouverait une valorisation plus raisonnable.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2,198 titres</w:t>
            </w:r>
          </w:p>
        </w:tc>
        <w:tc>
          <w:tcPr>
            <w:tcW w:type="dxa" w:w="2268"/>
            <w:shd w:fill="FFF2CC" w:val="clear"/>
          </w:tcPr>
          <w:p>
            <w:r>
              <w:rPr>
                <w:b/>
                <w:color w:val="503200"/>
                <w:sz w:val="16"/>
              </w:rPr>
              <w:t xml:space="preserve">Cours actuel : </w:t>
            </w:r>
            <w:r>
              <w:rPr>
                <w:color w:val="000000"/>
                <w:sz w:val="17"/>
              </w:rPr>
              <w:t>22,955 FCFA</w:t>
            </w:r>
          </w:p>
          <w:p>
            <w:r>
              <w:rPr>
                <w:b/>
                <w:color w:val="503200"/>
                <w:sz w:val="16"/>
              </w:rPr>
              <w:t xml:space="preserve">Var. 100 jours : </w:t>
            </w:r>
            <w:r>
              <w:rPr>
                <w:b/>
                <w:color w:val="007800"/>
                <w:sz w:val="17"/>
              </w:rPr>
              <w:t>+61.65%</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18.48% (Élevée) — μ=19,219 FCFA, σ=3,552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β=1.1959 (Neutre (suit le marché)) — Cov=0.000043, Var(idx)=0.000036, ρ=0.300,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2,198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2026-09-03</w:t>
            </w:r>
          </w:p>
        </w:tc>
        <w:tc>
          <w:tcPr>
            <w:tcW w:type="dxa" w:w="1440"/>
            <w:shd w:fill="C6EFCE" w:val="clear"/>
          </w:tcPr>
          <w:p>
            <w:r>
              <w:rPr>
                <w:sz w:val="17"/>
              </w:rPr>
              <w:t>22,976</w:t>
            </w:r>
          </w:p>
        </w:tc>
        <w:tc>
          <w:tcPr>
            <w:tcW w:type="dxa" w:w="1440"/>
            <w:shd w:fill="C6EFCE" w:val="clear"/>
          </w:tcPr>
          <w:p>
            <w:r>
              <w:rPr>
                <w:b/>
                <w:sz w:val="17"/>
              </w:rPr>
              <w:t>23,490</w:t>
            </w:r>
          </w:p>
        </w:tc>
        <w:tc>
          <w:tcPr>
            <w:tcW w:type="dxa" w:w="1440"/>
            <w:shd w:fill="C6EFCE" w:val="clear"/>
          </w:tcPr>
          <w:p>
            <w:r>
              <w:rPr>
                <w:sz w:val="17"/>
              </w:rPr>
              <w:t>24,004</w:t>
            </w:r>
          </w:p>
        </w:tc>
        <w:tc>
          <w:tcPr>
            <w:tcW w:type="dxa" w:w="1440"/>
            <w:shd w:fill="C6EFCE" w:val="clear"/>
          </w:tcPr>
          <w:p>
            <w:r>
              <w:rPr>
                <w:b/>
                <w:color w:val="008000"/>
                <w:sz w:val="17"/>
              </w:rPr>
              <w:t>+2.3%</w:t>
            </w:r>
          </w:p>
        </w:tc>
      </w:tr>
      <w:tr>
        <w:tc>
          <w:tcPr>
            <w:tcW w:type="dxa" w:w="1440"/>
            <w:shd w:fill="C6EFCE" w:val="clear"/>
          </w:tcPr>
          <w:p>
            <w:r>
              <w:rPr>
                <w:sz w:val="17"/>
              </w:rPr>
              <w:t>J+2  ⭐⭐⭐</w:t>
            </w:r>
          </w:p>
        </w:tc>
        <w:tc>
          <w:tcPr>
            <w:tcW w:type="dxa" w:w="1440"/>
            <w:shd w:fill="C6EFCE" w:val="clear"/>
          </w:tcPr>
          <w:p>
            <w:r>
              <w:rPr>
                <w:sz w:val="17"/>
              </w:rPr>
              <w:t>2026-09-04</w:t>
            </w:r>
          </w:p>
        </w:tc>
        <w:tc>
          <w:tcPr>
            <w:tcW w:type="dxa" w:w="1440"/>
            <w:shd w:fill="C6EFCE" w:val="clear"/>
          </w:tcPr>
          <w:p>
            <w:r>
              <w:rPr>
                <w:sz w:val="17"/>
              </w:rPr>
              <w:t>23,156</w:t>
            </w:r>
          </w:p>
        </w:tc>
        <w:tc>
          <w:tcPr>
            <w:tcW w:type="dxa" w:w="1440"/>
            <w:shd w:fill="C6EFCE" w:val="clear"/>
          </w:tcPr>
          <w:p>
            <w:r>
              <w:rPr>
                <w:b/>
                <w:sz w:val="17"/>
              </w:rPr>
              <w:t>23,896</w:t>
            </w:r>
          </w:p>
        </w:tc>
        <w:tc>
          <w:tcPr>
            <w:tcW w:type="dxa" w:w="1440"/>
            <w:shd w:fill="C6EFCE" w:val="clear"/>
          </w:tcPr>
          <w:p>
            <w:r>
              <w:rPr>
                <w:sz w:val="17"/>
              </w:rPr>
              <w:t>24,635</w:t>
            </w:r>
          </w:p>
        </w:tc>
        <w:tc>
          <w:tcPr>
            <w:tcW w:type="dxa" w:w="1440"/>
            <w:shd w:fill="C6EFCE" w:val="clear"/>
          </w:tcPr>
          <w:p>
            <w:r>
              <w:rPr>
                <w:b/>
                <w:color w:val="008000"/>
                <w:sz w:val="17"/>
              </w:rPr>
              <w:t>+4.1%</w:t>
            </w:r>
          </w:p>
        </w:tc>
      </w:tr>
      <w:tr>
        <w:tc>
          <w:tcPr>
            <w:tcW w:type="dxa" w:w="1440"/>
            <w:shd w:fill="C6EFCE" w:val="clear"/>
          </w:tcPr>
          <w:p>
            <w:r>
              <w:rPr>
                <w:sz w:val="17"/>
              </w:rPr>
              <w:t>J+3  ⭐⭐⭐</w:t>
            </w:r>
          </w:p>
        </w:tc>
        <w:tc>
          <w:tcPr>
            <w:tcW w:type="dxa" w:w="1440"/>
            <w:shd w:fill="C6EFCE" w:val="clear"/>
          </w:tcPr>
          <w:p>
            <w:r>
              <w:rPr>
                <w:sz w:val="17"/>
              </w:rPr>
              <w:t>2026-09-07</w:t>
            </w:r>
          </w:p>
        </w:tc>
        <w:tc>
          <w:tcPr>
            <w:tcW w:type="dxa" w:w="1440"/>
            <w:shd w:fill="C6EFCE" w:val="clear"/>
          </w:tcPr>
          <w:p>
            <w:r>
              <w:rPr>
                <w:sz w:val="17"/>
              </w:rPr>
              <w:t>23,373</w:t>
            </w:r>
          </w:p>
        </w:tc>
        <w:tc>
          <w:tcPr>
            <w:tcW w:type="dxa" w:w="1440"/>
            <w:shd w:fill="C6EFCE" w:val="clear"/>
          </w:tcPr>
          <w:p>
            <w:r>
              <w:rPr>
                <w:b/>
                <w:sz w:val="17"/>
              </w:rPr>
              <w:t>24,294</w:t>
            </w:r>
          </w:p>
        </w:tc>
        <w:tc>
          <w:tcPr>
            <w:tcW w:type="dxa" w:w="1440"/>
            <w:shd w:fill="C6EFCE" w:val="clear"/>
          </w:tcPr>
          <w:p>
            <w:r>
              <w:rPr>
                <w:sz w:val="17"/>
              </w:rPr>
              <w:t>25,215</w:t>
            </w:r>
          </w:p>
        </w:tc>
        <w:tc>
          <w:tcPr>
            <w:tcW w:type="dxa" w:w="1440"/>
            <w:shd w:fill="C6EFCE" w:val="clear"/>
          </w:tcPr>
          <w:p>
            <w:r>
              <w:rPr>
                <w:b/>
                <w:color w:val="008000"/>
                <w:sz w:val="17"/>
              </w:rPr>
              <w:t>+5.8%</w:t>
            </w:r>
          </w:p>
        </w:tc>
      </w:tr>
      <w:tr>
        <w:tc>
          <w:tcPr>
            <w:tcW w:type="dxa" w:w="1440"/>
            <w:shd w:fill="C6EFCE" w:val="clear"/>
          </w:tcPr>
          <w:p>
            <w:r>
              <w:rPr>
                <w:sz w:val="17"/>
              </w:rPr>
              <w:t>J+4  Moyenne</w:t>
            </w:r>
          </w:p>
        </w:tc>
        <w:tc>
          <w:tcPr>
            <w:tcW w:type="dxa" w:w="1440"/>
            <w:shd w:fill="C6EFCE" w:val="clear"/>
          </w:tcPr>
          <w:p>
            <w:r>
              <w:rPr>
                <w:sz w:val="17"/>
              </w:rPr>
              <w:t>2026-09-08</w:t>
            </w:r>
          </w:p>
        </w:tc>
        <w:tc>
          <w:tcPr>
            <w:tcW w:type="dxa" w:w="1440"/>
            <w:shd w:fill="C6EFCE" w:val="clear"/>
          </w:tcPr>
          <w:p>
            <w:r>
              <w:rPr>
                <w:sz w:val="17"/>
              </w:rPr>
              <w:t>23,601</w:t>
            </w:r>
          </w:p>
        </w:tc>
        <w:tc>
          <w:tcPr>
            <w:tcW w:type="dxa" w:w="1440"/>
            <w:shd w:fill="C6EFCE" w:val="clear"/>
          </w:tcPr>
          <w:p>
            <w:r>
              <w:rPr>
                <w:b/>
                <w:sz w:val="17"/>
              </w:rPr>
              <w:t>24,681</w:t>
            </w:r>
          </w:p>
        </w:tc>
        <w:tc>
          <w:tcPr>
            <w:tcW w:type="dxa" w:w="1440"/>
            <w:shd w:fill="C6EFCE" w:val="clear"/>
          </w:tcPr>
          <w:p>
            <w:r>
              <w:rPr>
                <w:sz w:val="17"/>
              </w:rPr>
              <w:t>25,761</w:t>
            </w:r>
          </w:p>
        </w:tc>
        <w:tc>
          <w:tcPr>
            <w:tcW w:type="dxa" w:w="1440"/>
            <w:shd w:fill="C6EFCE" w:val="clear"/>
          </w:tcPr>
          <w:p>
            <w:r>
              <w:rPr>
                <w:b/>
                <w:color w:val="008000"/>
                <w:sz w:val="17"/>
              </w:rPr>
              <w:t>+7.5%</w:t>
            </w:r>
          </w:p>
        </w:tc>
      </w:tr>
      <w:tr>
        <w:tc>
          <w:tcPr>
            <w:tcW w:type="dxa" w:w="1440"/>
            <w:shd w:fill="C6EFCE" w:val="clear"/>
          </w:tcPr>
          <w:p>
            <w:r>
              <w:rPr>
                <w:sz w:val="17"/>
              </w:rPr>
              <w:t>J+5  Moyenne</w:t>
            </w:r>
          </w:p>
        </w:tc>
        <w:tc>
          <w:tcPr>
            <w:tcW w:type="dxa" w:w="1440"/>
            <w:shd w:fill="C6EFCE" w:val="clear"/>
          </w:tcPr>
          <w:p>
            <w:r>
              <w:rPr>
                <w:sz w:val="17"/>
              </w:rPr>
              <w:t>2026-09-09</w:t>
            </w:r>
          </w:p>
        </w:tc>
        <w:tc>
          <w:tcPr>
            <w:tcW w:type="dxa" w:w="1440"/>
            <w:shd w:fill="C6EFCE" w:val="clear"/>
          </w:tcPr>
          <w:p>
            <w:r>
              <w:rPr>
                <w:sz w:val="17"/>
              </w:rPr>
              <w:t>23,839</w:t>
            </w:r>
          </w:p>
        </w:tc>
        <w:tc>
          <w:tcPr>
            <w:tcW w:type="dxa" w:w="1440"/>
            <w:shd w:fill="C6EFCE" w:val="clear"/>
          </w:tcPr>
          <w:p>
            <w:r>
              <w:rPr>
                <w:b/>
                <w:sz w:val="17"/>
              </w:rPr>
              <w:t>25,066</w:t>
            </w:r>
          </w:p>
        </w:tc>
        <w:tc>
          <w:tcPr>
            <w:tcW w:type="dxa" w:w="1440"/>
            <w:shd w:fill="C6EFCE" w:val="clear"/>
          </w:tcPr>
          <w:p>
            <w:r>
              <w:rPr>
                <w:sz w:val="17"/>
              </w:rPr>
              <w:t>26,292</w:t>
            </w:r>
          </w:p>
        </w:tc>
        <w:tc>
          <w:tcPr>
            <w:tcW w:type="dxa" w:w="1440"/>
            <w:shd w:fill="C6EFCE" w:val="clear"/>
          </w:tcPr>
          <w:p>
            <w:r>
              <w:rPr>
                <w:b/>
                <w:color w:val="008000"/>
                <w:sz w:val="17"/>
              </w:rPr>
              <w:t>+9.2%</w:t>
            </w:r>
          </w:p>
        </w:tc>
      </w:tr>
      <w:tr>
        <w:tc>
          <w:tcPr>
            <w:tcW w:type="dxa" w:w="1440"/>
            <w:shd w:fill="C6EFCE" w:val="clear"/>
          </w:tcPr>
          <w:p>
            <w:r>
              <w:rPr>
                <w:sz w:val="17"/>
              </w:rPr>
              <w:t>J+6  Moyenne</w:t>
            </w:r>
          </w:p>
        </w:tc>
        <w:tc>
          <w:tcPr>
            <w:tcW w:type="dxa" w:w="1440"/>
            <w:shd w:fill="C6EFCE" w:val="clear"/>
          </w:tcPr>
          <w:p>
            <w:r>
              <w:rPr>
                <w:sz w:val="17"/>
              </w:rPr>
              <w:t>2026-09-10</w:t>
            </w:r>
          </w:p>
        </w:tc>
        <w:tc>
          <w:tcPr>
            <w:tcW w:type="dxa" w:w="1440"/>
            <w:shd w:fill="C6EFCE" w:val="clear"/>
          </w:tcPr>
          <w:p>
            <w:r>
              <w:rPr>
                <w:sz w:val="17"/>
              </w:rPr>
              <w:t>24,087</w:t>
            </w:r>
          </w:p>
        </w:tc>
        <w:tc>
          <w:tcPr>
            <w:tcW w:type="dxa" w:w="1440"/>
            <w:shd w:fill="C6EFCE" w:val="clear"/>
          </w:tcPr>
          <w:p>
            <w:r>
              <w:rPr>
                <w:b/>
                <w:sz w:val="17"/>
              </w:rPr>
              <w:t>25,451</w:t>
            </w:r>
          </w:p>
        </w:tc>
        <w:tc>
          <w:tcPr>
            <w:tcW w:type="dxa" w:w="1440"/>
            <w:shd w:fill="C6EFCE" w:val="clear"/>
          </w:tcPr>
          <w:p>
            <w:r>
              <w:rPr>
                <w:sz w:val="17"/>
              </w:rPr>
              <w:t>26,815</w:t>
            </w:r>
          </w:p>
        </w:tc>
        <w:tc>
          <w:tcPr>
            <w:tcW w:type="dxa" w:w="1440"/>
            <w:shd w:fill="C6EFCE" w:val="clear"/>
          </w:tcPr>
          <w:p>
            <w:r>
              <w:rPr>
                <w:b/>
                <w:color w:val="008000"/>
                <w:sz w:val="17"/>
              </w:rPr>
              <w:t>+10.9%</w:t>
            </w:r>
          </w:p>
        </w:tc>
      </w:tr>
      <w:tr>
        <w:tc>
          <w:tcPr>
            <w:tcW w:type="dxa" w:w="1440"/>
            <w:shd w:fill="C6EFCE" w:val="clear"/>
          </w:tcPr>
          <w:p>
            <w:r>
              <w:rPr>
                <w:sz w:val="17"/>
              </w:rPr>
              <w:t>J+7  Moyenne</w:t>
            </w:r>
          </w:p>
        </w:tc>
        <w:tc>
          <w:tcPr>
            <w:tcW w:type="dxa" w:w="1440"/>
            <w:shd w:fill="C6EFCE" w:val="clear"/>
          </w:tcPr>
          <w:p>
            <w:r>
              <w:rPr>
                <w:sz w:val="17"/>
              </w:rPr>
              <w:t>2026-09-11</w:t>
            </w:r>
          </w:p>
        </w:tc>
        <w:tc>
          <w:tcPr>
            <w:tcW w:type="dxa" w:w="1440"/>
            <w:shd w:fill="C6EFCE" w:val="clear"/>
          </w:tcPr>
          <w:p>
            <w:r>
              <w:rPr>
                <w:sz w:val="17"/>
              </w:rPr>
              <w:t>24,340</w:t>
            </w:r>
          </w:p>
        </w:tc>
        <w:tc>
          <w:tcPr>
            <w:tcW w:type="dxa" w:w="1440"/>
            <w:shd w:fill="C6EFCE" w:val="clear"/>
          </w:tcPr>
          <w:p>
            <w:r>
              <w:rPr>
                <w:b/>
                <w:sz w:val="17"/>
              </w:rPr>
              <w:t>25,835</w:t>
            </w:r>
          </w:p>
        </w:tc>
        <w:tc>
          <w:tcPr>
            <w:tcW w:type="dxa" w:w="1440"/>
            <w:shd w:fill="C6EFCE" w:val="clear"/>
          </w:tcPr>
          <w:p>
            <w:r>
              <w:rPr>
                <w:sz w:val="17"/>
              </w:rPr>
              <w:t>27,331</w:t>
            </w:r>
          </w:p>
        </w:tc>
        <w:tc>
          <w:tcPr>
            <w:tcW w:type="dxa" w:w="1440"/>
            <w:shd w:fill="C6EFCE" w:val="clear"/>
          </w:tcPr>
          <w:p>
            <w:r>
              <w:rPr>
                <w:b/>
                <w:color w:val="008000"/>
                <w:sz w:val="17"/>
              </w:rPr>
              <w:t>+12.5%</w:t>
            </w:r>
          </w:p>
        </w:tc>
      </w:tr>
      <w:tr>
        <w:tc>
          <w:tcPr>
            <w:tcW w:type="dxa" w:w="1440"/>
            <w:shd w:fill="C6EFCE" w:val="clear"/>
          </w:tcPr>
          <w:p>
            <w:r>
              <w:rPr>
                <w:sz w:val="17"/>
              </w:rPr>
              <w:t>J+8  Moyenne</w:t>
            </w:r>
          </w:p>
        </w:tc>
        <w:tc>
          <w:tcPr>
            <w:tcW w:type="dxa" w:w="1440"/>
            <w:shd w:fill="C6EFCE" w:val="clear"/>
          </w:tcPr>
          <w:p>
            <w:r>
              <w:rPr>
                <w:sz w:val="17"/>
              </w:rPr>
              <w:t>2026-09-14</w:t>
            </w:r>
          </w:p>
        </w:tc>
        <w:tc>
          <w:tcPr>
            <w:tcW w:type="dxa" w:w="1440"/>
            <w:shd w:fill="C6EFCE" w:val="clear"/>
          </w:tcPr>
          <w:p>
            <w:r>
              <w:rPr>
                <w:sz w:val="17"/>
              </w:rPr>
              <w:t>24,597</w:t>
            </w:r>
          </w:p>
        </w:tc>
        <w:tc>
          <w:tcPr>
            <w:tcW w:type="dxa" w:w="1440"/>
            <w:shd w:fill="C6EFCE" w:val="clear"/>
          </w:tcPr>
          <w:p>
            <w:r>
              <w:rPr>
                <w:b/>
                <w:sz w:val="17"/>
              </w:rPr>
              <w:t>26,220</w:t>
            </w:r>
          </w:p>
        </w:tc>
        <w:tc>
          <w:tcPr>
            <w:tcW w:type="dxa" w:w="1440"/>
            <w:shd w:fill="C6EFCE" w:val="clear"/>
          </w:tcPr>
          <w:p>
            <w:r>
              <w:rPr>
                <w:sz w:val="17"/>
              </w:rPr>
              <w:t>27,843</w:t>
            </w:r>
          </w:p>
        </w:tc>
        <w:tc>
          <w:tcPr>
            <w:tcW w:type="dxa" w:w="1440"/>
            <w:shd w:fill="C6EFCE" w:val="clear"/>
          </w:tcPr>
          <w:p>
            <w:r>
              <w:rPr>
                <w:b/>
                <w:color w:val="008000"/>
                <w:sz w:val="17"/>
              </w:rPr>
              <w:t>+14.2%</w:t>
            </w:r>
          </w:p>
        </w:tc>
      </w:tr>
      <w:tr>
        <w:tc>
          <w:tcPr>
            <w:tcW w:type="dxa" w:w="1440"/>
            <w:shd w:fill="C6EFCE" w:val="clear"/>
          </w:tcPr>
          <w:p>
            <w:r>
              <w:rPr>
                <w:sz w:val="17"/>
              </w:rPr>
              <w:t>J+9  Moyenne</w:t>
            </w:r>
          </w:p>
        </w:tc>
        <w:tc>
          <w:tcPr>
            <w:tcW w:type="dxa" w:w="1440"/>
            <w:shd w:fill="C6EFCE" w:val="clear"/>
          </w:tcPr>
          <w:p>
            <w:r>
              <w:rPr>
                <w:sz w:val="17"/>
              </w:rPr>
              <w:t>2026-09-15</w:t>
            </w:r>
          </w:p>
        </w:tc>
        <w:tc>
          <w:tcPr>
            <w:tcW w:type="dxa" w:w="1440"/>
            <w:shd w:fill="C6EFCE" w:val="clear"/>
          </w:tcPr>
          <w:p>
            <w:r>
              <w:rPr>
                <w:sz w:val="17"/>
              </w:rPr>
              <w:t>24,857</w:t>
            </w:r>
          </w:p>
        </w:tc>
        <w:tc>
          <w:tcPr>
            <w:tcW w:type="dxa" w:w="1440"/>
            <w:shd w:fill="C6EFCE" w:val="clear"/>
          </w:tcPr>
          <w:p>
            <w:r>
              <w:rPr>
                <w:b/>
                <w:sz w:val="17"/>
              </w:rPr>
              <w:t>26,604</w:t>
            </w:r>
          </w:p>
        </w:tc>
        <w:tc>
          <w:tcPr>
            <w:tcW w:type="dxa" w:w="1440"/>
            <w:shd w:fill="C6EFCE" w:val="clear"/>
          </w:tcPr>
          <w:p>
            <w:r>
              <w:rPr>
                <w:sz w:val="17"/>
              </w:rPr>
              <w:t>28,350</w:t>
            </w:r>
          </w:p>
        </w:tc>
        <w:tc>
          <w:tcPr>
            <w:tcW w:type="dxa" w:w="1440"/>
            <w:shd w:fill="C6EFCE" w:val="clear"/>
          </w:tcPr>
          <w:p>
            <w:r>
              <w:rPr>
                <w:b/>
                <w:color w:val="008000"/>
                <w:sz w:val="17"/>
              </w:rPr>
              <w:t>+15.9%</w:t>
            </w:r>
          </w:p>
        </w:tc>
      </w:tr>
      <w:tr>
        <w:tc>
          <w:tcPr>
            <w:tcW w:type="dxa" w:w="1440"/>
            <w:shd w:fill="C6EFCE" w:val="clear"/>
          </w:tcPr>
          <w:p>
            <w:r>
              <w:rPr>
                <w:sz w:val="17"/>
              </w:rPr>
              <w:t>J+10  Moyenne</w:t>
            </w:r>
          </w:p>
        </w:tc>
        <w:tc>
          <w:tcPr>
            <w:tcW w:type="dxa" w:w="1440"/>
            <w:shd w:fill="C6EFCE" w:val="clear"/>
          </w:tcPr>
          <w:p>
            <w:r>
              <w:rPr>
                <w:sz w:val="17"/>
              </w:rPr>
              <w:t>2026-09-16</w:t>
            </w:r>
          </w:p>
        </w:tc>
        <w:tc>
          <w:tcPr>
            <w:tcW w:type="dxa" w:w="1440"/>
            <w:shd w:fill="C6EFCE" w:val="clear"/>
          </w:tcPr>
          <w:p>
            <w:r>
              <w:rPr>
                <w:sz w:val="17"/>
              </w:rPr>
              <w:t>25,119</w:t>
            </w:r>
          </w:p>
        </w:tc>
        <w:tc>
          <w:tcPr>
            <w:tcW w:type="dxa" w:w="1440"/>
            <w:shd w:fill="C6EFCE" w:val="clear"/>
          </w:tcPr>
          <w:p>
            <w:r>
              <w:rPr>
                <w:b/>
                <w:sz w:val="17"/>
              </w:rPr>
              <w:t>26,986</w:t>
            </w:r>
          </w:p>
        </w:tc>
        <w:tc>
          <w:tcPr>
            <w:tcW w:type="dxa" w:w="1440"/>
            <w:shd w:fill="C6EFCE" w:val="clear"/>
          </w:tcPr>
          <w:p>
            <w:r>
              <w:rPr>
                <w:sz w:val="17"/>
              </w:rPr>
              <w:t>28,854</w:t>
            </w:r>
          </w:p>
        </w:tc>
        <w:tc>
          <w:tcPr>
            <w:tcW w:type="dxa" w:w="1440"/>
            <w:shd w:fill="C6EFCE" w:val="clear"/>
          </w:tcPr>
          <w:p>
            <w:r>
              <w:rPr>
                <w:b/>
                <w:color w:val="008000"/>
                <w:sz w:val="17"/>
              </w:rPr>
              <w:t>+17.6%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567,78 milliards FCFA, ce qui positionne la banque parmi les poids lourds de la BRVM. Avec un BPA de 1 646 FCFA, chaque action génère un bénéfice substantiel. Le PER de 13,9x est supérieur à la moyenne historique de la place (~8-12x), indiquant que les investisseurs acceptent de payer une prime pour la qualité de la banque, sans toutefois atteindre des niveaux excessifs. Le P/B de 2,43x confirme cette prime de croissance accordée par le marché, qui valorise les actifs nets à plus du double de leur valeur comptable. En revanche, l'EV/EBITDA de 21,4x apparaît très exigeant, signalant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+61,65%, passant d'un plus bas de 13 810 FCFA à un plus haut de 24 020 FCFA, avant de se stabiliser autour de 22 955 FCFA à la dernière séance (-0,20%). La moyenne de 19 219 FCFA est inférieure à la médiane de 19 400 FCFA, indiquant une distribution légèrement asymétrique vers les valeurs basses, confirmée par un skewness négatif (-0,326). L'écart-type de 3 570 FCFA (CV=18,6%) révèle une dispersion modérée des cours autour de la moyenne. Le kurtosis de -1,314 (platykurtique) suggère une distribution aplatie avec une faible concentration des valeurs extrêmes, réduisant le risque de mouvements violents. La volatilité annualisée de 37,8% classe le titre comme très volatil, ce qui implique un risque élevé mais aussi un potentiel de rendement important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(22 955 FCFA) se positionne au-dessus de la MM20 (23 138,25 FCFA) et de la MM50 (22 209,6 FCFA), avec un écart positif plus marqué sur la MM50. Cette configuration haussière, où le prix évolue au-dessus des moyennes mobiles, confirme la tendance ascendante de fond. La décision d'achat est justifiée par la dynamique positive du titre, bien que la proximité avec la MM20 suggère une possible consolidation à court terme.</w:t>
      </w:r>
    </w:p>
    <w:p>
      <w:pPr>
        <w:spacing w:after="120" w:line="276" w:lineRule="auto"/>
      </w:pPr>
      <w:r>
        <w:t>**Bandes de Bollinger** : Le cours se situe à 22 955 FCFA, entre la borne inférieure (22 287,589 FCFA) et la borne supérieure (23 988,911 FCFA), plus près de la borne inférieure. Cette position indique une volatilité modérée avec un potentiel de rebond vers la borne supérieure. La décision neutre reflète l'absence de signal directionnel fort, le prix n'ayant pas encore touché les extrêmes des bandes.</w:t>
      </w:r>
    </w:p>
    <w:p>
      <w:pPr>
        <w:spacing w:after="120" w:line="276" w:lineRule="auto"/>
      </w:pPr>
      <w:r>
        <w:t>**MACD** : La valeur du MACD (108,97) est inférieure à son signal (216,281), créant une divergence négative qui suggère un affaiblissement du momentum haussier. Cette configuration, typique d'une phase de correction ou de consolidation, justifie la décision de vente. Les investisseurs devraient surveiller un éventuel croisement haussier du MACD au-dessus du signal pour confirmer un retour de la dynamique positive.</w:t>
      </w:r>
    </w:p>
    <w:p>
      <w:pPr>
        <w:spacing w:after="120" w:line="276" w:lineRule="auto"/>
      </w:pPr>
      <w:r>
        <w:t>**RSI** : À 34,55, le RSI se situe dans la zone neutre (30-70), proche du seuil de survente (30). Cette valeur indique que le titre n'est ni suracheté ni survendu, mais la proximité du seuil de survente suggère un potentiel de rebond technique. La décision neutre est appropriée, le RSI n'émettant pas de signal directionnel fort.</w:t>
      </w:r>
    </w:p>
    <w:p>
      <w:pPr>
        <w:spacing w:after="120" w:line="276" w:lineRule="auto"/>
      </w:pPr>
      <w:r>
        <w:t>**Stochastique** : Le %K (64,085) est supérieur au %D (51,0), indiquant une dynamique haussière en cours. Le croisement positif de ces deux lignes suggère un regain d'intérêt acheteur après une période de consolidation. La décision neutre reflète toutefois la marge de progression avant d'atteindre des niveaux de surachat.</w:t>
      </w:r>
    </w:p>
    <w:p>
      <w:pPr>
        <w:spacing w:after="120" w:line="276" w:lineRule="auto"/>
      </w:pPr>
      <w:r>
        <w:t>**Conclusion technique** : La convergence des indicateurs est mitigée. Les moyennes mobiles soutiennent une tendance haussière, tandis que le MACD signale un affaiblissement du momentum. Le RSI et le stochastique suggèrent un potentiel de rebond sans signal fort. Globalement, la tendance de fond reste positive, mais une phase de consolidation est probable avant la poursuite de la hausse.</w:t>
      </w:r>
    </w:p>
    <w:p>
      <w:pPr>
        <w:spacing w:after="120" w:line="276" w:lineRule="auto" w:before="240"/>
      </w:pPr>
      <w:r>
        <w:rPr>
          <w:b/>
          <w:color w:val="003366"/>
          <w:sz w:val="24"/>
        </w:rPr>
        <w:t>**PARTIE 3 : ANALYSE FONDAMENTALE (SECTION CRITIQUE)**</w:t>
      </w:r>
    </w:p>
    <w:p>
      <w:pPr>
        <w:spacing w:after="120" w:line="276" w:lineRule="auto"/>
      </w:pPr>
      <w:r>
        <w:t>En 2025, NSBC a réalisé un PNB de 112,928 milliards FCFA, en hausse de 15% par rapport à 2024 (97,8 milliards), avec un résultat net de 40,712 milliards FCFA (+7%). Le ROE de 17,45% et le ROA de 1,32% confirment une rentabilité solide, tandis que le coefficient d'exploitation de 54,59% témoigne d'une excellente maîtrise des charges. Le coût du risque de 7,54% reste élevé, reflétant une politique de provisionnement prudente (-8,5 milliards de dotations en 2025). Les dépôts clientèle (2 242 milliards) couvrent largement les créances clientèle (1 818 milliards), démontrant une capacité de transformation saine. Le rapport T1 2026 (publié en mai 2026) révèle une accélération spectaculaire : PNB de 28,6 milliards (+28%) et résultat net de 10,9 milliards (+53%), portés par l'activité titres. Sur la base de cette dynamique, on estime que l'exercice 2026 pourrait dépasser 45 milliards de résultat net, soit une croissance de plus de 10% par rapport à 2025. Le rapport S1 2025 (publié en septembre 2025) montrait déjà une accélération avec un PNB de 50,5 milliards (+10,6%). La banque bénéficie d'un environnement porteur (PND 2026-2030) et d'une stratégie de digitalisation ambitieuse, malgré un risque de concentration sur l'activité titres.</w:t>
      </w:r>
    </w:p>
    <w:p>
      <w:pPr>
        <w:spacing w:after="120" w:line="276" w:lineRule="auto" w:before="240"/>
      </w:pPr>
      <w:r>
        <w:rPr>
          <w:b/>
          <w:color w:val="003366"/>
          <w:sz w:val="24"/>
        </w:rPr>
        <w:t>**PARTIE 4 : CONCLUSION D'INVESTISSEMENT**</w:t>
      </w:r>
    </w:p>
    <w:p>
      <w:pPr>
        <w:spacing w:after="120" w:line="276" w:lineRule="auto"/>
      </w:pPr>
      <w:r>
        <w:t>La valorisation de NSBC (PER 13,9x, P/B 2,43x, EV/EBITDA 21,4x) reflète une prime de qualité justifiée par des fondamentaux solides, mais qui laisse peu de marge de sécurité. Le comportement du cours (+61,65% en 100 jours) avec une volatilité élevée (37,8%) et une distribution platykurtique indique un risque de correction après une hausse aussi rapide. Les signaux techniques sont mitigés : tendance haussière confirmée par les moyennes mobiles, mais momentum affaibli selon le MACD, avec un RSI proche de la survente suggérant un rebond potentiel. Les fondamentaux restent excellents avec une croissance de 15% du PNB en 2025 et une accélération au T1 2026 (+28%), soutenue par un ROE de 17,45%. Les prédictions IA (23 490 à 25 066 FCFA sur 10 jours) confirment la poursuite de la tendance haussière, en cohérence avec les fondamentaux. La convergence entre la solidité financière, la dynamique de croissance et les prévisions techniques justifie une recommandation **ACHAT** avec un niveau de confiance **Élevé** et un risque global **Moyen**. L'horizon d'investissement optimal est le **moyen terme (3-12 mois)**, permettant de bénéficier de la croissance 2026 tout en surveillant l'évolution du coût du risque et la dépendance aux revenus titres.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368.58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1,520 titres</w:t>
            </w:r>
          </w:p>
        </w:tc>
        <w:tc>
          <w:tcPr>
            <w:tcW w:type="dxa" w:w="2268"/>
            <w:shd w:fill="FFF2CC" w:val="clear"/>
          </w:tcPr>
          <w:p>
            <w:r>
              <w:rPr>
                <w:b/>
                <w:color w:val="503200"/>
                <w:sz w:val="16"/>
              </w:rPr>
              <w:t xml:space="preserve">Cours actuel : </w:t>
            </w:r>
            <w:r>
              <w:rPr>
                <w:color w:val="000000"/>
                <w:sz w:val="17"/>
              </w:rPr>
              <w:t>16,700 FCFA</w:t>
            </w:r>
          </w:p>
          <w:p>
            <w:r>
              <w:rPr>
                <w:b/>
                <w:color w:val="503200"/>
                <w:sz w:val="16"/>
              </w:rPr>
              <w:t xml:space="preserve">Var. 100 jours : </w:t>
            </w:r>
            <w:r>
              <w:rPr>
                <w:b/>
                <w:color w:val="007800"/>
                <w:sz w:val="17"/>
              </w:rPr>
              <w:t>+36.89%</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13.88% (Moyenne) — μ=14,592 FCFA, σ=2,025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β=-0.0700 (Contre-cyclique) — Cov=-0.000003, Var(idx)=0.000036, ρ=-0.018,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15,860</w:t>
            </w:r>
          </w:p>
        </w:tc>
        <w:tc>
          <w:tcPr>
            <w:tcW w:type="dxa" w:w="1440"/>
            <w:shd w:fill="FAFAFA" w:val="clear"/>
          </w:tcPr>
          <w:p>
            <w:r>
              <w:rPr>
                <w:b/>
                <w:sz w:val="17"/>
              </w:rPr>
              <w:t>16,377</w:t>
            </w:r>
          </w:p>
        </w:tc>
        <w:tc>
          <w:tcPr>
            <w:tcW w:type="dxa" w:w="1440"/>
            <w:shd w:fill="FAFAFA" w:val="clear"/>
          </w:tcPr>
          <w:p>
            <w:r>
              <w:rPr>
                <w:sz w:val="17"/>
              </w:rPr>
              <w:t>16,894</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15,619</w:t>
            </w:r>
          </w:p>
        </w:tc>
        <w:tc>
          <w:tcPr>
            <w:tcW w:type="dxa" w:w="1440"/>
            <w:shd w:fill="FFDCE0" w:val="clear"/>
          </w:tcPr>
          <w:p>
            <w:r>
              <w:rPr>
                <w:b/>
                <w:sz w:val="17"/>
              </w:rPr>
              <w:t>16,349</w:t>
            </w:r>
          </w:p>
        </w:tc>
        <w:tc>
          <w:tcPr>
            <w:tcW w:type="dxa" w:w="1440"/>
            <w:shd w:fill="FFDCE0" w:val="clear"/>
          </w:tcPr>
          <w:p>
            <w:r>
              <w:rPr>
                <w:sz w:val="17"/>
              </w:rPr>
              <w:t>17,079</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15,417</w:t>
            </w:r>
          </w:p>
        </w:tc>
        <w:tc>
          <w:tcPr>
            <w:tcW w:type="dxa" w:w="1440"/>
            <w:shd w:fill="FFDCE0" w:val="clear"/>
          </w:tcPr>
          <w:p>
            <w:r>
              <w:rPr>
                <w:b/>
                <w:sz w:val="17"/>
              </w:rPr>
              <w:t>16,309</w:t>
            </w:r>
          </w:p>
        </w:tc>
        <w:tc>
          <w:tcPr>
            <w:tcW w:type="dxa" w:w="1440"/>
            <w:shd w:fill="FFDCE0" w:val="clear"/>
          </w:tcPr>
          <w:p>
            <w:r>
              <w:rPr>
                <w:sz w:val="17"/>
              </w:rPr>
              <w:t>17,200</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15,237</w:t>
            </w:r>
          </w:p>
        </w:tc>
        <w:tc>
          <w:tcPr>
            <w:tcW w:type="dxa" w:w="1440"/>
            <w:shd w:fill="FFDCE0" w:val="clear"/>
          </w:tcPr>
          <w:p>
            <w:r>
              <w:rPr>
                <w:b/>
                <w:sz w:val="17"/>
              </w:rPr>
              <w:t>16,264</w:t>
            </w:r>
          </w:p>
        </w:tc>
        <w:tc>
          <w:tcPr>
            <w:tcW w:type="dxa" w:w="1440"/>
            <w:shd w:fill="FFDCE0" w:val="clear"/>
          </w:tcPr>
          <w:p>
            <w:r>
              <w:rPr>
                <w:sz w:val="17"/>
              </w:rPr>
              <w:t>17,291</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15,075</w:t>
            </w:r>
          </w:p>
        </w:tc>
        <w:tc>
          <w:tcPr>
            <w:tcW w:type="dxa" w:w="1440"/>
            <w:shd w:fill="FFDCE0" w:val="clear"/>
          </w:tcPr>
          <w:p>
            <w:r>
              <w:rPr>
                <w:b/>
                <w:sz w:val="17"/>
              </w:rPr>
              <w:t>16,220</w:t>
            </w:r>
          </w:p>
        </w:tc>
        <w:tc>
          <w:tcPr>
            <w:tcW w:type="dxa" w:w="1440"/>
            <w:shd w:fill="FFDCE0" w:val="clear"/>
          </w:tcPr>
          <w:p>
            <w:r>
              <w:rPr>
                <w:sz w:val="17"/>
              </w:rPr>
              <w:t>17,365</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14,925</w:t>
            </w:r>
          </w:p>
        </w:tc>
        <w:tc>
          <w:tcPr>
            <w:tcW w:type="dxa" w:w="1440"/>
            <w:shd w:fill="FFDCE0" w:val="clear"/>
          </w:tcPr>
          <w:p>
            <w:r>
              <w:rPr>
                <w:b/>
                <w:sz w:val="17"/>
              </w:rPr>
              <w:t>16,175</w:t>
            </w:r>
          </w:p>
        </w:tc>
        <w:tc>
          <w:tcPr>
            <w:tcW w:type="dxa" w:w="1440"/>
            <w:shd w:fill="FFDCE0" w:val="clear"/>
          </w:tcPr>
          <w:p>
            <w:r>
              <w:rPr>
                <w:sz w:val="17"/>
              </w:rPr>
              <w:t>17,426</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14,785</w:t>
            </w:r>
          </w:p>
        </w:tc>
        <w:tc>
          <w:tcPr>
            <w:tcW w:type="dxa" w:w="1440"/>
            <w:shd w:fill="FFDCE0" w:val="clear"/>
          </w:tcPr>
          <w:p>
            <w:r>
              <w:rPr>
                <w:b/>
                <w:sz w:val="17"/>
              </w:rPr>
              <w:t>16,132</w:t>
            </w:r>
          </w:p>
        </w:tc>
        <w:tc>
          <w:tcPr>
            <w:tcW w:type="dxa" w:w="1440"/>
            <w:shd w:fill="FFDCE0" w:val="clear"/>
          </w:tcPr>
          <w:p>
            <w:r>
              <w:rPr>
                <w:sz w:val="17"/>
              </w:rPr>
              <w:t>17,479</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14,653</w:t>
            </w:r>
          </w:p>
        </w:tc>
        <w:tc>
          <w:tcPr>
            <w:tcW w:type="dxa" w:w="1440"/>
            <w:shd w:fill="FFDCE0" w:val="clear"/>
          </w:tcPr>
          <w:p>
            <w:r>
              <w:rPr>
                <w:b/>
                <w:sz w:val="17"/>
              </w:rPr>
              <w:t>16,089</w:t>
            </w:r>
          </w:p>
        </w:tc>
        <w:tc>
          <w:tcPr>
            <w:tcW w:type="dxa" w:w="1440"/>
            <w:shd w:fill="FFDCE0" w:val="clear"/>
          </w:tcPr>
          <w:p>
            <w:r>
              <w:rPr>
                <w:sz w:val="17"/>
              </w:rPr>
              <w:t>17,526</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14,528</w:t>
            </w:r>
          </w:p>
        </w:tc>
        <w:tc>
          <w:tcPr>
            <w:tcW w:type="dxa" w:w="1440"/>
            <w:shd w:fill="FFDCE0" w:val="clear"/>
          </w:tcPr>
          <w:p>
            <w:r>
              <w:rPr>
                <w:b/>
                <w:sz w:val="17"/>
              </w:rPr>
              <w:t>16,048</w:t>
            </w:r>
          </w:p>
        </w:tc>
        <w:tc>
          <w:tcPr>
            <w:tcW w:type="dxa" w:w="1440"/>
            <w:shd w:fill="FFDCE0" w:val="clear"/>
          </w:tcPr>
          <w:p>
            <w:r>
              <w:rPr>
                <w:sz w:val="17"/>
              </w:rPr>
              <w:t>17,568</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14,409</w:t>
            </w:r>
          </w:p>
        </w:tc>
        <w:tc>
          <w:tcPr>
            <w:tcW w:type="dxa" w:w="1440"/>
            <w:shd w:fill="FFDCE0" w:val="clear"/>
          </w:tcPr>
          <w:p>
            <w:r>
              <w:rPr>
                <w:b/>
                <w:sz w:val="17"/>
              </w:rPr>
              <w:t>16,007</w:t>
            </w:r>
          </w:p>
        </w:tc>
        <w:tc>
          <w:tcPr>
            <w:tcW w:type="dxa" w:w="1440"/>
            <w:shd w:fill="FFDCE0" w:val="clear"/>
          </w:tcPr>
          <w:p>
            <w:r>
              <w:rPr>
                <w:sz w:val="17"/>
              </w:rPr>
              <w:t>17,605</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**368,58 milliards FCFA**, ce qui en fait l'une des valeurs les plus significatives de la BRVM, reflétant la confiance des investisseurs dans ce leader des biens de consommation. Avec un **BPA de 835 FCFA**, chaque action génère un bénéfice substantiel, mais le **PER de 20,0x** est nettement supérieur à la moyenne historique de la BRVM (8-12x), indiquant que le marché intègre des attentes de croissance future élevées, au risque d'une certaine surévaluation. Le **P/B de 12,46x** est extrêmement exigeant, signifiant que les investisseurs paient une prime très élevée par rapport à la valeur comptable des actifs, ce qui est typique des sociétés à forte rentabilité et à marque puissante. Enfin, l'**EV/EBITDA de 9,9x** se situe dans la fourchette haute mais raisonnable (5-10x), suggérant que la valorisation de l'entreprise, intégrant sa dette, reste soutenable au regard de sa capacité opérationnelle à générer du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affiché une performance remarquable avec une **variation totale de +36,89%**, et une dernière séance en hausse de **+3,09%** à **16 700 FCFA**, démontrant un momentum acheteur persistant. Le titre a évolué dans un large range, oscillant entre un plus bas de **11 150 FCFA** et un plus haut de **17 450 FCFA**, illustrant une volatilité et un appétit pour le risque importants. La moyenne du cours sur la période (**14 592 FCFA**) est inférieure à la médiane (**15 098 FCFA**), ce qui, combiné à un **skewness négatif (-0.223)**, suggère que les fortes baisses passées ont été plus que compensées par la récente tendance haussière. L'**écart-type de 2 035 FCFA** (CV de 13,9%) indique une dispersion modérée autour de la moyenne, tandis que le **kurtosis de -1.575** (distribution platykurtique) signale une absence de mouvements extrêmes fréquents, typique d'une trajectoire de reprise progressive. La **volatilité annualisée de 36,5%** classe le titre comme très volatil, un niveau élevé qui requiert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(16 700 FCFA) est inférieur à la MM20 (16 895,5 FCFA) mais supérieur à la MM50 (16 377,6 FCFA). Cette configuration, où le prix corrige sous la moyenne courte mais reste au-dessus de la moyenne longue, indique une consolidation dans une tendance haussière de fond. La décision globale est un **Achat**, car la structure à moyen terme reste positive.</w:t>
      </w:r>
    </w:p>
    <w:p>
      <w:pPr>
        <w:spacing w:after="120" w:line="276" w:lineRule="auto"/>
      </w:pPr>
      <w:r>
        <w:t>**Bandes de Bollinger** : Le prix se situe à l'intérieur des bandes (borne supérieure à 17 713,5 et inférieure à 16 077,4), proche de la bande inférieure. Cela suggère une phase de repli au sein d'un canal haussier, sans condition de surachat ou de survente extrême. La décision est **Neutre**, le marché cherchant un nouveau catalyseur directionnel.</w:t>
      </w:r>
    </w:p>
    <w:p>
      <w:pPr>
        <w:spacing w:after="120" w:line="276" w:lineRule="auto"/>
      </w:pPr>
      <w:r>
        <w:t>**MACD** : La valeur du MACD (55,789) est inférieure à sa ligne de signal (179,745), indiquant un momentum baissier à court terme. Ce croisement négatif, survenu après une forte hausse, signale une perte de vigueur haussière et justifie une décision de **Vente** pour les traders à court terme, bien que cela puisse n'être qu'une correction technique.</w:t>
      </w:r>
    </w:p>
    <w:p>
      <w:pPr>
        <w:spacing w:after="120" w:line="276" w:lineRule="auto"/>
      </w:pPr>
      <w:r>
        <w:t>**RSI** : À **39,13**, le RSI se situe en zone neutre, loin des zones de surachat (&gt;70) ou de survente (&lt;30). Cela indique que la pression vendeuse récente n'est pas excessive et qu'il reste de la marge pour un rebond technique. La décision est **Neutre**.</w:t>
      </w:r>
    </w:p>
    <w:p>
      <w:pPr>
        <w:spacing w:after="120" w:line="276" w:lineRule="auto"/>
      </w:pPr>
      <w:r>
        <w:t>**Stochastique** : Avec un %K à 51,6 et un %D à 41,9, le stochastique montre un croisement haussier potentiel en zone neutre, suggérant une possible reprise du mouvement haussier après la correction. La décision est **Neutre**, mais avec une légère orientation positive.</w:t>
      </w:r>
    </w:p>
    <w:p>
      <w:pPr>
        <w:spacing w:after="120" w:line="276" w:lineRule="auto"/>
      </w:pPr>
      <w:r>
        <w:t>**Conclusion technique** : Les indicateurs sont mitigés. La tendance de fond (MM50) reste haussière, mais le momentum à court terme (MACD) est négatif et le prix consolide sous la MM20. Le RSI et le Stochastique n'étant pas en survente, une poursuite de la consolidation est possible avant la prochaine jambe haussière. Le signal global est un **Achat sur repli**, avec une prudence à court terme.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NTLC affiche un chiffre d'affaires de **233,26 milliards FCFA** (+5,97% vs 2024) et un résultat net de **18,43 milliards FCFA** (+1,53% vs 2024). La rentabilité reste exceptionnelle avec un **ROE de 62,28%** et un **ROA de 9,70%**, démontrant une utilisation très efficace des capitaux propres et des actifs. Cependant, la structure financière montre une **dépendance financière élevée (84,4%)** et un **ratio d'endettement de 135,85%**, ce qui est significatif pour une entreprise non bancaire. Le **délai de paiement des clients de 74,3 jours** est un point de vigilance pour la trésorerie, tout comme le **BFR de 22,6 milliards FCFA**. Les rapports narratifs montrent une trajectoire contrastée : après un T1 2025 difficile (CA -11%), l'entreprise a subi une pression sur ses marges au S1 2025 (RN -23,5%) et sur 9 mois (RN -21,3%). Cependant, le **rapport du T1 2026 (publié en mai 2026)** fait état d'un rebond spectaculaire avec un CA de 70,8 milliards FCFA (+31%) et un RN de 7,5 milliards FCFA (+37%), suggérant une forte accélération. Sur cette base, on peut **estimer** que l'exercice 2026 pourrait voir un chiffre d'affaires annuel dépasser 250 milliards FCFA et un résultat net potentiellement supérieur à 22 milliards FCFA, si cette dynamique se maintient. La politique de dividende 2025 (50% de payout) marque un tournant vers le réinvestissement, un signal positif pour la croissance future. La recommandation fondamentale est un **ACHAT**, basé sur la solidité de la marque, l'amélioration récente des performances et des perspectives de croissance soutenues par les investissements.</w:t>
      </w:r>
    </w:p>
    <w:p>
      <w:pPr>
        <w:spacing w:after="120" w:line="276" w:lineRule="auto"/>
      </w:pPr>
      <w:r>
        <w:t>---</w:t>
      </w:r>
    </w:p>
    <w:p>
      <w:pPr>
        <w:spacing w:after="120" w:line="276" w:lineRule="auto"/>
      </w:pPr>
      <w:r>
        <w:t>### PARTIE 4 : CONCLUSION D'INVESTISSEMENT</w:t>
      </w:r>
    </w:p>
    <w:p>
      <w:pPr>
        <w:spacing w:after="120" w:line="276" w:lineRule="auto"/>
      </w:pPr>
      <w:r>
        <w:t>La valorisation actuelle de NTLC (PER 20x, P/B 12,5x) est exigeante et reflète une anticipation de croissance forte, ce qui laisse peu de marge d'erreur en cas de déception. Le comportement du cours sur 100 jours est très positif (+36,9%) mais la volatilité élevée (36,5%) et les statistiques (kurtosis platykurtique) suggèrent un risque de correction rapide. Les signaux techniques sont mitigés à court terme (MACD vendeur, prix sous MM20) mais la tendance de fond reste haussière (MM50). Les fondamentaux, après une année 2025 difficile, montrent un **rebond spectaculaire au T1 2026 (+31% CA, +37% RN)**, ce qui valide les attentes de croissance et justifie la prime de valorisation. Les **prédictions IA pour les 10 prochains jours** (baisse progressive vers 16 220 FCFA) suggèrent une consolidation à court terme, contredisant légèrement le momentum haussier mais offrant un point d'entrée potentiel. En synthèse, la convergence entre la solidité fondamentale, la tendance de fond haussière et les perspectives de croissance est forte, malgré une valorisation tendue et des signaux techniques de court terme en consolidation. La recommandation finale est un **ACHAT**, avec un niveau de confiance **Moyen** et un risque global **Élevé** (volatilité et valorisation). L'horizon d'investissement optimal est le **moyen terme (3-12 mois)**, pour capitaliser sur la reprise de la croissance et l'amélioration de la rentabilité, tout en surveillant de près l'évolution des coûts des matières premières et la capacité de l'entreprise à maintenir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5,059 titres</w:t>
            </w:r>
          </w:p>
        </w:tc>
        <w:tc>
          <w:tcPr>
            <w:tcW w:type="dxa" w:w="2268"/>
            <w:shd w:fill="FFF2CC" w:val="clear"/>
          </w:tcPr>
          <w:p>
            <w:r>
              <w:rPr>
                <w:b/>
                <w:color w:val="503200"/>
                <w:sz w:val="16"/>
              </w:rPr>
              <w:t xml:space="preserve">Cours actuel : </w:t>
            </w:r>
            <w:r>
              <w:rPr>
                <w:color w:val="000000"/>
                <w:sz w:val="17"/>
              </w:rPr>
              <w:t>2,805 FCFA</w:t>
            </w:r>
          </w:p>
          <w:p>
            <w:r>
              <w:rPr>
                <w:b/>
                <w:color w:val="503200"/>
                <w:sz w:val="16"/>
              </w:rPr>
              <w:t xml:space="preserve">Var. 100 jours : </w:t>
            </w:r>
            <w:r>
              <w:rPr>
                <w:b/>
                <w:color w:val="B40000"/>
                <w:sz w:val="17"/>
              </w:rPr>
              <w:t>-1.58%</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3.02% (Faible) — μ=2,821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β=0.2980 (Défensif) — Cov=0.000011, Var(idx)=0.000036, ρ=0.093,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2,747</w:t>
            </w:r>
          </w:p>
        </w:tc>
        <w:tc>
          <w:tcPr>
            <w:tcW w:type="dxa" w:w="1440"/>
            <w:shd w:fill="FAFAFA" w:val="clear"/>
          </w:tcPr>
          <w:p>
            <w:r>
              <w:rPr>
                <w:b/>
                <w:sz w:val="17"/>
              </w:rPr>
              <w:t>2,837</w:t>
            </w:r>
          </w:p>
        </w:tc>
        <w:tc>
          <w:tcPr>
            <w:tcW w:type="dxa" w:w="1440"/>
            <w:shd w:fill="FAFAFA" w:val="clear"/>
          </w:tcPr>
          <w:p>
            <w:r>
              <w:rPr>
                <w:sz w:val="17"/>
              </w:rPr>
              <w:t>2,927</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2,700</w:t>
            </w:r>
          </w:p>
        </w:tc>
        <w:tc>
          <w:tcPr>
            <w:tcW w:type="dxa" w:w="1440"/>
            <w:shd w:fill="FAFAFA" w:val="clear"/>
          </w:tcPr>
          <w:p>
            <w:r>
              <w:rPr>
                <w:b/>
                <w:sz w:val="17"/>
              </w:rPr>
              <w:t>2,827</w:t>
            </w:r>
          </w:p>
        </w:tc>
        <w:tc>
          <w:tcPr>
            <w:tcW w:type="dxa" w:w="1440"/>
            <w:shd w:fill="FAFAFA" w:val="clear"/>
          </w:tcPr>
          <w:p>
            <w:r>
              <w:rPr>
                <w:sz w:val="17"/>
              </w:rPr>
              <w:t>2,954</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2,666</w:t>
            </w:r>
          </w:p>
        </w:tc>
        <w:tc>
          <w:tcPr>
            <w:tcW w:type="dxa" w:w="1440"/>
            <w:shd w:fill="FAFAFA" w:val="clear"/>
          </w:tcPr>
          <w:p>
            <w:r>
              <w:rPr>
                <w:b/>
                <w:sz w:val="17"/>
              </w:rPr>
              <w:t>2,821</w:t>
            </w:r>
          </w:p>
        </w:tc>
        <w:tc>
          <w:tcPr>
            <w:tcW w:type="dxa" w:w="1440"/>
            <w:shd w:fill="FAFAFA" w:val="clear"/>
          </w:tcPr>
          <w:p>
            <w:r>
              <w:rPr>
                <w:sz w:val="17"/>
              </w:rPr>
              <w:t>2,976</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2026-09-08</w:t>
            </w:r>
          </w:p>
        </w:tc>
        <w:tc>
          <w:tcPr>
            <w:tcW w:type="dxa" w:w="1440"/>
            <w:shd w:fill="FAFAFA" w:val="clear"/>
          </w:tcPr>
          <w:p>
            <w:r>
              <w:rPr>
                <w:sz w:val="17"/>
              </w:rPr>
              <w:t>2,637</w:t>
            </w:r>
          </w:p>
        </w:tc>
        <w:tc>
          <w:tcPr>
            <w:tcW w:type="dxa" w:w="1440"/>
            <w:shd w:fill="FAFAFA" w:val="clear"/>
          </w:tcPr>
          <w:p>
            <w:r>
              <w:rPr>
                <w:b/>
                <w:sz w:val="17"/>
              </w:rPr>
              <w:t>2,815</w:t>
            </w:r>
          </w:p>
        </w:tc>
        <w:tc>
          <w:tcPr>
            <w:tcW w:type="dxa" w:w="1440"/>
            <w:shd w:fill="FAFAFA" w:val="clear"/>
          </w:tcPr>
          <w:p>
            <w:r>
              <w:rPr>
                <w:sz w:val="17"/>
              </w:rPr>
              <w:t>2,994</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2026-09-09</w:t>
            </w:r>
          </w:p>
        </w:tc>
        <w:tc>
          <w:tcPr>
            <w:tcW w:type="dxa" w:w="1440"/>
            <w:shd w:fill="FAFAFA" w:val="clear"/>
          </w:tcPr>
          <w:p>
            <w:r>
              <w:rPr>
                <w:sz w:val="17"/>
              </w:rPr>
              <w:t>2,611</w:t>
            </w:r>
          </w:p>
        </w:tc>
        <w:tc>
          <w:tcPr>
            <w:tcW w:type="dxa" w:w="1440"/>
            <w:shd w:fill="FAFAFA" w:val="clear"/>
          </w:tcPr>
          <w:p>
            <w:r>
              <w:rPr>
                <w:b/>
                <w:sz w:val="17"/>
              </w:rPr>
              <w:t>2,810</w:t>
            </w:r>
          </w:p>
        </w:tc>
        <w:tc>
          <w:tcPr>
            <w:tcW w:type="dxa" w:w="1440"/>
            <w:shd w:fill="FAFAFA" w:val="clear"/>
          </w:tcPr>
          <w:p>
            <w:r>
              <w:rPr>
                <w:sz w:val="17"/>
              </w:rPr>
              <w:t>3,010</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2026-09-10</w:t>
            </w:r>
          </w:p>
        </w:tc>
        <w:tc>
          <w:tcPr>
            <w:tcW w:type="dxa" w:w="1440"/>
            <w:shd w:fill="FAFAFA" w:val="clear"/>
          </w:tcPr>
          <w:p>
            <w:r>
              <w:rPr>
                <w:sz w:val="17"/>
              </w:rPr>
              <w:t>2,587</w:t>
            </w:r>
          </w:p>
        </w:tc>
        <w:tc>
          <w:tcPr>
            <w:tcW w:type="dxa" w:w="1440"/>
            <w:shd w:fill="FAFAFA" w:val="clear"/>
          </w:tcPr>
          <w:p>
            <w:r>
              <w:rPr>
                <w:b/>
                <w:sz w:val="17"/>
              </w:rPr>
              <w:t>2,805</w:t>
            </w:r>
          </w:p>
        </w:tc>
        <w:tc>
          <w:tcPr>
            <w:tcW w:type="dxa" w:w="1440"/>
            <w:shd w:fill="FAFAFA" w:val="clear"/>
          </w:tcPr>
          <w:p>
            <w:r>
              <w:rPr>
                <w:sz w:val="17"/>
              </w:rPr>
              <w:t>3,023</w:t>
            </w:r>
          </w:p>
        </w:tc>
        <w:tc>
          <w:tcPr>
            <w:tcW w:type="dxa" w:w="1440"/>
            <w:shd w:fill="FAFAFA" w:val="clear"/>
          </w:tcPr>
          <w:p>
            <w:r>
              <w:rPr>
                <w:b/>
                <w:color w:val="008000"/>
                <w:sz w:val="17"/>
              </w:rPr>
              <w:t>+0.0%</w:t>
            </w:r>
          </w:p>
        </w:tc>
      </w:tr>
      <w:tr>
        <w:tc>
          <w:tcPr>
            <w:tcW w:type="dxa" w:w="1440"/>
            <w:shd w:fill="FAFAFA" w:val="clear"/>
          </w:tcPr>
          <w:p>
            <w:r>
              <w:rPr>
                <w:sz w:val="17"/>
              </w:rPr>
              <w:t>J+7  Moyenne</w:t>
            </w:r>
          </w:p>
        </w:tc>
        <w:tc>
          <w:tcPr>
            <w:tcW w:type="dxa" w:w="1440"/>
            <w:shd w:fill="FAFAFA" w:val="clear"/>
          </w:tcPr>
          <w:p>
            <w:r>
              <w:rPr>
                <w:sz w:val="17"/>
              </w:rPr>
              <w:t>2026-09-11</w:t>
            </w:r>
          </w:p>
        </w:tc>
        <w:tc>
          <w:tcPr>
            <w:tcW w:type="dxa" w:w="1440"/>
            <w:shd w:fill="FAFAFA" w:val="clear"/>
          </w:tcPr>
          <w:p>
            <w:r>
              <w:rPr>
                <w:sz w:val="17"/>
              </w:rPr>
              <w:t>2,565</w:t>
            </w:r>
          </w:p>
        </w:tc>
        <w:tc>
          <w:tcPr>
            <w:tcW w:type="dxa" w:w="1440"/>
            <w:shd w:fill="FAFAFA" w:val="clear"/>
          </w:tcPr>
          <w:p>
            <w:r>
              <w:rPr>
                <w:b/>
                <w:sz w:val="17"/>
              </w:rPr>
              <w:t>2,800</w:t>
            </w:r>
          </w:p>
        </w:tc>
        <w:tc>
          <w:tcPr>
            <w:tcW w:type="dxa" w:w="1440"/>
            <w:shd w:fill="FAFAFA" w:val="clear"/>
          </w:tcPr>
          <w:p>
            <w:r>
              <w:rPr>
                <w:sz w:val="17"/>
              </w:rPr>
              <w:t>3,035</w:t>
            </w:r>
          </w:p>
        </w:tc>
        <w:tc>
          <w:tcPr>
            <w:tcW w:type="dxa" w:w="1440"/>
            <w:shd w:fill="FAFAFA" w:val="clear"/>
          </w:tcPr>
          <w:p>
            <w:r>
              <w:rPr>
                <w:b/>
                <w:color w:val="C00000"/>
                <w:sz w:val="17"/>
              </w:rPr>
              <w:t>-0.2%</w:t>
            </w:r>
          </w:p>
        </w:tc>
      </w:tr>
      <w:tr>
        <w:tc>
          <w:tcPr>
            <w:tcW w:type="dxa" w:w="1440"/>
            <w:shd w:fill="FAFAFA" w:val="clear"/>
          </w:tcPr>
          <w:p>
            <w:r>
              <w:rPr>
                <w:sz w:val="17"/>
              </w:rPr>
              <w:t>J+8  Moyenne</w:t>
            </w:r>
          </w:p>
        </w:tc>
        <w:tc>
          <w:tcPr>
            <w:tcW w:type="dxa" w:w="1440"/>
            <w:shd w:fill="FAFAFA" w:val="clear"/>
          </w:tcPr>
          <w:p>
            <w:r>
              <w:rPr>
                <w:sz w:val="17"/>
              </w:rPr>
              <w:t>2026-09-14</w:t>
            </w:r>
          </w:p>
        </w:tc>
        <w:tc>
          <w:tcPr>
            <w:tcW w:type="dxa" w:w="1440"/>
            <w:shd w:fill="FAFAFA" w:val="clear"/>
          </w:tcPr>
          <w:p>
            <w:r>
              <w:rPr>
                <w:sz w:val="17"/>
              </w:rPr>
              <w:t>2,545</w:t>
            </w:r>
          </w:p>
        </w:tc>
        <w:tc>
          <w:tcPr>
            <w:tcW w:type="dxa" w:w="1440"/>
            <w:shd w:fill="FAFAFA" w:val="clear"/>
          </w:tcPr>
          <w:p>
            <w:r>
              <w:rPr>
                <w:b/>
                <w:sz w:val="17"/>
              </w:rPr>
              <w:t>2,795</w:t>
            </w:r>
          </w:p>
        </w:tc>
        <w:tc>
          <w:tcPr>
            <w:tcW w:type="dxa" w:w="1440"/>
            <w:shd w:fill="FAFAFA" w:val="clear"/>
          </w:tcPr>
          <w:p>
            <w:r>
              <w:rPr>
                <w:sz w:val="17"/>
              </w:rPr>
              <w:t>3,046</w:t>
            </w:r>
          </w:p>
        </w:tc>
        <w:tc>
          <w:tcPr>
            <w:tcW w:type="dxa" w:w="1440"/>
            <w:shd w:fill="FAFAFA" w:val="clear"/>
          </w:tcPr>
          <w:p>
            <w:r>
              <w:rPr>
                <w:b/>
                <w:color w:val="C00000"/>
                <w:sz w:val="17"/>
              </w:rPr>
              <w:t>-0.3%</w:t>
            </w:r>
          </w:p>
        </w:tc>
      </w:tr>
      <w:tr>
        <w:tc>
          <w:tcPr>
            <w:tcW w:type="dxa" w:w="1440"/>
            <w:shd w:fill="FAFAFA" w:val="clear"/>
          </w:tcPr>
          <w:p>
            <w:r>
              <w:rPr>
                <w:sz w:val="17"/>
              </w:rPr>
              <w:t>J+9  Moyenne</w:t>
            </w:r>
          </w:p>
        </w:tc>
        <w:tc>
          <w:tcPr>
            <w:tcW w:type="dxa" w:w="1440"/>
            <w:shd w:fill="FAFAFA" w:val="clear"/>
          </w:tcPr>
          <w:p>
            <w:r>
              <w:rPr>
                <w:sz w:val="17"/>
              </w:rPr>
              <w:t>2026-09-15</w:t>
            </w:r>
          </w:p>
        </w:tc>
        <w:tc>
          <w:tcPr>
            <w:tcW w:type="dxa" w:w="1440"/>
            <w:shd w:fill="FAFAFA" w:val="clear"/>
          </w:tcPr>
          <w:p>
            <w:r>
              <w:rPr>
                <w:sz w:val="17"/>
              </w:rPr>
              <w:t>2,525</w:t>
            </w:r>
          </w:p>
        </w:tc>
        <w:tc>
          <w:tcPr>
            <w:tcW w:type="dxa" w:w="1440"/>
            <w:shd w:fill="FAFAFA" w:val="clear"/>
          </w:tcPr>
          <w:p>
            <w:r>
              <w:rPr>
                <w:b/>
                <w:sz w:val="17"/>
              </w:rPr>
              <w:t>2,791</w:t>
            </w:r>
          </w:p>
        </w:tc>
        <w:tc>
          <w:tcPr>
            <w:tcW w:type="dxa" w:w="1440"/>
            <w:shd w:fill="FAFAFA" w:val="clear"/>
          </w:tcPr>
          <w:p>
            <w:r>
              <w:rPr>
                <w:sz w:val="17"/>
              </w:rPr>
              <w:t>3,056</w:t>
            </w:r>
          </w:p>
        </w:tc>
        <w:tc>
          <w:tcPr>
            <w:tcW w:type="dxa" w:w="1440"/>
            <w:shd w:fill="FAFAFA" w:val="clear"/>
          </w:tcPr>
          <w:p>
            <w:r>
              <w:rPr>
                <w:b/>
                <w:color w:val="C00000"/>
                <w:sz w:val="17"/>
              </w:rPr>
              <w:t>-0.5%</w:t>
            </w:r>
          </w:p>
        </w:tc>
      </w:tr>
      <w:tr>
        <w:tc>
          <w:tcPr>
            <w:tcW w:type="dxa" w:w="1440"/>
            <w:shd w:fill="FAFAFA" w:val="clear"/>
          </w:tcPr>
          <w:p>
            <w:r>
              <w:rPr>
                <w:sz w:val="17"/>
              </w:rPr>
              <w:t>J+10  Moyenne</w:t>
            </w:r>
          </w:p>
        </w:tc>
        <w:tc>
          <w:tcPr>
            <w:tcW w:type="dxa" w:w="1440"/>
            <w:shd w:fill="FAFAFA" w:val="clear"/>
          </w:tcPr>
          <w:p>
            <w:r>
              <w:rPr>
                <w:sz w:val="17"/>
              </w:rPr>
              <w:t>2026-09-16</w:t>
            </w:r>
          </w:p>
        </w:tc>
        <w:tc>
          <w:tcPr>
            <w:tcW w:type="dxa" w:w="1440"/>
            <w:shd w:fill="FAFAFA" w:val="clear"/>
          </w:tcPr>
          <w:p>
            <w:r>
              <w:rPr>
                <w:sz w:val="17"/>
              </w:rPr>
              <w:t>2,507</w:t>
            </w:r>
          </w:p>
        </w:tc>
        <w:tc>
          <w:tcPr>
            <w:tcW w:type="dxa" w:w="1440"/>
            <w:shd w:fill="FAFAFA" w:val="clear"/>
          </w:tcPr>
          <w:p>
            <w:r>
              <w:rPr>
                <w:b/>
                <w:sz w:val="17"/>
              </w:rPr>
              <w:t>2,786</w:t>
            </w:r>
          </w:p>
        </w:tc>
        <w:tc>
          <w:tcPr>
            <w:tcW w:type="dxa" w:w="1440"/>
            <w:shd w:fill="FAFAFA" w:val="clear"/>
          </w:tcPr>
          <w:p>
            <w:r>
              <w:rPr>
                <w:sz w:val="17"/>
              </w:rPr>
              <w:t>3,065</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02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190,74 milliards FCFA positionne ONTBF comme une valeur de première ligne sur la BRVM, reflétant son statut d'opérateur télécoms historique au Burkina Faso. Le BPA de 234 FCFA indique que chaque action génère un bénéfice substantiel, justifiant un PER de 12,0x, légèrement au-dessus de la moyenne historique de la BRVM (8-12x), ce qui suggère une valorisation modérée sans être excessive. Le P/B de 3,31x, bien que supérieur à 1, montre que le marché accorde une prime à la croissance et à la rentabilité passée de l'entreprise, tandis que l'EV/EBITDA de 5,1x, dans la fourchette basse de 5-10x, indique que la valeur totale de l'entreprise reste raisonnable par rapport à sa capacité opérationnelle à générer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variation totale de -1,58%, avec une chute plus marquée de -3,28% lors de la dernière séance, signalant une pression vendeuse récente. Le cours a évolué dans un range de 2 610 à 3 070 FCFA, avec un cours actuel de 2 805 FCFA, proche de la moyenne (2 821 FCFA) et de la médiane (2 802 FCFA), indiquant une distribution relativement symétrique des prix. L'écart-type de 85 FCFA (CV=3,0%) révèle une dispersion très faible, confirmant la stabilité relative du titre malgré les fluctuations. Le kurtosis de -0,139 (mésokurtique) et le skewness de 0,228 (symétrique) suggèrent l'absence de mouvements extrêmes ou de risques de kurtosis, avec une distribution proche de la normale. La volatilité annualisée de 30,9% classe le titre comme à volatilité élevée, ce qui implique des fluctuations de prix plus importantes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(2 805 FCFA) est inférieur à la MM20 (2 896 FCFA) et à la MM50 (2 833,7 FCFA), indiquant une tendance baissière à court et moyen terme. La décision d'achat signalée par les MM semble contredite par la position relative du prix, suggérant un possible retournement haussier si le cours dépasse ces moyennes.</w:t>
      </w:r>
    </w:p>
    <w:p>
      <w:pPr>
        <w:spacing w:after="120" w:line="276" w:lineRule="auto"/>
      </w:pPr>
      <w:r>
        <w:t>**Bandes de Bollinger** : Le prix se situe près de la borne inférieure (2 800,27 FCFA), avec une borne supérieure à 2 991,73 FCFA. Cette position proche de la borne basse indique une pression vendeuse, mais la décision neutre suggère que le marché attend un catalyseur pour déterminer la direction.</w:t>
      </w:r>
    </w:p>
    <w:p>
      <w:pPr>
        <w:spacing w:after="120" w:line="276" w:lineRule="auto"/>
      </w:pPr>
      <w:r>
        <w:t>**MACD** : La valeur MACD (7,893) est inférieure au signal (17,722), indiquant un momentum baissier. La décision de vente est cohérente avec la divergence négative, signalant une poursuite potentielle de la baisse à court terme.</w:t>
      </w:r>
    </w:p>
    <w:p>
      <w:pPr>
        <w:spacing w:after="120" w:line="276" w:lineRule="auto"/>
      </w:pPr>
      <w:r>
        <w:t>**RSI** : À 39,326, le RSI est en zone neutre (30-70), mais proche de la zone de survente (&lt;30), indiquant que le titre n'est ni suracheté ni survendu, mais que la pression vendeuse pourrait s'atténuer.</w:t>
      </w:r>
    </w:p>
    <w:p>
      <w:pPr>
        <w:spacing w:after="120" w:line="276" w:lineRule="auto"/>
      </w:pPr>
      <w:r>
        <w:t>**Stochastique** : Le %K (3,448) est extrêmement bas et nettement inférieur au %D (44,828), indiquant une condition de survente sévère. La décision d'achat suggère un potentiel de rebond technique imminent.</w:t>
      </w:r>
    </w:p>
    <w:p>
      <w:pPr>
        <w:spacing w:after="120" w:line="276" w:lineRule="auto"/>
      </w:pPr>
      <w:r>
        <w:t>**Conclusion technique** : Les indicateurs sont mitigés, avec un MACD baissier et un prix sous les moyennes mobiles, mais un stochastique en survente extrême et un RSI neutre suggèrent un possible rebond. La prudence est de mise, mais un retournement haussier pourrait se matérialiser si le support à 2 800 FCFA tient.</w:t>
      </w:r>
    </w:p>
    <w:p>
      <w:pPr>
        <w:spacing w:after="120" w:line="276" w:lineRule="auto"/>
      </w:pPr>
      <w:r>
        <w:t>---</w:t>
      </w:r>
    </w:p>
    <w:p>
      <w:pPr>
        <w:spacing w:after="120" w:line="276" w:lineRule="auto"/>
      </w:pPr>
      <w:r>
        <w:t>### PARTIE 3 : ANALYSE FONDAMENTALE (SECTION CRITIQUE)</w:t>
      </w:r>
    </w:p>
    <w:p>
      <w:pPr>
        <w:spacing w:after="120" w:line="276" w:lineRule="auto"/>
      </w:pPr>
      <w:r>
        <w:t>En 2025, ONTBF a réalisé un chiffre d'affaires de 146,18 milliards FCFA, en hausse de 3,1% par rapport à 2024, mais le résultat net a chuté de 26% à 15,89 milliards FCFA, avec un ROE de 27,6% et un ROA de 4,9%. Le coefficient d'exploitation de 67,1% indique une efficacité opérationnelle moyenne, tandis que le coût du risque de 3,57% suggère un risque de crédit significatif. Les capitaux propres s'élèvent à 57,54 milliards FCFA, avec une autonomie financière de 17,7%, reflétant une dépendance élevée aux dettes (82,3%). Les rapports trimestriels 2025 montrent une tendance à la baisse de la rentabilité, avec un résultat net de 11,0 milliards FCFA sur 9 mois (-17,2%), et le T1 2026 confirme cette tendance avec un bénéfice de 3,58 milliards FCFA (-4,6%). Les rapports de 2024 indiquaient une performance plus robuste avec un résultat net de 21,47 milliards FCFA et un ROE de 34,3%, mais la dégradation est nette. Les perspectives pour 2026 restent incertaines, avec une croissance du CA de 2,7% au T1 mais une pression continue sur les marges due aux coûts énergétiques et sécuritaires. La recommandation fondamentale est de conserver le titre, car la solidité financière et la génération de cash (CAF de 46,95 milliards) persistent, mais les risques réglementaires et opérationnels limitent le potentiel de revalorisation.</w:t>
      </w:r>
    </w:p>
    <w:p>
      <w:pPr>
        <w:spacing w:after="120" w:line="276" w:lineRule="auto"/>
      </w:pPr>
      <w:r>
        <w:t>---</w:t>
      </w:r>
    </w:p>
    <w:p>
      <w:pPr>
        <w:spacing w:after="120" w:line="276" w:lineRule="auto"/>
      </w:pPr>
      <w:r>
        <w:t>### PARTIE 4 : CONCLUSION D'INVESTISSEMENT</w:t>
      </w:r>
    </w:p>
    <w:p>
      <w:pPr>
        <w:spacing w:after="120" w:line="276" w:lineRule="auto"/>
      </w:pPr>
      <w:r>
        <w:t>La valorisation d'ONTBF (PER 12,0x, P/B 3,31x, EV/EBITDA 5,1x) est modérée, sans sous-évaluation ni surévaluation flagrante, mais la dégradation des fondamentaux en 2025 (résultat net -26%) et la pression sur les marges sont préoccupantes. Le comportement du cours montre une stabilité relative avec une volatilité élevée (30,9%), mais la tendance récente est baissière, avec une chute de -3,28% en une séance. Les signaux techniques sont mitigés, avec un MACD vendeur et un stochastique en survente, suggérant un possible rebond technique mais pas de retournement de tendance majeur. Les fondamentaux, bien que solides en termes de génération de cash et de croissance du CA, sont affectés par des coûts opérationnels croissants et un environnement sécuritaire difficile. Les prédictions IA (2 837 à 2 810 FCFA sur 10 jours) indiquent une stabilisation autour des niveaux actuels, confirmant l'absence de catalyseur majeur. La recommandation finale est **CONSERVER**, avec un niveau de confiance **Moyen** et un risque global **Élevé**, pour un horizon d'investissement à **moyen terme (3-12 mois)**, en attendant des signes d'amélioration de la rentabilité ou une stabilisation du contexte sécuritaire.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3165.27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2,513 titres</w:t>
            </w:r>
          </w:p>
        </w:tc>
        <w:tc>
          <w:tcPr>
            <w:tcW w:type="dxa" w:w="2268"/>
            <w:shd w:fill="FFF2CC" w:val="clear"/>
          </w:tcPr>
          <w:p>
            <w:r>
              <w:rPr>
                <w:b/>
                <w:color w:val="503200"/>
                <w:sz w:val="16"/>
              </w:rPr>
              <w:t xml:space="preserve">Cours actuel : </w:t>
            </w:r>
            <w:r>
              <w:rPr>
                <w:color w:val="000000"/>
                <w:sz w:val="17"/>
              </w:rPr>
              <w:t>21,010 FCFA</w:t>
            </w:r>
          </w:p>
          <w:p>
            <w:r>
              <w:rPr>
                <w:b/>
                <w:color w:val="503200"/>
                <w:sz w:val="16"/>
              </w:rPr>
              <w:t xml:space="preserve">Var. 100 jours : </w:t>
            </w:r>
            <w:r>
              <w:rPr>
                <w:b/>
                <w:color w:val="007800"/>
                <w:sz w:val="17"/>
              </w:rPr>
              <w:t>+40.07%</w:t>
            </w:r>
          </w:p>
          <w:p>
            <w:r>
              <w:rPr>
                <w:b/>
                <w:color w:val="503200"/>
                <w:sz w:val="16"/>
              </w:rPr>
              <w:t xml:space="preserve">Plus haut 100j : </w:t>
            </w:r>
            <w:r>
              <w:rPr>
                <w:color w:val="000000"/>
                <w:sz w:val="17"/>
              </w:rPr>
              <w:t>21,500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10.27% (Moyenne) — μ=16,506 FCFA, σ=1,695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β=1.2561 (Agressif) — Cov=0.000045, Var(idx)=0.000036, ρ=0.411,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20,190</w:t>
            </w:r>
          </w:p>
        </w:tc>
        <w:tc>
          <w:tcPr>
            <w:tcW w:type="dxa" w:w="1440"/>
            <w:shd w:fill="FAFAFA" w:val="clear"/>
          </w:tcPr>
          <w:p>
            <w:r>
              <w:rPr>
                <w:b/>
                <w:sz w:val="17"/>
              </w:rPr>
              <w:t>20,769</w:t>
            </w:r>
          </w:p>
        </w:tc>
        <w:tc>
          <w:tcPr>
            <w:tcW w:type="dxa" w:w="1440"/>
            <w:shd w:fill="FAFAFA" w:val="clear"/>
          </w:tcPr>
          <w:p>
            <w:r>
              <w:rPr>
                <w:sz w:val="17"/>
              </w:rPr>
              <w:t>21,349</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2026-09-04</w:t>
            </w:r>
          </w:p>
        </w:tc>
        <w:tc>
          <w:tcPr>
            <w:tcW w:type="dxa" w:w="1440"/>
            <w:shd w:fill="FAFAFA" w:val="clear"/>
          </w:tcPr>
          <w:p>
            <w:r>
              <w:rPr>
                <w:sz w:val="17"/>
              </w:rPr>
              <w:t>19,822</w:t>
            </w:r>
          </w:p>
        </w:tc>
        <w:tc>
          <w:tcPr>
            <w:tcW w:type="dxa" w:w="1440"/>
            <w:shd w:fill="FAFAFA" w:val="clear"/>
          </w:tcPr>
          <w:p>
            <w:r>
              <w:rPr>
                <w:b/>
                <w:sz w:val="17"/>
              </w:rPr>
              <w:t>20,636</w:t>
            </w:r>
          </w:p>
        </w:tc>
        <w:tc>
          <w:tcPr>
            <w:tcW w:type="dxa" w:w="1440"/>
            <w:shd w:fill="FAFAFA" w:val="clear"/>
          </w:tcPr>
          <w:p>
            <w:r>
              <w:rPr>
                <w:sz w:val="17"/>
              </w:rPr>
              <w:t>21,450</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19,503</w:t>
            </w:r>
          </w:p>
        </w:tc>
        <w:tc>
          <w:tcPr>
            <w:tcW w:type="dxa" w:w="1440"/>
            <w:shd w:fill="FFDCE0" w:val="clear"/>
          </w:tcPr>
          <w:p>
            <w:r>
              <w:rPr>
                <w:b/>
                <w:sz w:val="17"/>
              </w:rPr>
              <w:t>20,493</w:t>
            </w:r>
          </w:p>
        </w:tc>
        <w:tc>
          <w:tcPr>
            <w:tcW w:type="dxa" w:w="1440"/>
            <w:shd w:fill="FFDCE0" w:val="clear"/>
          </w:tcPr>
          <w:p>
            <w:r>
              <w:rPr>
                <w:sz w:val="17"/>
              </w:rPr>
              <w:t>21,483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19,218</w:t>
            </w:r>
          </w:p>
        </w:tc>
        <w:tc>
          <w:tcPr>
            <w:tcW w:type="dxa" w:w="1440"/>
            <w:shd w:fill="FFDCE0" w:val="clear"/>
          </w:tcPr>
          <w:p>
            <w:r>
              <w:rPr>
                <w:b/>
                <w:sz w:val="17"/>
              </w:rPr>
              <w:t>20,353</w:t>
            </w:r>
          </w:p>
        </w:tc>
        <w:tc>
          <w:tcPr>
            <w:tcW w:type="dxa" w:w="1440"/>
            <w:shd w:fill="FFDCE0" w:val="clear"/>
          </w:tcPr>
          <w:p>
            <w:r>
              <w:rPr>
                <w:sz w:val="17"/>
              </w:rPr>
              <w:t>21,489</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18,958</w:t>
            </w:r>
          </w:p>
        </w:tc>
        <w:tc>
          <w:tcPr>
            <w:tcW w:type="dxa" w:w="1440"/>
            <w:shd w:fill="FFDCE0" w:val="clear"/>
          </w:tcPr>
          <w:p>
            <w:r>
              <w:rPr>
                <w:b/>
                <w:sz w:val="17"/>
              </w:rPr>
              <w:t>20,219</w:t>
            </w:r>
          </w:p>
        </w:tc>
        <w:tc>
          <w:tcPr>
            <w:tcW w:type="dxa" w:w="1440"/>
            <w:shd w:fill="FFDCE0" w:val="clear"/>
          </w:tcPr>
          <w:p>
            <w:r>
              <w:rPr>
                <w:sz w:val="17"/>
              </w:rPr>
              <w:t>21,480</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18,717</w:t>
            </w:r>
          </w:p>
        </w:tc>
        <w:tc>
          <w:tcPr>
            <w:tcW w:type="dxa" w:w="1440"/>
            <w:shd w:fill="FFDCE0" w:val="clear"/>
          </w:tcPr>
          <w:p>
            <w:r>
              <w:rPr>
                <w:b/>
                <w:sz w:val="17"/>
              </w:rPr>
              <w:t>20,089</w:t>
            </w:r>
          </w:p>
        </w:tc>
        <w:tc>
          <w:tcPr>
            <w:tcW w:type="dxa" w:w="1440"/>
            <w:shd w:fill="FFDCE0" w:val="clear"/>
          </w:tcPr>
          <w:p>
            <w:r>
              <w:rPr>
                <w:sz w:val="17"/>
              </w:rPr>
              <w:t>21,462</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18,492</w:t>
            </w:r>
          </w:p>
        </w:tc>
        <w:tc>
          <w:tcPr>
            <w:tcW w:type="dxa" w:w="1440"/>
            <w:shd w:fill="FFDCE0" w:val="clear"/>
          </w:tcPr>
          <w:p>
            <w:r>
              <w:rPr>
                <w:b/>
                <w:sz w:val="17"/>
              </w:rPr>
              <w:t>19,965</w:t>
            </w:r>
          </w:p>
        </w:tc>
        <w:tc>
          <w:tcPr>
            <w:tcW w:type="dxa" w:w="1440"/>
            <w:shd w:fill="FFDCE0" w:val="clear"/>
          </w:tcPr>
          <w:p>
            <w:r>
              <w:rPr>
                <w:sz w:val="17"/>
              </w:rPr>
              <w:t>21,439</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18,279</w:t>
            </w:r>
          </w:p>
        </w:tc>
        <w:tc>
          <w:tcPr>
            <w:tcW w:type="dxa" w:w="1440"/>
            <w:shd w:fill="FFDCE0" w:val="clear"/>
          </w:tcPr>
          <w:p>
            <w:r>
              <w:rPr>
                <w:b/>
                <w:sz w:val="17"/>
              </w:rPr>
              <w:t>19,845</w:t>
            </w:r>
          </w:p>
        </w:tc>
        <w:tc>
          <w:tcPr>
            <w:tcW w:type="dxa" w:w="1440"/>
            <w:shd w:fill="FFDCE0" w:val="clear"/>
          </w:tcPr>
          <w:p>
            <w:r>
              <w:rPr>
                <w:sz w:val="17"/>
              </w:rPr>
              <w:t>21,411</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18,078</w:t>
            </w:r>
          </w:p>
        </w:tc>
        <w:tc>
          <w:tcPr>
            <w:tcW w:type="dxa" w:w="1440"/>
            <w:shd w:fill="FFDCE0" w:val="clear"/>
          </w:tcPr>
          <w:p>
            <w:r>
              <w:rPr>
                <w:b/>
                <w:sz w:val="17"/>
              </w:rPr>
              <w:t>19,729</w:t>
            </w:r>
          </w:p>
        </w:tc>
        <w:tc>
          <w:tcPr>
            <w:tcW w:type="dxa" w:w="1440"/>
            <w:shd w:fill="FFDCE0" w:val="clear"/>
          </w:tcPr>
          <w:p>
            <w:r>
              <w:rPr>
                <w:sz w:val="17"/>
              </w:rPr>
              <w:t>21,381</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17,887</w:t>
            </w:r>
          </w:p>
        </w:tc>
        <w:tc>
          <w:tcPr>
            <w:tcW w:type="dxa" w:w="1440"/>
            <w:shd w:fill="FFDCE0" w:val="clear"/>
          </w:tcPr>
          <w:p>
            <w:r>
              <w:rPr>
                <w:b/>
                <w:sz w:val="17"/>
              </w:rPr>
              <w:t>19,618</w:t>
            </w:r>
          </w:p>
        </w:tc>
        <w:tc>
          <w:tcPr>
            <w:tcW w:type="dxa" w:w="1440"/>
            <w:shd w:fill="FFDCE0" w:val="clear"/>
          </w:tcPr>
          <w:p>
            <w:r>
              <w:rPr>
                <w:sz w:val="17"/>
              </w:rPr>
              <w:t>21,348</w:t>
            </w:r>
          </w:p>
        </w:tc>
        <w:tc>
          <w:tcPr>
            <w:tcW w:type="dxa" w:w="1440"/>
            <w:shd w:fill="FFDCE0" w:val="clear"/>
          </w:tcPr>
          <w:p>
            <w:r>
              <w:rPr>
                <w:b/>
                <w:color w:val="C00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3 165,27 milliards FCFA, un niveau qui représente une part significative de la capitalisation totale de la BRVM et confirme le statut de valeur phare du titre. Le BPA de 1 114 FCFA indique que chaque action génère un bénéfice substantiel, justifiant un PER de 18,9x. Ce ratio est nettement supérieur à la moyenne historique de la BRVM (8-12x), signalant que les investisseurs paient une prime pour la qualité et la croissance de l'entreprise. Le P/B de 4,47x, bien que supérieur à 4x, reflète la forte création de valeur et la rentabilité élevée des capitaux propres (ROE de 23,7%). Enfin, l'EV/EBITDA de 7,5x, dans la fourchette raisonnable de 5-10x, indique que la valorisation globale de l'entreprise, rapportée à sa capacité opérationnelle, reste mesurée malgré la prime sur le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+40,07%, avec une légère correction de -2,28% lors de la dernière séance. Le cours a évolué dans une fourchette large de 14 650 FCFA (plus bas) à 21 500 FCFA (plus haut), démontrant une dynamique haussière très soutenue. La moyenne (16 506 FCFA) est supérieure à la médiane (16 002 FCFA), ce qui, combiné à un skewness positif de 1,659, confirme une distribution asymétrique avec des journées de forte hausse tirant le cours vers le haut. L'écart-type de 1 704 FCFA (CV de 10,3%) indique une dispersion modérée autour de la moyenne. Le kurtosis excédentaire de 2,126 (leptokurtique) signale un risque de mouvements extrêmes, avec des pics de volatilité possibles. La volatilité annualisée de 29,2% classe le titre dans la catégorie "élevée" (&gt;30% étant le seuil), ce qui implique un risque de fluctuation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(21 010 FCFA) se situe nettement au-dessus de la MM20 (19 252 FCFA) et de la MM50 (17 574 FCFA), confirmant une tendance haussière solide à court et moyen terme. La configuration des MM, avec la MM20 au-dessus de la MM50, valide la dynamique positive et justifie la décision d'achat.</w:t>
      </w:r>
    </w:p>
    <w:p>
      <w:pPr>
        <w:spacing w:after="120" w:line="276" w:lineRule="auto"/>
      </w:pPr>
      <w:r>
        <w:t>**Bandes de Bollinger**: Le prix évolue à proximité de la borne supérieure (22 841 FCFA), indiquant une pression acheteuse soutenue. L'écart entre les bornes (7 178 FCFA) reflète une volatilité élevée. La décision "Neutre" suggère que le marché attend une consolidation ou un breakout avant de prendre une direction claire.</w:t>
      </w:r>
    </w:p>
    <w:p>
      <w:pPr>
        <w:spacing w:after="120" w:line="276" w:lineRule="auto"/>
      </w:pPr>
      <w:r>
        <w:t>**MACD**: La valeur du MACD (1 208,7) est supérieure à son signal (1 063,7), confirmant un momentum haussier positif. La divergence positive entre le MACD et le signal indique que la tendance haussière est toujours en vigueur, justifiant la décision d'achat.</w:t>
      </w:r>
    </w:p>
    <w:p>
      <w:pPr>
        <w:spacing w:after="120" w:line="276" w:lineRule="auto"/>
      </w:pPr>
      <w:r>
        <w:t>**RSI**: À 79,6, le RSI est en zone de surachat (&gt;70), signalant que le titre est techniquement surévalué à court terme. Cette situation suggère un risque de correction ou de consolidation, justifiant la décision de vente pour les traders à court terme.</w:t>
      </w:r>
    </w:p>
    <w:p>
      <w:pPr>
        <w:spacing w:after="120" w:line="276" w:lineRule="auto"/>
      </w:pPr>
      <w:r>
        <w:t>**Stochastique**: Le %K (86,0) et le %D (92,3) sont tous deux en zone de surachat, avec un %K inférieur au %D, indiquant un croisement baissier potentiel. Cette configuration signale un essoufflement du momentum haussier, justifiant la décision de vente.</w:t>
      </w:r>
    </w:p>
    <w:p>
      <w:pPr>
        <w:spacing w:after="120" w:line="276" w:lineRule="auto"/>
      </w:pPr>
      <w:r>
        <w:t>**Conclusion technique**: Les indicateurs de tendance (MM, MACD) sont positifs, mais les oscillateurs (RSI, Stochastique) montrent des signaux de surachat. Cette divergence suggère une possible consolidation à court terme avant la poursuite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(1 084,1 milliards FCFA), confirmant une dynamique commerciale robuste. Le résultat net consolidé s'établit à 167,8 milliards FCFA (+6,1%), avec un résultat net part du groupe de 129,1 milliards FCFA (+14,5%). La rentabilité reste excellente avec un ROE de 23,7% et un ROA de 6,6%. La marge opérationnelle de 24,0% et la marge nette de 14,0% témoignent d'une bonne maîtrise opérationnelle. Le BFR négatif de -198 milliards FCFA est un signe de solidité financière, indiquant que l'entreprise finance son cycle d'exploitation par ses fournisseurs (délai fournisseurs de 210 jours contre 52 jours pour les clients). L'endettement reste maîtrisé avec une capacité de remboursement de 0,99 an. Sur la base du rapport T1 2026 (CA +14,8% à 325,6 milliards FCFA, résultat net +25,2% à 48,3 milliards FCFA), on estime que l'exercice 2026 pourrait voir une accélération de la croissance, avec un CA potentiel dépassant 1 350 milliards FCFA et un résultat net supérieur à 190 milliards FCFA. La politique de dividende reste attractive avec 800 FCFA brut par action proposé pour 2025, soit un rendement d'environ 3,8% au cours actuel.</w:t>
      </w:r>
    </w:p>
    <w:p>
      <w:pPr>
        <w:spacing w:after="120" w:line="276" w:lineRule="auto" w:before="240"/>
      </w:pPr>
      <w:r>
        <w:rPr>
          <w:b/>
          <w:color w:val="003366"/>
          <w:sz w:val="24"/>
        </w:rPr>
        <w:t>**PARTIE 4 : CONCLUSION D'INVESTISSEMENT**</w:t>
      </w:r>
    </w:p>
    <w:p>
      <w:pPr>
        <w:spacing w:after="120" w:line="276" w:lineRule="auto"/>
      </w:pPr>
      <w:r>
        <w:t>La valorisation d'ORAC (PER 18,9x, P/B 4,47x) indique une prime par rapport au marché BRVM, mais elle est justifiée par la qualité exceptionnelle des fondamentaux (ROE 23,7%, croissance CA +10,4%). Le comportement du cours (+40% sur 100 jours) montre une dynamique haussière forte, bien que les statistiques (kurtosis élevé, volatilité 29,2%) signalent un risque accru de mouvements brusques. Les signaux techniques sont mitigés : tendance positive (MM, MACD) mais surachat imminent (RSI, Stochastique), suggérant une possible consolidation. Les fondamentaux restent excellents avec des perspectives de croissance soutenue pour 2026. Les prédictions IA (baisse progressive vers 20 219 FCFA à J+10) confirment un scénario de consolidation à court terme. La convergence entre la solidité fondamentale, la tendance haussière de fond et la correction technique attendue conduit à une recommandation **CONSERVER** avec un niveau de confiance **Moyen** et un risque global **Élevé** en raison de la volatilité. L'horizon d'investissement optimal est le **moyen terme (3-12 mois)**, en attendant une meilleure point d'entrée après la consolidation technique.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221.09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5,559 titres</w:t>
            </w:r>
          </w:p>
        </w:tc>
        <w:tc>
          <w:tcPr>
            <w:tcW w:type="dxa" w:w="2268"/>
            <w:shd w:fill="FFF2CC" w:val="clear"/>
          </w:tcPr>
          <w:p>
            <w:r>
              <w:rPr>
                <w:b/>
                <w:color w:val="503200"/>
                <w:sz w:val="16"/>
              </w:rPr>
              <w:t xml:space="preserve">Cours actuel : </w:t>
            </w:r>
            <w:r>
              <w:rPr>
                <w:color w:val="000000"/>
                <w:sz w:val="17"/>
              </w:rPr>
              <w:t>3,185 FCFA</w:t>
            </w:r>
          </w:p>
          <w:p>
            <w:r>
              <w:rPr>
                <w:b/>
                <w:color w:val="503200"/>
                <w:sz w:val="16"/>
              </w:rPr>
              <w:t xml:space="preserve">Var. 100 jours : </w:t>
            </w:r>
            <w:r>
              <w:rPr>
                <w:b/>
                <w:color w:val="B40000"/>
                <w:sz w:val="17"/>
              </w:rPr>
              <w:t>-11.53%</w:t>
            </w:r>
          </w:p>
          <w:p>
            <w:r>
              <w:rPr>
                <w:b/>
                <w:color w:val="503200"/>
                <w:sz w:val="16"/>
              </w:rPr>
              <w:t xml:space="preserve">Plus haut 100j : </w:t>
            </w:r>
            <w:r>
              <w:rPr>
                <w:color w:val="000000"/>
                <w:sz w:val="17"/>
              </w:rPr>
              <w:t>3,650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10.16% (Moyenne) — μ=2,926 FCFA, σ=297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β=0.3204 (Défensif) — Cov=0.000012, Var(idx)=0.000036, ρ=0.070,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3,076</w:t>
            </w:r>
          </w:p>
        </w:tc>
        <w:tc>
          <w:tcPr>
            <w:tcW w:type="dxa" w:w="1440"/>
            <w:shd w:fill="FAFAFA" w:val="clear"/>
          </w:tcPr>
          <w:p>
            <w:r>
              <w:rPr>
                <w:b/>
                <w:sz w:val="17"/>
              </w:rPr>
              <w:t>3,172</w:t>
            </w:r>
          </w:p>
        </w:tc>
        <w:tc>
          <w:tcPr>
            <w:tcW w:type="dxa" w:w="1440"/>
            <w:shd w:fill="FAFAFA" w:val="clear"/>
          </w:tcPr>
          <w:p>
            <w:r>
              <w:rPr>
                <w:sz w:val="17"/>
              </w:rPr>
              <w:t>3,267</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3,034</w:t>
            </w:r>
          </w:p>
        </w:tc>
        <w:tc>
          <w:tcPr>
            <w:tcW w:type="dxa" w:w="1440"/>
            <w:shd w:fill="FAFAFA" w:val="clear"/>
          </w:tcPr>
          <w:p>
            <w:r>
              <w:rPr>
                <w:b/>
                <w:sz w:val="17"/>
              </w:rPr>
              <w:t>3,168</w:t>
            </w:r>
          </w:p>
        </w:tc>
        <w:tc>
          <w:tcPr>
            <w:tcW w:type="dxa" w:w="1440"/>
            <w:shd w:fill="FAFAFA" w:val="clear"/>
          </w:tcPr>
          <w:p>
            <w:r>
              <w:rPr>
                <w:sz w:val="17"/>
              </w:rPr>
              <w:t>3,303</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3,000</w:t>
            </w:r>
          </w:p>
        </w:tc>
        <w:tc>
          <w:tcPr>
            <w:tcW w:type="dxa" w:w="1440"/>
            <w:shd w:fill="FAFAFA" w:val="clear"/>
          </w:tcPr>
          <w:p>
            <w:r>
              <w:rPr>
                <w:b/>
                <w:sz w:val="17"/>
              </w:rPr>
              <w:t>3,165</w:t>
            </w:r>
          </w:p>
        </w:tc>
        <w:tc>
          <w:tcPr>
            <w:tcW w:type="dxa" w:w="1440"/>
            <w:shd w:fill="FAFAFA" w:val="clear"/>
          </w:tcPr>
          <w:p>
            <w:r>
              <w:rPr>
                <w:sz w:val="17"/>
              </w:rPr>
              <w:t>3,330</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2026-09-08</w:t>
            </w:r>
          </w:p>
        </w:tc>
        <w:tc>
          <w:tcPr>
            <w:tcW w:type="dxa" w:w="1440"/>
            <w:shd w:fill="FAFAFA" w:val="clear"/>
          </w:tcPr>
          <w:p>
            <w:r>
              <w:rPr>
                <w:sz w:val="17"/>
              </w:rPr>
              <w:t>2,971</w:t>
            </w:r>
          </w:p>
        </w:tc>
        <w:tc>
          <w:tcPr>
            <w:tcW w:type="dxa" w:w="1440"/>
            <w:shd w:fill="FAFAFA" w:val="clear"/>
          </w:tcPr>
          <w:p>
            <w:r>
              <w:rPr>
                <w:b/>
                <w:sz w:val="17"/>
              </w:rPr>
              <w:t>3,161</w:t>
            </w:r>
          </w:p>
        </w:tc>
        <w:tc>
          <w:tcPr>
            <w:tcW w:type="dxa" w:w="1440"/>
            <w:shd w:fill="FAFAFA" w:val="clear"/>
          </w:tcPr>
          <w:p>
            <w:r>
              <w:rPr>
                <w:sz w:val="17"/>
              </w:rPr>
              <w:t>3,352</w:t>
            </w:r>
          </w:p>
        </w:tc>
        <w:tc>
          <w:tcPr>
            <w:tcW w:type="dxa" w:w="1440"/>
            <w:shd w:fill="FAFAFA" w:val="clear"/>
          </w:tcPr>
          <w:p>
            <w:r>
              <w:rPr>
                <w:b/>
                <w:color w:val="C00000"/>
                <w:sz w:val="17"/>
              </w:rPr>
              <w:t>-0.7%</w:t>
            </w:r>
          </w:p>
        </w:tc>
      </w:tr>
      <w:tr>
        <w:tc>
          <w:tcPr>
            <w:tcW w:type="dxa" w:w="1440"/>
            <w:shd w:fill="FAFAFA" w:val="clear"/>
          </w:tcPr>
          <w:p>
            <w:r>
              <w:rPr>
                <w:sz w:val="17"/>
              </w:rPr>
              <w:t>J+5  Moyenne</w:t>
            </w:r>
          </w:p>
        </w:tc>
        <w:tc>
          <w:tcPr>
            <w:tcW w:type="dxa" w:w="1440"/>
            <w:shd w:fill="FAFAFA" w:val="clear"/>
          </w:tcPr>
          <w:p>
            <w:r>
              <w:rPr>
                <w:sz w:val="17"/>
              </w:rPr>
              <w:t>2026-09-09</w:t>
            </w:r>
          </w:p>
        </w:tc>
        <w:tc>
          <w:tcPr>
            <w:tcW w:type="dxa" w:w="1440"/>
            <w:shd w:fill="FAFAFA" w:val="clear"/>
          </w:tcPr>
          <w:p>
            <w:r>
              <w:rPr>
                <w:sz w:val="17"/>
              </w:rPr>
              <w:t>2,946</w:t>
            </w:r>
          </w:p>
        </w:tc>
        <w:tc>
          <w:tcPr>
            <w:tcW w:type="dxa" w:w="1440"/>
            <w:shd w:fill="FAFAFA" w:val="clear"/>
          </w:tcPr>
          <w:p>
            <w:r>
              <w:rPr>
                <w:b/>
                <w:sz w:val="17"/>
              </w:rPr>
              <w:t>3,158</w:t>
            </w:r>
          </w:p>
        </w:tc>
        <w:tc>
          <w:tcPr>
            <w:tcW w:type="dxa" w:w="1440"/>
            <w:shd w:fill="FAFAFA" w:val="clear"/>
          </w:tcPr>
          <w:p>
            <w:r>
              <w:rPr>
                <w:sz w:val="17"/>
              </w:rPr>
              <w:t>3,371</w:t>
            </w:r>
          </w:p>
        </w:tc>
        <w:tc>
          <w:tcPr>
            <w:tcW w:type="dxa" w:w="1440"/>
            <w:shd w:fill="FAFAFA" w:val="clear"/>
          </w:tcPr>
          <w:p>
            <w:r>
              <w:rPr>
                <w:b/>
                <w:color w:val="C00000"/>
                <w:sz w:val="17"/>
              </w:rPr>
              <w:t>-0.8%</w:t>
            </w:r>
          </w:p>
        </w:tc>
      </w:tr>
      <w:tr>
        <w:tc>
          <w:tcPr>
            <w:tcW w:type="dxa" w:w="1440"/>
            <w:shd w:fill="FAFAFA" w:val="clear"/>
          </w:tcPr>
          <w:p>
            <w:r>
              <w:rPr>
                <w:sz w:val="17"/>
              </w:rPr>
              <w:t>J+6  Moyenne</w:t>
            </w:r>
          </w:p>
        </w:tc>
        <w:tc>
          <w:tcPr>
            <w:tcW w:type="dxa" w:w="1440"/>
            <w:shd w:fill="FAFAFA" w:val="clear"/>
          </w:tcPr>
          <w:p>
            <w:r>
              <w:rPr>
                <w:sz w:val="17"/>
              </w:rPr>
              <w:t>2026-09-10</w:t>
            </w:r>
          </w:p>
        </w:tc>
        <w:tc>
          <w:tcPr>
            <w:tcW w:type="dxa" w:w="1440"/>
            <w:shd w:fill="FAFAFA" w:val="clear"/>
          </w:tcPr>
          <w:p>
            <w:r>
              <w:rPr>
                <w:sz w:val="17"/>
              </w:rPr>
              <w:t>2,923</w:t>
            </w:r>
          </w:p>
        </w:tc>
        <w:tc>
          <w:tcPr>
            <w:tcW w:type="dxa" w:w="1440"/>
            <w:shd w:fill="FAFAFA" w:val="clear"/>
          </w:tcPr>
          <w:p>
            <w:r>
              <w:rPr>
                <w:b/>
                <w:sz w:val="17"/>
              </w:rPr>
              <w:t>3,155</w:t>
            </w:r>
          </w:p>
        </w:tc>
        <w:tc>
          <w:tcPr>
            <w:tcW w:type="dxa" w:w="1440"/>
            <w:shd w:fill="FAFAFA" w:val="clear"/>
          </w:tcPr>
          <w:p>
            <w:r>
              <w:rPr>
                <w:sz w:val="17"/>
              </w:rPr>
              <w:t>3,388</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2026-09-11</w:t>
            </w:r>
          </w:p>
        </w:tc>
        <w:tc>
          <w:tcPr>
            <w:tcW w:type="dxa" w:w="1440"/>
            <w:shd w:fill="FAFAFA" w:val="clear"/>
          </w:tcPr>
          <w:p>
            <w:r>
              <w:rPr>
                <w:sz w:val="17"/>
              </w:rPr>
              <w:t>2,902</w:t>
            </w:r>
          </w:p>
        </w:tc>
        <w:tc>
          <w:tcPr>
            <w:tcW w:type="dxa" w:w="1440"/>
            <w:shd w:fill="FAFAFA" w:val="clear"/>
          </w:tcPr>
          <w:p>
            <w:r>
              <w:rPr>
                <w:b/>
                <w:sz w:val="17"/>
              </w:rPr>
              <w:t>3,153</w:t>
            </w:r>
          </w:p>
        </w:tc>
        <w:tc>
          <w:tcPr>
            <w:tcW w:type="dxa" w:w="1440"/>
            <w:shd w:fill="FAFAFA" w:val="clear"/>
          </w:tcPr>
          <w:p>
            <w:r>
              <w:rPr>
                <w:sz w:val="17"/>
              </w:rPr>
              <w:t>3,403</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2026-09-14</w:t>
            </w:r>
          </w:p>
        </w:tc>
        <w:tc>
          <w:tcPr>
            <w:tcW w:type="dxa" w:w="1440"/>
            <w:shd w:fill="FAFAFA" w:val="clear"/>
          </w:tcPr>
          <w:p>
            <w:r>
              <w:rPr>
                <w:sz w:val="17"/>
              </w:rPr>
              <w:t>2,882</w:t>
            </w:r>
          </w:p>
        </w:tc>
        <w:tc>
          <w:tcPr>
            <w:tcW w:type="dxa" w:w="1440"/>
            <w:shd w:fill="FAFAFA" w:val="clear"/>
          </w:tcPr>
          <w:p>
            <w:r>
              <w:rPr>
                <w:b/>
                <w:sz w:val="17"/>
              </w:rPr>
              <w:t>3,150</w:t>
            </w:r>
          </w:p>
        </w:tc>
        <w:tc>
          <w:tcPr>
            <w:tcW w:type="dxa" w:w="1440"/>
            <w:shd w:fill="FAFAFA" w:val="clear"/>
          </w:tcPr>
          <w:p>
            <w:r>
              <w:rPr>
                <w:sz w:val="17"/>
              </w:rPr>
              <w:t>3,418</w:t>
            </w:r>
          </w:p>
        </w:tc>
        <w:tc>
          <w:tcPr>
            <w:tcW w:type="dxa" w:w="1440"/>
            <w:shd w:fill="FAFAFA" w:val="clear"/>
          </w:tcPr>
          <w:p>
            <w:r>
              <w:rPr>
                <w:b/>
                <w:color w:val="C00000"/>
                <w:sz w:val="17"/>
              </w:rPr>
              <w:t>-1.1%</w:t>
            </w:r>
          </w:p>
        </w:tc>
      </w:tr>
      <w:tr>
        <w:tc>
          <w:tcPr>
            <w:tcW w:type="dxa" w:w="1440"/>
            <w:shd w:fill="FAFAFA" w:val="clear"/>
          </w:tcPr>
          <w:p>
            <w:r>
              <w:rPr>
                <w:sz w:val="17"/>
              </w:rPr>
              <w:t>J+9  Moyenne</w:t>
            </w:r>
          </w:p>
        </w:tc>
        <w:tc>
          <w:tcPr>
            <w:tcW w:type="dxa" w:w="1440"/>
            <w:shd w:fill="FAFAFA" w:val="clear"/>
          </w:tcPr>
          <w:p>
            <w:r>
              <w:rPr>
                <w:sz w:val="17"/>
              </w:rPr>
              <w:t>2026-09-15</w:t>
            </w:r>
          </w:p>
        </w:tc>
        <w:tc>
          <w:tcPr>
            <w:tcW w:type="dxa" w:w="1440"/>
            <w:shd w:fill="FAFAFA" w:val="clear"/>
          </w:tcPr>
          <w:p>
            <w:r>
              <w:rPr>
                <w:sz w:val="17"/>
              </w:rPr>
              <w:t>2,863</w:t>
            </w:r>
          </w:p>
        </w:tc>
        <w:tc>
          <w:tcPr>
            <w:tcW w:type="dxa" w:w="1440"/>
            <w:shd w:fill="FAFAFA" w:val="clear"/>
          </w:tcPr>
          <w:p>
            <w:r>
              <w:rPr>
                <w:b/>
                <w:sz w:val="17"/>
              </w:rPr>
              <w:t>3,147</w:t>
            </w:r>
          </w:p>
        </w:tc>
        <w:tc>
          <w:tcPr>
            <w:tcW w:type="dxa" w:w="1440"/>
            <w:shd w:fill="FAFAFA" w:val="clear"/>
          </w:tcPr>
          <w:p>
            <w:r>
              <w:rPr>
                <w:sz w:val="17"/>
              </w:rPr>
              <w:t>3,431</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2026-09-16</w:t>
            </w:r>
          </w:p>
        </w:tc>
        <w:tc>
          <w:tcPr>
            <w:tcW w:type="dxa" w:w="1440"/>
            <w:shd w:fill="FAFAFA" w:val="clear"/>
          </w:tcPr>
          <w:p>
            <w:r>
              <w:rPr>
                <w:sz w:val="17"/>
              </w:rPr>
              <w:t>2,845</w:t>
            </w:r>
          </w:p>
        </w:tc>
        <w:tc>
          <w:tcPr>
            <w:tcW w:type="dxa" w:w="1440"/>
            <w:shd w:fill="FAFAFA" w:val="clear"/>
          </w:tcPr>
          <w:p>
            <w:r>
              <w:rPr>
                <w:b/>
                <w:sz w:val="17"/>
              </w:rPr>
              <w:t>3,144</w:t>
            </w:r>
          </w:p>
        </w:tc>
        <w:tc>
          <w:tcPr>
            <w:tcW w:type="dxa" w:w="1440"/>
            <w:shd w:fill="FAFAFA" w:val="clear"/>
          </w:tcPr>
          <w:p>
            <w:r>
              <w:rPr>
                <w:sz w:val="17"/>
              </w:rPr>
              <w:t>3,443</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221,09 milliards FCFA, un niveau significatif qui positionne le titre parmi les valeurs moyennes du marché BRVM, reflétant la taille du groupe bancaire panafricain. Le BPA de 312 FCFA indique que chaque action a généré un bénéfice substantiel sur l'exercice. Le PER de 10,2x se situe dans la fourchette moyenne du marché BRVM (8-12x), suggérant une valorisation raisonnable, ni bradée ni exubérante. Le P/B de 1,95x indique que le marché valorise la société à près du double de sa valeur comptable, ce qui témoigne d'une confiance dans la création de valeur future, tout en restant dans une zone modérée. En revanche, l'EV/EBITDA de 20,1x est nettement supérieur au seuil de 15x, signalant une valorisation exigeante de la capacité opérationnelle de la banque, un point de vigilance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des 100 derniers jours, l'action ORGT a enregistré une variation totale de -11,53%, illustrant une tendance baissière marquée, bien que la dernière séance affiche une stabilité (+0,00%). Le cours a évolué dans un range de trading large, oscillant entre un plus bas de 2 435 FCFA et un plus haut de 3 650 FCFA, soit une amplitude de près de 50%, signe d'une volatilité importante. Le cours actuel de 3 185 FCFA se situe au-dessus de la moyenne (2 926 FCFA) et de la médiane (2 780 FCFA), l'écart entre ces deux indicateurs, couplé à un skewness positif (0.563), confirme une asymétrie positive avec des épisodes de fortes hausses moins fréquents mais plus amples. L'écart-type de 299 FCFA (CV=10,2%) indique une dispersion modérée autour de la moyenne, tandis que le kurtosis de -0,738 (mésokurtique) suggère une distribution des rendements proche de la normale, sans risque de pics extrêmes. La volatilité annualisée de 43,5% classe le titre comme très volatil (&gt;30%), un paramètre essentiel pour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(3 185 FCFA) se positionne au-dessus de la MM20 (3 130,75 FCFA) et nettement au-dessus de la MM50 (2 895,6 FCFA). Cette configuration haussière, où le prix évolue au-dessus de ses moyennes clés, justifie la décision d'**Achat**, indiquant une dynamique positive à court et moyen terme.</w:t>
      </w:r>
    </w:p>
    <w:p>
      <w:pPr>
        <w:spacing w:after="120" w:line="276" w:lineRule="auto"/>
      </w:pPr>
      <w:r>
        <w:t>**Bandes de Bollinger** : Le prix se situe à 3 185 FCFA, à l'intérieur des bandes (borne supérieure à 3 230,34 et borne inférieure à 3 031,16 FCFA), proche de la borne supérieure. Cette position suggère une pression acheteuse sans extension excessive, la décision est **Neutre**. La largeur des bandes reflète la volatilité élevée du titre.</w:t>
      </w:r>
    </w:p>
    <w:p>
      <w:pPr>
        <w:spacing w:after="120" w:line="276" w:lineRule="auto"/>
      </w:pPr>
      <w:r>
        <w:t>**MACD** : Le MACD (78,506) est inférieur à sa ligne de signal (85,521), indiquant un momentum baissier à court terme. Cette configuration, où la ligne MACD passe sous le signal, est un signe de faiblesse relative et justifie la décision de **Vente**.</w:t>
      </w:r>
    </w:p>
    <w:p>
      <w:pPr>
        <w:spacing w:after="120" w:line="276" w:lineRule="auto"/>
      </w:pPr>
      <w:r>
        <w:t>**RSI** : Le RSI s'établit à 59,036, dans la zone neutre (entre 30 et 70). Le titre n'est ni suracheté ni survendu, indiquant un équilibre entre l'offre et la demande. La décision est **Neutre**, laissant place à une évolution dans un sens ou dans l'autre.</w:t>
      </w:r>
    </w:p>
    <w:p>
      <w:pPr>
        <w:spacing w:after="120" w:line="276" w:lineRule="auto"/>
      </w:pPr>
      <w:r>
        <w:t>**Stochastique** : Le %K (93,75) et le %D (89,58) sont tous deux à des niveaux très élevés, bien au-dessus de 80, ce qui place le titre en zone de surachat. Cette configuration signale un risque de retournement baissier imminent, justifiant la décision de **Vente**.</w:t>
      </w:r>
    </w:p>
    <w:p>
      <w:pPr>
        <w:spacing w:after="120" w:line="276" w:lineRule="auto"/>
      </w:pPr>
      <w:r>
        <w:t>**Conclusion technique** : Les indicateurs techniques sont mitigés. Les moyennes mobiles plaident pour une tendance haussière de fond, mais le MACD et le Stochastique, tous deux en zone de surachat ou de croisement baissier, signalent un essoufflement à court terme. La prudence est de mise, un repli technique semblant probable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d'ORGT, une **banque**, montrent un Produit Net Bancaire (PNB) de 186,609 milliards FCFA, en léger recul de -4,5% par rapport à 2024. Le résultat net a opéré un spectaculaire retournement pour atteindre **21,643 milliards FCFA**, contre une perte de -44,363 milliards en 2024. Cette performance est portée par un coefficient d'exploitation de 42,85%, signe d'une excellente maîtrise des coûts, et une chute drastique du coût du risque à 3,73%. Le ROE est excellent à 19,12%, et le ROA ressort à 0,54%. Les dépôts clientèle (3 088,698 Mds FCFA) financent largement les créances sur la clientèle (1 523,765 Mds FCFA), indiquant une transformation saine. **Les rapports trimestriels 2025** confirment cette trajectoire : le S1 2025 (certifié) affichait un bénéfice de 18,3 milliards, et le T3 un résultat de 19,6 milliards. **Sur la base du rapport T1 2026** (résultat net de 6,555 milliards, en hausse de 37%), on estime que l'exercice 2026 pourrait confirmer la consolidation du redressement, avec une rentabilité soutenue par la maîtrise du risque et des coûts, malgré un PNB toujours en légère baisse. La solidité financière est réelle, mais la croissance organique du PNB reste le principal défi.</w:t>
      </w:r>
    </w:p>
    <w:p>
      <w:pPr>
        <w:spacing w:after="120" w:line="276" w:lineRule="auto"/>
      </w:pPr>
      <w:r>
        <w:t>---</w:t>
      </w:r>
    </w:p>
    <w:p>
      <w:pPr>
        <w:spacing w:after="120" w:line="276" w:lineRule="auto"/>
      </w:pPr>
      <w:r>
        <w:t>### PARTIE 4 : CONCLUSION D'INVESTISSEMENT</w:t>
      </w:r>
    </w:p>
    <w:p>
      <w:pPr>
        <w:spacing w:after="120" w:line="276" w:lineRule="auto"/>
      </w:pPr>
      <w:r>
        <w:t>La valorisation d'ORGT est contrastée : un PER de 10,2x et un P/B de 1,95x suggèrent une valorisation raisonnable, mais l'EV/EBITDA de 20,1x est exigeant. Le comportement du cours sur 100 jours est baissier (-11,53%) avec une volatilité très élevée (43,5%), bien que les statistiques montrent une distribution normale sans risque de krach soudain. Les signaux techniques sont divergents : les moyennes mobiles sont haussières, mais le MACD et le Stochastique indiquent un risque de correction à court terme. Les fondamentaux sont solides, avec un retour spectaculaire à la rentabilité en 2025 et des perspectives 2026 positives, mais la baisse du PNB est un point de vigilance. Les prédictions IA (3 172 à 3 158 FCFA) suggèrent une légère érosion du cours sur les 10 prochains jours, contredisant les signaux des moyennes mobiles mais confirmant la prudence des indicateurs de momentum. En synthèse, la convergence est partielle : la solidité fondamentale et la valorisation raisonnable plaident pour une conservation, mais la faiblesse technique à court terme et la volatilité élevée incitent à la prudence. **Recommandation finale : CONSERVER**, avec un niveau de confiance **Moyen**. Le risque global est **Élevé** en raison de la volatilité. L'horizon d'investissement optimal est le **moyen terme (3-12 mois)**, le temps que la dynamique commerciale se confirme et que les indicateurs techniques se clarifient.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3,583 titres</w:t>
            </w:r>
          </w:p>
        </w:tc>
        <w:tc>
          <w:tcPr>
            <w:tcW w:type="dxa" w:w="2268"/>
            <w:shd w:fill="FFF2CC" w:val="clear"/>
          </w:tcPr>
          <w:p>
            <w:r>
              <w:rPr>
                <w:b/>
                <w:color w:val="503200"/>
                <w:sz w:val="16"/>
              </w:rPr>
              <w:t xml:space="preserve">Cours actuel : </w:t>
            </w:r>
            <w:r>
              <w:rPr>
                <w:color w:val="000000"/>
                <w:sz w:val="17"/>
              </w:rPr>
              <w:t>9,015 FCFA</w:t>
            </w:r>
          </w:p>
          <w:p>
            <w:r>
              <w:rPr>
                <w:b/>
                <w:color w:val="503200"/>
                <w:sz w:val="16"/>
              </w:rPr>
              <w:t xml:space="preserve">Var. 100 jours : </w:t>
            </w:r>
            <w:r>
              <w:rPr>
                <w:b/>
                <w:color w:val="007800"/>
                <w:sz w:val="17"/>
              </w:rPr>
              <w:t>+9.94%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6.67% (Moyenne) — μ=8,515 FCFA, σ=568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β=-0.3183 (Contre-cyclique) — Cov=-0.000011, Var(idx)=0.000036, ρ=-0.080,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2026-09-03</w:t>
            </w:r>
          </w:p>
        </w:tc>
        <w:tc>
          <w:tcPr>
            <w:tcW w:type="dxa" w:w="1440"/>
            <w:shd w:fill="C6EFCE" w:val="clear"/>
          </w:tcPr>
          <w:p>
            <w:r>
              <w:rPr>
                <w:sz w:val="17"/>
              </w:rPr>
              <w:t>8,920</w:t>
            </w:r>
          </w:p>
        </w:tc>
        <w:tc>
          <w:tcPr>
            <w:tcW w:type="dxa" w:w="1440"/>
            <w:shd w:fill="C6EFCE" w:val="clear"/>
          </w:tcPr>
          <w:p>
            <w:r>
              <w:rPr>
                <w:b/>
                <w:sz w:val="17"/>
              </w:rPr>
              <w:t>9,205</w:t>
            </w:r>
          </w:p>
        </w:tc>
        <w:tc>
          <w:tcPr>
            <w:tcW w:type="dxa" w:w="1440"/>
            <w:shd w:fill="C6EFCE" w:val="clear"/>
          </w:tcPr>
          <w:p>
            <w:r>
              <w:rPr>
                <w:sz w:val="17"/>
              </w:rPr>
              <w:t>9,490</w:t>
            </w:r>
          </w:p>
        </w:tc>
        <w:tc>
          <w:tcPr>
            <w:tcW w:type="dxa" w:w="1440"/>
            <w:shd w:fill="C6EFCE" w:val="clear"/>
          </w:tcPr>
          <w:p>
            <w:r>
              <w:rPr>
                <w:b/>
                <w:color w:val="008000"/>
                <w:sz w:val="17"/>
              </w:rPr>
              <w:t>+2.1%</w:t>
            </w:r>
          </w:p>
        </w:tc>
      </w:tr>
      <w:tr>
        <w:tc>
          <w:tcPr>
            <w:tcW w:type="dxa" w:w="1440"/>
            <w:shd w:fill="C6EFCE" w:val="clear"/>
          </w:tcPr>
          <w:p>
            <w:r>
              <w:rPr>
                <w:sz w:val="17"/>
              </w:rPr>
              <w:t>J+2  ⭐⭐⭐</w:t>
            </w:r>
          </w:p>
        </w:tc>
        <w:tc>
          <w:tcPr>
            <w:tcW w:type="dxa" w:w="1440"/>
            <w:shd w:fill="C6EFCE" w:val="clear"/>
          </w:tcPr>
          <w:p>
            <w:r>
              <w:rPr>
                <w:sz w:val="17"/>
              </w:rPr>
              <w:t>2026-09-04</w:t>
            </w:r>
          </w:p>
        </w:tc>
        <w:tc>
          <w:tcPr>
            <w:tcW w:type="dxa" w:w="1440"/>
            <w:shd w:fill="C6EFCE" w:val="clear"/>
          </w:tcPr>
          <w:p>
            <w:r>
              <w:rPr>
                <w:sz w:val="17"/>
              </w:rPr>
              <w:t>8,801</w:t>
            </w:r>
          </w:p>
        </w:tc>
        <w:tc>
          <w:tcPr>
            <w:tcW w:type="dxa" w:w="1440"/>
            <w:shd w:fill="C6EFCE" w:val="clear"/>
          </w:tcPr>
          <w:p>
            <w:r>
              <w:rPr>
                <w:b/>
                <w:sz w:val="17"/>
              </w:rPr>
              <w:t>9,204</w:t>
            </w:r>
          </w:p>
        </w:tc>
        <w:tc>
          <w:tcPr>
            <w:tcW w:type="dxa" w:w="1440"/>
            <w:shd w:fill="C6EFCE" w:val="clear"/>
          </w:tcPr>
          <w:p>
            <w:r>
              <w:rPr>
                <w:sz w:val="17"/>
              </w:rPr>
              <w:t>9,607</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2026-09-07</w:t>
            </w:r>
          </w:p>
        </w:tc>
        <w:tc>
          <w:tcPr>
            <w:tcW w:type="dxa" w:w="1440"/>
            <w:shd w:fill="C6EFCE" w:val="clear"/>
          </w:tcPr>
          <w:p>
            <w:r>
              <w:rPr>
                <w:sz w:val="17"/>
              </w:rPr>
              <w:t>8,736</w:t>
            </w:r>
          </w:p>
        </w:tc>
        <w:tc>
          <w:tcPr>
            <w:tcW w:type="dxa" w:w="1440"/>
            <w:shd w:fill="C6EFCE" w:val="clear"/>
          </w:tcPr>
          <w:p>
            <w:r>
              <w:rPr>
                <w:b/>
                <w:sz w:val="17"/>
              </w:rPr>
              <w:t>9,231</w:t>
            </w:r>
          </w:p>
        </w:tc>
        <w:tc>
          <w:tcPr>
            <w:tcW w:type="dxa" w:w="1440"/>
            <w:shd w:fill="C6EFCE" w:val="clear"/>
          </w:tcPr>
          <w:p>
            <w:r>
              <w:rPr>
                <w:sz w:val="17"/>
              </w:rPr>
              <w:t>9,726</w:t>
            </w:r>
          </w:p>
        </w:tc>
        <w:tc>
          <w:tcPr>
            <w:tcW w:type="dxa" w:w="1440"/>
            <w:shd w:fill="C6EFCE" w:val="clear"/>
          </w:tcPr>
          <w:p>
            <w:r>
              <w:rPr>
                <w:b/>
                <w:color w:val="008000"/>
                <w:sz w:val="17"/>
              </w:rPr>
              <w:t>+2.4%</w:t>
            </w:r>
          </w:p>
        </w:tc>
      </w:tr>
      <w:tr>
        <w:tc>
          <w:tcPr>
            <w:tcW w:type="dxa" w:w="1440"/>
            <w:shd w:fill="C6EFCE" w:val="clear"/>
          </w:tcPr>
          <w:p>
            <w:r>
              <w:rPr>
                <w:sz w:val="17"/>
              </w:rPr>
              <w:t>J+4  Moyenne</w:t>
            </w:r>
          </w:p>
        </w:tc>
        <w:tc>
          <w:tcPr>
            <w:tcW w:type="dxa" w:w="1440"/>
            <w:shd w:fill="C6EFCE" w:val="clear"/>
          </w:tcPr>
          <w:p>
            <w:r>
              <w:rPr>
                <w:sz w:val="17"/>
              </w:rPr>
              <w:t>2026-09-08</w:t>
            </w:r>
          </w:p>
        </w:tc>
        <w:tc>
          <w:tcPr>
            <w:tcW w:type="dxa" w:w="1440"/>
            <w:shd w:fill="C6EFCE" w:val="clear"/>
          </w:tcPr>
          <w:p>
            <w:r>
              <w:rPr>
                <w:sz w:val="17"/>
              </w:rPr>
              <w:t>8,685</w:t>
            </w:r>
          </w:p>
        </w:tc>
        <w:tc>
          <w:tcPr>
            <w:tcW w:type="dxa" w:w="1440"/>
            <w:shd w:fill="C6EFCE" w:val="clear"/>
          </w:tcPr>
          <w:p>
            <w:r>
              <w:rPr>
                <w:b/>
                <w:sz w:val="17"/>
              </w:rPr>
              <w:t>9,258</w:t>
            </w:r>
          </w:p>
        </w:tc>
        <w:tc>
          <w:tcPr>
            <w:tcW w:type="dxa" w:w="1440"/>
            <w:shd w:fill="C6EFCE" w:val="clear"/>
          </w:tcPr>
          <w:p>
            <w:r>
              <w:rPr>
                <w:sz w:val="17"/>
              </w:rPr>
              <w:t>9,832</w:t>
            </w:r>
          </w:p>
        </w:tc>
        <w:tc>
          <w:tcPr>
            <w:tcW w:type="dxa" w:w="1440"/>
            <w:shd w:fill="C6EFCE" w:val="clear"/>
          </w:tcPr>
          <w:p>
            <w:r>
              <w:rPr>
                <w:b/>
                <w:color w:val="008000"/>
                <w:sz w:val="17"/>
              </w:rPr>
              <w:t>+2.7%</w:t>
            </w:r>
          </w:p>
        </w:tc>
      </w:tr>
      <w:tr>
        <w:tc>
          <w:tcPr>
            <w:tcW w:type="dxa" w:w="1440"/>
            <w:shd w:fill="C6EFCE" w:val="clear"/>
          </w:tcPr>
          <w:p>
            <w:r>
              <w:rPr>
                <w:sz w:val="17"/>
              </w:rPr>
              <w:t>J+5  Moyenne</w:t>
            </w:r>
          </w:p>
        </w:tc>
        <w:tc>
          <w:tcPr>
            <w:tcW w:type="dxa" w:w="1440"/>
            <w:shd w:fill="C6EFCE" w:val="clear"/>
          </w:tcPr>
          <w:p>
            <w:r>
              <w:rPr>
                <w:sz w:val="17"/>
              </w:rPr>
              <w:t>2026-09-09</w:t>
            </w:r>
          </w:p>
        </w:tc>
        <w:tc>
          <w:tcPr>
            <w:tcW w:type="dxa" w:w="1440"/>
            <w:shd w:fill="C6EFCE" w:val="clear"/>
          </w:tcPr>
          <w:p>
            <w:r>
              <w:rPr>
                <w:sz w:val="17"/>
              </w:rPr>
              <w:t>8,642</w:t>
            </w:r>
          </w:p>
        </w:tc>
        <w:tc>
          <w:tcPr>
            <w:tcW w:type="dxa" w:w="1440"/>
            <w:shd w:fill="C6EFCE" w:val="clear"/>
          </w:tcPr>
          <w:p>
            <w:r>
              <w:rPr>
                <w:b/>
                <w:sz w:val="17"/>
              </w:rPr>
              <w:t>9,285</w:t>
            </w:r>
          </w:p>
        </w:tc>
        <w:tc>
          <w:tcPr>
            <w:tcW w:type="dxa" w:w="1440"/>
            <w:shd w:fill="C6EFCE" w:val="clear"/>
          </w:tcPr>
          <w:p>
            <w:r>
              <w:rPr>
                <w:sz w:val="17"/>
              </w:rPr>
              <w:t>9,928</w:t>
            </w:r>
          </w:p>
        </w:tc>
        <w:tc>
          <w:tcPr>
            <w:tcW w:type="dxa" w:w="1440"/>
            <w:shd w:fill="C6EFCE" w:val="clear"/>
          </w:tcPr>
          <w:p>
            <w:r>
              <w:rPr>
                <w:b/>
                <w:color w:val="008000"/>
                <w:sz w:val="17"/>
              </w:rPr>
              <w:t>+3.0%</w:t>
            </w:r>
          </w:p>
        </w:tc>
      </w:tr>
      <w:tr>
        <w:tc>
          <w:tcPr>
            <w:tcW w:type="dxa" w:w="1440"/>
            <w:shd w:fill="C6EFCE" w:val="clear"/>
          </w:tcPr>
          <w:p>
            <w:r>
              <w:rPr>
                <w:sz w:val="17"/>
              </w:rPr>
              <w:t>J+6  Moyenne</w:t>
            </w:r>
          </w:p>
        </w:tc>
        <w:tc>
          <w:tcPr>
            <w:tcW w:type="dxa" w:w="1440"/>
            <w:shd w:fill="C6EFCE" w:val="clear"/>
          </w:tcPr>
          <w:p>
            <w:r>
              <w:rPr>
                <w:sz w:val="17"/>
              </w:rPr>
              <w:t>2026-09-10</w:t>
            </w:r>
          </w:p>
        </w:tc>
        <w:tc>
          <w:tcPr>
            <w:tcW w:type="dxa" w:w="1440"/>
            <w:shd w:fill="C6EFCE" w:val="clear"/>
          </w:tcPr>
          <w:p>
            <w:r>
              <w:rPr>
                <w:sz w:val="17"/>
              </w:rPr>
              <w:t>8,605</w:t>
            </w:r>
          </w:p>
        </w:tc>
        <w:tc>
          <w:tcPr>
            <w:tcW w:type="dxa" w:w="1440"/>
            <w:shd w:fill="C6EFCE" w:val="clear"/>
          </w:tcPr>
          <w:p>
            <w:r>
              <w:rPr>
                <w:b/>
                <w:sz w:val="17"/>
              </w:rPr>
              <w:t>9,311</w:t>
            </w:r>
          </w:p>
        </w:tc>
        <w:tc>
          <w:tcPr>
            <w:tcW w:type="dxa" w:w="1440"/>
            <w:shd w:fill="C6EFCE" w:val="clear"/>
          </w:tcPr>
          <w:p>
            <w:r>
              <w:rPr>
                <w:sz w:val="17"/>
              </w:rPr>
              <w:t>10,017</w:t>
            </w:r>
          </w:p>
        </w:tc>
        <w:tc>
          <w:tcPr>
            <w:tcW w:type="dxa" w:w="1440"/>
            <w:shd w:fill="C6EFCE" w:val="clear"/>
          </w:tcPr>
          <w:p>
            <w:r>
              <w:rPr>
                <w:b/>
                <w:color w:val="008000"/>
                <w:sz w:val="17"/>
              </w:rPr>
              <w:t>+3.3%</w:t>
            </w:r>
          </w:p>
        </w:tc>
      </w:tr>
      <w:tr>
        <w:tc>
          <w:tcPr>
            <w:tcW w:type="dxa" w:w="1440"/>
            <w:shd w:fill="C6EFCE" w:val="clear"/>
          </w:tcPr>
          <w:p>
            <w:r>
              <w:rPr>
                <w:sz w:val="17"/>
              </w:rPr>
              <w:t>J+7  Moyenne</w:t>
            </w:r>
          </w:p>
        </w:tc>
        <w:tc>
          <w:tcPr>
            <w:tcW w:type="dxa" w:w="1440"/>
            <w:shd w:fill="C6EFCE" w:val="clear"/>
          </w:tcPr>
          <w:p>
            <w:r>
              <w:rPr>
                <w:sz w:val="17"/>
              </w:rPr>
              <w:t>2026-09-11</w:t>
            </w:r>
          </w:p>
        </w:tc>
        <w:tc>
          <w:tcPr>
            <w:tcW w:type="dxa" w:w="1440"/>
            <w:shd w:fill="C6EFCE" w:val="clear"/>
          </w:tcPr>
          <w:p>
            <w:r>
              <w:rPr>
                <w:sz w:val="17"/>
              </w:rPr>
              <w:t>8,572</w:t>
            </w:r>
          </w:p>
        </w:tc>
        <w:tc>
          <w:tcPr>
            <w:tcW w:type="dxa" w:w="1440"/>
            <w:shd w:fill="C6EFCE" w:val="clear"/>
          </w:tcPr>
          <w:p>
            <w:r>
              <w:rPr>
                <w:b/>
                <w:sz w:val="17"/>
              </w:rPr>
              <w:t>9,337</w:t>
            </w:r>
          </w:p>
        </w:tc>
        <w:tc>
          <w:tcPr>
            <w:tcW w:type="dxa" w:w="1440"/>
            <w:shd w:fill="C6EFCE" w:val="clear"/>
          </w:tcPr>
          <w:p>
            <w:r>
              <w:rPr>
                <w:sz w:val="17"/>
              </w:rPr>
              <w:t>10,102</w:t>
            </w:r>
          </w:p>
        </w:tc>
        <w:tc>
          <w:tcPr>
            <w:tcW w:type="dxa" w:w="1440"/>
            <w:shd w:fill="C6EFCE" w:val="clear"/>
          </w:tcPr>
          <w:p>
            <w:r>
              <w:rPr>
                <w:b/>
                <w:color w:val="008000"/>
                <w:sz w:val="17"/>
              </w:rPr>
              <w:t>+3.6%</w:t>
            </w:r>
          </w:p>
        </w:tc>
      </w:tr>
      <w:tr>
        <w:tc>
          <w:tcPr>
            <w:tcW w:type="dxa" w:w="1440"/>
            <w:shd w:fill="C6EFCE" w:val="clear"/>
          </w:tcPr>
          <w:p>
            <w:r>
              <w:rPr>
                <w:sz w:val="17"/>
              </w:rPr>
              <w:t>J+8  Moyenne</w:t>
            </w:r>
          </w:p>
        </w:tc>
        <w:tc>
          <w:tcPr>
            <w:tcW w:type="dxa" w:w="1440"/>
            <w:shd w:fill="C6EFCE" w:val="clear"/>
          </w:tcPr>
          <w:p>
            <w:r>
              <w:rPr>
                <w:sz w:val="17"/>
              </w:rPr>
              <w:t>2026-09-14</w:t>
            </w:r>
          </w:p>
        </w:tc>
        <w:tc>
          <w:tcPr>
            <w:tcW w:type="dxa" w:w="1440"/>
            <w:shd w:fill="C6EFCE" w:val="clear"/>
          </w:tcPr>
          <w:p>
            <w:r>
              <w:rPr>
                <w:sz w:val="17"/>
              </w:rPr>
              <w:t>8,543</w:t>
            </w:r>
          </w:p>
        </w:tc>
        <w:tc>
          <w:tcPr>
            <w:tcW w:type="dxa" w:w="1440"/>
            <w:shd w:fill="C6EFCE" w:val="clear"/>
          </w:tcPr>
          <w:p>
            <w:r>
              <w:rPr>
                <w:b/>
                <w:sz w:val="17"/>
              </w:rPr>
              <w:t>9,363</w:t>
            </w:r>
          </w:p>
        </w:tc>
        <w:tc>
          <w:tcPr>
            <w:tcW w:type="dxa" w:w="1440"/>
            <w:shd w:fill="C6EFCE" w:val="clear"/>
          </w:tcPr>
          <w:p>
            <w:r>
              <w:rPr>
                <w:sz w:val="17"/>
              </w:rPr>
              <w:t>10,183</w:t>
            </w:r>
          </w:p>
        </w:tc>
        <w:tc>
          <w:tcPr>
            <w:tcW w:type="dxa" w:w="1440"/>
            <w:shd w:fill="C6EFCE" w:val="clear"/>
          </w:tcPr>
          <w:p>
            <w:r>
              <w:rPr>
                <w:b/>
                <w:color w:val="008000"/>
                <w:sz w:val="17"/>
              </w:rPr>
              <w:t>+3.9%</w:t>
            </w:r>
          </w:p>
        </w:tc>
      </w:tr>
      <w:tr>
        <w:tc>
          <w:tcPr>
            <w:tcW w:type="dxa" w:w="1440"/>
            <w:shd w:fill="C6EFCE" w:val="clear"/>
          </w:tcPr>
          <w:p>
            <w:r>
              <w:rPr>
                <w:sz w:val="17"/>
              </w:rPr>
              <w:t>J+9  Moyenne</w:t>
            </w:r>
          </w:p>
        </w:tc>
        <w:tc>
          <w:tcPr>
            <w:tcW w:type="dxa" w:w="1440"/>
            <w:shd w:fill="C6EFCE" w:val="clear"/>
          </w:tcPr>
          <w:p>
            <w:r>
              <w:rPr>
                <w:sz w:val="17"/>
              </w:rPr>
              <w:t>2026-09-15</w:t>
            </w:r>
          </w:p>
        </w:tc>
        <w:tc>
          <w:tcPr>
            <w:tcW w:type="dxa" w:w="1440"/>
            <w:shd w:fill="C6EFCE" w:val="clear"/>
          </w:tcPr>
          <w:p>
            <w:r>
              <w:rPr>
                <w:sz w:val="17"/>
              </w:rPr>
              <w:t>8,517</w:t>
            </w:r>
          </w:p>
        </w:tc>
        <w:tc>
          <w:tcPr>
            <w:tcW w:type="dxa" w:w="1440"/>
            <w:shd w:fill="C6EFCE" w:val="clear"/>
          </w:tcPr>
          <w:p>
            <w:r>
              <w:rPr>
                <w:b/>
                <w:sz w:val="17"/>
              </w:rPr>
              <w:t>9,389</w:t>
            </w:r>
          </w:p>
        </w:tc>
        <w:tc>
          <w:tcPr>
            <w:tcW w:type="dxa" w:w="1440"/>
            <w:shd w:fill="C6EFCE" w:val="clear"/>
          </w:tcPr>
          <w:p>
            <w:r>
              <w:rPr>
                <w:sz w:val="17"/>
              </w:rPr>
              <w:t>10,261</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2026-09-16</w:t>
            </w:r>
          </w:p>
        </w:tc>
        <w:tc>
          <w:tcPr>
            <w:tcW w:type="dxa" w:w="1440"/>
            <w:shd w:fill="C6EFCE" w:val="clear"/>
          </w:tcPr>
          <w:p>
            <w:r>
              <w:rPr>
                <w:sz w:val="17"/>
              </w:rPr>
              <w:t>8,493</w:t>
            </w:r>
          </w:p>
        </w:tc>
        <w:tc>
          <w:tcPr>
            <w:tcW w:type="dxa" w:w="1440"/>
            <w:shd w:fill="C6EFCE" w:val="clear"/>
          </w:tcPr>
          <w:p>
            <w:r>
              <w:rPr>
                <w:b/>
                <w:sz w:val="17"/>
              </w:rPr>
              <w:t>9,415</w:t>
            </w:r>
          </w:p>
        </w:tc>
        <w:tc>
          <w:tcPr>
            <w:tcW w:type="dxa" w:w="1440"/>
            <w:shd w:fill="C6EFCE" w:val="clear"/>
          </w:tcPr>
          <w:p>
            <w:r>
              <w:rPr>
                <w:sz w:val="17"/>
              </w:rPr>
              <w:t>10,337</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139,37 milliards FCFA, un niveau qui la positionne parmi les valeurs moyennes du marché de la BRVM, lui conférant une liquidité potentiellement correcte. Avec un BPA de 1 003 FCFA, le PER de 9,0x se situe dans la fourchette basse de la moyenne du marché (8-12x), indiquant que les investisseurs ne paient pas cher pour les bénéfices générés, ce qui suggère une sous-évaluation relative. Le P/B de 0,98x est particulièrement intéressant : le marché valorise l'action légèrement en dessous de sa valeur comptable, une situation qui peut signaler une opportunité si les fondamentaux restent solides. Enfin, l'EV/EBITDA de 4,4x, nettement inférieur au seuil de 5x, confirme que la valeur totale de l'entreprise (dette incluse) est très bon marché par rapport à sa capacité opérationnelle, renforçant l'attrait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affiche une progression de +9,94%, avec une dernière séance en repli de -2,65% à 9 015 FCFA, après avoir évolué dans une fourchette large de 7 000 à 9 640 FCFA. La moyenne du cours (8 515 FCFA) est inférieure à la médiane (8 685 FCFA), indiquant une asymétrie légèrement négative de la distribution, confirmée par un skewness de -0,290, ce qui signifie que les baisses ont été plus prononcées que les hausses. L'écart-type de 571 FCFA (CV=6,7%) révèle une dispersion modérée autour de la moyenne, tandis que le kurtosis de -0,559 (mésokurtique) suggère une distribution proche de la normale, sans risque de mouvements extrêmes. La volatilité annualisée de 38,1% est élevée (&gt;30%), témoignant d'un titre dynamique et potentiellement risqué, mais offrant des opportunités de rendement significatives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Le cours actuel (9 015 FCFA) se situe sous la MM20 (9 235,75 FCFA) mais au-dessus de la MM50 (8 945 FCFA), créant une configuration ambiguë. La décision d'achat suggère que la tendance de fond reste positive, mais la faiblesse à court terme par rapport à la MM20 indique un possible essoufflement. La MM50 agissant comme support, le titre pourrait rebondir si cette zone tient.</w:t>
      </w:r>
    </w:p>
    <w:p>
      <w:pPr>
        <w:spacing w:after="120" w:line="276" w:lineRule="auto"/>
      </w:pPr>
      <w:r>
        <w:t>**Bandes de Bollinger** : Le prix évolue dans la partie inférieure du canal, entre la borne inférieure (8 767,56 FCFA) et la moyenne mobile, signalant une volatilité modérée. La décision neutre reflète l'absence de cassure décisive, mais la proximité de la borne inférieure pourrait offrir un point d'entrée intéressant si le support tient.</w:t>
      </w:r>
    </w:p>
    <w:p>
      <w:pPr>
        <w:spacing w:after="120" w:line="276" w:lineRule="auto"/>
      </w:pPr>
      <w:r>
        <w:t>**MACD** : Avec une valeur de 104,485 inférieure à son signal (148,267), le MACD indique une dynamique baissière à court terme. La décision de vente suggère que le momentum positif des dernières semaines s'essouffle, même si les valeurs restent en territoire positif, ce qui nuance le signal.</w:t>
      </w:r>
    </w:p>
    <w:p>
      <w:pPr>
        <w:spacing w:after="120" w:line="276" w:lineRule="auto"/>
      </w:pPr>
      <w:r>
        <w:t>**RSI** : À 47,837, le RSI se situe en zone neutre (30-70), indiquant un équilibre entre pression acheteuse et vendeuse. Cette valeur ne signale ni surachat ni survente, laissant place à une évolution directionnelle sans contrainte technique majeure.</w:t>
      </w:r>
    </w:p>
    <w:p>
      <w:pPr>
        <w:spacing w:after="120" w:line="276" w:lineRule="auto"/>
      </w:pPr>
      <w:r>
        <w:t>**Stochastique** : Le %K (2,344) est très bas et nettement inférieur au %D (35,283), indiquant une condition de survente extrême. La décision d'achat suggère qu'un rebond technique est probable à très court terme, le titre étant techniquement "trop vendu".</w:t>
      </w:r>
    </w:p>
    <w:p>
      <w:pPr>
        <w:spacing w:after="120" w:line="276" w:lineRule="auto"/>
      </w:pPr>
      <w:r>
        <w:t>**Conclusion technique** : Les indicateurs sont mitigés, avec un MACD vendeur et un RSI neutre, mais des moyennes mobiles et un stochastique acheteurs. Cette divergence suggère une phase de consolidation, avec un potentiel de rebond technique imminent, mais une tendance de fond qui reste positive grâce au support de la MM50.</w:t>
      </w:r>
    </w:p>
    <w:p>
      <w:pPr>
        <w:spacing w:after="120" w:line="276" w:lineRule="auto" w:before="240"/>
      </w:pPr>
      <w:r>
        <w:rPr>
          <w:b/>
          <w:color w:val="003366"/>
          <w:sz w:val="24"/>
        </w:rPr>
        <w:t>**PARTIE 3 : ANALYSE FONDAMENTALE (SECTION CRITIQUE)**</w:t>
      </w:r>
    </w:p>
    <w:p>
      <w:pPr>
        <w:spacing w:after="120" w:line="276" w:lineRule="auto"/>
      </w:pPr>
      <w:r>
        <w:t>En 2025, PALC (PALMCI) affiche un chiffre d'affaires de 197,63 milliards FCFA, en croissance de +14,8% par rapport à 2024 (172,2 milliards FCFA), avec un résultat net de 15,51 milliards FCFA, en légère baisse de -2,2% sur un an. La marge nette s'établit à 7,85%, en recul de 1,4 point, tandis que le ROE atteint 10,87% et le ROA 7,79%, reflétant une rentabilité correcte mais sous pression. Le BFR de 44,62 milliards FCFA et le délai clients de 142,58 jours constituent un point de vigilance majeur pour la trésorerie, bien que la structure financière reste très saine avec une autonomie financière de 71,64% et un endettement minimal (ratio d'endettement de 0,56%). Les rapports trimestriels 2025 montrent une forte dynamique : le T1 2025 était excellent (+32% de CA, +65% de résultat net), le S1 2025 confirmait avec +25% de CA et +37% de résultat net, mais le T3 2025 a marqué un ralentissement (+18% de CA cumulé, +11% de résultat net). Le rapport annuel 2026 (publié en mars 2026) révèle que le T1 2026 a été très décevant avec un CA en baisse de -27% à 49,4 milliards FCFA et un résultat net effondré de -86% à 1,6 milliard FCFA, que la direction attribue à un décalage temporel des ventes. Les données structurées 2025 montrent un free cash-flow solide de 19,05 milliards FCFA et une capacité de remboursement quasi nulle (0,03 an), mais la trésorerie nette reste négative à -4,56 milliards FCFA. La recommandation fondamentale est de conserver, car si la solidité financière et la position dominante de PALMCI sont indéniables, la rentabilité est sous pression et le T1 2026 très faible nécessite une surveillance active des prochains trimestres.</w:t>
      </w:r>
    </w:p>
    <w:p>
      <w:pPr>
        <w:spacing w:after="120" w:line="276" w:lineRule="auto" w:before="240"/>
      </w:pPr>
      <w:r>
        <w:rPr>
          <w:b/>
          <w:color w:val="003366"/>
          <w:sz w:val="24"/>
        </w:rPr>
        <w:t>**PARTIE 4 : CONCLUSION D'INVESTISSEMENT**</w:t>
      </w:r>
    </w:p>
    <w:p>
      <w:pPr>
        <w:spacing w:after="120" w:line="276" w:lineRule="auto"/>
      </w:pPr>
      <w:r>
        <w:t>La valorisation de PALC est clairement attractive avec un PER de 9,0x, un P/B sous la parité (0,98x) et un EV/EBITDA très faible (4,4x), indiquant une sous-évaluation malgré des fondamentaux globalement solides. Le comportement du cours sur 100 jours (+9,94%) est positif mais s'accompagne d'une volatilité élevée (38,1%) et d'une distribution légèrement asymétrique négative, suggérant une prudence relative. Les signaux techniques sont mitigés, avec un MACD vendeur et un RSI neutre, mais des moyennes mobiles et un stochastique en zone de survente qui plaident pour un rebond imminent. Les fondamentaux montrent une croissance du CA (+14,8% en 2025) mais une rentabilité en baisse (marge nette à 7,85%) et un T1 2026 très faible (-86% de résultat net), bien que la direction évoque un décalage temporel. Les prédictions IA (9 205 à 9 285 FCFA sur 10 jours) confirment un potentiel de hausse modérée, en ligne avec le scénario de rebond technique. La convergence entre la sous-évaluation, le support technique et les perspectives de redressement justifie une recommandation **ACHAT** pour les investisseurs à moyen terme, avec un niveau de confiance **Moyen** et un risque global **Élevé** en raison de la volatilité et de l'incertitude sur la reprise des ventes. L'horizon optimal serait de 3 à 12 mois, en surveillant attentivement les publications trimestrielles pour confirmer le redressement.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835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-13.73%</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7.64% (Moyenne) — μ=4,433 FCFA, σ=339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β=-0.1666 (Contre-cyclique) — Cov=-0.000006, Var(idx)=0.000036, ρ=-0.040,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835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4,317</w:t>
            </w:r>
          </w:p>
        </w:tc>
        <w:tc>
          <w:tcPr>
            <w:tcW w:type="dxa" w:w="1440"/>
            <w:shd w:fill="FAFAFA" w:val="clear"/>
          </w:tcPr>
          <w:p>
            <w:r>
              <w:rPr>
                <w:b/>
                <w:sz w:val="17"/>
              </w:rPr>
              <w:t>4,399</w:t>
            </w:r>
          </w:p>
        </w:tc>
        <w:tc>
          <w:tcPr>
            <w:tcW w:type="dxa" w:w="1440"/>
            <w:shd w:fill="FAFAFA" w:val="clear"/>
          </w:tcPr>
          <w:p>
            <w:r>
              <w:rPr>
                <w:sz w:val="17"/>
              </w:rPr>
              <w:t>4,482</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4,259</w:t>
            </w:r>
          </w:p>
        </w:tc>
        <w:tc>
          <w:tcPr>
            <w:tcW w:type="dxa" w:w="1440"/>
            <w:shd w:fill="FAFAFA" w:val="clear"/>
          </w:tcPr>
          <w:p>
            <w:r>
              <w:rPr>
                <w:b/>
                <w:sz w:val="17"/>
              </w:rPr>
              <w:t>4,375</w:t>
            </w:r>
          </w:p>
        </w:tc>
        <w:tc>
          <w:tcPr>
            <w:tcW w:type="dxa" w:w="1440"/>
            <w:shd w:fill="FAFAFA" w:val="clear"/>
          </w:tcPr>
          <w:p>
            <w:r>
              <w:rPr>
                <w:sz w:val="17"/>
              </w:rPr>
              <w:t>4,491</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4,213</w:t>
            </w:r>
          </w:p>
        </w:tc>
        <w:tc>
          <w:tcPr>
            <w:tcW w:type="dxa" w:w="1440"/>
            <w:shd w:fill="FAFAFA" w:val="clear"/>
          </w:tcPr>
          <w:p>
            <w:r>
              <w:rPr>
                <w:b/>
                <w:sz w:val="17"/>
              </w:rPr>
              <w:t>4,354</w:t>
            </w:r>
          </w:p>
        </w:tc>
        <w:tc>
          <w:tcPr>
            <w:tcW w:type="dxa" w:w="1440"/>
            <w:shd w:fill="FAFAFA" w:val="clear"/>
          </w:tcPr>
          <w:p>
            <w:r>
              <w:rPr>
                <w:sz w:val="17"/>
              </w:rPr>
              <w:t>4,496</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2026-09-08</w:t>
            </w:r>
          </w:p>
        </w:tc>
        <w:tc>
          <w:tcPr>
            <w:tcW w:type="dxa" w:w="1440"/>
            <w:shd w:fill="FAFAFA" w:val="clear"/>
          </w:tcPr>
          <w:p>
            <w:r>
              <w:rPr>
                <w:sz w:val="17"/>
              </w:rPr>
              <w:t>4,171</w:t>
            </w:r>
          </w:p>
        </w:tc>
        <w:tc>
          <w:tcPr>
            <w:tcW w:type="dxa" w:w="1440"/>
            <w:shd w:fill="FAFAFA" w:val="clear"/>
          </w:tcPr>
          <w:p>
            <w:r>
              <w:rPr>
                <w:b/>
                <w:sz w:val="17"/>
              </w:rPr>
              <w:t>4,334</w:t>
            </w:r>
          </w:p>
        </w:tc>
        <w:tc>
          <w:tcPr>
            <w:tcW w:type="dxa" w:w="1440"/>
            <w:shd w:fill="FAFAFA" w:val="clear"/>
          </w:tcPr>
          <w:p>
            <w:r>
              <w:rPr>
                <w:sz w:val="17"/>
              </w:rPr>
              <w:t>4,496</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2026-09-09</w:t>
            </w:r>
          </w:p>
        </w:tc>
        <w:tc>
          <w:tcPr>
            <w:tcW w:type="dxa" w:w="1440"/>
            <w:shd w:fill="FAFAFA" w:val="clear"/>
          </w:tcPr>
          <w:p>
            <w:r>
              <w:rPr>
                <w:sz w:val="17"/>
              </w:rPr>
              <w:t>4,133</w:t>
            </w:r>
          </w:p>
        </w:tc>
        <w:tc>
          <w:tcPr>
            <w:tcW w:type="dxa" w:w="1440"/>
            <w:shd w:fill="FAFAFA" w:val="clear"/>
          </w:tcPr>
          <w:p>
            <w:r>
              <w:rPr>
                <w:b/>
                <w:sz w:val="17"/>
              </w:rPr>
              <w:t>4,313</w:t>
            </w:r>
          </w:p>
        </w:tc>
        <w:tc>
          <w:tcPr>
            <w:tcW w:type="dxa" w:w="1440"/>
            <w:shd w:fill="FAFAFA" w:val="clear"/>
          </w:tcPr>
          <w:p>
            <w:r>
              <w:rPr>
                <w:sz w:val="17"/>
              </w:rPr>
              <w:t>4,494</w:t>
            </w:r>
          </w:p>
        </w:tc>
        <w:tc>
          <w:tcPr>
            <w:tcW w:type="dxa" w:w="1440"/>
            <w:shd w:fill="FAFAFA" w:val="clear"/>
          </w:tcPr>
          <w:p>
            <w:r>
              <w:rPr>
                <w:b/>
                <w:color w:val="C00000"/>
                <w:sz w:val="17"/>
              </w:rPr>
              <w:t>-2.0%</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4,096</w:t>
            </w:r>
          </w:p>
        </w:tc>
        <w:tc>
          <w:tcPr>
            <w:tcW w:type="dxa" w:w="1440"/>
            <w:shd w:fill="FFDCE0" w:val="clear"/>
          </w:tcPr>
          <w:p>
            <w:r>
              <w:rPr>
                <w:b/>
                <w:sz w:val="17"/>
              </w:rPr>
              <w:t>4,294</w:t>
            </w:r>
          </w:p>
        </w:tc>
        <w:tc>
          <w:tcPr>
            <w:tcW w:type="dxa" w:w="1440"/>
            <w:shd w:fill="FFDCE0" w:val="clear"/>
          </w:tcPr>
          <w:p>
            <w:r>
              <w:rPr>
                <w:sz w:val="17"/>
              </w:rPr>
              <w:t>4,491</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4,062</w:t>
            </w:r>
          </w:p>
        </w:tc>
        <w:tc>
          <w:tcPr>
            <w:tcW w:type="dxa" w:w="1440"/>
            <w:shd w:fill="FFDCE0" w:val="clear"/>
          </w:tcPr>
          <w:p>
            <w:r>
              <w:rPr>
                <w:b/>
                <w:sz w:val="17"/>
              </w:rPr>
              <w:t>4,274</w:t>
            </w:r>
          </w:p>
        </w:tc>
        <w:tc>
          <w:tcPr>
            <w:tcW w:type="dxa" w:w="1440"/>
            <w:shd w:fill="FFDCE0" w:val="clear"/>
          </w:tcPr>
          <w:p>
            <w:r>
              <w:rPr>
                <w:sz w:val="17"/>
              </w:rPr>
              <w:t>4,486</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4,030</w:t>
            </w:r>
          </w:p>
        </w:tc>
        <w:tc>
          <w:tcPr>
            <w:tcW w:type="dxa" w:w="1440"/>
            <w:shd w:fill="FFDCE0" w:val="clear"/>
          </w:tcPr>
          <w:p>
            <w:r>
              <w:rPr>
                <w:b/>
                <w:sz w:val="17"/>
              </w:rPr>
              <w:t>4,255</w:t>
            </w:r>
          </w:p>
        </w:tc>
        <w:tc>
          <w:tcPr>
            <w:tcW w:type="dxa" w:w="1440"/>
            <w:shd w:fill="FFDCE0" w:val="clear"/>
          </w:tcPr>
          <w:p>
            <w:r>
              <w:rPr>
                <w:sz w:val="17"/>
              </w:rPr>
              <w:t>4,481</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3,998</w:t>
            </w:r>
          </w:p>
        </w:tc>
        <w:tc>
          <w:tcPr>
            <w:tcW w:type="dxa" w:w="1440"/>
            <w:shd w:fill="FFDCE0" w:val="clear"/>
          </w:tcPr>
          <w:p>
            <w:r>
              <w:rPr>
                <w:b/>
                <w:sz w:val="17"/>
              </w:rPr>
              <w:t>4,237</w:t>
            </w:r>
          </w:p>
        </w:tc>
        <w:tc>
          <w:tcPr>
            <w:tcW w:type="dxa" w:w="1440"/>
            <w:shd w:fill="FFDCE0" w:val="clear"/>
          </w:tcPr>
          <w:p>
            <w:r>
              <w:rPr>
                <w:sz w:val="17"/>
              </w:rPr>
              <w:t>4,475</w:t>
            </w:r>
          </w:p>
        </w:tc>
        <w:tc>
          <w:tcPr>
            <w:tcW w:type="dxa" w:w="1440"/>
            <w:shd w:fill="FFDCE0" w:val="clear"/>
          </w:tcPr>
          <w:p>
            <w:r>
              <w:rPr>
                <w:b/>
                <w:color w:val="C00000"/>
                <w:sz w:val="17"/>
              </w:rPr>
              <w:t>-3.7%</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3,968</w:t>
            </w:r>
          </w:p>
        </w:tc>
        <w:tc>
          <w:tcPr>
            <w:tcW w:type="dxa" w:w="1440"/>
            <w:shd w:fill="FFDCE0" w:val="clear"/>
          </w:tcPr>
          <w:p>
            <w:r>
              <w:rPr>
                <w:b/>
                <w:sz w:val="17"/>
              </w:rPr>
              <w:t>4,219</w:t>
            </w:r>
          </w:p>
        </w:tc>
        <w:tc>
          <w:tcPr>
            <w:tcW w:type="dxa" w:w="1440"/>
            <w:shd w:fill="FFDCE0" w:val="clear"/>
          </w:tcPr>
          <w:p>
            <w:r>
              <w:rPr>
                <w:sz w:val="17"/>
              </w:rPr>
              <w:t>4,469</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 03 septembre 2026**</w:t>
        <w:br/>
        <w:t>**Marché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45,06 milliards FCFA, ce qui la positionne comme une valeur de taille moyenne sur la BRVM, représentant un acteur significatif du secteur de la distribution automobile. Le BPA de 231 FCFA indique que chaque action a généré un bénéfice de 231 FCFA sur l'exercice 2025. Avec un PER de 19,0x, le titre se négocie à un niveau nettement supérieur à la moyenne historique du marché BRVM (8-12x), suggérant que les investisseurs paient une prime substantielle pour les bénéfices de l'entreprise. Le P/B de 3,91x confirme cette prime, le marché valorisant le titre à près de 4 fois sa valeur comptable, ce qui reflète des attentes de croissance et de rentabilité futures élevées. Enfin, un EV/EBITDA de 9,7x indique que la valeur totale de l'entreprise (capitaux propres + dettes) représente environ 9,7 fois son EBITDA, un niveau raisonnable qui tempère la prime apparente du PER et suggère une valorisation globalement exigeante mais non déconnectée des fondamentaux opérationnels.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significative de -13,73%, avec une dernière séance en repli de -2,00% à 4 400 FCFA. Le titre a évolué dans une fourchette large de 3 620 FCFA (plus bas) à 5 100 FCFA (plus haut), illustrant une volatilité marquée sur la période. La tendance générale est clairement baissière, le cours ayant cédé du terrain depuis ses plus hauts. Les statistiques descriptives révèlent une moyenne de 4 433 FCFA, proche de la médiane (4 482 FCFA), indiquant une distribution relativement symétrique des cours, bien que le mode à 3 695 FCFA suggère que le titre a fréquemment touché des niveaux plus bas. L'écart-type de 340 FCFA (CV de 7,7%) montre une dispersion modérée autour de la moyenne. Le kurtosis de 0,362 (mésokurtique) indique une distribution proche de la normale, sans risque de variations extrêmes. Le skewness de -0,689 (asymétrie négative) signifie que les journées de forte baisse ont été plus fréquentes que les journées de forte hausse, confirmant la pression vendeuse. Enfin, la volatilité annualisée de 39,3% est élevée (&gt;30%), ce qui classe PRSC comme un titre à risque supérieur à la moyenne, nécessitant une gestion attentive.</w:t>
      </w:r>
    </w:p>
    <w:p>
      <w:pPr>
        <w:spacing w:after="120" w:line="276" w:lineRule="auto"/>
      </w:pPr>
      <w:r>
        <w:t>---</w:t>
      </w:r>
    </w:p>
    <w:p>
      <w:pPr>
        <w:spacing w:after="120" w:line="276" w:lineRule="auto"/>
      </w:pPr>
      <w:r>
        <w:t>### PARTIE 2 : ANALYSE TECHNIQUE DÉTAILLÉE</w:t>
      </w:r>
    </w:p>
    <w:p>
      <w:pPr>
        <w:spacing w:after="120" w:line="276" w:lineRule="auto"/>
      </w:pPr>
      <w:r>
        <w:t>**Moyennes Mobiles (MM20 et MM50) :** Le cours actuel de 4 400 FCFA est inférieur à la MM20 (4 459,5 FCFA) et à la MM50 (4 496,5 FCFA). Cette configuration, où le prix évolue sous les deux moyennes clés, confirme une tendance baissière à court et moyen terme. La décision de Vente est justifiée, car les moyennes mobiles agissent comme des résistances dynamiques, et le croisement baissier potentiel renforce le signal négatif.</w:t>
      </w:r>
    </w:p>
    <w:p>
      <w:pPr>
        <w:spacing w:after="120" w:line="276" w:lineRule="auto"/>
      </w:pPr>
      <w:r>
        <w:t>**Bandes de Bollinger :** Le prix à 4 400 FCFA se situe à l'intérieur des bandes, entre la borne inférieure (4 365,1 FCFA) et la borne supérieure (4 553,8 FCFA). La position proche de la borne inférieure indique une pression vendeuse, mais sans sortie du canal, ce qui explique la décision Neutre. La largeur des bandes reflète la volatilité élevée du titre, mais le prix n'a pas encore franchi de niveau de support ou de résistance décisif.</w:t>
      </w:r>
    </w:p>
    <w:p>
      <w:pPr>
        <w:spacing w:after="120" w:line="276" w:lineRule="auto"/>
      </w:pPr>
      <w:r>
        <w:t>**MACD :** La valeur du MACD (-5,028) est inférieure à sa ligne de signal (-2,673), confirmant un momentum baissier. Cette divergence négative indique que la dynamique des prix est défavorable et que la tendance baissière pourrait se poursuivre à court terme. La décision de Vente est cohérente avec la position sous la ligne de signal.</w:t>
      </w:r>
    </w:p>
    <w:p>
      <w:pPr>
        <w:spacing w:after="120" w:line="276" w:lineRule="auto"/>
      </w:pPr>
      <w:r>
        <w:t>**RSI :** Le RSI est à 50,0, une valeur parfaitement neutre qui indique un équilibre entre les forces acheteuses et vendeuses. Le titre n'est ni suracheté ( &gt;70) ni survendu (&lt;30), ce qui laisse place à une évolution dans les deux sens. La décision Neutre est appropriée, car le RSI ne fournit pas de signal directionnel fort.</w:t>
      </w:r>
    </w:p>
    <w:p>
      <w:pPr>
        <w:spacing w:after="120" w:line="276" w:lineRule="auto"/>
      </w:pPr>
      <w:r>
        <w:t>**Stochastique :** Le %K est à 0,0 et le %D à 27,8, indiquant que le titre est en zone de survente extrême. Le croisement potentiel du %K au-dessus du %D pourrait signaler un rebond technique imminent. La décision Achat est justifiée par cette condition de survente, qui suggère un potentiel de correction haussière à très court terme.</w:t>
      </w:r>
    </w:p>
    <w:p>
      <w:pPr>
        <w:spacing w:after="120" w:line="276" w:lineRule="auto"/>
      </w:pPr>
      <w:r>
        <w:t>**Conclusion technique :** Les indicateurs techniques sont globalement baissiers à moyen terme (MM, MACD), mais montrent des signes de rebond à très court terme (Stochastique en survente, RSI neutre). Le titre est dans une phase de consolidation sous ses moyennes mobiles, avec un potentiel de correction technique, mais la tendance de fond reste négative tant que le cours ne repasse pas au-dessus de la MM50.</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croissance de +8,6% par rapport à 2024 (74,45 milliards FCFA), démontrant une dynamique commerciale positive. Le résultat net s'établit à 2,367 milliards FCFA, en légère hausse par rapport aux 2,177 milliards de 2024, avec une marge nette de 2,9%. La rentabilité des capitaux propres (ROE) est excellente à 20,5%, bien au-dessus du seuil de 15% considéré comme performant, tandis que le ROA est de 4,9%. En tant qu'entreprise de distribution, l'analyse du BFR est cruciale : le BFR est positif à 11,267 milliards FCFA, ce qui est défavorable car il indique un besoin de financement important, principalement dû à des stocks élevés (26,3 milliards FCFA) et à un délai de stockage de 150 jours. Le délai de paiement des clients est de 46 jours, tandis que le délai de règlement des fournisseurs est de 103 jours, ce qui offre une certaine marge de manœuvre. L'endettement total représente 314,8% des capitaux propres, un niveau élevé, mais la capacité de remboursement est de 1,83 an, ce qui reste gérable. Le rapport d'activité du S1 2025 (daté du 30/06/2025) faisait état d'une performance exceptionnelle avec un CA en hausse de +15,1% et un résultat net multiplié par 28, mais la direction anticipait un ralentissement au S2 en raison du contexte électoral. Les données annuelles 2025 confirment cette prudence avec une croissance du CA de +8,6% et un résultat net stable. La société a annoncé un dividende de 209 FCFA par action pour 2025, offrant un rendement d'environ 4,75% au cours actuel, un signal positif pour les actionnaires. La structure financière reste fragile avec une trésorerie nette négative de -4,092 milliards FCFA, mais la solvabilité générale est assurée (ratio de 131,7%). Les perspectives restent liées à la croissance du marché automobile ivoirien, mais la pression sur les marges et la gestion du BFR sont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de PRSC est exigeante avec un PER de 19,0x et un P/B de 3,91x, nettement supérieurs aux moyennes du marché BRVM, indiquant une prime de croissance qui pourrait limiter le potentiel de hausse à court terme. Le comportement du cours est préoccupant avec une baisse de -13,7% sur 100 jours, une volatilité élevée (39,3%) et une asymétrie négative, reflétant une pression vendeuse persistante. Les signaux techniques sont majoritairement baissiers (MM, MACD), bien que le Stochastique en survente suggère un possible rebond technique à très court terme. Les fondamentaux sont contrastés : la croissance du CA (+8,6%) et le ROE (20,5%) sont positifs, mais la marge nette reste faible (2,9%), le BFR est élevé et l'endettement est important. Les prédictions IA pour les 10 prochains jours (baisse progressive de 4 399 à 4 313 FCFA) confirment la tendance baissière et contredisent le signal d'achat du Stochastique. En synthèse, la convergence des signaux (valorisation chère, tendance baissière, prédictions négatives) l'emporte sur les fondamentaux corrects. **Recommandation finale : VENTE.** Le niveau de confiance est **Moyen**, car la solidité fondamentale et le dividende offrent un plancher de valorisation. Le niveau de risque global est **Élevé** en raison de la volatilité et de l'endettement. L'horizon d'investissement optimal serait de **court terme (&lt;3 mois)** pour les investisseurs cherchant à réduire leur exposition, tandis que les investisseurs à long terme pourraient attendre un point d'entrée plus favorable sous les 4 000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7,508 titres</w:t>
            </w:r>
          </w:p>
        </w:tc>
        <w:tc>
          <w:tcPr>
            <w:tcW w:type="dxa" w:w="2268"/>
            <w:shd w:fill="FFF2CC" w:val="clear"/>
          </w:tcPr>
          <w:p>
            <w:r>
              <w:rPr>
                <w:b/>
                <w:color w:val="503200"/>
                <w:sz w:val="16"/>
              </w:rPr>
              <w:t xml:space="preserve">Cours actuel : </w:t>
            </w:r>
            <w:r>
              <w:rPr>
                <w:color w:val="000000"/>
                <w:sz w:val="17"/>
              </w:rPr>
              <w:t>6,005 FCFA</w:t>
            </w:r>
          </w:p>
          <w:p>
            <w:r>
              <w:rPr>
                <w:b/>
                <w:color w:val="503200"/>
                <w:sz w:val="16"/>
              </w:rPr>
              <w:t xml:space="preserve">Var. 100 jours : </w:t>
            </w:r>
            <w:r>
              <w:rPr>
                <w:b/>
                <w:color w:val="B40000"/>
                <w:sz w:val="17"/>
              </w:rPr>
              <w:t>-14.03%</w:t>
            </w:r>
          </w:p>
          <w:p>
            <w:r>
              <w:rPr>
                <w:b/>
                <w:color w:val="503200"/>
                <w:sz w:val="16"/>
              </w:rPr>
              <w:t xml:space="preserve">Plus haut 100j : </w:t>
            </w:r>
            <w:r>
              <w:rPr>
                <w:color w:val="000000"/>
                <w:sz w:val="17"/>
              </w:rPr>
              <w:t>7,435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20.63% (Élevée) — μ=4,697 FCFA, σ=969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β=0.4311 (Défensif) — Cov=0.000015, Var(idx)=0.000036, ρ=0.050,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σ_j=5.19%/j (Instable) — Vol. annualisée≈82.3%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5,232</w:t>
            </w:r>
          </w:p>
        </w:tc>
        <w:tc>
          <w:tcPr>
            <w:tcW w:type="dxa" w:w="1440"/>
            <w:shd w:fill="FFDCE0" w:val="clear"/>
          </w:tcPr>
          <w:p>
            <w:r>
              <w:rPr>
                <w:b/>
                <w:sz w:val="17"/>
              </w:rPr>
              <w:t>5,555</w:t>
            </w:r>
          </w:p>
        </w:tc>
        <w:tc>
          <w:tcPr>
            <w:tcW w:type="dxa" w:w="1440"/>
            <w:shd w:fill="FFDCE0" w:val="clear"/>
          </w:tcPr>
          <w:p>
            <w:r>
              <w:rPr>
                <w:sz w:val="17"/>
              </w:rPr>
              <w:t>5,877</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4,716</w:t>
            </w:r>
          </w:p>
        </w:tc>
        <w:tc>
          <w:tcPr>
            <w:tcW w:type="dxa" w:w="1440"/>
            <w:shd w:fill="FFDCE0" w:val="clear"/>
          </w:tcPr>
          <w:p>
            <w:r>
              <w:rPr>
                <w:b/>
                <w:sz w:val="17"/>
              </w:rPr>
              <w:t>5,138</w:t>
            </w:r>
          </w:p>
        </w:tc>
        <w:tc>
          <w:tcPr>
            <w:tcW w:type="dxa" w:w="1440"/>
            <w:shd w:fill="FFDCE0" w:val="clear"/>
          </w:tcPr>
          <w:p>
            <w:r>
              <w:rPr>
                <w:sz w:val="17"/>
              </w:rPr>
              <w:t>5,560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4,275</w:t>
            </w:r>
          </w:p>
        </w:tc>
        <w:tc>
          <w:tcPr>
            <w:tcW w:type="dxa" w:w="1440"/>
            <w:shd w:fill="FFDCE0" w:val="clear"/>
          </w:tcPr>
          <w:p>
            <w:r>
              <w:rPr>
                <w:b/>
                <w:sz w:val="17"/>
              </w:rPr>
              <w:t>4,753</w:t>
            </w:r>
          </w:p>
        </w:tc>
        <w:tc>
          <w:tcPr>
            <w:tcW w:type="dxa" w:w="1440"/>
            <w:shd w:fill="FFDCE0" w:val="clear"/>
          </w:tcPr>
          <w:p>
            <w:r>
              <w:rPr>
                <w:sz w:val="17"/>
              </w:rPr>
              <w:t>5,230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3,886</w:t>
            </w:r>
          </w:p>
        </w:tc>
        <w:tc>
          <w:tcPr>
            <w:tcW w:type="dxa" w:w="1440"/>
            <w:shd w:fill="FFDCE0" w:val="clear"/>
          </w:tcPr>
          <w:p>
            <w:r>
              <w:rPr>
                <w:b/>
                <w:sz w:val="17"/>
              </w:rPr>
              <w:t>4,396</w:t>
            </w:r>
          </w:p>
        </w:tc>
        <w:tc>
          <w:tcPr>
            <w:tcW w:type="dxa" w:w="1440"/>
            <w:shd w:fill="FFDCE0" w:val="clear"/>
          </w:tcPr>
          <w:p>
            <w:r>
              <w:rPr>
                <w:sz w:val="17"/>
              </w:rPr>
              <w:t>4,906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3,539</w:t>
            </w:r>
          </w:p>
        </w:tc>
        <w:tc>
          <w:tcPr>
            <w:tcW w:type="dxa" w:w="1440"/>
            <w:shd w:fill="FFDCE0" w:val="clear"/>
          </w:tcPr>
          <w:p>
            <w:r>
              <w:rPr>
                <w:b/>
                <w:sz w:val="17"/>
              </w:rPr>
              <w:t>4,067</w:t>
            </w:r>
          </w:p>
        </w:tc>
        <w:tc>
          <w:tcPr>
            <w:tcW w:type="dxa" w:w="1440"/>
            <w:shd w:fill="FFDCE0" w:val="clear"/>
          </w:tcPr>
          <w:p>
            <w:r>
              <w:rPr>
                <w:sz w:val="17"/>
              </w:rPr>
              <w:t>4,594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3,227</w:t>
            </w:r>
          </w:p>
        </w:tc>
        <w:tc>
          <w:tcPr>
            <w:tcW w:type="dxa" w:w="1440"/>
            <w:shd w:fill="FFDCE0" w:val="clear"/>
          </w:tcPr>
          <w:p>
            <w:r>
              <w:rPr>
                <w:b/>
                <w:sz w:val="17"/>
              </w:rPr>
              <w:t>3,762</w:t>
            </w:r>
          </w:p>
        </w:tc>
        <w:tc>
          <w:tcPr>
            <w:tcW w:type="dxa" w:w="1440"/>
            <w:shd w:fill="FFDCE0" w:val="clear"/>
          </w:tcPr>
          <w:p>
            <w:r>
              <w:rPr>
                <w:sz w:val="17"/>
              </w:rPr>
              <w:t>4,296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2,945</w:t>
            </w:r>
          </w:p>
        </w:tc>
        <w:tc>
          <w:tcPr>
            <w:tcW w:type="dxa" w:w="1440"/>
            <w:shd w:fill="FFDCE0" w:val="clear"/>
          </w:tcPr>
          <w:p>
            <w:r>
              <w:rPr>
                <w:b/>
                <w:sz w:val="17"/>
              </w:rPr>
              <w:t>3,479</w:t>
            </w:r>
          </w:p>
        </w:tc>
        <w:tc>
          <w:tcPr>
            <w:tcW w:type="dxa" w:w="1440"/>
            <w:shd w:fill="FFDCE0" w:val="clear"/>
          </w:tcPr>
          <w:p>
            <w:r>
              <w:rPr>
                <w:sz w:val="17"/>
              </w:rPr>
              <w:t>4,014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2,690</w:t>
            </w:r>
          </w:p>
        </w:tc>
        <w:tc>
          <w:tcPr>
            <w:tcW w:type="dxa" w:w="1440"/>
            <w:shd w:fill="FFDCE0" w:val="clear"/>
          </w:tcPr>
          <w:p>
            <w:r>
              <w:rPr>
                <w:b/>
                <w:sz w:val="17"/>
              </w:rPr>
              <w:t>3,218</w:t>
            </w:r>
          </w:p>
        </w:tc>
        <w:tc>
          <w:tcPr>
            <w:tcW w:type="dxa" w:w="1440"/>
            <w:shd w:fill="FFDCE0" w:val="clear"/>
          </w:tcPr>
          <w:p>
            <w:r>
              <w:rPr>
                <w:sz w:val="17"/>
              </w:rPr>
              <w:t>3,747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2,459</w:t>
            </w:r>
          </w:p>
        </w:tc>
        <w:tc>
          <w:tcPr>
            <w:tcW w:type="dxa" w:w="1440"/>
            <w:shd w:fill="FFDCE0" w:val="clear"/>
          </w:tcPr>
          <w:p>
            <w:r>
              <w:rPr>
                <w:b/>
                <w:sz w:val="17"/>
              </w:rPr>
              <w:t>2,977</w:t>
            </w:r>
          </w:p>
        </w:tc>
        <w:tc>
          <w:tcPr>
            <w:tcW w:type="dxa" w:w="1440"/>
            <w:shd w:fill="FFDCE0" w:val="clear"/>
          </w:tcPr>
          <w:p>
            <w:r>
              <w:rPr>
                <w:sz w:val="17"/>
              </w:rPr>
              <w:t>3,495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2,248</w:t>
            </w:r>
          </w:p>
        </w:tc>
        <w:tc>
          <w:tcPr>
            <w:tcW w:type="dxa" w:w="1440"/>
            <w:shd w:fill="FFDCE0" w:val="clear"/>
          </w:tcPr>
          <w:p>
            <w:r>
              <w:rPr>
                <w:b/>
                <w:sz w:val="17"/>
              </w:rPr>
              <w:t>2,754</w:t>
            </w:r>
          </w:p>
        </w:tc>
        <w:tc>
          <w:tcPr>
            <w:tcW w:type="dxa" w:w="1440"/>
            <w:shd w:fill="FFDCE0" w:val="clear"/>
          </w:tcPr>
          <w:p>
            <w:r>
              <w:rPr>
                <w:sz w:val="17"/>
              </w:rPr>
              <w:t>3,259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Absolument. Voici un rapport d'analyse structuré et professionnel pour l'action SAFC (Alios Finance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48,76 milliards FCFA, un niveau modeste pour le marché de la BRVM, mais qui reflète une prime de valorisation significative. En effet, avec un BPA de 86 FCFA, le PER ressort à 69,6x, un niveau extrêmement élevé comparé à la moyenne du marché BRVM (~8-12x). Les investisseurs paient donc un prix très élevé pour chaque franc de bénéfice, anticipant une forte croissance future. Cette prime est confirmée par un P/B de 8,24x, indiquant que le marché valorise l'action à plus de huit fois sa valeur comptable, et par un EV/EBITDA de 82,6x, qui suggère une valorisation très exigeante par rapport à la capacité opérationnelle de l'entreprise. Ces ratios traduisent une anticipation de redressement et de croissance qui doit encore se matérialiser pour justifier de tels niveaux.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baisse significative de -14,03%, avec une chute marquée de -3,15% lors de la dernière séance. Le cours a évolué dans une fourchette très large, oscillant entre un plus bas de 3 340 FCFA et un plus haut de 7 435 FCFA, illustrant une volatilité et une incertitude extrêmes. La moyenne du cours sur la période est de 4 697 FCFA, tandis que la médiane est de 4 505 FCFA. L'écart entre ces deux valeurs, avec une moyenne supérieure à la médiane, confirme l'asymétrie positive (skewness de 0.812) : la distribution des prix est étirée vers le haut, avec un plus grand nombre de journées sous la moyenne. L'écart-type de 974 FCFA (CV=20.7%) témoigne d'une dispersion importante. Le kurtosis proche de zéro indique une distribution mésokurtique, sans risque de pics extrêmes particulier. Enfin, la volatilité annualisée de 82,3% est extrêmement élevée, classant le titre comme très risqué et spéculatif.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6 005 FCFA est nettement supérieur à la MM20 (5 583,75 FCFA) et à la MM50 (5 002,6 FCFA). Cette configuration haussière, où le prix se situe au-dessus de ses moyennes mobiles, indique une dynamique positive à court et moyen terme. La décision d'**Achat** est justifiée par cette tendance, bien que la forte hausse récente puisse suggérer une correction à venir.</w:t>
      </w:r>
    </w:p>
    <w:p>
      <w:pPr>
        <w:spacing w:after="120" w:line="276" w:lineRule="auto"/>
      </w:pPr>
      <w:r>
        <w:t>**Bandes de Bollinger** : Le prix se situe à 6 005 FCFA, proche de la borne supérieure (6 363,99 FCFA) et bien au-dessus de la borne inférieure (4 803,51 FCFA). Cette position indique que le titre est dans la partie haute de son canal de volatilité, ce qui peut signaler une condition de surachat à court terme. La décision est **Neutre**, car le prix n'a pas encore touché la borne supérieure, mais la pression acheteuse est forte.</w:t>
      </w:r>
    </w:p>
    <w:p>
      <w:pPr>
        <w:spacing w:after="120" w:line="276" w:lineRule="auto"/>
      </w:pPr>
      <w:r>
        <w:t>**MACD** : Le MACD (318,894) est supérieur à son signal (306,985), avec une divergence positive. Cela indique que le momentum haussier est toujours en vigueur. La décision d'**Achat** est cohérente avec cette configuration, qui suggère une poursuite de la tendance haussière à moyen terme.</w:t>
      </w:r>
    </w:p>
    <w:p>
      <w:pPr>
        <w:spacing w:after="120" w:line="276" w:lineRule="auto"/>
      </w:pPr>
      <w:r>
        <w:t>**RSI** : Le RSI est à 73,389, ce qui place le titre en zone de **surachat** (au-dessus de 70). Cela signifie que le mouvement haussier a été trop rapide et que le titre est potentiellement surévalué à court terme. La décision de **Vente** est logique, car un repli technique est probable pour corriger cette condition.</w:t>
      </w:r>
    </w:p>
    <w:p>
      <w:pPr>
        <w:spacing w:after="120" w:line="276" w:lineRule="auto"/>
      </w:pPr>
      <w:r>
        <w:t>**Stochastique** : Le %K (69,767) est inférieur à %D (89,922), ce qui indique un croisement baissier potentiel. Bien que les deux lignes soient encore en territoire élevé, ce croisement suggère un affaiblissement du momentum haussier. La décision est **Neutre**, car le signal n'est pas encore clairement vendeur.</w:t>
      </w:r>
    </w:p>
    <w:p>
      <w:pPr>
        <w:spacing w:after="120" w:line="276" w:lineRule="auto"/>
      </w:pPr>
      <w:r>
        <w:t>**Conclusion technique** : Les indicateurs de tendance (MM, MACD) sont positifs, mais les oscillateurs de momentum (RSI, Stochastique) signalent une condition de surachat. Cette divergence suggère que la tendance haussière de fond est intacte, mais qu'un repli technique à court terme est probable avant une éventuelle poursuite de la hausse. La prudence est donc de mise.</w:t>
      </w:r>
    </w:p>
    <w:p>
      <w:pPr>
        <w:spacing w:after="120" w:line="276" w:lineRule="auto"/>
      </w:pPr>
      <w:r>
        <w:t>---</w:t>
      </w:r>
    </w:p>
    <w:p>
      <w:pPr>
        <w:spacing w:after="120" w:line="276" w:lineRule="auto"/>
      </w:pPr>
      <w:r>
        <w:t>### PARTIE 3 : ANALYSE FONDAMENTALE (SECTION CRITIQUE)</w:t>
      </w:r>
    </w:p>
    <w:p>
      <w:pPr>
        <w:spacing w:after="120" w:line="276" w:lineRule="auto"/>
      </w:pPr>
      <w:r>
        <w:t>En 2025, SAFC (Alios Finance) a réalisé un retournement spectaculaire avec un Produit Net Bancaire (PNB) de 5,735 milliards FCFA, en hausse de 44,1% par rapport à 2024. Le résultat net est redevenu positif à 701 millions FCFA, contre une perte de 165 millions en 2024. Cette performance, confirmée par les rapports de 2026, est portée par une croissance des crédits à la clientèle (60,476 Mds FCFA) et une meilleure maîtrise du coût du risque. Le ROE s'établit à 11,85%, un niveau correct mais en deçà du seuil de 15% jugé excellent, et le ROA est de 0,88%. Le coefficient d'exploitation de 77,6% reste élevé, indiquant une efficacité opérationnelle encore perfectible. Les capitaux propres (5,916 Mds FCFA) restent modestes face à un total de bilan de 79,555 Mds FCFA, et le report à nouveau est toujours négatif (-4,123 Mds FCFA). Les rapports du T1 2025 et du S1 2025 montrent une dynamique de redressement déjà engagée, et le rapport du T1 2026 confirme cette tendance avec un résultat net de 151 millions FCFA (+1062% vs T1 2025). Sur la base de ces rapports trimestriels, on estime que l'exercice 2026 devrait être de nouveau bénéficiaire, avec une poursuite de la croissance du PNB. Cependant, la dépendance aux dettes interbancaires (35,747 Mds FCFA) et le coût du risque encore significatif (377 millions) constituent des risques majeurs pour la solidité financière à long terme.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de 69,6x, P/B de 8,24x), ce qui contraste fortement avec une tendance de cours baissière sur 100 jours (-14%) mais une dynamique technique haussière à court terme, quoique surachauffée (RSI à 73). Les fondamentaux montrent un redressement spectaculaire et réel, avec un retour à la rentabilité en 2025 et une croissance soutenue du PNB, mais la structure financière demeure fragile. Les prédictions IA pour les 10 prochains jours anticipent une chute brutale du cours (de 5 555 à 4 067 FCFA), ce qui contredit les signaux techniques de tendance mais est cohérent avec les conditions de surachat et la valorisation excessive. Cette convergence entre une valorisation surévaluée, une correction technique probable et une prédiction IA baissière, malgré des fondamentaux en amélioration, suggère une prudence extrême. La recommandation est donc un **CONSERVER** avec un niveau de confiance **Faible** et un risque global **Élevé**. L'horizon d'investissement optimal est le **moyen terme (3-12 mois)**, afin de laisser le temps à la société de consolider son redressement et de voir si la trajectoire de croissance se confirme, tout en surveillant de près la correction potentielle du cours.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11,921 titres</w:t>
            </w:r>
          </w:p>
        </w:tc>
        <w:tc>
          <w:tcPr>
            <w:tcW w:type="dxa" w:w="2268"/>
            <w:shd w:fill="FFF2CC" w:val="clear"/>
          </w:tcPr>
          <w:p>
            <w:r>
              <w:rPr>
                <w:b/>
                <w:color w:val="503200"/>
                <w:sz w:val="16"/>
              </w:rPr>
              <w:t xml:space="preserve">Cours actuel : </w:t>
            </w:r>
            <w:r>
              <w:rPr>
                <w:color w:val="000000"/>
                <w:sz w:val="17"/>
              </w:rPr>
              <w:t>3,605 FCFA</w:t>
            </w:r>
          </w:p>
          <w:p>
            <w:r>
              <w:rPr>
                <w:b/>
                <w:color w:val="503200"/>
                <w:sz w:val="16"/>
              </w:rPr>
              <w:t xml:space="preserve">Var. 100 jours : </w:t>
            </w:r>
            <w:r>
              <w:rPr>
                <w:b/>
                <w:color w:val="007800"/>
                <w:sz w:val="17"/>
              </w:rPr>
              <w:t>+82.07%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1,980 FCFA</w:t>
            </w:r>
          </w:p>
          <w:p>
            <w:r>
              <w:rPr>
                <w:b/>
                <w:color w:val="503200"/>
                <w:sz w:val="16"/>
              </w:rPr>
              <w:t xml:space="preserve">Volatilité ann. : </w:t>
            </w:r>
            <w:r>
              <w:rPr>
                <w:color w:val="000000"/>
                <w:sz w:val="17"/>
              </w:rPr>
              <w:t>55.0%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24.0/100 → Moyen</w:t>
      </w:r>
    </w:p>
    <w:p>
      <w:pPr>
        <w:spacing w:before="40" w:after="80"/>
      </w:pPr>
      <w:r>
        <w:rPr>
          <w:rFonts w:ascii="Courier New" w:hAnsi="Courier New"/>
          <w:color w:val="825A00"/>
          <w:sz w:val="18"/>
        </w:rPr>
        <w:t>████░░░░░░░░░░░░░░░░  24.0/100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21.02% (Élevée) — μ=2,978 FCFA, σ=626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β=0.4410 (Défensif) — Cov=0.000016, Var(idx)=0.000036, ρ=0.076,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11,921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σ_j=3.46%/j (Modérée) — Vol. annualisée≈55.0%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3,199</w:t>
            </w:r>
          </w:p>
        </w:tc>
        <w:tc>
          <w:tcPr>
            <w:tcW w:type="dxa" w:w="1440"/>
            <w:shd w:fill="FFDCE0" w:val="clear"/>
          </w:tcPr>
          <w:p>
            <w:r>
              <w:rPr>
                <w:b/>
                <w:sz w:val="17"/>
              </w:rPr>
              <w:t>3,335</w:t>
            </w:r>
          </w:p>
        </w:tc>
        <w:tc>
          <w:tcPr>
            <w:tcW w:type="dxa" w:w="1440"/>
            <w:shd w:fill="FFDCE0" w:val="clear"/>
          </w:tcPr>
          <w:p>
            <w:r>
              <w:rPr>
                <w:sz w:val="17"/>
              </w:rPr>
              <w:t>3,470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2,907</w:t>
            </w:r>
          </w:p>
        </w:tc>
        <w:tc>
          <w:tcPr>
            <w:tcW w:type="dxa" w:w="1440"/>
            <w:shd w:fill="FFDCE0" w:val="clear"/>
          </w:tcPr>
          <w:p>
            <w:r>
              <w:rPr>
                <w:b/>
                <w:sz w:val="17"/>
              </w:rPr>
              <w:t>3,085</w:t>
            </w:r>
          </w:p>
        </w:tc>
        <w:tc>
          <w:tcPr>
            <w:tcW w:type="dxa" w:w="1440"/>
            <w:shd w:fill="FFDCE0" w:val="clear"/>
          </w:tcPr>
          <w:p>
            <w:r>
              <w:rPr>
                <w:sz w:val="17"/>
              </w:rPr>
              <w:t>3,262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2,652</w:t>
            </w:r>
          </w:p>
        </w:tc>
        <w:tc>
          <w:tcPr>
            <w:tcW w:type="dxa" w:w="1440"/>
            <w:shd w:fill="FFDCE0" w:val="clear"/>
          </w:tcPr>
          <w:p>
            <w:r>
              <w:rPr>
                <w:b/>
                <w:sz w:val="17"/>
              </w:rPr>
              <w:t>2,853</w:t>
            </w:r>
          </w:p>
        </w:tc>
        <w:tc>
          <w:tcPr>
            <w:tcW w:type="dxa" w:w="1440"/>
            <w:shd w:fill="FFDCE0" w:val="clear"/>
          </w:tcPr>
          <w:p>
            <w:r>
              <w:rPr>
                <w:sz w:val="17"/>
              </w:rPr>
              <w:t>3,054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2,424</w:t>
            </w:r>
          </w:p>
        </w:tc>
        <w:tc>
          <w:tcPr>
            <w:tcW w:type="dxa" w:w="1440"/>
            <w:shd w:fill="FFDCE0" w:val="clear"/>
          </w:tcPr>
          <w:p>
            <w:r>
              <w:rPr>
                <w:b/>
                <w:sz w:val="17"/>
              </w:rPr>
              <w:t>2,639</w:t>
            </w:r>
          </w:p>
        </w:tc>
        <w:tc>
          <w:tcPr>
            <w:tcW w:type="dxa" w:w="1440"/>
            <w:shd w:fill="FFDCE0" w:val="clear"/>
          </w:tcPr>
          <w:p>
            <w:r>
              <w:rPr>
                <w:sz w:val="17"/>
              </w:rPr>
              <w:t>2,854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2,219</w:t>
            </w:r>
          </w:p>
        </w:tc>
        <w:tc>
          <w:tcPr>
            <w:tcW w:type="dxa" w:w="1440"/>
            <w:shd w:fill="FFDCE0" w:val="clear"/>
          </w:tcPr>
          <w:p>
            <w:r>
              <w:rPr>
                <w:b/>
                <w:sz w:val="17"/>
              </w:rPr>
              <w:t>2,441</w:t>
            </w:r>
          </w:p>
        </w:tc>
        <w:tc>
          <w:tcPr>
            <w:tcW w:type="dxa" w:w="1440"/>
            <w:shd w:fill="FFDCE0" w:val="clear"/>
          </w:tcPr>
          <w:p>
            <w:r>
              <w:rPr>
                <w:sz w:val="17"/>
              </w:rPr>
              <w:t>2,663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2,033</w:t>
            </w:r>
          </w:p>
        </w:tc>
        <w:tc>
          <w:tcPr>
            <w:tcW w:type="dxa" w:w="1440"/>
            <w:shd w:fill="FFDCE0" w:val="clear"/>
          </w:tcPr>
          <w:p>
            <w:r>
              <w:rPr>
                <w:b/>
                <w:sz w:val="17"/>
              </w:rPr>
              <w:t>2,258</w:t>
            </w:r>
          </w:p>
        </w:tc>
        <w:tc>
          <w:tcPr>
            <w:tcW w:type="dxa" w:w="1440"/>
            <w:shd w:fill="FFDCE0" w:val="clear"/>
          </w:tcPr>
          <w:p>
            <w:r>
              <w:rPr>
                <w:sz w:val="17"/>
              </w:rPr>
              <w:t>2,483</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1,864</w:t>
            </w:r>
          </w:p>
        </w:tc>
        <w:tc>
          <w:tcPr>
            <w:tcW w:type="dxa" w:w="1440"/>
            <w:shd w:fill="FFDCE0" w:val="clear"/>
          </w:tcPr>
          <w:p>
            <w:r>
              <w:rPr>
                <w:b/>
                <w:sz w:val="17"/>
              </w:rPr>
              <w:t>2,089</w:t>
            </w:r>
          </w:p>
        </w:tc>
        <w:tc>
          <w:tcPr>
            <w:tcW w:type="dxa" w:w="1440"/>
            <w:shd w:fill="FFDCE0" w:val="clear"/>
          </w:tcPr>
          <w:p>
            <w:r>
              <w:rPr>
                <w:sz w:val="17"/>
              </w:rPr>
              <w:t>2,314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1,710</w:t>
            </w:r>
          </w:p>
        </w:tc>
        <w:tc>
          <w:tcPr>
            <w:tcW w:type="dxa" w:w="1440"/>
            <w:shd w:fill="FFDCE0" w:val="clear"/>
          </w:tcPr>
          <w:p>
            <w:r>
              <w:rPr>
                <w:b/>
                <w:sz w:val="17"/>
              </w:rPr>
              <w:t>1,932</w:t>
            </w:r>
          </w:p>
        </w:tc>
        <w:tc>
          <w:tcPr>
            <w:tcW w:type="dxa" w:w="1440"/>
            <w:shd w:fill="FFDCE0" w:val="clear"/>
          </w:tcPr>
          <w:p>
            <w:r>
              <w:rPr>
                <w:sz w:val="17"/>
              </w:rPr>
              <w:t>2,154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1,569</w:t>
            </w:r>
          </w:p>
        </w:tc>
        <w:tc>
          <w:tcPr>
            <w:tcW w:type="dxa" w:w="1440"/>
            <w:shd w:fill="FFDCE0" w:val="clear"/>
          </w:tcPr>
          <w:p>
            <w:r>
              <w:rPr>
                <w:b/>
                <w:sz w:val="17"/>
              </w:rPr>
              <w:t>1,787</w:t>
            </w:r>
          </w:p>
        </w:tc>
        <w:tc>
          <w:tcPr>
            <w:tcW w:type="dxa" w:w="1440"/>
            <w:shd w:fill="FFDCE0" w:val="clear"/>
          </w:tcPr>
          <w:p>
            <w:r>
              <w:rPr>
                <w:sz w:val="17"/>
              </w:rPr>
              <w:t>2,005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1,441</w:t>
            </w:r>
          </w:p>
        </w:tc>
        <w:tc>
          <w:tcPr>
            <w:tcW w:type="dxa" w:w="1440"/>
            <w:shd w:fill="FFDCE0" w:val="clear"/>
          </w:tcPr>
          <w:p>
            <w:r>
              <w:rPr>
                <w:b/>
                <w:sz w:val="17"/>
              </w:rPr>
              <w:t>1,653</w:t>
            </w:r>
          </w:p>
        </w:tc>
        <w:tc>
          <w:tcPr>
            <w:tcW w:type="dxa" w:w="1440"/>
            <w:shd w:fill="FFDCE0" w:val="clear"/>
          </w:tcPr>
          <w:p>
            <w:r>
              <w:rPr>
                <w:sz w:val="17"/>
              </w:rPr>
              <w:t>1,866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70,66 milliards FCFA, un niveau significatif sur la BRVM qui reflète l'importance de ce titre dans l'industrie sucrière régionale. Le BPA est négatif à -406 FCFA, traduisant la perte nette enregistrée sur l'exercice 2025, ce qui rend le PER non pertinent à -8,9x — les investisseurs ne peuvent valoriser la société sur ses bénéfices actuels. Le P/B de 4,10x est particulièrement exigeant : le marché valorise l'actif net comptable plus de quatre fois au-dessus de sa valeur, ce qui implique des anticipations de redressement très fortes. L'EV/EBITDA de 10,9x se situe dans une fourchette élevée, indiquant que la valeur totale de l'entreprise (dette incluse) reste chère par rapport à sa capacité opérationnelle brute. Ces ratios, pris ensemble, révèlent une valorisation spéculative qui anticipe un retournement majeur de la rentabilité, sans aucune marge de sécurité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connu une progression spectaculaire de +82,07%, passant d'un plus bas de 1 980 FCFA à un plus haut de 3 920 FCFA, pour clôturer à 3 605 FCFA, avec une variation positive de +0,42% lors de la dernière séance. La moyenne du cours sur la période s'établit à 2 978 FCFA, tandis que la médiane est de 3 102 FCFA — cet écart positif indique une distribution asymétrique où les valeurs hautes récentes tirent la moyenne vers le haut. L'écart-type de 629 FCFA, avec un coefficient de variation de 21,1%, témoigne d'une dispersion modérée autour de la moyenne. Le kurtosis négatif de -1,354 (distribution platykurtique) indique une faible concentration des valeurs extrêmes, tandis que le skewness de -0,397 suggère une légère asymétrie vers les valeurs basses. La volatilité annualisée de 55,0% classe le titre dans la catégorie très élevée, signalant un risque important pour les investisseurs. Cette performance remarquable sur la période récente contraste avec la faiblesse des fondamentaux, suggérant un mouvement spéculatif puissant.</w:t>
      </w:r>
    </w:p>
    <w:p>
      <w:pPr>
        <w:spacing w:after="120" w:line="276" w:lineRule="auto" w:before="240"/>
      </w:pPr>
      <w:r>
        <w:rPr>
          <w:b/>
          <w:color w:val="003366"/>
          <w:sz w:val="24"/>
        </w:rPr>
        <w:t>**PARTIE 2 : ANALYSE TECHNIQUE DÉTAILLÉE**</w:t>
      </w:r>
    </w:p>
    <w:p>
      <w:pPr>
        <w:spacing w:after="120" w:line="276" w:lineRule="auto"/>
      </w:pPr>
      <w:r>
        <w:t>**Moyennes Mobiles** : La MM20 à 3 534,75 FCFA et la MM50 à 3 518,2 FCFA sont toutes deux inférieures au cours actuel de 3 605 FCFA, confirmant une configuration haussière à court et moyen terme. Le signal d'achat est justifié par le fait que le prix évolue au-dessus de ses moyennes mobiles, indiquant une dynamique positive soutenue. La convergence des deux moyennes suggère une consolidation avant une possible poursuite de la tendance.</w:t>
      </w:r>
    </w:p>
    <w:p>
      <w:pPr>
        <w:spacing w:after="120" w:line="276" w:lineRule="auto"/>
      </w:pPr>
      <w:r>
        <w:t>**Bandes de Bollinger** : Le cours à 3 605 FCFA se positionne entre la borne supérieure à 3 773,66 FCFA et la borne inférieure à 3 295,84 FCFA, avec une décision neutre. La largeur des bandes reflète la volatilité élevée du titre. Le prix se situant dans la partie supérieure de l'enveloppe, cela indique une pression acheteuse persistante mais sans atteindre la zone de surachat extrême qui signalerait un retournement imminent.</w:t>
      </w:r>
    </w:p>
    <w:p>
      <w:pPr>
        <w:spacing w:after="120" w:line="276" w:lineRule="auto"/>
      </w:pPr>
      <w:r>
        <w:t>**MACD** : Le MACD affiche une valeur de -2,119 contre un signal à -5,307, avec une décision d'achat. Cette configuration montre que le momentum s'améliore nettement, la ligne MACD remontant au-dessus de sa ligne de signal, ce qui suggère une dynamique haussière naissante. L'écart positif entre les deux lignes indique une accélération du mouvement haussier à court terme.</w:t>
      </w:r>
    </w:p>
    <w:p>
      <w:pPr>
        <w:spacing w:after="120" w:line="276" w:lineRule="auto"/>
      </w:pPr>
      <w:r>
        <w:t>**RSI** : Le RSI s'établit à 50,617, positionné exactement dans la zone neutre (30-70), avec une décision neutre. Cette valeur indique que le titre n'est ni suracheté ni survendu, laissant une marge de manœuvre dans les deux directions. Le RSI reflète un équilibre entre les forces acheteuses et vendeuses, sans signal directionnel fort.</w:t>
      </w:r>
    </w:p>
    <w:p>
      <w:pPr>
        <w:spacing w:after="120" w:line="276" w:lineRule="auto"/>
      </w:pPr>
      <w:r>
        <w:t>**Stochastique** : Le %K à 73,913 et le %D à 74,396 sont proches l'un de l'autre, avec une décision neutre. Ces valeurs élevées indiquent que le titre approche la zone de surachat technique, mais le fait que %K soit légèrement inférieur à %D suggère un possible ralentissement du momentum haussier. La convergence des deux lignes pourrait précéder un croisement baissier.</w:t>
      </w:r>
    </w:p>
    <w:p>
      <w:pPr>
        <w:spacing w:after="120" w:line="276" w:lineRule="auto"/>
      </w:pPr>
      <w:r>
        <w:t>**Conclusion technique** : La synthèse des indicateurs techniques montre un signal globalement positif mais prudent. Les moyennes mobiles et le MACD penchent en faveur d'un achat, tandis que les bandes de Bollinger, le RSI et le stochastique restent neutres. Cette configuration suggère une tendance haussière encore en place mais qui pourrait marquer une pause, d'autant que le titre a déjà fortement progressé. La prudence reste de mise face à des signaux mixtes.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SCRC révèlent une situation préoccupante : le chiffre d'affaires s'établit à 80,57 milliards FCFA, en recul de 7,6% par rapport à 2024 (87,22 milliards FCFA), tandis que le résultat net est une perte massive de 7,95 milliards FCFA, contre un bénéfice de 2,47 milliards FCFA en 2024 — une dégradation de 421%. Le ROE est profondément négatif à -46,13% et le ROA à -5,08%, traduisant une destruction de valeur significative. La marge opérationnelle est négative à -0,68%, et la marge nette à -9,87%. Le bilan montre un endettement total de 84,87 milliards FCFA avec des dettes financières représentant 492% du total bilan, un ratio d'endettement de 88,98% et une autonomie financière faible à 11,02%. Le BFR est positif à 6,53 milliards FCFA, le fonds de roulement négatif à -10,67 milliards FCFA et la trésorerie nette négative à -6,51 milliards FCFA. Les délais d'exploitation sont critiques : délai clients de 12 jours, délai fournisseurs très étendu à 366 jours et durée de stockage de 361 jours. Les rapports du S1 2025 (daté de 2025) confirment cette tendance avec une perte nette de 6,71 milliards FCFA sur un CA de 42,87 milliards FCFA, tandis que le rapport annuel 2024 (daté de 2024) montrait un bénéfice de 2,47 milliards FCFA. Les rapports 2025 convergent vers une recommandation de vente, soulignant l'explosion des charges financières (+262% à 6,79 milliards FCFA) et un endettement long terme multiplié par 2,7 à 64,5 milliards FCFA. La société investit massivement (25,2 milliards FCFA en immobilisations), mais ces investissements pèsent lourdement sur une structure financière déjà fragile. Les perspectives 2026 restent incertaines, dépendant de la capacité à rentabiliser ces investissements et à stabiliser le chiffre d'affaires.</w:t>
      </w:r>
    </w:p>
    <w:p>
      <w:pPr>
        <w:spacing w:after="120" w:line="276" w:lineRule="auto" w:before="240"/>
      </w:pPr>
      <w:r>
        <w:rPr>
          <w:b/>
          <w:color w:val="003366"/>
          <w:sz w:val="24"/>
        </w:rPr>
        <w:t>**PARTIE 4 : CONCLUSION D'INVESTISSEMENT**</w:t>
      </w:r>
    </w:p>
    <w:p>
      <w:pPr>
        <w:spacing w:after="120" w:line="276" w:lineRule="auto"/>
      </w:pPr>
      <w:r>
        <w:t>La synthèse globale révèle une divergence majeure entre la performance boursière et les fondamentaux de SCRC. La valorisation (Partie 0) est extrêmement exigeante avec un P/B de 4,10x et un EV/EBITDA de 10,9x malgré des pertes massives, indiquant une surévaluation spéculative. Le comportement du cours (Partie 1) montre une hausse spectaculaire de +82% avec une volatilité très élevée de 55%, caractéristique d'un mouvement spéculatif sans ancrage fondamental. Les signaux techniques (Partie 2) sont mitigés : les moyennes mobiles et le MACD suggèrent une poursuite haussière, mais le RSI neutre et le stochastique proche du surachat indiquent une possible correction. Les fondamentaux (Partie 3) sont alarmants : perte nette de 7,95 milliards FCFA, endettement critique, trésorerie négative et chiffre d'affaires en baisse. Les prédictions IA pour les 10 prochains jours (3335 à 2441 FCFA) confirment cette analyse en projetant une chute brutale de plus de 30%, anticipant un retournement du cours vers des niveaux plus conformes aux réalités économiques. La convergence entre la valorisation excessive, les fondamentaux dégradés et les prédictions baissières est frappante. Recommandation finale : **VENTE FORTE** avec un niveau de confiance **Élevé** et un risque global **Élevé**. L'horizon d'investissement optimal est le court terme (&lt;3 mois) pour les investisseurs détenant encore le titre, afin de profiter des niveaux actuels avant une correction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115.65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1,102 titres</w:t>
            </w:r>
          </w:p>
        </w:tc>
        <w:tc>
          <w:tcPr>
            <w:tcW w:type="dxa" w:w="2268"/>
            <w:shd w:fill="FFF2CC" w:val="clear"/>
          </w:tcPr>
          <w:p>
            <w:r>
              <w:rPr>
                <w:b/>
                <w:color w:val="503200"/>
                <w:sz w:val="16"/>
              </w:rPr>
              <w:t xml:space="preserve">Cours actuel : </w:t>
            </w:r>
            <w:r>
              <w:rPr>
                <w:color w:val="000000"/>
                <w:sz w:val="17"/>
              </w:rPr>
              <w:t>12,850 FCFA</w:t>
            </w:r>
          </w:p>
          <w:p>
            <w:r>
              <w:rPr>
                <w:b/>
                <w:color w:val="503200"/>
                <w:sz w:val="16"/>
              </w:rPr>
              <w:t xml:space="preserve">Var. 100 jours : </w:t>
            </w:r>
            <w:r>
              <w:rPr>
                <w:b/>
                <w:color w:val="007800"/>
                <w:sz w:val="17"/>
              </w:rPr>
              <w:t>+76.03%</w:t>
            </w:r>
          </w:p>
          <w:p>
            <w:r>
              <w:rPr>
                <w:b/>
                <w:color w:val="503200"/>
                <w:sz w:val="16"/>
              </w:rPr>
              <w:t xml:space="preserve">Plus haut 100j : </w:t>
            </w:r>
            <w:r>
              <w:rPr>
                <w:color w:val="000000"/>
                <w:sz w:val="17"/>
              </w:rPr>
              <w:t>13,000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16.25% (Élevée) — μ=10,833 FCFA, σ=1,761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β=-0.0168 (Contre-cyclique) — Cov=-0.000001, Var(idx)=0.000036, ρ=-0.004,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12,022</w:t>
            </w:r>
          </w:p>
        </w:tc>
        <w:tc>
          <w:tcPr>
            <w:tcW w:type="dxa" w:w="1440"/>
            <w:shd w:fill="FFDCE0" w:val="clear"/>
          </w:tcPr>
          <w:p>
            <w:r>
              <w:rPr>
                <w:b/>
                <w:sz w:val="17"/>
              </w:rPr>
              <w:t>12,372</w:t>
            </w:r>
          </w:p>
        </w:tc>
        <w:tc>
          <w:tcPr>
            <w:tcW w:type="dxa" w:w="1440"/>
            <w:shd w:fill="FFDCE0" w:val="clear"/>
          </w:tcPr>
          <w:p>
            <w:r>
              <w:rPr>
                <w:sz w:val="17"/>
              </w:rPr>
              <w:t>12,721</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11,706</w:t>
            </w:r>
          </w:p>
        </w:tc>
        <w:tc>
          <w:tcPr>
            <w:tcW w:type="dxa" w:w="1440"/>
            <w:shd w:fill="FFDCE0" w:val="clear"/>
          </w:tcPr>
          <w:p>
            <w:r>
              <w:rPr>
                <w:b/>
                <w:sz w:val="17"/>
              </w:rPr>
              <w:t>12,194</w:t>
            </w:r>
          </w:p>
        </w:tc>
        <w:tc>
          <w:tcPr>
            <w:tcW w:type="dxa" w:w="1440"/>
            <w:shd w:fill="FFDCE0" w:val="clear"/>
          </w:tcPr>
          <w:p>
            <w:r>
              <w:rPr>
                <w:sz w:val="17"/>
              </w:rPr>
              <w:t>12,681</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11,443</w:t>
            </w:r>
          </w:p>
        </w:tc>
        <w:tc>
          <w:tcPr>
            <w:tcW w:type="dxa" w:w="1440"/>
            <w:shd w:fill="FFDCE0" w:val="clear"/>
          </w:tcPr>
          <w:p>
            <w:r>
              <w:rPr>
                <w:b/>
                <w:sz w:val="17"/>
              </w:rPr>
              <w:t>12,032</w:t>
            </w:r>
          </w:p>
        </w:tc>
        <w:tc>
          <w:tcPr>
            <w:tcW w:type="dxa" w:w="1440"/>
            <w:shd w:fill="FFDCE0" w:val="clear"/>
          </w:tcPr>
          <w:p>
            <w:r>
              <w:rPr>
                <w:sz w:val="17"/>
              </w:rPr>
              <w:t>12,621</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11,213</w:t>
            </w:r>
          </w:p>
        </w:tc>
        <w:tc>
          <w:tcPr>
            <w:tcW w:type="dxa" w:w="1440"/>
            <w:shd w:fill="FFDCE0" w:val="clear"/>
          </w:tcPr>
          <w:p>
            <w:r>
              <w:rPr>
                <w:b/>
                <w:sz w:val="17"/>
              </w:rPr>
              <w:t>11,885</w:t>
            </w:r>
          </w:p>
        </w:tc>
        <w:tc>
          <w:tcPr>
            <w:tcW w:type="dxa" w:w="1440"/>
            <w:shd w:fill="FFDCE0" w:val="clear"/>
          </w:tcPr>
          <w:p>
            <w:r>
              <w:rPr>
                <w:sz w:val="17"/>
              </w:rPr>
              <w:t>12,556</w:t>
            </w:r>
          </w:p>
        </w:tc>
        <w:tc>
          <w:tcPr>
            <w:tcW w:type="dxa" w:w="1440"/>
            <w:shd w:fill="FFDCE0" w:val="clear"/>
          </w:tcPr>
          <w:p>
            <w:r>
              <w:rPr>
                <w:b/>
                <w:color w:val="C00000"/>
                <w:sz w:val="17"/>
              </w:rPr>
              <w:t>-7.5%</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11,007</w:t>
            </w:r>
          </w:p>
        </w:tc>
        <w:tc>
          <w:tcPr>
            <w:tcW w:type="dxa" w:w="1440"/>
            <w:shd w:fill="FFDCE0" w:val="clear"/>
          </w:tcPr>
          <w:p>
            <w:r>
              <w:rPr>
                <w:b/>
                <w:sz w:val="17"/>
              </w:rPr>
              <w:t>11,750</w:t>
            </w:r>
          </w:p>
        </w:tc>
        <w:tc>
          <w:tcPr>
            <w:tcW w:type="dxa" w:w="1440"/>
            <w:shd w:fill="FFDCE0" w:val="clear"/>
          </w:tcPr>
          <w:p>
            <w:r>
              <w:rPr>
                <w:sz w:val="17"/>
              </w:rPr>
              <w:t>12,492</w:t>
            </w:r>
          </w:p>
        </w:tc>
        <w:tc>
          <w:tcPr>
            <w:tcW w:type="dxa" w:w="1440"/>
            <w:shd w:fill="FFDCE0" w:val="clear"/>
          </w:tcPr>
          <w:p>
            <w:r>
              <w:rPr>
                <w:b/>
                <w:color w:val="C00000"/>
                <w:sz w:val="17"/>
              </w:rPr>
              <w:t>-8.6%</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10,822</w:t>
            </w:r>
          </w:p>
        </w:tc>
        <w:tc>
          <w:tcPr>
            <w:tcW w:type="dxa" w:w="1440"/>
            <w:shd w:fill="FFDCE0" w:val="clear"/>
          </w:tcPr>
          <w:p>
            <w:r>
              <w:rPr>
                <w:b/>
                <w:sz w:val="17"/>
              </w:rPr>
              <w:t>11,627</w:t>
            </w:r>
          </w:p>
        </w:tc>
        <w:tc>
          <w:tcPr>
            <w:tcW w:type="dxa" w:w="1440"/>
            <w:shd w:fill="FFDCE0" w:val="clear"/>
          </w:tcPr>
          <w:p>
            <w:r>
              <w:rPr>
                <w:sz w:val="17"/>
              </w:rPr>
              <w:t>12,432</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10,654</w:t>
            </w:r>
          </w:p>
        </w:tc>
        <w:tc>
          <w:tcPr>
            <w:tcW w:type="dxa" w:w="1440"/>
            <w:shd w:fill="FFDCE0" w:val="clear"/>
          </w:tcPr>
          <w:p>
            <w:r>
              <w:rPr>
                <w:b/>
                <w:sz w:val="17"/>
              </w:rPr>
              <w:t>11,515</w:t>
            </w:r>
          </w:p>
        </w:tc>
        <w:tc>
          <w:tcPr>
            <w:tcW w:type="dxa" w:w="1440"/>
            <w:shd w:fill="FFDCE0" w:val="clear"/>
          </w:tcPr>
          <w:p>
            <w:r>
              <w:rPr>
                <w:sz w:val="17"/>
              </w:rPr>
              <w:t>12,376</w:t>
            </w:r>
          </w:p>
        </w:tc>
        <w:tc>
          <w:tcPr>
            <w:tcW w:type="dxa" w:w="1440"/>
            <w:shd w:fill="FFDCE0" w:val="clear"/>
          </w:tcPr>
          <w:p>
            <w:r>
              <w:rPr>
                <w:b/>
                <w:color w:val="C00000"/>
                <w:sz w:val="17"/>
              </w:rPr>
              <w:t>-10.4%</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10,500</w:t>
            </w:r>
          </w:p>
        </w:tc>
        <w:tc>
          <w:tcPr>
            <w:tcW w:type="dxa" w:w="1440"/>
            <w:shd w:fill="FFDCE0" w:val="clear"/>
          </w:tcPr>
          <w:p>
            <w:r>
              <w:rPr>
                <w:b/>
                <w:sz w:val="17"/>
              </w:rPr>
              <w:t>11,412</w:t>
            </w:r>
          </w:p>
        </w:tc>
        <w:tc>
          <w:tcPr>
            <w:tcW w:type="dxa" w:w="1440"/>
            <w:shd w:fill="FFDCE0" w:val="clear"/>
          </w:tcPr>
          <w:p>
            <w:r>
              <w:rPr>
                <w:sz w:val="17"/>
              </w:rPr>
              <w:t>12,324</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10,357</w:t>
            </w:r>
          </w:p>
        </w:tc>
        <w:tc>
          <w:tcPr>
            <w:tcW w:type="dxa" w:w="1440"/>
            <w:shd w:fill="FFDCE0" w:val="clear"/>
          </w:tcPr>
          <w:p>
            <w:r>
              <w:rPr>
                <w:b/>
                <w:sz w:val="17"/>
              </w:rPr>
              <w:t>11,317</w:t>
            </w:r>
          </w:p>
        </w:tc>
        <w:tc>
          <w:tcPr>
            <w:tcW w:type="dxa" w:w="1440"/>
            <w:shd w:fill="FFDCE0" w:val="clear"/>
          </w:tcPr>
          <w:p>
            <w:r>
              <w:rPr>
                <w:sz w:val="17"/>
              </w:rPr>
              <w:t>12,276</w:t>
            </w:r>
          </w:p>
        </w:tc>
        <w:tc>
          <w:tcPr>
            <w:tcW w:type="dxa" w:w="1440"/>
            <w:shd w:fill="FFDCE0" w:val="clear"/>
          </w:tcPr>
          <w:p>
            <w:r>
              <w:rPr>
                <w:b/>
                <w:color w:val="C00000"/>
                <w:sz w:val="17"/>
              </w:rPr>
              <w:t>-11.9%</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10,225</w:t>
            </w:r>
          </w:p>
        </w:tc>
        <w:tc>
          <w:tcPr>
            <w:tcW w:type="dxa" w:w="1440"/>
            <w:shd w:fill="FFDCE0" w:val="clear"/>
          </w:tcPr>
          <w:p>
            <w:r>
              <w:rPr>
                <w:b/>
                <w:sz w:val="17"/>
              </w:rPr>
              <w:t>11,228</w:t>
            </w:r>
          </w:p>
        </w:tc>
        <w:tc>
          <w:tcPr>
            <w:tcW w:type="dxa" w:w="1440"/>
            <w:shd w:fill="FFDCE0" w:val="clear"/>
          </w:tcPr>
          <w:p>
            <w:r>
              <w:rPr>
                <w:sz w:val="17"/>
              </w:rPr>
              <w:t>12,232</w:t>
            </w:r>
          </w:p>
        </w:tc>
        <w:tc>
          <w:tcPr>
            <w:tcW w:type="dxa" w:w="1440"/>
            <w:shd w:fill="FFDCE0" w:val="clear"/>
          </w:tcPr>
          <w:p>
            <w:r>
              <w:rPr>
                <w:b/>
                <w:color w:val="C00000"/>
                <w:sz w:val="17"/>
              </w:rPr>
              <w:t>-12.6%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Absolument. Voici un rapport d'analyse structuré et professionnel pour l'action SDCC,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115,65 milliards FCFA, un niveau significatif qui la positionne parmi les valeurs moyennes du marché BRVM. Avec un BPA de 518 FCFA, le titre se négocie à un PER de 24,8x, soit plus du double de la moyenne historique du marché (8-12x). Cette décote reflète une anticipation de croissance future, mais expose également à un risque de correction si les résultats déçoivent. Le P/B de 5,87x confirme cette prime, le marché valorisant fortement les actifs nets de la société. Enfin, un EV/EBITDA de 14,8x, dans le haut de la fourchette usuelle (10-15x), indique que la valeur d'entreprise est substantielle par rapport à sa capacité opérationnelle, suggérant une valorisation exigeante qui laisse peu de place à l'erreur.</w:t>
      </w:r>
    </w:p>
    <w:p>
      <w:pPr>
        <w:spacing w:after="120" w:line="276" w:lineRule="auto"/>
      </w:pPr>
      <w:r>
        <w:t>### PARTIE 1 : ANALYSE DU COURS — STATISTIQUES ET ÉVOLUTION (100 derniers jours)</w:t>
      </w:r>
    </w:p>
    <w:p>
      <w:pPr>
        <w:spacing w:after="120" w:line="276" w:lineRule="auto"/>
      </w:pPr>
      <w:r>
        <w:t>Sur les 100 derniers jours, l'action SDCC a connu une progression spectaculaire de +76,03%, avec une dernière séance en légère hausse de +0,78% à 12 850 FCFA. Le titre a évolué dans une fourchette très large, entre un plus bas de 7 140 FCFA et un plus haut de 13 000 FCFA, démontrant une forte dynamique haussière. Les statistiques descriptives révèlent un cours moyen de 10 833 FCFA, inférieur à la médiane de 11 675 FCFA, ce qui, combiné à un skewness négatif (-1.139), indique une distribution asymétrique avec des journées de forte hausse plus fréquentes que la moyenne. L'écart-type de 1 770 FCFA (CV de 16,3%) montre une dispersion modérée des prix, tandis que le kurtosis proche de zéro (-0.163) suggère une distribution normale sans risque de pics extrêmes. La volatilité annualisée de 36,0% classe le titre comme très volatil, un niveau élevé qui implique un risque important mais aussi un fort potentiel de rendement.</w:t>
      </w:r>
    </w:p>
    <w:p>
      <w:pPr>
        <w:spacing w:after="120" w:line="276" w:lineRule="auto"/>
      </w:pPr>
      <w:r>
        <w:t>### PARTIE 2 : ANALYSE TECHNIQUE DÉTAILLÉE</w:t>
      </w:r>
    </w:p>
    <w:p>
      <w:pPr>
        <w:spacing w:after="120" w:line="276" w:lineRule="auto"/>
      </w:pPr>
      <w:r>
        <w:t>**Moyennes Mobiles**: Le cours actuel (12 850 FCFA) est nettement au-dessus de la MM20 (12 129,75 FCFA) et de la MM50 (11 964,2 FCFA). Cette configuration haussière, où le prix est soutenu par les moyennes mobiles, confirme la tendance positive et justifie la décision d'**Achat**.</w:t>
      </w:r>
    </w:p>
    <w:p>
      <w:pPr>
        <w:spacing w:after="120" w:line="276" w:lineRule="auto"/>
      </w:pPr>
      <w:r>
        <w:t>**Bandes de Bollinger**: Le prix se situe près de la borne supérieure (13 125 FCFA), indiquant une pression acheteuse soutenue. La largeur des bandes reflète la volatilité élevée du titre. Le fait que le prix ne soit pas sorti des bandes suggère un mouvement maîtrisé, d'où une décision **Neutre**, bien que la proximité de la borne supérieure puisse signaler une zone de résistance.</w:t>
      </w:r>
    </w:p>
    <w:p>
      <w:pPr>
        <w:spacing w:after="120" w:line="276" w:lineRule="auto"/>
      </w:pPr>
      <w:r>
        <w:t>**MACD**: La valeur du MACD (283,85) est supérieure à son signal (183,93), montrant un momentum haussier positif et croissant. Cette divergence positive indique que la dynamique d'achat est toujours en vigueur, ce qui justifie la décision d'**Achat**.</w:t>
      </w:r>
    </w:p>
    <w:p>
      <w:pPr>
        <w:spacing w:after="120" w:line="276" w:lineRule="auto"/>
      </w:pPr>
      <w:r>
        <w:t>**RSI**: Le RSI à 79,02 est en zone de surachat (au-dessus de 70). Cela signale que le titre est potentiellement surévalué à court terme et qu'un repli technique est possible. La décision de **Vente** est donc une alerte pour les investisseurs à court terme.</w:t>
      </w:r>
    </w:p>
    <w:p>
      <w:pPr>
        <w:spacing w:after="120" w:line="276" w:lineRule="auto"/>
      </w:pPr>
      <w:r>
        <w:t>**Stochastique**: Avec un %K à 89,21 et un %D à 90,31, l'oscillateur stochastique est également en zone de surachat. Les deux lignes sont à des niveaux très élevés, indiquant une faiblesse imminente du momentum. La décision de **Vente** confirme le signal du RSI.</w:t>
      </w:r>
    </w:p>
    <w:p>
      <w:pPr>
        <w:spacing w:after="120" w:line="276" w:lineRule="auto"/>
      </w:pPr>
      <w:r>
        <w:t>**Conclusion technique**: Les indicateurs de tendance (MM, MACD) sont résolument haussiers, mais les oscillateurs de momentum (RSI, Stochastique) sont en surachat extrême. Cette divergence classique suggère que la tendance de fond reste positive, mais qu'une consolidation ou un repli technique est probable à très court terme avant la poursuite de la hausse.</w:t>
      </w:r>
    </w:p>
    <w:p>
      <w:pPr>
        <w:spacing w:after="120" w:line="276" w:lineRule="auto"/>
      </w:pPr>
      <w:r>
        <w:t>### PARTIE 3 : ANALYSE FONDAMENTALE (SECTION CRITIQUE)</w:t>
      </w:r>
    </w:p>
    <w:p>
      <w:pPr>
        <w:spacing w:after="120" w:line="276" w:lineRule="auto"/>
      </w:pPr>
      <w:r>
        <w:t>En tant qu'**entreprise non bancaire**, l'analyse de SDCC se concentre sur son chiffre d'affaires et sa structure financière. Pour l'exercice **2025**, les données structurées indiquent un chiffre d'affaires de 189,430 milliards FCFA, en croissance de 9,98%, et un résultat net de 4,663 milliards FCFA. La marge nette est faible à 2,46%, mais le ROE est excellent à 23,65%, grâce à une base de capitaux propres relativement restreinte (19,716 Mds FCFA). Cependant, le bilan est très déséquilibré : l'autonomie financière est très faible (4,17%) et le ratio d'endettement est extrêmement élevé (95,83%). Le délai de paiement des clients est un point critique, s'établissant à 749 jours, ce qui génère un besoin en fonds de roulement (BFR) massif de 104,748 milliards FCFA et une trésorerie nette fortement négative de -61,71 milliards FCFA. Les rapports narratifs confirment cette tendance : le rapport annuel **2025** (daté du 31/12/2025) fait état d'une amélioration des résultats, mais aussi de "tensions persistantes sur la trésorerie". Le rapport du **S1 2025** (30/06/2025) montrait déjà une baisse du résultat net de -24%. En revanche, le rapport du **T1 2026** (daté de 2026) est très positif, avec un résultat net en hausse de 118% à 1,318 milliard FCFA, grâce à une meilleure maîtrise des charges. Sur cette base, on estime que l'exercice 2026 pourrait voir une amélioration significative de la rentabilité, mais la question cruciale du recouvrement des créances et de la trésorerie reste le principal risque à surveiller.</w:t>
      </w:r>
    </w:p>
    <w:p>
      <w:pPr>
        <w:spacing w:after="120" w:line="276" w:lineRule="auto"/>
      </w:pPr>
      <w:r>
        <w:t>### PARTIE 4 : CONCLUSION D'INVESTISSEMENT</w:t>
      </w:r>
    </w:p>
    <w:p>
      <w:pPr>
        <w:spacing w:after="120" w:line="276" w:lineRule="auto"/>
      </w:pPr>
      <w:r>
        <w:t>La valorisation de SDCC est exigeante (PER 24,8x, P/B 5,87x), intégrant des attentes de croissance élevées. Le comportement du cours est très haussier sur les 100 derniers jours (+76%), mais avec une volatilité élevée (36%) et des statistiques montrant une asymétrie positive. Les signaux techniques sont partagés : la tendance (MM, MACD) est positive, mais les indicateurs de momentum (RSI, Stochastique) sont en surachat, suggérant un repli à court terme. Les fondamentaux de 2025 sont contrastés : une rentabilité nette faible mais un ROE excellent, contre un endettement massif et un besoin en fonds de roulement colossal dû à des délais de paiement clients très longs. Les perspectives 2026, basées sur les excellents résultats du T1, sont encourageantes. Les prédictions IA (J+1 à J+10) montrent une trajectoire baissière de 12 850 à 11 750 FCFA, ce qui confirme les signaux de surachat technique. En synthèse, la convergence entre la valorisation élevée, les signaux techniques de surachat et les prédictions IA baissières suggère une pause dans la dynamique haussière. La recommandation finale est **CONSERVER**, avec un niveau de confiance **Moyen** et un risque global **Élevé**. L'horizon d'investissement optimal est le **moyen terme (3-12 mois)**, afin de laisser le temps à la stratégie de redressement de la trésorerie de porter ses fruits et de voir si les fondamentaux rattrapent la valorisation.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159.77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18,012 titres</w:t>
            </w:r>
          </w:p>
        </w:tc>
        <w:tc>
          <w:tcPr>
            <w:tcW w:type="dxa" w:w="2268"/>
            <w:shd w:fill="FFF2CC" w:val="clear"/>
          </w:tcPr>
          <w:p>
            <w:r>
              <w:rPr>
                <w:b/>
                <w:color w:val="503200"/>
                <w:sz w:val="16"/>
              </w:rPr>
              <w:t xml:space="preserve">Cours actuel : </w:t>
            </w:r>
            <w:r>
              <w:rPr>
                <w:color w:val="000000"/>
                <w:sz w:val="17"/>
              </w:rPr>
              <w:t>2,935 FCFA</w:t>
            </w:r>
          </w:p>
          <w:p>
            <w:r>
              <w:rPr>
                <w:b/>
                <w:color w:val="503200"/>
                <w:sz w:val="16"/>
              </w:rPr>
              <w:t xml:space="preserve">Var. 100 jours : </w:t>
            </w:r>
            <w:r>
              <w:rPr>
                <w:b/>
                <w:color w:val="007800"/>
                <w:sz w:val="17"/>
              </w:rPr>
              <w:t>+52.86%</w:t>
            </w:r>
          </w:p>
          <w:p>
            <w:r>
              <w:rPr>
                <w:b/>
                <w:color w:val="503200"/>
                <w:sz w:val="16"/>
              </w:rPr>
              <w:t xml:space="preserve">Plus haut 100j : </w:t>
            </w:r>
            <w:r>
              <w:rPr>
                <w:color w:val="000000"/>
                <w:sz w:val="17"/>
              </w:rPr>
              <w:t>2,935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17.97% (Élevée) — μ=2,243 FCFA, σ=403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β=0.6249 (Défensif) — Cov=0.000022, Var(idx)=0.000036, ρ=0.118,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18,012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2,709</w:t>
            </w:r>
          </w:p>
        </w:tc>
        <w:tc>
          <w:tcPr>
            <w:tcW w:type="dxa" w:w="1440"/>
            <w:shd w:fill="FFDCE0" w:val="clear"/>
          </w:tcPr>
          <w:p>
            <w:r>
              <w:rPr>
                <w:b/>
                <w:sz w:val="17"/>
              </w:rPr>
              <w:t>2,868</w:t>
            </w:r>
          </w:p>
        </w:tc>
        <w:tc>
          <w:tcPr>
            <w:tcW w:type="dxa" w:w="1440"/>
            <w:shd w:fill="FFDCE0" w:val="clear"/>
          </w:tcPr>
          <w:p>
            <w:r>
              <w:rPr>
                <w:sz w:val="17"/>
              </w:rPr>
              <w:t>3,027</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2,593</w:t>
            </w:r>
          </w:p>
        </w:tc>
        <w:tc>
          <w:tcPr>
            <w:tcW w:type="dxa" w:w="1440"/>
            <w:shd w:fill="FFDCE0" w:val="clear"/>
          </w:tcPr>
          <w:p>
            <w:r>
              <w:rPr>
                <w:b/>
                <w:sz w:val="17"/>
              </w:rPr>
              <w:t>2,815</w:t>
            </w:r>
          </w:p>
        </w:tc>
        <w:tc>
          <w:tcPr>
            <w:tcW w:type="dxa" w:w="1440"/>
            <w:shd w:fill="FFDCE0" w:val="clear"/>
          </w:tcPr>
          <w:p>
            <w:r>
              <w:rPr>
                <w:sz w:val="17"/>
              </w:rPr>
              <w:t>3,036</w:t>
            </w:r>
          </w:p>
        </w:tc>
        <w:tc>
          <w:tcPr>
            <w:tcW w:type="dxa" w:w="1440"/>
            <w:shd w:fill="FFDCE0" w:val="clear"/>
          </w:tcPr>
          <w:p>
            <w:r>
              <w:rPr>
                <w:b/>
                <w:color w:val="C00000"/>
                <w:sz w:val="17"/>
              </w:rPr>
              <w:t>-4.1%</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2,510</w:t>
            </w:r>
          </w:p>
        </w:tc>
        <w:tc>
          <w:tcPr>
            <w:tcW w:type="dxa" w:w="1440"/>
            <w:shd w:fill="FFDCE0" w:val="clear"/>
          </w:tcPr>
          <w:p>
            <w:r>
              <w:rPr>
                <w:b/>
                <w:sz w:val="17"/>
              </w:rPr>
              <w:t>2,777</w:t>
            </w:r>
          </w:p>
        </w:tc>
        <w:tc>
          <w:tcPr>
            <w:tcW w:type="dxa" w:w="1440"/>
            <w:shd w:fill="FFDCE0" w:val="clear"/>
          </w:tcPr>
          <w:p>
            <w:r>
              <w:rPr>
                <w:sz w:val="17"/>
              </w:rPr>
              <w:t>3,045</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2,442</w:t>
            </w:r>
          </w:p>
        </w:tc>
        <w:tc>
          <w:tcPr>
            <w:tcW w:type="dxa" w:w="1440"/>
            <w:shd w:fill="FFDCE0" w:val="clear"/>
          </w:tcPr>
          <w:p>
            <w:r>
              <w:rPr>
                <w:b/>
                <w:sz w:val="17"/>
              </w:rPr>
              <w:t>2,748</w:t>
            </w:r>
          </w:p>
        </w:tc>
        <w:tc>
          <w:tcPr>
            <w:tcW w:type="dxa" w:w="1440"/>
            <w:shd w:fill="FFDCE0" w:val="clear"/>
          </w:tcPr>
          <w:p>
            <w:r>
              <w:rPr>
                <w:sz w:val="17"/>
              </w:rPr>
              <w:t>3,054</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2,385</w:t>
            </w:r>
          </w:p>
        </w:tc>
        <w:tc>
          <w:tcPr>
            <w:tcW w:type="dxa" w:w="1440"/>
            <w:shd w:fill="FFDCE0" w:val="clear"/>
          </w:tcPr>
          <w:p>
            <w:r>
              <w:rPr>
                <w:b/>
                <w:sz w:val="17"/>
              </w:rPr>
              <w:t>2,723</w:t>
            </w:r>
          </w:p>
        </w:tc>
        <w:tc>
          <w:tcPr>
            <w:tcW w:type="dxa" w:w="1440"/>
            <w:shd w:fill="FFDCE0" w:val="clear"/>
          </w:tcPr>
          <w:p>
            <w:r>
              <w:rPr>
                <w:sz w:val="17"/>
              </w:rPr>
              <w:t>3,062</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2,333</w:t>
            </w:r>
          </w:p>
        </w:tc>
        <w:tc>
          <w:tcPr>
            <w:tcW w:type="dxa" w:w="1440"/>
            <w:shd w:fill="FFDCE0" w:val="clear"/>
          </w:tcPr>
          <w:p>
            <w:r>
              <w:rPr>
                <w:b/>
                <w:sz w:val="17"/>
              </w:rPr>
              <w:t>2,701</w:t>
            </w:r>
          </w:p>
        </w:tc>
        <w:tc>
          <w:tcPr>
            <w:tcW w:type="dxa" w:w="1440"/>
            <w:shd w:fill="FFDCE0" w:val="clear"/>
          </w:tcPr>
          <w:p>
            <w:r>
              <w:rPr>
                <w:sz w:val="17"/>
              </w:rPr>
              <w:t>3,068</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2,285</w:t>
            </w:r>
          </w:p>
        </w:tc>
        <w:tc>
          <w:tcPr>
            <w:tcW w:type="dxa" w:w="1440"/>
            <w:shd w:fill="FFDCE0" w:val="clear"/>
          </w:tcPr>
          <w:p>
            <w:r>
              <w:rPr>
                <w:b/>
                <w:sz w:val="17"/>
              </w:rPr>
              <w:t>2,679</w:t>
            </w:r>
          </w:p>
        </w:tc>
        <w:tc>
          <w:tcPr>
            <w:tcW w:type="dxa" w:w="1440"/>
            <w:shd w:fill="FFDCE0" w:val="clear"/>
          </w:tcPr>
          <w:p>
            <w:r>
              <w:rPr>
                <w:sz w:val="17"/>
              </w:rPr>
              <w:t>3,073</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2,241</w:t>
            </w:r>
          </w:p>
        </w:tc>
        <w:tc>
          <w:tcPr>
            <w:tcW w:type="dxa" w:w="1440"/>
            <w:shd w:fill="FFDCE0" w:val="clear"/>
          </w:tcPr>
          <w:p>
            <w:r>
              <w:rPr>
                <w:b/>
                <w:sz w:val="17"/>
              </w:rPr>
              <w:t>2,659</w:t>
            </w:r>
          </w:p>
        </w:tc>
        <w:tc>
          <w:tcPr>
            <w:tcW w:type="dxa" w:w="1440"/>
            <w:shd w:fill="FFDCE0" w:val="clear"/>
          </w:tcPr>
          <w:p>
            <w:r>
              <w:rPr>
                <w:sz w:val="17"/>
              </w:rPr>
              <w:t>3,077</w:t>
            </w:r>
          </w:p>
        </w:tc>
        <w:tc>
          <w:tcPr>
            <w:tcW w:type="dxa" w:w="1440"/>
            <w:shd w:fill="FFDCE0" w:val="clear"/>
          </w:tcPr>
          <w:p>
            <w:r>
              <w:rPr>
                <w:b/>
                <w:color w:val="C00000"/>
                <w:sz w:val="17"/>
              </w:rPr>
              <w:t>-9.4%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2,199</w:t>
            </w:r>
          </w:p>
        </w:tc>
        <w:tc>
          <w:tcPr>
            <w:tcW w:type="dxa" w:w="1440"/>
            <w:shd w:fill="FFDCE0" w:val="clear"/>
          </w:tcPr>
          <w:p>
            <w:r>
              <w:rPr>
                <w:b/>
                <w:sz w:val="17"/>
              </w:rPr>
              <w:t>2,640</w:t>
            </w:r>
          </w:p>
        </w:tc>
        <w:tc>
          <w:tcPr>
            <w:tcW w:type="dxa" w:w="1440"/>
            <w:shd w:fill="FFDCE0" w:val="clear"/>
          </w:tcPr>
          <w:p>
            <w:r>
              <w:rPr>
                <w:sz w:val="17"/>
              </w:rPr>
              <w:t>3,080</w:t>
            </w:r>
          </w:p>
        </w:tc>
        <w:tc>
          <w:tcPr>
            <w:tcW w:type="dxa" w:w="1440"/>
            <w:shd w:fill="FFDCE0" w:val="clear"/>
          </w:tcPr>
          <w:p>
            <w:r>
              <w:rPr>
                <w:b/>
                <w:color w:val="C00000"/>
                <w:sz w:val="17"/>
              </w:rPr>
              <w:t>-10.1%</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2,160</w:t>
            </w:r>
          </w:p>
        </w:tc>
        <w:tc>
          <w:tcPr>
            <w:tcW w:type="dxa" w:w="1440"/>
            <w:shd w:fill="FFDCE0" w:val="clear"/>
          </w:tcPr>
          <w:p>
            <w:r>
              <w:rPr>
                <w:b/>
                <w:sz w:val="17"/>
              </w:rPr>
              <w:t>2,621</w:t>
            </w:r>
          </w:p>
        </w:tc>
        <w:tc>
          <w:tcPr>
            <w:tcW w:type="dxa" w:w="1440"/>
            <w:shd w:fill="FFDCE0" w:val="clear"/>
          </w:tcPr>
          <w:p>
            <w:r>
              <w:rPr>
                <w:sz w:val="17"/>
              </w:rPr>
              <w:t>3,082</w:t>
            </w:r>
          </w:p>
        </w:tc>
        <w:tc>
          <w:tcPr>
            <w:tcW w:type="dxa" w:w="1440"/>
            <w:shd w:fill="FFDCE0" w:val="clear"/>
          </w:tcPr>
          <w:p>
            <w:r>
              <w:rPr>
                <w:b/>
                <w:color w:val="C00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159,77 milliards FCFA, ce qui la positionne parmi les valeurs moyennes du marché BRVM, dans un secteur logistique stratégique pour l'économie ivoirienne. Le BPA de 387 FCFA indique que chaque action génère un bénéfice substantiel, justifiant un PER de 7,6x, inférieur à la moyenne du marché BRVM (8-12x), ce qui suggère une sous-évaluation relative du titre. Le P/B de 2,05x montre que le marché valorise la société à environ deux fois sa valeur comptable, une prime de croissance raisonnable pour une entreprise historiquement rentable. En revanche, l'EV/EBITDA de 34,5x apparaît très exigeant, signalant que la valeur d'entreprise par rapport à la capacité opérationnelle est élevée, ce qui pourrait refléter des attentes de redressement futur ou une anomalie liée à la structure du bilan.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+52,86%, passant d'un plus bas de 1 650 FCFA à un plus haut de 2 935 FCFA, niveau actuel du cours, avec une légère hausse de +0,34% lors de la dernière séance. La moyenne du cours sur la période s'établit à 2 243 FCFA, tandis que la médiane est de 2 310 FCFA, un écart modéré indiquant une distribution légèrement asymétrique mais globalement équilibrée. L'écart-type de 405 FCFA, avec un coefficient de variation de 18,1%, révèle une dispersion modérée des prix autour de la moyenne. Le kurtosis négatif de -1,539 indique une distribution platykurtique, c'est-à-dire une faible concentration des extrêmes, réduisant le risque de mouvements violents inattendus, tandis que le skewness de 0,017 confirme une symétrie quasi parfaite de la distribution. La volatilité annualisée de 50,3% classe le titre comme très volatil, un niveau élevé qui reflète un fort potentiel de gains mais aussi un risque accru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2 935 FCFA se situe nettement au-dessus de la MM20 (2 689 FCFA) et de la MM50 (2 604,8 FCFA), confirmant une tendance haussière solide à court et moyen terme. L'écart positif entre le cours et les moyennes mobiles indique un momentum acheteur soutenu, justifiant la décision d'achat.</w:t>
      </w:r>
    </w:p>
    <w:p>
      <w:pPr>
        <w:spacing w:after="120" w:line="276" w:lineRule="auto"/>
      </w:pPr>
      <w:r>
        <w:t>**Bandes de Bollinger** : Le prix évolue près de la borne supérieure (2 964,54 FCFA), avec une borne inférieure à 2 413,46 FCFA, indiquant une volatilité élevée et une pression acheteuse forte. La position proche de la borne supérieure suggère que le titre pourrait être temporairement suracheté, mais la décision neutre reflète l'absence de signal de retournement clair.</w:t>
      </w:r>
    </w:p>
    <w:p>
      <w:pPr>
        <w:spacing w:after="120" w:line="276" w:lineRule="auto"/>
      </w:pPr>
      <w:r>
        <w:t>**MACD** : La valeur du MACD (71,803) est supérieure à son signal (55,382), confirmant un momentum haussier positif. Cette divergence positive indique que la tendance haussière est toujours en vigueur, avec une dynamique qui pourrait se poursuivre à court terme, justifiant la décision d'achat.</w:t>
      </w:r>
    </w:p>
    <w:p>
      <w:pPr>
        <w:spacing w:after="120" w:line="276" w:lineRule="auto"/>
      </w:pPr>
      <w:r>
        <w:t>**RSI** : À 59,903, le RSI se situe en zone neutre, en dessous du seuil de surachat de 70, ce qui laisse une marge de progression avant une éventuelle correction. Cette valeur indique que le titre n'est pas encore surchauffé, malgré la forte hausse récente, justifiant une décision neutre.</w:t>
      </w:r>
    </w:p>
    <w:p>
      <w:pPr>
        <w:spacing w:after="120" w:line="276" w:lineRule="auto"/>
      </w:pPr>
      <w:r>
        <w:t>**Stochastique** : Le %K et le %D sont tous deux à 100, un niveau extrême de surachat qui signale une possible correction imminente. Cette configuration, avec des valeurs maximales, indique que le marché est très étendu à la hausse, justifiant la décision de vente pour les traders à court terme.</w:t>
      </w:r>
    </w:p>
    <w:p>
      <w:pPr>
        <w:spacing w:after="120" w:line="276" w:lineRule="auto"/>
      </w:pPr>
      <w:r>
        <w:t>**Conclusion technique** : Les indicateurs de tendance (MM, MACD) sont positifs, tandis que les oscillateurs (RSI, Stochastique) montrent des signes de surachat, créant une divergence entre momentum et niveau de prix. La tendance haussière reste intacte, mais une consolidation ou un repli technique est probable à court terme avant une éventuelle poursuite de la hausse.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s'élève à 27,08%, démontrant une excellente rentabilité des capitaux propres, tandis que le ROA de 11,2% confirme une gestion efficace des actifs. Le bilan 2024 révèle une structure saine avec des capitaux propres de 77,808 milliards FCFA, une autonomie financière de 41,36% et une solvabilité générale de 170,53%. Cependant, le délai clients de 466,94 jours est préoccupant, indiquant un risque de trésorerie important, compensé par un délai fournisseurs très élevé de 4 534 jours. Les rapports trimestriels 2025 montrent une dégradation marquée : le CA du T1 2025 atteint 24,897 milliards FCFA (+6,2%), mais le résultat net chute à 223 millions FCFA, et le S1 2025 affiche une perte de -427 millions FCFA. Le rapport annuel 2025 (provisoire) confirme cette tendance avec un CA de 92,004 milliards FCFA (+7,43%) mais un résultat net effondré à 784,97 millions FCFA, pénalisé par un résultat d'exploitation négatif de -2,271 milliards FCFA. On estime que l'exercice 2026 pourrait voir une stabilisation si la direction parvient à restaurer les marges opérationnelles, mais la dépendance aux dividendes des filiales et la hausse des dotations restent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profil contrasté : le PER de 7,6x suggère une sous-évaluation relative, mais l'EV/EBITDA de 34,5x et le P/B de 2,05x indiquent une prime de croissance déjà intégrée. Le comportement du cours sur 100 jours est très favorable avec une hausse de 52,86%, mais la volatilité élevée de 50,3% et les statistiques platykurtiques appellent à la prudence. Les signaux techniques sont mitigés : les moyennes mobiles et le MACD sont positifs, mais le Stochastique à 100 signale un surachat extrême, suggérant un risque de correction à court terme. Fondamentalement, la solidité du bilan 2024 (ROE de 27,08%, capitaux propres de 77,8 milliards) contraste avec la chute brutale de la rentabilité en 2025 (marge nette de 0,85%), créant une incertitude majeure sur la capacité de l'entreprise à restaurer ses marges. Les prédictions IA indiquent une trajectoire baissière de 2 935 à 2 723 FCFA sur 10 jours, confirmant les signaux de surachat technique. En synthèse, la convergence entre la surchauffe technique, la dégradation fondamentale et les prédictions baissières conduit à une recommandation de **CONSERVER** avec un niveau de confiance **Moyen** et un risque global **Élevé**. L'horizon d'investissement optimal serait le **moyen terme (3-12 mois)**, en attendant une clarification sur la restauration des marges opérationnelles et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38.16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5,813 titres</w:t>
            </w:r>
          </w:p>
        </w:tc>
        <w:tc>
          <w:tcPr>
            <w:tcW w:type="dxa" w:w="2268"/>
            <w:shd w:fill="FFF2CC" w:val="clear"/>
          </w:tcPr>
          <w:p>
            <w:r>
              <w:rPr>
                <w:b/>
                <w:color w:val="503200"/>
                <w:sz w:val="16"/>
              </w:rPr>
              <w:t xml:space="preserve">Cours actuel : </w:t>
            </w:r>
            <w:r>
              <w:rPr>
                <w:color w:val="000000"/>
                <w:sz w:val="17"/>
              </w:rPr>
              <w:t>1,515 FCFA</w:t>
            </w:r>
          </w:p>
          <w:p>
            <w:r>
              <w:rPr>
                <w:b/>
                <w:color w:val="503200"/>
                <w:sz w:val="16"/>
              </w:rPr>
              <w:t xml:space="preserve">Var. 100 jours : </w:t>
            </w:r>
            <w:r>
              <w:rPr>
                <w:b/>
                <w:color w:val="B40000"/>
                <w:sz w:val="17"/>
              </w:rPr>
              <w:t>-21.50%</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7.66% (Moyenne) — μ=1,555 FCFA, σ=119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β=1.4026 (Agressif) — Cov=0.000050, Var(idx)=0.000036, ρ=0.268,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1,417</w:t>
            </w:r>
          </w:p>
        </w:tc>
        <w:tc>
          <w:tcPr>
            <w:tcW w:type="dxa" w:w="1440"/>
            <w:shd w:fill="FAFAFA" w:val="clear"/>
          </w:tcPr>
          <w:p>
            <w:r>
              <w:rPr>
                <w:b/>
                <w:sz w:val="17"/>
              </w:rPr>
              <w:t>1,486</w:t>
            </w:r>
          </w:p>
        </w:tc>
        <w:tc>
          <w:tcPr>
            <w:tcW w:type="dxa" w:w="1440"/>
            <w:shd w:fill="FAFAFA" w:val="clear"/>
          </w:tcPr>
          <w:p>
            <w:r>
              <w:rPr>
                <w:sz w:val="17"/>
              </w:rPr>
              <w:t>1,554</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1,379</w:t>
            </w:r>
          </w:p>
        </w:tc>
        <w:tc>
          <w:tcPr>
            <w:tcW w:type="dxa" w:w="1440"/>
            <w:shd w:fill="FFDCE0" w:val="clear"/>
          </w:tcPr>
          <w:p>
            <w:r>
              <w:rPr>
                <w:b/>
                <w:sz w:val="17"/>
              </w:rPr>
              <w:t>1,475</w:t>
            </w:r>
          </w:p>
        </w:tc>
        <w:tc>
          <w:tcPr>
            <w:tcW w:type="dxa" w:w="1440"/>
            <w:shd w:fill="FFDCE0" w:val="clear"/>
          </w:tcPr>
          <w:p>
            <w:r>
              <w:rPr>
                <w:sz w:val="17"/>
              </w:rPr>
              <w:t>1,572</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1,345</w:t>
            </w:r>
          </w:p>
        </w:tc>
        <w:tc>
          <w:tcPr>
            <w:tcW w:type="dxa" w:w="1440"/>
            <w:shd w:fill="FFDCE0" w:val="clear"/>
          </w:tcPr>
          <w:p>
            <w:r>
              <w:rPr>
                <w:b/>
                <w:sz w:val="17"/>
              </w:rPr>
              <w:t>1,462</w:t>
            </w:r>
          </w:p>
        </w:tc>
        <w:tc>
          <w:tcPr>
            <w:tcW w:type="dxa" w:w="1440"/>
            <w:shd w:fill="FFDCE0" w:val="clear"/>
          </w:tcPr>
          <w:p>
            <w:r>
              <w:rPr>
                <w:sz w:val="17"/>
              </w:rPr>
              <w:t>1,579</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1,313</w:t>
            </w:r>
          </w:p>
        </w:tc>
        <w:tc>
          <w:tcPr>
            <w:tcW w:type="dxa" w:w="1440"/>
            <w:shd w:fill="FFDCE0" w:val="clear"/>
          </w:tcPr>
          <w:p>
            <w:r>
              <w:rPr>
                <w:b/>
                <w:sz w:val="17"/>
              </w:rPr>
              <w:t>1,447</w:t>
            </w:r>
          </w:p>
        </w:tc>
        <w:tc>
          <w:tcPr>
            <w:tcW w:type="dxa" w:w="1440"/>
            <w:shd w:fill="FFDCE0" w:val="clear"/>
          </w:tcPr>
          <w:p>
            <w:r>
              <w:rPr>
                <w:sz w:val="17"/>
              </w:rPr>
              <w:t>1,581</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1,284</w:t>
            </w:r>
          </w:p>
        </w:tc>
        <w:tc>
          <w:tcPr>
            <w:tcW w:type="dxa" w:w="1440"/>
            <w:shd w:fill="FFDCE0" w:val="clear"/>
          </w:tcPr>
          <w:p>
            <w:r>
              <w:rPr>
                <w:b/>
                <w:sz w:val="17"/>
              </w:rPr>
              <w:t>1,432</w:t>
            </w:r>
          </w:p>
        </w:tc>
        <w:tc>
          <w:tcPr>
            <w:tcW w:type="dxa" w:w="1440"/>
            <w:shd w:fill="FFDCE0" w:val="clear"/>
          </w:tcPr>
          <w:p>
            <w:r>
              <w:rPr>
                <w:sz w:val="17"/>
              </w:rPr>
              <w:t>1,580</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1,258</w:t>
            </w:r>
          </w:p>
        </w:tc>
        <w:tc>
          <w:tcPr>
            <w:tcW w:type="dxa" w:w="1440"/>
            <w:shd w:fill="FFDCE0" w:val="clear"/>
          </w:tcPr>
          <w:p>
            <w:r>
              <w:rPr>
                <w:b/>
                <w:sz w:val="17"/>
              </w:rPr>
              <w:t>1,418</w:t>
            </w:r>
          </w:p>
        </w:tc>
        <w:tc>
          <w:tcPr>
            <w:tcW w:type="dxa" w:w="1440"/>
            <w:shd w:fill="FFDCE0" w:val="clear"/>
          </w:tcPr>
          <w:p>
            <w:r>
              <w:rPr>
                <w:sz w:val="17"/>
              </w:rPr>
              <w:t>1,579</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1,232</w:t>
            </w:r>
          </w:p>
        </w:tc>
        <w:tc>
          <w:tcPr>
            <w:tcW w:type="dxa" w:w="1440"/>
            <w:shd w:fill="FFDCE0" w:val="clear"/>
          </w:tcPr>
          <w:p>
            <w:r>
              <w:rPr>
                <w:b/>
                <w:sz w:val="17"/>
              </w:rPr>
              <w:t>1,404</w:t>
            </w:r>
          </w:p>
        </w:tc>
        <w:tc>
          <w:tcPr>
            <w:tcW w:type="dxa" w:w="1440"/>
            <w:shd w:fill="FFDCE0" w:val="clear"/>
          </w:tcPr>
          <w:p>
            <w:r>
              <w:rPr>
                <w:sz w:val="17"/>
              </w:rPr>
              <w:t>1,576</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1,209</w:t>
            </w:r>
          </w:p>
        </w:tc>
        <w:tc>
          <w:tcPr>
            <w:tcW w:type="dxa" w:w="1440"/>
            <w:shd w:fill="FFDCE0" w:val="clear"/>
          </w:tcPr>
          <w:p>
            <w:r>
              <w:rPr>
                <w:b/>
                <w:sz w:val="17"/>
              </w:rPr>
              <w:t>1,391</w:t>
            </w:r>
          </w:p>
        </w:tc>
        <w:tc>
          <w:tcPr>
            <w:tcW w:type="dxa" w:w="1440"/>
            <w:shd w:fill="FFDCE0" w:val="clear"/>
          </w:tcPr>
          <w:p>
            <w:r>
              <w:rPr>
                <w:sz w:val="17"/>
              </w:rPr>
              <w:t>1,572</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1,186</w:t>
            </w:r>
          </w:p>
        </w:tc>
        <w:tc>
          <w:tcPr>
            <w:tcW w:type="dxa" w:w="1440"/>
            <w:shd w:fill="FFDCE0" w:val="clear"/>
          </w:tcPr>
          <w:p>
            <w:r>
              <w:rPr>
                <w:b/>
                <w:sz w:val="17"/>
              </w:rPr>
              <w:t>1,377</w:t>
            </w:r>
          </w:p>
        </w:tc>
        <w:tc>
          <w:tcPr>
            <w:tcW w:type="dxa" w:w="1440"/>
            <w:shd w:fill="FFDCE0" w:val="clear"/>
          </w:tcPr>
          <w:p>
            <w:r>
              <w:rPr>
                <w:sz w:val="17"/>
              </w:rPr>
              <w:t>1,568</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1,165</w:t>
            </w:r>
          </w:p>
        </w:tc>
        <w:tc>
          <w:tcPr>
            <w:tcW w:type="dxa" w:w="1440"/>
            <w:shd w:fill="FFDCE0" w:val="clear"/>
          </w:tcPr>
          <w:p>
            <w:r>
              <w:rPr>
                <w:b/>
                <w:sz w:val="17"/>
              </w:rPr>
              <w:t>1,364</w:t>
            </w:r>
          </w:p>
        </w:tc>
        <w:tc>
          <w:tcPr>
            <w:tcW w:type="dxa" w:w="1440"/>
            <w:shd w:fill="FFDCE0" w:val="clear"/>
          </w:tcPr>
          <w:p>
            <w:r>
              <w:rPr>
                <w:sz w:val="17"/>
              </w:rPr>
              <w:t>1,564</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38,16 milliards FCFA, ce qui la positionne comme une valeur de taille moyenne sur la BRVM, un niveau modeste qui reflète la suspension de cotation passée et la liquidité limitée du titre. Les ratios de valorisation (BPA, PER, P/B, EV/EBITDA) ne sont pas calculables en raison de l'absence de données financières structurées dans la base, ce qui constitue une limite importante pour l'évaluation comparative. Toutefois, sur la base des rapports fondamentaux disponibles, notamment le résultat net de 1,01 milliard FCFA en 2023, le PER implicite se situerait autour de 38 fois, un niveau très élevé par rapport à la moyenne BRVM de 8 à 12 fois, indiquant une valorisation nettement supérieure aux bénéfices générés. Cette situation s'explique par la chute drastique des résultats en 2023 (-74%) et par l'anticipation par le marché d'un rebond significatif porté par le nouveau actionnaire Sonoco.</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performance négative de -21,50%, avec une accélération baissière lors de la dernière séance (-3,50%), portant le cours à 1 515 FCFA. Le titre a évolué dans une fourchette de 590 FCFA entre le plus haut à 1 940 FCFA et le plus bas à 1 350 FCFA, illustrant une forte amplitude de variation. La moyenne du cours sur la période (1 555 FCFA) est supérieure à la médiane (1 522 FCFA), indiquant une asymétrie positive avec des épisodes de hausse ponctuels suivis de replis. L'écart-type de 120 FCFA représente un coefficient de variation de 7,7%, une dispersion modérée en valeur absolue, mais le kurtosis élevé (2,961) signale un risque de mouvements extrêmes, confirmé par le skewness positif (1,670) qui révèle une distribution avec des queues épaisses et une prédominance de journées sous la moyenne. La volatilité annualisée de 49,8% classe SEMC comme un actif à très haute volatilité, reflétant une spéculation marquée et une incertitude élevée sur le marché.</w:t>
      </w:r>
    </w:p>
    <w:p>
      <w:pPr>
        <w:spacing w:after="120" w:line="276" w:lineRule="auto" w:before="240"/>
      </w:pPr>
      <w:r>
        <w:rPr>
          <w:b/>
          <w:color w:val="003366"/>
          <w:sz w:val="24"/>
        </w:rPr>
        <w:t>**PARTIE 2 : ANALYSE TECHNIQUE DÉTAILLÉE**</w:t>
      </w:r>
    </w:p>
    <w:p>
      <w:pPr>
        <w:spacing w:after="120" w:line="276" w:lineRule="auto"/>
      </w:pPr>
      <w:r>
        <w:t>**Moyennes Mobiles** : Le cours actuel de 1 515 FCFA est exactement au niveau de la MM20 (1 515,0) et nettement au-dessus de la MM50 (1 499,2), configuration qui suggère un équilibre à court terme mais une tendance positive à moyen terme. La décision d'achat signalée par cet indicateur s'appuie sur la capacité du titre à se maintenir au-dessus de sa moyenne à 50 jours, bien que la stagnation récente autour de la MM20 appelle à la prudence.</w:t>
      </w:r>
    </w:p>
    <w:p>
      <w:pPr>
        <w:spacing w:after="120" w:line="276" w:lineRule="auto"/>
      </w:pPr>
      <w:r>
        <w:t>**Bandes de Bollinger** : Le prix se situe précisément au milieu du canal formé par les bornes supérieure (1 610,5) et inférieure (1 419,5), indiquant une volatilité modérée après les mouvements récents. La position centrale du cours ne signale ni surachat ni survente, d'où la décision neutre, mais l'écart entre les bornes (191 points) témoigne d'une volatilité encore significative qui pourrait précéder un mouvement directionnel.</w:t>
      </w:r>
    </w:p>
    <w:p>
      <w:pPr>
        <w:spacing w:after="120" w:line="276" w:lineRule="auto"/>
      </w:pPr>
      <w:r>
        <w:t>**MACD** : La valeur du MACD (10,49) est très légèrement inférieure à son signal (10,505), indiquant un momentum baissier naissant après une période de convergence. Bien que les deux lignes restent positives, suggérant une dynamique sous-jacente encore haussière, le croisement imminent vers le bas justifie la décision de vente et appelle à la vigilance sur la poursuite du repli.</w:t>
      </w:r>
    </w:p>
    <w:p>
      <w:pPr>
        <w:spacing w:after="120" w:line="276" w:lineRule="auto"/>
      </w:pPr>
      <w:r>
        <w:t>**RSI** : À 51,6, le RSI se positionne exactement dans la zone neutre (30-70), ne montrant ni surachat ni survente. Cette valeur indique un équilibre entre pressions acheteuses et vendeuses, sans signal directionnel fort, ce qui explique la décision neutre. Le RSI laisse toutefois une marge de manœuvre dans les deux sens avant d'atteindre des zones extrêmes.</w:t>
      </w:r>
    </w:p>
    <w:p>
      <w:pPr>
        <w:spacing w:after="120" w:line="276" w:lineRule="auto"/>
      </w:pPr>
      <w:r>
        <w:t>**Stochastique** : Le %K (43,3) est inférieur au %D (63,3), configuration baissière indiquant que le momentum récent s'affaiblit. Le croisement potentiel de ces lignes vers le bas pourrait confirmer une poursuite du mouvement correctif, mais les valeurs restent en zone neutre, d'où la décision neutre de l'indicateur.</w:t>
      </w:r>
    </w:p>
    <w:p>
      <w:pPr>
        <w:spacing w:after="120" w:line="276" w:lineRule="auto"/>
      </w:pPr>
      <w:r>
        <w:t>**Conclusion technique** : La convergence des indicateurs est mitigée : les moyennes mobiles plaident pour une tendance haussière à moyen terme, tandis que le MACD et le stochastique signalent un essoufflement du momentum à court terme. Le RSI neutre et les bandes de Bollinger centrales n'apportent pas de direction claire. L'ensemble suggère une phase de consolidation avec un biais légèrement négatif à court terme, mais sans signal de retournement majeur.</w:t>
      </w:r>
    </w:p>
    <w:p>
      <w:pPr>
        <w:spacing w:after="120" w:line="276" w:lineRule="auto" w:before="240"/>
      </w:pPr>
      <w:r>
        <w:rPr>
          <w:b/>
          <w:color w:val="003366"/>
          <w:sz w:val="24"/>
        </w:rPr>
        <w:t>**PARTIE 3 : ANALYSE FONDAMENTALE (SECTION CRITIQUE)**</w:t>
      </w:r>
    </w:p>
    <w:p>
      <w:pPr>
        <w:spacing w:after="120" w:line="276" w:lineRule="auto"/>
      </w:pPr>
      <w:r>
        <w:t>Les rapports financiers disponibles pour SEMC, datant du 31 décembre 2024 (analysés en mars 2026), couvrent l'exercice 2023 et présentent des données contrastées. Le chiffre d'affaires 2023 s'établit à 27,88 milliards FCFA, en baisse de 6% par rapport à 2022 (29,60 milliards FCFA), pénalisé par la perte de clients clés comme AIRONE (-81% du CA) et l'arrêt du secteur Tomate. Le résultat net a chuté de 74% à 1,01 milliard FCFA (contre 3,86 milliards en 2022), avec une marge nette dégradée à 3,6% contre 13% précédemment, sous l'effet de coûts fixes élevés et d'une perte financière liée à l'absence de dividendes de la filiale ghanéenne. Aucun dividende n'a été distribué, la société privilégiant la conservation de trésorerie (3,35 milliards FCFA) pour financer sa relance. Le rapport du premier trimestre 2023 (publié en 2023) montrait pourtant une dynamique positive avec un CA de 7,65 milliards FCFA (+16,5%) et un bénéfice net de 855 millions FCFA (+37,9%), suggérant que la dégradation s'est accentuée au cours de l'année. Sur la base de ces éléments, on estime que l'exercice 2024 devrait bénéficier du rachat par Sonoco Products Company (finalisé en décembre 2024) et de l'objectif de CA de 32 milliards FCFA (+18%), porté par les bouchons couronnes (+61% en volume) et les exportations. La société traverse une phase de transition avec une rentabilité fragile mais des perspectives de rebond soutenues par l'arrivée d'un actionnaire industriel stratégique.</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pour SEMC. La valorisation boursière, avec un PER implicite très élevé d'environ 38 fois les bénéfices 2023, suggère une surévaluation relative malgré la chute du cours de 21,5% sur 100 jours. Le comportement du titre, caractérisé par une volatilité annualisée extrême de 49,8% et un skewness positif indiquant des mouvements erratiques, reflète une spéculation intense sur le redressement de la société. Les signaux techniques sont divergents : les moyennes mobiles plaident pour un maintien au-dessus de 1 500 FCFA, mais le MACD et le stochastique signalent un affaiblissement du momentum, tandis que les prédictions IA anticipent une poursuite du repli vers 1 432 FCFA à J+10, confirmant le biais baissier à court terme. Les fondamentaux, bien qu'anciens (exercice 2023), montrent une société en difficulté avec un résultat net divisé par quatre, mais avec des perspectives de rebond crédibles portées par Sonoco et un objectif de croissance de 18% du CA. La convergence entre la faiblesse technique à court terme, les prédictions IA baissières et la valorisation exigeante conduit à une recommandation de **VENTE** à court terme, avec un niveau de confiance **Moyen** et un risque global **Élevé**. L'horizon d'investissement optimal serait de moyen terme (3-12 mois) pour observer l'impact réel du plan de relance 2024 et la levée de la suspension BRVM avant d'envisager toute position acheteuse.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1184.87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5,254 titres</w:t>
            </w:r>
          </w:p>
        </w:tc>
        <w:tc>
          <w:tcPr>
            <w:tcW w:type="dxa" w:w="2268"/>
            <w:shd w:fill="FFF2CC" w:val="clear"/>
          </w:tcPr>
          <w:p>
            <w:r>
              <w:rPr>
                <w:b/>
                <w:color w:val="503200"/>
                <w:sz w:val="16"/>
              </w:rPr>
              <w:t xml:space="preserve">Cours actuel : </w:t>
            </w:r>
            <w:r>
              <w:rPr>
                <w:color w:val="000000"/>
                <w:sz w:val="17"/>
              </w:rPr>
              <w:t>38,085 FCFA</w:t>
            </w:r>
          </w:p>
          <w:p>
            <w:r>
              <w:rPr>
                <w:b/>
                <w:color w:val="503200"/>
                <w:sz w:val="16"/>
              </w:rPr>
              <w:t xml:space="preserve">Var. 100 jours : </w:t>
            </w:r>
            <w:r>
              <w:rPr>
                <w:b/>
                <w:color w:val="007800"/>
                <w:sz w:val="17"/>
              </w:rPr>
              <w:t>+15.06%</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5.49% (Moyenne) — μ=37,138 FCFA, σ=2,041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β=0.6025 (Défensif) — Cov=0.000022, Var(idx)=0.000036, ρ=0.234,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37,036</w:t>
            </w:r>
          </w:p>
        </w:tc>
        <w:tc>
          <w:tcPr>
            <w:tcW w:type="dxa" w:w="1440"/>
            <w:shd w:fill="FAFAFA" w:val="clear"/>
          </w:tcPr>
          <w:p>
            <w:r>
              <w:rPr>
                <w:b/>
                <w:sz w:val="17"/>
              </w:rPr>
              <w:t>37,886</w:t>
            </w:r>
          </w:p>
        </w:tc>
        <w:tc>
          <w:tcPr>
            <w:tcW w:type="dxa" w:w="1440"/>
            <w:shd w:fill="FAFAFA" w:val="clear"/>
          </w:tcPr>
          <w:p>
            <w:r>
              <w:rPr>
                <w:sz w:val="17"/>
              </w:rPr>
              <w:t>38,736</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36,611</w:t>
            </w:r>
          </w:p>
        </w:tc>
        <w:tc>
          <w:tcPr>
            <w:tcW w:type="dxa" w:w="1440"/>
            <w:shd w:fill="FAFAFA" w:val="clear"/>
          </w:tcPr>
          <w:p>
            <w:r>
              <w:rPr>
                <w:b/>
                <w:sz w:val="17"/>
              </w:rPr>
              <w:t>37,811</w:t>
            </w:r>
          </w:p>
        </w:tc>
        <w:tc>
          <w:tcPr>
            <w:tcW w:type="dxa" w:w="1440"/>
            <w:shd w:fill="FAFAFA" w:val="clear"/>
          </w:tcPr>
          <w:p>
            <w:r>
              <w:rPr>
                <w:sz w:val="17"/>
              </w:rPr>
              <w:t>39,011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36,266</w:t>
            </w:r>
          </w:p>
        </w:tc>
        <w:tc>
          <w:tcPr>
            <w:tcW w:type="dxa" w:w="1440"/>
            <w:shd w:fill="FAFAFA" w:val="clear"/>
          </w:tcPr>
          <w:p>
            <w:r>
              <w:rPr>
                <w:b/>
                <w:sz w:val="17"/>
              </w:rPr>
              <w:t>37,732</w:t>
            </w:r>
          </w:p>
        </w:tc>
        <w:tc>
          <w:tcPr>
            <w:tcW w:type="dxa" w:w="1440"/>
            <w:shd w:fill="FAFAFA" w:val="clear"/>
          </w:tcPr>
          <w:p>
            <w:r>
              <w:rPr>
                <w:sz w:val="17"/>
              </w:rPr>
              <w:t>39,199</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2026-09-08</w:t>
            </w:r>
          </w:p>
        </w:tc>
        <w:tc>
          <w:tcPr>
            <w:tcW w:type="dxa" w:w="1440"/>
            <w:shd w:fill="FAFAFA" w:val="clear"/>
          </w:tcPr>
          <w:p>
            <w:r>
              <w:rPr>
                <w:sz w:val="17"/>
              </w:rPr>
              <w:t>35,964</w:t>
            </w:r>
          </w:p>
        </w:tc>
        <w:tc>
          <w:tcPr>
            <w:tcW w:type="dxa" w:w="1440"/>
            <w:shd w:fill="FAFAFA" w:val="clear"/>
          </w:tcPr>
          <w:p>
            <w:r>
              <w:rPr>
                <w:b/>
                <w:sz w:val="17"/>
              </w:rPr>
              <w:t>37,654</w:t>
            </w:r>
          </w:p>
        </w:tc>
        <w:tc>
          <w:tcPr>
            <w:tcW w:type="dxa" w:w="1440"/>
            <w:shd w:fill="FAFAFA" w:val="clear"/>
          </w:tcPr>
          <w:p>
            <w:r>
              <w:rPr>
                <w:sz w:val="17"/>
              </w:rPr>
              <w:t>39,344</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2026-09-09</w:t>
            </w:r>
          </w:p>
        </w:tc>
        <w:tc>
          <w:tcPr>
            <w:tcW w:type="dxa" w:w="1440"/>
            <w:shd w:fill="FAFAFA" w:val="clear"/>
          </w:tcPr>
          <w:p>
            <w:r>
              <w:rPr>
                <w:sz w:val="17"/>
              </w:rPr>
              <w:t>35,692</w:t>
            </w:r>
          </w:p>
        </w:tc>
        <w:tc>
          <w:tcPr>
            <w:tcW w:type="dxa" w:w="1440"/>
            <w:shd w:fill="FAFAFA" w:val="clear"/>
          </w:tcPr>
          <w:p>
            <w:r>
              <w:rPr>
                <w:b/>
                <w:sz w:val="17"/>
              </w:rPr>
              <w:t>37,577</w:t>
            </w:r>
          </w:p>
        </w:tc>
        <w:tc>
          <w:tcPr>
            <w:tcW w:type="dxa" w:w="1440"/>
            <w:shd w:fill="FAFAFA" w:val="clear"/>
          </w:tcPr>
          <w:p>
            <w:r>
              <w:rPr>
                <w:sz w:val="17"/>
              </w:rPr>
              <w:t>39,463</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2026-09-10</w:t>
            </w:r>
          </w:p>
        </w:tc>
        <w:tc>
          <w:tcPr>
            <w:tcW w:type="dxa" w:w="1440"/>
            <w:shd w:fill="FAFAFA" w:val="clear"/>
          </w:tcPr>
          <w:p>
            <w:r>
              <w:rPr>
                <w:sz w:val="17"/>
              </w:rPr>
              <w:t>35,440</w:t>
            </w:r>
          </w:p>
        </w:tc>
        <w:tc>
          <w:tcPr>
            <w:tcW w:type="dxa" w:w="1440"/>
            <w:shd w:fill="FAFAFA" w:val="clear"/>
          </w:tcPr>
          <w:p>
            <w:r>
              <w:rPr>
                <w:b/>
                <w:sz w:val="17"/>
              </w:rPr>
              <w:t>37,502</w:t>
            </w:r>
          </w:p>
        </w:tc>
        <w:tc>
          <w:tcPr>
            <w:tcW w:type="dxa" w:w="1440"/>
            <w:shd w:fill="FAFAFA" w:val="clear"/>
          </w:tcPr>
          <w:p>
            <w:r>
              <w:rPr>
                <w:sz w:val="17"/>
              </w:rPr>
              <w:t>39,563</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2026-09-11</w:t>
            </w:r>
          </w:p>
        </w:tc>
        <w:tc>
          <w:tcPr>
            <w:tcW w:type="dxa" w:w="1440"/>
            <w:shd w:fill="FAFAFA" w:val="clear"/>
          </w:tcPr>
          <w:p>
            <w:r>
              <w:rPr>
                <w:sz w:val="17"/>
              </w:rPr>
              <w:t>35,205</w:t>
            </w:r>
          </w:p>
        </w:tc>
        <w:tc>
          <w:tcPr>
            <w:tcW w:type="dxa" w:w="1440"/>
            <w:shd w:fill="FAFAFA" w:val="clear"/>
          </w:tcPr>
          <w:p>
            <w:r>
              <w:rPr>
                <w:b/>
                <w:sz w:val="17"/>
              </w:rPr>
              <w:t>37,427</w:t>
            </w:r>
          </w:p>
        </w:tc>
        <w:tc>
          <w:tcPr>
            <w:tcW w:type="dxa" w:w="1440"/>
            <w:shd w:fill="FAFAFA" w:val="clear"/>
          </w:tcPr>
          <w:p>
            <w:r>
              <w:rPr>
                <w:sz w:val="17"/>
              </w:rPr>
              <w:t>39,650</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2026-09-14</w:t>
            </w:r>
          </w:p>
        </w:tc>
        <w:tc>
          <w:tcPr>
            <w:tcW w:type="dxa" w:w="1440"/>
            <w:shd w:fill="FAFAFA" w:val="clear"/>
          </w:tcPr>
          <w:p>
            <w:r>
              <w:rPr>
                <w:sz w:val="17"/>
              </w:rPr>
              <w:t>34,983</w:t>
            </w:r>
          </w:p>
        </w:tc>
        <w:tc>
          <w:tcPr>
            <w:tcW w:type="dxa" w:w="1440"/>
            <w:shd w:fill="FAFAFA" w:val="clear"/>
          </w:tcPr>
          <w:p>
            <w:r>
              <w:rPr>
                <w:b/>
                <w:sz w:val="17"/>
              </w:rPr>
              <w:t>37,354</w:t>
            </w:r>
          </w:p>
        </w:tc>
        <w:tc>
          <w:tcPr>
            <w:tcW w:type="dxa" w:w="1440"/>
            <w:shd w:fill="FAFAFA" w:val="clear"/>
          </w:tcPr>
          <w:p>
            <w:r>
              <w:rPr>
                <w:sz w:val="17"/>
              </w:rPr>
              <w:t>39,725</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34,771</w:t>
            </w:r>
          </w:p>
        </w:tc>
        <w:tc>
          <w:tcPr>
            <w:tcW w:type="dxa" w:w="1440"/>
            <w:shd w:fill="FFDCE0" w:val="clear"/>
          </w:tcPr>
          <w:p>
            <w:r>
              <w:rPr>
                <w:b/>
                <w:sz w:val="17"/>
              </w:rPr>
              <w:t>37,281</w:t>
            </w:r>
          </w:p>
        </w:tc>
        <w:tc>
          <w:tcPr>
            <w:tcW w:type="dxa" w:w="1440"/>
            <w:shd w:fill="FFDCE0" w:val="clear"/>
          </w:tcPr>
          <w:p>
            <w:r>
              <w:rPr>
                <w:sz w:val="17"/>
              </w:rPr>
              <w:t>39,791</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34,569</w:t>
            </w:r>
          </w:p>
        </w:tc>
        <w:tc>
          <w:tcPr>
            <w:tcW w:type="dxa" w:w="1440"/>
            <w:shd w:fill="FFDCE0" w:val="clear"/>
          </w:tcPr>
          <w:p>
            <w:r>
              <w:rPr>
                <w:b/>
                <w:sz w:val="17"/>
              </w:rPr>
              <w:t>37,210</w:t>
            </w:r>
          </w:p>
        </w:tc>
        <w:tc>
          <w:tcPr>
            <w:tcW w:type="dxa" w:w="1440"/>
            <w:shd w:fill="FFDCE0" w:val="clear"/>
          </w:tcPr>
          <w:p>
            <w:r>
              <w:rPr>
                <w:sz w:val="17"/>
              </w:rPr>
              <w:t>39,851</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1 184,87 milliards FCFA, ce qui en fait l'une des plus importantes capitalisations de la BRVM, reflétant son statut de leader bancaire régional. Avec un BPA de 3 258 FCFA, chaque action génère un bénéfice substantiel, justifiant un PER de 11,7x, légèrement au-dessus de la moyenne historique de la BRVM (8-12x), ce qui indique une valorisation raisonnable mais non bradée. Le P/B de 2,39x montre que le marché accorde une prime de croissance à la banque par rapport à sa valeur comptable, un niveau considéré comme sain pour une institution performante. En revanche, l'EV/EBITDA de 24,5x apparaît très exigeant, signalant que la valeur d'entreprise intègre des attentes élevées de performance opérationnelle future,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remarquable de +15,06%, avec une dernière séance quasi stable (+0,12%) à 38 085 FCFA, après avoir évolué dans une fourchette de 32 800 à 39 300 FCFA. La moyenne du cours (37 138 FCFA) est inférieure à la médiane (38 000 FCFA), et le skewness négatif (-0,849) confirme une asymétrie avec des journées majoritairement au-dessus de la moyenne, indiquant une pression acheteuse dominante. L'écart-type de 2 051 FCFA (CV de 5,5%) témoigne d'une dispersion modérée des prix, tandis que le kurtosis de -0,688 (mésokurtique) suggère l'absence de pics extrêmes de volatilité. La volatilité annualisée de 24,4% classe le titre dans une zone modérée, offrant un équilibre entre potentiel de rendement et stabilité relative pour les investisseurs.</w:t>
      </w:r>
    </w:p>
    <w:p>
      <w:pPr>
        <w:spacing w:after="120" w:line="276" w:lineRule="auto" w:before="240"/>
      </w:pPr>
      <w:r>
        <w:rPr>
          <w:b/>
          <w:color w:val="003366"/>
          <w:sz w:val="24"/>
        </w:rPr>
        <w:t>**PARTIE 2 : ANALYSE TECHNIQUE DÉTAILLÉE**</w:t>
      </w:r>
    </w:p>
    <w:p>
      <w:pPr>
        <w:spacing w:after="120" w:line="276" w:lineRule="auto"/>
      </w:pPr>
      <w:r>
        <w:t>**Moyennes Mobiles** : La MM20 (38 545,5 FCFA) et la MM50 (38 458,3 FCFA) sont toutes deux supérieures au cours actuel de 38 085 FCFA, mais leur proximité suggère une consolidation. Le signal d'achat généré par ces moyennes indique que la tendance de fond reste positive malgré le repli récent, les prix évoluant encore dans la zone de leurs moyennes historiques.</w:t>
      </w:r>
    </w:p>
    <w:p>
      <w:pPr>
        <w:spacing w:after="120" w:line="276" w:lineRule="auto"/>
      </w:pPr>
      <w:r>
        <w:t>**Bandes de Bollinger** : Le cours se positionne entre la borne inférieure (37 393,2 FCFA) et la borne supérieure (39 697,8 FCFA), plus près de la borne inférieure, ce qui traduit une volatilité modérée et un potentiel de rebond technique. La décision neutre reflète l'absence de cassure directionnelle nette, le titre évoluant dans un canal de trading bien défini.</w:t>
      </w:r>
    </w:p>
    <w:p>
      <w:pPr>
        <w:spacing w:after="120" w:line="276" w:lineRule="auto"/>
      </w:pPr>
      <w:r>
        <w:t>**MACD** : La valeur négative du MACD (-65,842) par rapport à son signal (35,647) indique un momentum baissier à court terme, bien que l'écart reste limité. Cette configuration suggère une phase de correction après la hausse récente, mais sans signal de retournement majeur, le croisement sous la ligne de signal appelant à la prudence.</w:t>
      </w:r>
    </w:p>
    <w:p>
      <w:pPr>
        <w:spacing w:after="120" w:line="276" w:lineRule="auto"/>
      </w:pPr>
      <w:r>
        <w:t>**RSI** : À 46,972, le RSI se situe en zone neutre (30-70), indiquant un équilibre entre pressions acheteuses et vendeuses. Cette valeur suggère que le titre n'est ni suracheté ni survendu, laissant place à une évolution directionnelle sans contrainte technique majeure.</w:t>
      </w:r>
    </w:p>
    <w:p>
      <w:pPr>
        <w:spacing w:after="120" w:line="276" w:lineRule="auto"/>
      </w:pPr>
      <w:r>
        <w:t>**Stochastique** : Le %K (23,824) et le %D (21,108) sont proches et sous la zone de survente (30), signalant un potentiel rebond technique. Leur convergence sans croisement net maintient une décision neutre, mais la proximité de la zone de survente pourrait attirer des acheteurs opportunistes.</w:t>
      </w:r>
    </w:p>
    <w:p>
      <w:pPr>
        <w:spacing w:after="120" w:line="276" w:lineRule="auto"/>
      </w:pPr>
      <w:r>
        <w:t>**Conclusion technique** : Les indicateurs sont globalement mitigés, avec des signaux d'achat à long terme (moyennes mobiles) contrastant avec un momentum baissier à court terme (MACD). La neutralité du RSI et du stochastique suggère une phase de consolidation, le titre cherchant un nouveau catalyseur pour sortir de son range actuel.</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performance solide : le Produit Net Bancaire atteint 276,048 milliards FCFA, en croissance de +4,9%, générant un résultat net record de 101,352 milliards FCFA. La banque affiche une rentabilité exceptionnelle avec un ROE de 20,47% et un ROA de 2,69%, soutenus par un coefficient d'exploitation très efficace de 38,75%, bien en dessous du seuil de 60% considéré comme sain. Le bilan est robuste avec des dépôts clientèle de 2 907,675 milliards FCFA contre des créances de 2 546,290 milliards FCFA, soit un ratio de transformation prudent. Les rapports trimestriels 2025 confirment cette trajectoire : le T1 2025 (PNB de 66,3 milliards, +1,3%) et le S1 2025 (PNB de 132 milliards, +1,0%, résultat net de 53,1 milliards, +10%) montrent une amélioration continue de l'efficience, avec un coefficient d'exploitation à 37-38%. Le rapport du 3e trimestre 2025 (cumul 9 mois) indique un PNB de 201 milliards (+2,5%) et un résultat net de 83,3 milliards (+11,7%), permettant d'estimer un résultat annuel 2025 autour de 110-115 milliards FCFA, en hausse de 10-13% par rapport à 2024. La notation AAA (Bloomfield) et le ratio de solvabilité de 17,7% (S1 2025) renforcent la solidité financière, malgré une vigilance nécessaire sur la hausse des créances en souffrance (NPL à 7,8% au S1 2025 contre 7,5% en 2024).</w:t>
      </w:r>
    </w:p>
    <w:p>
      <w:pPr>
        <w:spacing w:after="120" w:line="276" w:lineRule="auto" w:before="240"/>
      </w:pPr>
      <w:r>
        <w:rPr>
          <w:b/>
          <w:color w:val="003366"/>
          <w:sz w:val="24"/>
        </w:rPr>
        <w:t>**PARTIE 4 : CONCLUSION D'INVESTISSEMENT**</w:t>
      </w:r>
    </w:p>
    <w:p>
      <w:pPr>
        <w:spacing w:after="120" w:line="276" w:lineRule="auto"/>
      </w:pPr>
      <w:r>
        <w:t>La valorisation de SGBC (PER 11,7x, P/B 2,39x) apparaît raisonnable pour un leader bancaire de cette qualité, bien que l'EV/EBITDA exigeant (24,5x) tempère l'enthousiasme. Le comportement du cours (+15,06% sur 100 jours) avec une volatilité modérée (24,4%) et une asymétrie positive (skewness négatif) témoigne d'une tendance haussière soutenue mais en phase de consolidation technique. Les signaux techniques mitigés (MM acheteuses, MACD vendeur, RSI neutre) suggèrent une pause avant une possible reprise, tandis que les fondamentaux exceptionnels (ROE 20,47%, coefficient d'exploitation 38,75%, notation AAA) et les estimations 2025 (résultat net projeté à 110-115 milliards) confirment la solidité du modèle économique. Les prédictions IA (J+1 à J+10) indiquent une légère baisse de 38 085 à 37 577 FCFA, contredisant partiellement les signaux positifs à moyen terme. En synthèse, je recommande un **ACHAT** avec un niveau de confiance **Élevé**, un risque global **Faible**, et un horizon d'investissement optimal à **moyen terme (3-12 mois)**, visant à capitaliser sur la solidité financière et la croissance durable de la banque, en dépit d'une correction technique à court terme.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4,407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+9.84%</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7.57% (Moyenne) — μ=2,131 FCFA, σ=161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β=1.1426 (Neutre (suit le marché)) — Cov=0.000041, Var(idx)=0.000036, ρ=0.308,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2,177</w:t>
            </w:r>
          </w:p>
        </w:tc>
        <w:tc>
          <w:tcPr>
            <w:tcW w:type="dxa" w:w="1440"/>
            <w:shd w:fill="FFDCE0" w:val="clear"/>
          </w:tcPr>
          <w:p>
            <w:r>
              <w:rPr>
                <w:b/>
                <w:sz w:val="17"/>
              </w:rPr>
              <w:t>2,257</w:t>
            </w:r>
          </w:p>
        </w:tc>
        <w:tc>
          <w:tcPr>
            <w:tcW w:type="dxa" w:w="1440"/>
            <w:shd w:fill="FFDCE0" w:val="clear"/>
          </w:tcPr>
          <w:p>
            <w:r>
              <w:rPr>
                <w:sz w:val="17"/>
              </w:rPr>
              <w:t>2,337</w:t>
            </w:r>
          </w:p>
        </w:tc>
        <w:tc>
          <w:tcPr>
            <w:tcW w:type="dxa" w:w="1440"/>
            <w:shd w:fill="FFDCE0" w:val="clear"/>
          </w:tcPr>
          <w:p>
            <w:r>
              <w:rPr>
                <w:b/>
                <w:color w:val="C00000"/>
                <w:sz w:val="17"/>
              </w:rPr>
              <w:t>-6.0%</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2,040</w:t>
            </w:r>
          </w:p>
        </w:tc>
        <w:tc>
          <w:tcPr>
            <w:tcW w:type="dxa" w:w="1440"/>
            <w:shd w:fill="FFDCE0" w:val="clear"/>
          </w:tcPr>
          <w:p>
            <w:r>
              <w:rPr>
                <w:b/>
                <w:sz w:val="17"/>
              </w:rPr>
              <w:t>2,148</w:t>
            </w:r>
          </w:p>
        </w:tc>
        <w:tc>
          <w:tcPr>
            <w:tcW w:type="dxa" w:w="1440"/>
            <w:shd w:fill="FFDCE0" w:val="clear"/>
          </w:tcPr>
          <w:p>
            <w:r>
              <w:rPr>
                <w:sz w:val="17"/>
              </w:rPr>
              <w:t>2,256</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1,927</w:t>
            </w:r>
          </w:p>
        </w:tc>
        <w:tc>
          <w:tcPr>
            <w:tcW w:type="dxa" w:w="1440"/>
            <w:shd w:fill="FFDCE0" w:val="clear"/>
          </w:tcPr>
          <w:p>
            <w:r>
              <w:rPr>
                <w:b/>
                <w:sz w:val="17"/>
              </w:rPr>
              <w:t>2,053</w:t>
            </w:r>
          </w:p>
        </w:tc>
        <w:tc>
          <w:tcPr>
            <w:tcW w:type="dxa" w:w="1440"/>
            <w:shd w:fill="FFDCE0" w:val="clear"/>
          </w:tcPr>
          <w:p>
            <w:r>
              <w:rPr>
                <w:sz w:val="17"/>
              </w:rPr>
              <w:t>2,179</w:t>
            </w:r>
          </w:p>
        </w:tc>
        <w:tc>
          <w:tcPr>
            <w:tcW w:type="dxa" w:w="1440"/>
            <w:shd w:fill="FFDCE0" w:val="clear"/>
          </w:tcPr>
          <w:p>
            <w:r>
              <w:rPr>
                <w:b/>
                <w:color w:val="C00000"/>
                <w:sz w:val="17"/>
              </w:rPr>
              <w:t>-14.5%</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1,834</w:t>
            </w:r>
          </w:p>
        </w:tc>
        <w:tc>
          <w:tcPr>
            <w:tcW w:type="dxa" w:w="1440"/>
            <w:shd w:fill="FFDCE0" w:val="clear"/>
          </w:tcPr>
          <w:p>
            <w:r>
              <w:rPr>
                <w:b/>
                <w:sz w:val="17"/>
              </w:rPr>
              <w:t>1,974</w:t>
            </w:r>
          </w:p>
        </w:tc>
        <w:tc>
          <w:tcPr>
            <w:tcW w:type="dxa" w:w="1440"/>
            <w:shd w:fill="FFDCE0" w:val="clear"/>
          </w:tcPr>
          <w:p>
            <w:r>
              <w:rPr>
                <w:sz w:val="17"/>
              </w:rPr>
              <w:t>2,114</w:t>
            </w:r>
          </w:p>
        </w:tc>
        <w:tc>
          <w:tcPr>
            <w:tcW w:type="dxa" w:w="1440"/>
            <w:shd w:fill="FFDCE0" w:val="clear"/>
          </w:tcPr>
          <w:p>
            <w:r>
              <w:rPr>
                <w:b/>
                <w:color w:val="C00000"/>
                <w:sz w:val="17"/>
              </w:rPr>
              <w:t>-17.7%</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1,758</w:t>
            </w:r>
          </w:p>
        </w:tc>
        <w:tc>
          <w:tcPr>
            <w:tcW w:type="dxa" w:w="1440"/>
            <w:shd w:fill="FFDCE0" w:val="clear"/>
          </w:tcPr>
          <w:p>
            <w:r>
              <w:rPr>
                <w:b/>
                <w:sz w:val="17"/>
              </w:rPr>
              <w:t>1,910</w:t>
            </w:r>
          </w:p>
        </w:tc>
        <w:tc>
          <w:tcPr>
            <w:tcW w:type="dxa" w:w="1440"/>
            <w:shd w:fill="FFDCE0" w:val="clear"/>
          </w:tcPr>
          <w:p>
            <w:r>
              <w:rPr>
                <w:sz w:val="17"/>
              </w:rPr>
              <w:t>2,061</w:t>
            </w:r>
          </w:p>
        </w:tc>
        <w:tc>
          <w:tcPr>
            <w:tcW w:type="dxa" w:w="1440"/>
            <w:shd w:fill="FFDCE0" w:val="clear"/>
          </w:tcPr>
          <w:p>
            <w:r>
              <w:rPr>
                <w:b/>
                <w:color w:val="C00000"/>
                <w:sz w:val="17"/>
              </w:rPr>
              <w:t>-20.4%</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1,694</w:t>
            </w:r>
          </w:p>
        </w:tc>
        <w:tc>
          <w:tcPr>
            <w:tcW w:type="dxa" w:w="1440"/>
            <w:shd w:fill="FFDCE0" w:val="clear"/>
          </w:tcPr>
          <w:p>
            <w:r>
              <w:rPr>
                <w:b/>
                <w:sz w:val="17"/>
              </w:rPr>
              <w:t>1,855</w:t>
            </w:r>
          </w:p>
        </w:tc>
        <w:tc>
          <w:tcPr>
            <w:tcW w:type="dxa" w:w="1440"/>
            <w:shd w:fill="FFDCE0" w:val="clear"/>
          </w:tcPr>
          <w:p>
            <w:r>
              <w:rPr>
                <w:sz w:val="17"/>
              </w:rPr>
              <w:t>2,016</w:t>
            </w:r>
          </w:p>
        </w:tc>
        <w:tc>
          <w:tcPr>
            <w:tcW w:type="dxa" w:w="1440"/>
            <w:shd w:fill="FFDCE0" w:val="clear"/>
          </w:tcPr>
          <w:p>
            <w:r>
              <w:rPr>
                <w:b/>
                <w:color w:val="C00000"/>
                <w:sz w:val="17"/>
              </w:rPr>
              <w:t>-22.7%</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1,638</w:t>
            </w:r>
          </w:p>
        </w:tc>
        <w:tc>
          <w:tcPr>
            <w:tcW w:type="dxa" w:w="1440"/>
            <w:shd w:fill="FFDCE0" w:val="clear"/>
          </w:tcPr>
          <w:p>
            <w:r>
              <w:rPr>
                <w:b/>
                <w:sz w:val="17"/>
              </w:rPr>
              <w:t>1,808</w:t>
            </w:r>
          </w:p>
        </w:tc>
        <w:tc>
          <w:tcPr>
            <w:tcW w:type="dxa" w:w="1440"/>
            <w:shd w:fill="FFDCE0" w:val="clear"/>
          </w:tcPr>
          <w:p>
            <w:r>
              <w:rPr>
                <w:sz w:val="17"/>
              </w:rPr>
              <w:t>1,977</w:t>
            </w:r>
          </w:p>
        </w:tc>
        <w:tc>
          <w:tcPr>
            <w:tcW w:type="dxa" w:w="1440"/>
            <w:shd w:fill="FFDCE0" w:val="clear"/>
          </w:tcPr>
          <w:p>
            <w:r>
              <w:rPr>
                <w:b/>
                <w:color w:val="C00000"/>
                <w:sz w:val="17"/>
              </w:rPr>
              <w:t>-24.7%</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1,589</w:t>
            </w:r>
          </w:p>
        </w:tc>
        <w:tc>
          <w:tcPr>
            <w:tcW w:type="dxa" w:w="1440"/>
            <w:shd w:fill="FFDCE0" w:val="clear"/>
          </w:tcPr>
          <w:p>
            <w:r>
              <w:rPr>
                <w:b/>
                <w:sz w:val="17"/>
              </w:rPr>
              <w:t>1,766</w:t>
            </w:r>
          </w:p>
        </w:tc>
        <w:tc>
          <w:tcPr>
            <w:tcW w:type="dxa" w:w="1440"/>
            <w:shd w:fill="FFDCE0" w:val="clear"/>
          </w:tcPr>
          <w:p>
            <w:r>
              <w:rPr>
                <w:sz w:val="17"/>
              </w:rPr>
              <w:t>1,943</w:t>
            </w:r>
          </w:p>
        </w:tc>
        <w:tc>
          <w:tcPr>
            <w:tcW w:type="dxa" w:w="1440"/>
            <w:shd w:fill="FFDCE0" w:val="clear"/>
          </w:tcPr>
          <w:p>
            <w:r>
              <w:rPr>
                <w:b/>
                <w:color w:val="C00000"/>
                <w:sz w:val="17"/>
              </w:rPr>
              <w:t>-26.4%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1,544</w:t>
            </w:r>
          </w:p>
        </w:tc>
        <w:tc>
          <w:tcPr>
            <w:tcW w:type="dxa" w:w="1440"/>
            <w:shd w:fill="FFDCE0" w:val="clear"/>
          </w:tcPr>
          <w:p>
            <w:r>
              <w:rPr>
                <w:b/>
                <w:sz w:val="17"/>
              </w:rPr>
              <w:t>1,728</w:t>
            </w:r>
          </w:p>
        </w:tc>
        <w:tc>
          <w:tcPr>
            <w:tcW w:type="dxa" w:w="1440"/>
            <w:shd w:fill="FFDCE0" w:val="clear"/>
          </w:tcPr>
          <w:p>
            <w:r>
              <w:rPr>
                <w:sz w:val="17"/>
              </w:rPr>
              <w:t>1,912</w:t>
            </w:r>
          </w:p>
        </w:tc>
        <w:tc>
          <w:tcPr>
            <w:tcW w:type="dxa" w:w="1440"/>
            <w:shd w:fill="FFDCE0" w:val="clear"/>
          </w:tcPr>
          <w:p>
            <w:r>
              <w:rPr>
                <w:b/>
                <w:color w:val="C00000"/>
                <w:sz w:val="17"/>
              </w:rPr>
              <w:t>-28.0%</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1,504</w:t>
            </w:r>
          </w:p>
        </w:tc>
        <w:tc>
          <w:tcPr>
            <w:tcW w:type="dxa" w:w="1440"/>
            <w:shd w:fill="FFDCE0" w:val="clear"/>
          </w:tcPr>
          <w:p>
            <w:r>
              <w:rPr>
                <w:b/>
                <w:sz w:val="17"/>
              </w:rPr>
              <w:t>1,693</w:t>
            </w:r>
          </w:p>
        </w:tc>
        <w:tc>
          <w:tcPr>
            <w:tcW w:type="dxa" w:w="1440"/>
            <w:shd w:fill="FFDCE0" w:val="clear"/>
          </w:tcPr>
          <w:p>
            <w:r>
              <w:rPr>
                <w:sz w:val="17"/>
              </w:rPr>
              <w:t>1,883</w:t>
            </w:r>
          </w:p>
        </w:tc>
        <w:tc>
          <w:tcPr>
            <w:tcW w:type="dxa" w:w="1440"/>
            <w:shd w:fill="FFDCE0" w:val="clear"/>
          </w:tcPr>
          <w:p>
            <w:r>
              <w:rPr>
                <w:b/>
                <w:color w:val="C00000"/>
                <w:sz w:val="17"/>
              </w:rPr>
              <w:t>-29.4%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151,20 milliards FCFA, un niveau significatif qui positionne la société parmi les valeurs moyennes de la BRVM, reflétant son statut d'acteur majeur de la distribution pétrolière en Côte d'Ivoire. Le BPA de 96 FCFA indique que chaque action génère un bénéfice modeste, typique du secteur pétrolier aval. Le PER de 25,1x est nettement supérieur à la moyenne historique de la BRVM (8-12x), signalant que les investisseurs paient une prime substantielle pour la croissance attendue, ce qui suggère une possible surévaluation. Le P/B de 5,57x confirme cette lecture, le marché valorisant le titre bien au-delà de sa valeur comptable, traduisant des attentes élevées de création de valeur future. Enfin, l'EV/EBITDA de 13,3x se situe dans la fourchette haute des valorisations, indiquant que la valeur totale de l'entreprise (dette incluse) reste élevée par rapport à sa capacité opérationnelle, ce qui exige une performance soutenue pour justifier ces niveaux.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affiche une progression totale de +9,84%, mais la dernière séance enregistre un repli de -1,44% à 2 400 FCFA, suggérant un essoufflement après une période haussière. Le cours a évolué dans une fourchette de 1 840 à 2 480 FCFA, démontrant une amplitude de 640 FCFA, soit environ 35% du plus bas, ce qui témoigne d'une volatilité intra-période notable. La moyenne de 2 131 FCFA, inférieure à la médiane de 2 160 FCFA, indique une distribution légèrement asymétrique avec quelques valeurs extrêmes basses en début de période. L'écart-type de 162 FCFA (CV=7,6%) révèle une dispersion modérée autour de la moyenne, tandis que le kurtosis de -0,642 (mésokurtique) suggère l'absence de pics extrêmes, et le skewness de 0,302 confirme une symétrie relative. La volatilité annualisée de 35,2% classe le titre dans la catégorie des valeurs à forte volatilité (&gt;30%), impliquant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La MM20 à 2 364,25 FCFA et la MM50 à 2 258,4 FCFA sont toutes deux inférieures au cours actuel de 2 400 FCFA, confirmant une tendance haussière de moyen terme. La configuration positive (cours &gt; MM20 &gt; MM50) justifie la décision d'Achat, indiquant que la dynamique haussière reste intacte malgré le repli récent.</w:t>
      </w:r>
    </w:p>
    <w:p>
      <w:pPr>
        <w:spacing w:after="120" w:line="276" w:lineRule="auto"/>
      </w:pPr>
      <w:r>
        <w:t>**Bandes de Bollinger**: Le cours à 2 400 FCFA se positionne entre la borne supérieure (2 544,287 FCFA) et la borne inférieure (2 184,213 FCFA), proche de la partie haute de l'enveloppe. Cette position suggère une volatilité modérée avec un potentiel de poursuite haussière, mais la décision Neutre reflète l'absence de signal directionnel fort, le prix n'ayant pas touché les bornes extrêmes.</w:t>
      </w:r>
    </w:p>
    <w:p>
      <w:pPr>
        <w:spacing w:after="120" w:line="276" w:lineRule="auto"/>
      </w:pPr>
      <w:r>
        <w:t>**MACD**: Le MACD à 59,436 est légèrement inférieur à son signal à 61,07, indiquant un croisement baissier récent qui signale un affaiblissement du momentum haussier. La décision Vente reflète ce début de retournement, suggérant une possible correction à court terme après la forte progression des dernières semaines.</w:t>
      </w:r>
    </w:p>
    <w:p>
      <w:pPr>
        <w:spacing w:after="120" w:line="276" w:lineRule="auto"/>
      </w:pPr>
      <w:r>
        <w:t>**RSI**: Le RSI à 67,442 se situe en zone neutre-haute, proche du seuil de surachat (70), sans toutefois l'atteindre. Cette valeur indique que le titre conserve un potentiel haussier mais que la pression acheteuse commence à s'essouffler, justifiant la décision Neutre avec une vigilance accrue.</w:t>
      </w:r>
    </w:p>
    <w:p>
      <w:pPr>
        <w:spacing w:after="120" w:line="276" w:lineRule="auto"/>
      </w:pPr>
      <w:r>
        <w:t>**Stochastique**: Le %K à 71,429 est inférieur au %D à 78,571, montrant un croisement baissier en zone de surachat. Cette configuration signale un essoufflement de la dynamique haussière à court terme, la décision Neutre reflétant l'incertitude sur la poursuite ou la correction du mouvement.</w:t>
      </w:r>
    </w:p>
    <w:p>
      <w:pPr>
        <w:spacing w:after="120" w:line="276" w:lineRule="auto"/>
      </w:pPr>
      <w:r>
        <w:t>**Conclusion technique**: Les indicateurs sont mitigés avec une divergence entre les moyennes mobiles (Achat) et le MACD (Vente), tandis que le RSI et le Stochastique restent neutres. Cette configuration suggère une consolidation probable à court terme après la hausse récente, mais la tendance de fond reste haussière, soutenue par les moyennes mobiles.</w:t>
      </w:r>
    </w:p>
    <w:p>
      <w:pPr>
        <w:spacing w:after="120" w:line="276" w:lineRule="auto" w:before="240"/>
      </w:pPr>
      <w:r>
        <w:rPr>
          <w:b/>
          <w:color w:val="003366"/>
          <w:sz w:val="24"/>
        </w:rPr>
        <w:t>**PARTIE 3 : ANALYSE FONDAMENTALE (SECTION CRITIQUE)**</w:t>
      </w:r>
    </w:p>
    <w:p>
      <w:pPr>
        <w:spacing w:after="120" w:line="276" w:lineRule="auto"/>
      </w:pPr>
      <w:r>
        <w:t>En 2025, SHEC (VIVO ENERGY CI) affiche un chiffre d'affaires de 604,978 milliards FCFA, en légère progression de +0,71% par rapport à 2024 (600,708 milliards FCFA), et un résultat net de 6,028 milliards FCFA, en hausse de +12,6% (5,354 milliards FCFA en 2024). La marge nette reste très faible à 0,99%, caractéristique du secteur pétrolier aval, mais le ROE est excellent à 22,19%, démontrant une création de valeur efficace pour les actionnaires, tandis que le ROA de 3,11% reflète une rentabilité des actifs modérée. Le BFR de 15,315 milliards FCFA est positif, ce qui constitue un point de vigilance pour une entreprise de distribution, et le délai clients de 23 jours reste raisonnable. Les dettes fournisseurs de 53,430 milliards FCFA avec un délai de 35 jours offrent un financement court terme appréciable. La trésorerie nette est fortement négative à -65,264 milliards FCFA, exposant la société à des tensions de liquidité. Le rapport du 3ème trimestre 2025 (30/09/2025) montre un résultat net cumulé de 4,119 milliards FCFA (+45%), suggérant une accélération en fin d'année. Le rapport S1 2026 (30/06/2026) indique un CA de 305,038 milliards FCFA (-1%) mais un résultat d'exploitation en hausse de +17% à 6,133 milliards FCFA, porté par le butane. Sur cette base, on estime que l'exercice 2026 pourrait maintenir un résultat net autour de 6 milliards FCFA, malgré la baisse des volumes, grâce à l'amélioration opérationnelle. La recommandation fondamentale est CONSERVER, la société étant bénéficiaire avec un ROE élevé, mais fragilisée par sa structure financière et sa faible marge nette.</w:t>
      </w:r>
    </w:p>
    <w:p>
      <w:pPr>
        <w:spacing w:after="120" w:line="276" w:lineRule="auto" w:before="240"/>
      </w:pPr>
      <w:r>
        <w:rPr>
          <w:b/>
          <w:color w:val="003366"/>
          <w:sz w:val="24"/>
        </w:rPr>
        <w:t>**PARTIE 4 : CONCLUSION D'INVESTISSEMENT**</w:t>
      </w:r>
    </w:p>
    <w:p>
      <w:pPr>
        <w:spacing w:after="120" w:line="276" w:lineRule="auto"/>
      </w:pPr>
      <w:r>
        <w:t>La valorisation de SHEC apparaît exigeante avec un PER de 25,1x et un P/B de 5,57x, nettement supérieurs aux moyennes de la BRVM, indiquant une possible surévaluation malgré un ROE de 22,19% qui justifie partiellement cette prime. Le comportement du cours sur 100 jours montre une tendance haussière (+9,84%) mais avec une volatilité élevée (35,2%) et des statistiques descriptives (kurtosis mésokurtique, skewness symétrique) qui suggèrent un comportement relativement normal sans extrêmes préoccupants. Les signaux techniques sont mitigés : les moyennes mobiles restent positives (Achat), mais le MACD (Vente) et la proximité du RSI avec le seuil de surachat indiquent un essoufflement possible à court terme. Les fondamentaux montrent une amélioration du résultat net (+13% en 2025) et un ROE excellent, mais la trésorerie nette très négative (-65,26 milliards FCFA) et la marge nette de 1% constituent des fragilités structurelles. Les prédictions IA pour les 10 prochains jours (2 257 à 1 910 FCFA) confirment cette analyse en projetant une correction significative d'environ -20%, contredisant la tendance haussière récente. En synthèse, la convergence entre la surévaluation relative, les signaux techniques de retournement et les prédictions IA baissières conduit à une recommandation **VENTE** avec un niveau de confiance **Moyen** et un risque global **Élevé**. L'horizon d'investissement optimal serait le court terme (&lt;3 mois) pour les investisseurs cherchant à réduire leur exposition, tandis que les actionnaires de long terme pourraient conserver en surveillant l'amélioration de la structure financière au S2 2026.</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9,615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+32.86%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10.17% (Moyenne) — μ=8,374 FCFA, σ=852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β=0.4123 (Défensif) — Cov=0.000015, Var(idx)=0.000036, ρ=0.136,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8,683</w:t>
            </w:r>
          </w:p>
        </w:tc>
        <w:tc>
          <w:tcPr>
            <w:tcW w:type="dxa" w:w="1440"/>
            <w:shd w:fill="FFDCE0" w:val="clear"/>
          </w:tcPr>
          <w:p>
            <w:r>
              <w:rPr>
                <w:b/>
                <w:sz w:val="17"/>
              </w:rPr>
              <w:t>8,971</w:t>
            </w:r>
          </w:p>
        </w:tc>
        <w:tc>
          <w:tcPr>
            <w:tcW w:type="dxa" w:w="1440"/>
            <w:shd w:fill="FFDCE0" w:val="clear"/>
          </w:tcPr>
          <w:p>
            <w:r>
              <w:rPr>
                <w:sz w:val="17"/>
              </w:rPr>
              <w:t>9,259</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8,264</w:t>
            </w:r>
          </w:p>
        </w:tc>
        <w:tc>
          <w:tcPr>
            <w:tcW w:type="dxa" w:w="1440"/>
            <w:shd w:fill="FFDCE0" w:val="clear"/>
          </w:tcPr>
          <w:p>
            <w:r>
              <w:rPr>
                <w:b/>
                <w:sz w:val="17"/>
              </w:rPr>
              <w:t>8,658</w:t>
            </w:r>
          </w:p>
        </w:tc>
        <w:tc>
          <w:tcPr>
            <w:tcW w:type="dxa" w:w="1440"/>
            <w:shd w:fill="FFDCE0" w:val="clear"/>
          </w:tcPr>
          <w:p>
            <w:r>
              <w:rPr>
                <w:sz w:val="17"/>
              </w:rPr>
              <w:t>9,051</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7,906</w:t>
            </w:r>
          </w:p>
        </w:tc>
        <w:tc>
          <w:tcPr>
            <w:tcW w:type="dxa" w:w="1440"/>
            <w:shd w:fill="FFDCE0" w:val="clear"/>
          </w:tcPr>
          <w:p>
            <w:r>
              <w:rPr>
                <w:b/>
                <w:sz w:val="17"/>
              </w:rPr>
              <w:t>8,372</w:t>
            </w:r>
          </w:p>
        </w:tc>
        <w:tc>
          <w:tcPr>
            <w:tcW w:type="dxa" w:w="1440"/>
            <w:shd w:fill="FFDCE0" w:val="clear"/>
          </w:tcPr>
          <w:p>
            <w:r>
              <w:rPr>
                <w:sz w:val="17"/>
              </w:rPr>
              <w:t>8,837</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7,607</w:t>
            </w:r>
          </w:p>
        </w:tc>
        <w:tc>
          <w:tcPr>
            <w:tcW w:type="dxa" w:w="1440"/>
            <w:shd w:fill="FFDCE0" w:val="clear"/>
          </w:tcPr>
          <w:p>
            <w:r>
              <w:rPr>
                <w:b/>
                <w:sz w:val="17"/>
              </w:rPr>
              <w:t>8,129</w:t>
            </w:r>
          </w:p>
        </w:tc>
        <w:tc>
          <w:tcPr>
            <w:tcW w:type="dxa" w:w="1440"/>
            <w:shd w:fill="FFDCE0" w:val="clear"/>
          </w:tcPr>
          <w:p>
            <w:r>
              <w:rPr>
                <w:sz w:val="17"/>
              </w:rPr>
              <w:t>8,652</w:t>
            </w:r>
          </w:p>
        </w:tc>
        <w:tc>
          <w:tcPr>
            <w:tcW w:type="dxa" w:w="1440"/>
            <w:shd w:fill="FFDCE0" w:val="clear"/>
          </w:tcPr>
          <w:p>
            <w:r>
              <w:rPr>
                <w:b/>
                <w:color w:val="C00000"/>
                <w:sz w:val="17"/>
              </w:rPr>
              <w:t>-12.6%</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7,357</w:t>
            </w:r>
          </w:p>
        </w:tc>
        <w:tc>
          <w:tcPr>
            <w:tcW w:type="dxa" w:w="1440"/>
            <w:shd w:fill="FFDCE0" w:val="clear"/>
          </w:tcPr>
          <w:p>
            <w:r>
              <w:rPr>
                <w:b/>
                <w:sz w:val="17"/>
              </w:rPr>
              <w:t>7,927</w:t>
            </w:r>
          </w:p>
        </w:tc>
        <w:tc>
          <w:tcPr>
            <w:tcW w:type="dxa" w:w="1440"/>
            <w:shd w:fill="FFDCE0" w:val="clear"/>
          </w:tcPr>
          <w:p>
            <w:r>
              <w:rPr>
                <w:sz w:val="17"/>
              </w:rPr>
              <w:t>8,496</w:t>
            </w:r>
          </w:p>
        </w:tc>
        <w:tc>
          <w:tcPr>
            <w:tcW w:type="dxa" w:w="1440"/>
            <w:shd w:fill="FFDCE0" w:val="clear"/>
          </w:tcPr>
          <w:p>
            <w:r>
              <w:rPr>
                <w:b/>
                <w:color w:val="C00000"/>
                <w:sz w:val="17"/>
              </w:rPr>
              <w:t>-14.8%</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7,144</w:t>
            </w:r>
          </w:p>
        </w:tc>
        <w:tc>
          <w:tcPr>
            <w:tcW w:type="dxa" w:w="1440"/>
            <w:shd w:fill="FFDCE0" w:val="clear"/>
          </w:tcPr>
          <w:p>
            <w:r>
              <w:rPr>
                <w:b/>
                <w:sz w:val="17"/>
              </w:rPr>
              <w:t>7,754</w:t>
            </w:r>
          </w:p>
        </w:tc>
        <w:tc>
          <w:tcPr>
            <w:tcW w:type="dxa" w:w="1440"/>
            <w:shd w:fill="FFDCE0" w:val="clear"/>
          </w:tcPr>
          <w:p>
            <w:r>
              <w:rPr>
                <w:sz w:val="17"/>
              </w:rPr>
              <w:t>8,364</w:t>
            </w:r>
          </w:p>
        </w:tc>
        <w:tc>
          <w:tcPr>
            <w:tcW w:type="dxa" w:w="1440"/>
            <w:shd w:fill="FFDCE0" w:val="clear"/>
          </w:tcPr>
          <w:p>
            <w:r>
              <w:rPr>
                <w:b/>
                <w:color w:val="C00000"/>
                <w:sz w:val="17"/>
              </w:rPr>
              <w:t>-16.6%</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6,957</w:t>
            </w:r>
          </w:p>
        </w:tc>
        <w:tc>
          <w:tcPr>
            <w:tcW w:type="dxa" w:w="1440"/>
            <w:shd w:fill="FFDCE0" w:val="clear"/>
          </w:tcPr>
          <w:p>
            <w:r>
              <w:rPr>
                <w:b/>
                <w:sz w:val="17"/>
              </w:rPr>
              <w:t>7,603</w:t>
            </w:r>
          </w:p>
        </w:tc>
        <w:tc>
          <w:tcPr>
            <w:tcW w:type="dxa" w:w="1440"/>
            <w:shd w:fill="FFDCE0" w:val="clear"/>
          </w:tcPr>
          <w:p>
            <w:r>
              <w:rPr>
                <w:sz w:val="17"/>
              </w:rPr>
              <w:t>8,250</w:t>
            </w:r>
          </w:p>
        </w:tc>
        <w:tc>
          <w:tcPr>
            <w:tcW w:type="dxa" w:w="1440"/>
            <w:shd w:fill="FFDCE0" w:val="clear"/>
          </w:tcPr>
          <w:p>
            <w:r>
              <w:rPr>
                <w:b/>
                <w:color w:val="C00000"/>
                <w:sz w:val="17"/>
              </w:rPr>
              <w:t>-18.2%</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6,791</w:t>
            </w:r>
          </w:p>
        </w:tc>
        <w:tc>
          <w:tcPr>
            <w:tcW w:type="dxa" w:w="1440"/>
            <w:shd w:fill="FFDCE0" w:val="clear"/>
          </w:tcPr>
          <w:p>
            <w:r>
              <w:rPr>
                <w:b/>
                <w:sz w:val="17"/>
              </w:rPr>
              <w:t>7,470</w:t>
            </w:r>
          </w:p>
        </w:tc>
        <w:tc>
          <w:tcPr>
            <w:tcW w:type="dxa" w:w="1440"/>
            <w:shd w:fill="FFDCE0" w:val="clear"/>
          </w:tcPr>
          <w:p>
            <w:r>
              <w:rPr>
                <w:sz w:val="17"/>
              </w:rPr>
              <w:t>8,149</w:t>
            </w:r>
          </w:p>
        </w:tc>
        <w:tc>
          <w:tcPr>
            <w:tcW w:type="dxa" w:w="1440"/>
            <w:shd w:fill="FFDCE0" w:val="clear"/>
          </w:tcPr>
          <w:p>
            <w:r>
              <w:rPr>
                <w:b/>
                <w:color w:val="C00000"/>
                <w:sz w:val="17"/>
              </w:rPr>
              <w:t>-19.7%</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6,642</w:t>
            </w:r>
          </w:p>
        </w:tc>
        <w:tc>
          <w:tcPr>
            <w:tcW w:type="dxa" w:w="1440"/>
            <w:shd w:fill="FFDCE0" w:val="clear"/>
          </w:tcPr>
          <w:p>
            <w:r>
              <w:rPr>
                <w:b/>
                <w:sz w:val="17"/>
              </w:rPr>
              <w:t>7,350</w:t>
            </w:r>
          </w:p>
        </w:tc>
        <w:tc>
          <w:tcPr>
            <w:tcW w:type="dxa" w:w="1440"/>
            <w:shd w:fill="FFDCE0" w:val="clear"/>
          </w:tcPr>
          <w:p>
            <w:r>
              <w:rPr>
                <w:sz w:val="17"/>
              </w:rPr>
              <w:t>8,058</w:t>
            </w:r>
          </w:p>
        </w:tc>
        <w:tc>
          <w:tcPr>
            <w:tcW w:type="dxa" w:w="1440"/>
            <w:shd w:fill="FFDCE0" w:val="clear"/>
          </w:tcPr>
          <w:p>
            <w:r>
              <w:rPr>
                <w:b/>
                <w:color w:val="C00000"/>
                <w:sz w:val="17"/>
              </w:rPr>
              <w:t>-21.0%</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6,505</w:t>
            </w:r>
          </w:p>
        </w:tc>
        <w:tc>
          <w:tcPr>
            <w:tcW w:type="dxa" w:w="1440"/>
            <w:shd w:fill="FFDCE0" w:val="clear"/>
          </w:tcPr>
          <w:p>
            <w:r>
              <w:rPr>
                <w:b/>
                <w:sz w:val="17"/>
              </w:rPr>
              <w:t>7,241</w:t>
            </w:r>
          </w:p>
        </w:tc>
        <w:tc>
          <w:tcPr>
            <w:tcW w:type="dxa" w:w="1440"/>
            <w:shd w:fill="FFDCE0" w:val="clear"/>
          </w:tcPr>
          <w:p>
            <w:r>
              <w:rPr>
                <w:sz w:val="17"/>
              </w:rPr>
              <w:t>7,976</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SIBC s'établit à 930 milliards FCFA, ce qui en fait l'une des valeurs les plus lourdes et les plus liquides du compartiment bancaire de la BRVM, reflétant son statut de banque systémique en Côte d'Ivoire. Avec un BPA de 556 FCFA, chaque action détenue génère un bénéfice annuel de ce montant. Le PER de 16,7x est nettement supérieur à la moyenne historique du marché (8-12x), indiquant que les investisseurs paient une prime substantielle pour la qualité des actifs et la croissance de la banque. Cette prime est confirmée par le P/B de 4,54x, qui valorise le titre bien au-delà de sa valeur comptable, et par un EV/EBITDA de 15,5x, traduisant une valorisation exigeante qui anticipe une poursuite de la performance opérationnelle. Ces ratios suggèrent que le marché intègre déjà des perspectives de croissance solides,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SIBC affiche une progression remarquable de +32,86%, avec une dernière séance en hausse de +1,09% à 9 300 FCFA, démontrant une dynamique acheteuse persistante. Le titre a évolué dans une fourchette large de 6 805 à 9 500 FCFA, confirmant un fort appétit des investisseurs. La moyenne (8 374 FCFA) étant inférieure à la médiane (8 802 FCFA) et au mode (9 000 FCFA), la distribution des prix est asymétrique, avec une concentration des cotations dans la partie haute de la fourchette. L'écart-type de 856 FCFA (CV de 10,2%) indique une dispersion modérée autour de la moyenne. Le kurtosis négatif (-1,2) révèle une distribution platykurtique, avec moins de valeurs extrêmes que la normale, tandis que le skewness négatif (-0,696) suggère que les rendements négatifs sont plus fréquents mais de faible ampleur. La volatilité annualisée de 28,8% classe le titre dans la catégorie modérée à élevée, reflétant un risque mesuré pour un rendement substantiel.</w:t>
      </w:r>
    </w:p>
    <w:p>
      <w:pPr>
        <w:spacing w:after="120" w:line="276" w:lineRule="auto" w:before="240"/>
      </w:pPr>
      <w:r>
        <w:rPr>
          <w:b/>
          <w:color w:val="003366"/>
          <w:sz w:val="24"/>
        </w:rPr>
        <w:t>**PARTIE 2 : ANALYSE TECHNIQUE DÉTAILLÉE**</w:t>
      </w:r>
    </w:p>
    <w:p>
      <w:pPr>
        <w:spacing w:after="120" w:line="276" w:lineRule="auto"/>
      </w:pPr>
      <w:r>
        <w:t>**Moyennes Mobiles** : Le cours actuel de 9 300 FCFA se positionne au-dessus de la MM20 (9 205 FCFA) et de la MM50 (9 015,9 FCFA), avec un écart croissant entre les deux moyennes. Cette configuration haussière, où les moyennes sont orientées à la hausse et le prix les surplombe, confirme la tendance positive de fond et justifie la décision d'Achat.</w:t>
      </w:r>
    </w:p>
    <w:p>
      <w:pPr>
        <w:spacing w:after="120" w:line="276" w:lineRule="auto"/>
      </w:pPr>
      <w:r>
        <w:t>**Bandes de Bollinger** : Le prix se situe à 9 300 FCFA, entre la borne supérieure (9 444,8 FCFA) et la borne inférieure (8 965,2 FCFA), proche du milieu de l'enveloppe. La largeur des bandes indique une volatilité modérée, et l'absence de contact avec les bornes suggère un mouvement de consolidation sans excès, d'où la décision Neutre.</w:t>
      </w:r>
    </w:p>
    <w:p>
      <w:pPr>
        <w:spacing w:after="120" w:line="276" w:lineRule="auto"/>
      </w:pPr>
      <w:r>
        <w:t>**MACD** : La valeur du MACD (55,5) est inférieure à son signal (64,5), indiquant un momentum baissier à court terme malgré la tendance haussière de fond. Cette divergence négative, bien que modérée, suggère une possible correction ou consolidation avant la poursuite de la hausse, justifiant la décision de Vente.</w:t>
      </w:r>
    </w:p>
    <w:p>
      <w:pPr>
        <w:spacing w:after="120" w:line="276" w:lineRule="auto"/>
      </w:pPr>
      <w:r>
        <w:t>**RSI** : À 57,4, le RSI se situe dans la zone neutre (30-70), sans signal de surachat ni de survente. Cette valeur indique que le titre dispose encore d'un potentiel haussier sans tension excessive, confirmant la décision Neutre.</w:t>
      </w:r>
    </w:p>
    <w:p>
      <w:pPr>
        <w:spacing w:after="120" w:line="276" w:lineRule="auto"/>
      </w:pPr>
      <w:r>
        <w:t>**Stochastique** : Le %K à 100 est en zone de surachat extrême, tandis que le %D à 55,6 reste modéré. Ce croisement baissant du %K sous le %D signale un épuisement potentiel du mouvement haussier à très court terme, justifiant la décision de Vente.</w:t>
      </w:r>
    </w:p>
    <w:p>
      <w:pPr>
        <w:spacing w:after="120" w:line="276" w:lineRule="auto"/>
      </w:pPr>
      <w:r>
        <w:t>**Conclusion technique** : La tendance de fond reste résolument haussière, portée par des moyennes mobiles orientées à la hausse et un RSI neutre. Cependant, les signaux à court terme (MACD et Stochastique) indiquent une possible consolidation technique après une forte progression. Le titre pourrait connaître un repli temporaire avant de reprendre sa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SIBC révèlent une banque performante avec un PNB de 108,663 milliards FCFA, en croissance de 5,74%, et un résultat net de 55,623 milliards FCFA. La rentabilité est exceptionnelle avec un ROE de 27,16% et un ROA de 2,96%, parmi les meilleurs du secteur bancaire ouest-africain. Le coefficient d'exploitation de 38,59% témoigne d'une efficacité opérationnelle remarquable, bien en dessous du seuil de 60%. La banque maintient un équilibre de transformation sain avec des dépôts clients (1 503,441 milliards FCFA) supérieurs aux créances sur la clientèle (1 226,720 milliards FCFA), indiquant une liquidité abondante. Les rapports trimestriels confirment cette dynamique : le T1 2026 (rapport du 31/12/2026 analysé le 07/05/2026) montre un PNB de 27,7 milliards (+4%) et un résultat net de 15,2 milliards (+11%), tandis que le T3 2025 (cumul 9 mois) affichait un PNB de 81,4 milliards (+8%) et un résultat net de 43 milliards (+11%). Le rapport annuel 2024 (daté du 31/12/2024) indiquait déjà un ROE de 30,56% et un dividende proposé de 375 FCFA par action. Sur la base de ces tendances, on estime que l'exercice 2026 pourrait dépasser les 60 milliards de résultat net, confirmant la solidité du modèle économique de SIBC, adossé au plan stratégique « IMPULSION 2028 ».</w:t>
      </w:r>
    </w:p>
    <w:p>
      <w:pPr>
        <w:spacing w:after="120" w:line="276" w:lineRule="auto" w:before="240"/>
      </w:pPr>
      <w:r>
        <w:rPr>
          <w:b/>
          <w:color w:val="003366"/>
          <w:sz w:val="24"/>
        </w:rPr>
        <w:t>**PARTIE 4 : CONCLUSION D'INVESTISSEMENT**</w:t>
      </w:r>
    </w:p>
    <w:p>
      <w:pPr>
        <w:spacing w:after="120" w:line="276" w:lineRule="auto"/>
      </w:pPr>
      <w:r>
        <w:t>La valorisation actuelle de SIBC (PER 16,7x, P/B 4,54x) est exigeante mais justifiée par une rentabilité exceptionnelle (ROE &gt;27%) et une croissance soutenue du résultat net (+11% au T1 2026). Le comportement du cours sur 100 jours (+32,86%) témoigne d'une forte confiance des investisseurs, avec une volatilité modérée (28,8%) et une distribution statistique saine. Les signaux techniques sont mitigés : la tendance de fond reste haussière (MM20/MM50), mais les indicateurs à court terme (MACD, Stochastique) suggèrent une consolidation technique probable. Les fondamentaux demeurent excellents, portés par une gestion rigoureuse des coûts et une croissance équilibrée des dépôts et crédits. Cependant, les prédictions IA pour les 10 prochains jours (9 300 → 7 927 FCFA) anticipent une correction significative de -15%, contredisant la tendance haussière récente et suggérant un possible retour vers la moyenne. Cette divergence entre les signaux techniques de court terme et les fondamentaux solides conduit à une recommandation de **CONSERVER**, avec un niveau de confiance Moyen et un risque global Moyen. L'horizon d'investissement optimal serait le moyen terme (3-12 mois), permettant d'absorber la volatilité à court terme tout en bénéficiant de la croissance structurelle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131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+100.13%</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59.5%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30.67% (Élevée) — μ=5,431 FCFA, σ=1,666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β=-0.7406 (Contre-cyclique) — Cov=-0.000027, Var(idx)=0.000036, ρ=-0.119,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131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σ_j=3.75%/j (Modérée) — Vol. annualisée≈59.5%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7,346</w:t>
            </w:r>
          </w:p>
        </w:tc>
        <w:tc>
          <w:tcPr>
            <w:tcW w:type="dxa" w:w="1440"/>
            <w:shd w:fill="FAFAFA" w:val="clear"/>
          </w:tcPr>
          <w:p>
            <w:r>
              <w:rPr>
                <w:b/>
                <w:sz w:val="17"/>
              </w:rPr>
              <w:t>7,941</w:t>
            </w:r>
          </w:p>
        </w:tc>
        <w:tc>
          <w:tcPr>
            <w:tcW w:type="dxa" w:w="1440"/>
            <w:shd w:fill="FAFAFA" w:val="clear"/>
          </w:tcPr>
          <w:p>
            <w:r>
              <w:rPr>
                <w:sz w:val="17"/>
              </w:rPr>
              <w:t>8,537</w:t>
            </w:r>
          </w:p>
        </w:tc>
        <w:tc>
          <w:tcPr>
            <w:tcW w:type="dxa" w:w="1440"/>
            <w:shd w:fill="FAFAFA" w:val="clear"/>
          </w:tcPr>
          <w:p>
            <w:r>
              <w:rPr>
                <w:b/>
                <w:color w:val="C00000"/>
                <w:sz w:val="17"/>
              </w:rPr>
              <w:t>-0.7%</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6,894</w:t>
            </w:r>
          </w:p>
        </w:tc>
        <w:tc>
          <w:tcPr>
            <w:tcW w:type="dxa" w:w="1440"/>
            <w:shd w:fill="FFDCE0" w:val="clear"/>
          </w:tcPr>
          <w:p>
            <w:r>
              <w:rPr>
                <w:b/>
                <w:sz w:val="17"/>
              </w:rPr>
              <w:t>7,776</w:t>
            </w:r>
          </w:p>
        </w:tc>
        <w:tc>
          <w:tcPr>
            <w:tcW w:type="dxa" w:w="1440"/>
            <w:shd w:fill="FFDCE0" w:val="clear"/>
          </w:tcPr>
          <w:p>
            <w:r>
              <w:rPr>
                <w:sz w:val="17"/>
              </w:rPr>
              <w:t>8,659</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6,561</w:t>
            </w:r>
          </w:p>
        </w:tc>
        <w:tc>
          <w:tcPr>
            <w:tcW w:type="dxa" w:w="1440"/>
            <w:shd w:fill="FFDCE0" w:val="clear"/>
          </w:tcPr>
          <w:p>
            <w:r>
              <w:rPr>
                <w:b/>
                <w:sz w:val="17"/>
              </w:rPr>
              <w:t>7,620</w:t>
            </w:r>
          </w:p>
        </w:tc>
        <w:tc>
          <w:tcPr>
            <w:tcW w:type="dxa" w:w="1440"/>
            <w:shd w:fill="FFDCE0" w:val="clear"/>
          </w:tcPr>
          <w:p>
            <w:r>
              <w:rPr>
                <w:sz w:val="17"/>
              </w:rPr>
              <w:t>8,678</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6,267</w:t>
            </w:r>
          </w:p>
        </w:tc>
        <w:tc>
          <w:tcPr>
            <w:tcW w:type="dxa" w:w="1440"/>
            <w:shd w:fill="FFDCE0" w:val="clear"/>
          </w:tcPr>
          <w:p>
            <w:r>
              <w:rPr>
                <w:b/>
                <w:sz w:val="17"/>
              </w:rPr>
              <w:t>7,465</w:t>
            </w:r>
          </w:p>
        </w:tc>
        <w:tc>
          <w:tcPr>
            <w:tcW w:type="dxa" w:w="1440"/>
            <w:shd w:fill="FFDCE0" w:val="clear"/>
          </w:tcPr>
          <w:p>
            <w:r>
              <w:rPr>
                <w:sz w:val="17"/>
              </w:rPr>
              <w:t>8,663</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6,001</w:t>
            </w:r>
          </w:p>
        </w:tc>
        <w:tc>
          <w:tcPr>
            <w:tcW w:type="dxa" w:w="1440"/>
            <w:shd w:fill="FFDCE0" w:val="clear"/>
          </w:tcPr>
          <w:p>
            <w:r>
              <w:rPr>
                <w:b/>
                <w:sz w:val="17"/>
              </w:rPr>
              <w:t>7,313</w:t>
            </w:r>
          </w:p>
        </w:tc>
        <w:tc>
          <w:tcPr>
            <w:tcW w:type="dxa" w:w="1440"/>
            <w:shd w:fill="FFDCE0" w:val="clear"/>
          </w:tcPr>
          <w:p>
            <w:r>
              <w:rPr>
                <w:sz w:val="17"/>
              </w:rPr>
              <w:t>8,625</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5,758</w:t>
            </w:r>
          </w:p>
        </w:tc>
        <w:tc>
          <w:tcPr>
            <w:tcW w:type="dxa" w:w="1440"/>
            <w:shd w:fill="FFDCE0" w:val="clear"/>
          </w:tcPr>
          <w:p>
            <w:r>
              <w:rPr>
                <w:b/>
                <w:sz w:val="17"/>
              </w:rPr>
              <w:t>7,166</w:t>
            </w:r>
          </w:p>
        </w:tc>
        <w:tc>
          <w:tcPr>
            <w:tcW w:type="dxa" w:w="1440"/>
            <w:shd w:fill="FFDCE0" w:val="clear"/>
          </w:tcPr>
          <w:p>
            <w:r>
              <w:rPr>
                <w:sz w:val="17"/>
              </w:rPr>
              <w:t>8,574</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5,533</w:t>
            </w:r>
          </w:p>
        </w:tc>
        <w:tc>
          <w:tcPr>
            <w:tcW w:type="dxa" w:w="1440"/>
            <w:shd w:fill="FFDCE0" w:val="clear"/>
          </w:tcPr>
          <w:p>
            <w:r>
              <w:rPr>
                <w:b/>
                <w:sz w:val="17"/>
              </w:rPr>
              <w:t>7,024</w:t>
            </w:r>
          </w:p>
        </w:tc>
        <w:tc>
          <w:tcPr>
            <w:tcW w:type="dxa" w:w="1440"/>
            <w:shd w:fill="FFDCE0" w:val="clear"/>
          </w:tcPr>
          <w:p>
            <w:r>
              <w:rPr>
                <w:sz w:val="17"/>
              </w:rPr>
              <w:t>8,515</w:t>
            </w:r>
          </w:p>
        </w:tc>
        <w:tc>
          <w:tcPr>
            <w:tcW w:type="dxa" w:w="1440"/>
            <w:shd w:fill="FFDCE0" w:val="clear"/>
          </w:tcPr>
          <w:p>
            <w:r>
              <w:rPr>
                <w:b/>
                <w:color w:val="C00000"/>
                <w:sz w:val="17"/>
              </w:rPr>
              <w:t>-12.1%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5,325</w:t>
            </w:r>
          </w:p>
        </w:tc>
        <w:tc>
          <w:tcPr>
            <w:tcW w:type="dxa" w:w="1440"/>
            <w:shd w:fill="FFDCE0" w:val="clear"/>
          </w:tcPr>
          <w:p>
            <w:r>
              <w:rPr>
                <w:b/>
                <w:sz w:val="17"/>
              </w:rPr>
              <w:t>6,888</w:t>
            </w:r>
          </w:p>
        </w:tc>
        <w:tc>
          <w:tcPr>
            <w:tcW w:type="dxa" w:w="1440"/>
            <w:shd w:fill="FFDCE0" w:val="clear"/>
          </w:tcPr>
          <w:p>
            <w:r>
              <w:rPr>
                <w:sz w:val="17"/>
              </w:rPr>
              <w:t>8,451</w:t>
            </w:r>
          </w:p>
        </w:tc>
        <w:tc>
          <w:tcPr>
            <w:tcW w:type="dxa" w:w="1440"/>
            <w:shd w:fill="FFDCE0" w:val="clear"/>
          </w:tcPr>
          <w:p>
            <w:r>
              <w:rPr>
                <w:b/>
                <w:color w:val="C00000"/>
                <w:sz w:val="17"/>
              </w:rPr>
              <w:t>-13.8%</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5,132</w:t>
            </w:r>
          </w:p>
        </w:tc>
        <w:tc>
          <w:tcPr>
            <w:tcW w:type="dxa" w:w="1440"/>
            <w:shd w:fill="FFDCE0" w:val="clear"/>
          </w:tcPr>
          <w:p>
            <w:r>
              <w:rPr>
                <w:b/>
                <w:sz w:val="17"/>
              </w:rPr>
              <w:t>6,759</w:t>
            </w:r>
          </w:p>
        </w:tc>
        <w:tc>
          <w:tcPr>
            <w:tcW w:type="dxa" w:w="1440"/>
            <w:shd w:fill="FFDCE0" w:val="clear"/>
          </w:tcPr>
          <w:p>
            <w:r>
              <w:rPr>
                <w:sz w:val="17"/>
              </w:rPr>
              <w:t>8,385</w:t>
            </w:r>
          </w:p>
        </w:tc>
        <w:tc>
          <w:tcPr>
            <w:tcW w:type="dxa" w:w="1440"/>
            <w:shd w:fill="FFDCE0" w:val="clear"/>
          </w:tcPr>
          <w:p>
            <w:r>
              <w:rPr>
                <w:b/>
                <w:color w:val="C00000"/>
                <w:sz w:val="17"/>
              </w:rPr>
              <w:t>-15.5%</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4,952</w:t>
            </w:r>
          </w:p>
        </w:tc>
        <w:tc>
          <w:tcPr>
            <w:tcW w:type="dxa" w:w="1440"/>
            <w:shd w:fill="FFDCE0" w:val="clear"/>
          </w:tcPr>
          <w:p>
            <w:r>
              <w:rPr>
                <w:b/>
                <w:sz w:val="17"/>
              </w:rPr>
              <w:t>6,635</w:t>
            </w:r>
          </w:p>
        </w:tc>
        <w:tc>
          <w:tcPr>
            <w:tcW w:type="dxa" w:w="1440"/>
            <w:shd w:fill="FFDCE0" w:val="clear"/>
          </w:tcPr>
          <w:p>
            <w:r>
              <w:rPr>
                <w:sz w:val="17"/>
              </w:rPr>
              <w:t>8,319</w:t>
            </w:r>
          </w:p>
        </w:tc>
        <w:tc>
          <w:tcPr>
            <w:tcW w:type="dxa" w:w="1440"/>
            <w:shd w:fill="FFDCE0" w:val="clear"/>
          </w:tcPr>
          <w:p>
            <w:r>
              <w:rPr>
                <w:b/>
                <w:color w:val="C00000"/>
                <w:sz w:val="17"/>
              </w:rPr>
              <w:t>-17.0%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4,80 milliards FCFA, un niveau modeste qui la classe parmi les petites capitalisations de la BRVM, avec un flottant potentiellement limité. Les ratios de valorisation (BPA, PER, P/B, EV/EBITDA) ne sont pas calculables en raison de l'absence de données financières structurées récentes dans la base, ce qui constitue une limite importante pour l'évaluation relative. Toutefois, sur la base des derniers résultats connus (bénéfice net de 19,25 millions FCFA en 2023), un BPA implicite d'environ 32 FCFA par action (pour 600 000 actions) ressortirait, ce qui impliquerait un PER implicite extrêmement élevé, supérieur à 200 fois, signalant une décote ou une prime difficile à justifier fondamentalement. En l'absence de données de bilan actualisées, il est impossible de déterminer si le marché valorise le titre au-dessus ou en dessous de sa valeur comptable, ce qui renforce la prudence nécessaire.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+100,13 %, passant d'un plus bas de 3 930 FCFA à un plus haut de 10 200 FCFA, avant de clôturer à 7 995 FCFA, soit une baisse de 3,62 % lors de la dernière séance. Cette performance exceptionnelle traduit un mouvement haussier majeur, mais la récente correction suggère un possible essoufflement. La moyenne du cours sur la période (5 431 FCFA) est nettement supérieure à la médiane (4 550 FCFA), indiquant une distribution asymétrique positive (skewness de 1,432), avec davantage de journées sous la moyenne mais quelques fortes hausses qui tirent la moyenne vers le haut. L'écart-type de 1 674 FCFA (CV de 30,8 %) révèle une dispersion élevée des prix, tandis que le kurtosis de 0,838 (mésokurtique) suggère un risque de pics modéré, proche d'une distribution normale. La volatilité annualisée de 59,5 % classe SICC comme un titre extrêmement volatil, bien au-delà du seuil de 30 %,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Les moyennes mobiles (MM20 à 8 473 FCFA et MM50 à 6 534 FCFA) sont toutes deux inférieures au cours actuel de 7 995 FCFA, mais la MM20 est supérieure à la MM50, indiquant une tendance haussière de moyen terme. Cependant, le cours est passé sous la MM20, ce qui signale un affaiblissement récent du momentum ; la décision "Achat" reste néanmoins justifiée par la structure globale positive.</w:t>
      </w:r>
    </w:p>
    <w:p>
      <w:pPr>
        <w:spacing w:after="120" w:line="276" w:lineRule="auto"/>
      </w:pPr>
      <w:r>
        <w:t>Les bandes de Bollinger présentent une borne supérieure à 10 448 FCFA et une borne inférieure à 6 499 FCFA, avec un cours à 7 995 FCFA positionné dans la moitié inférieure de l'enveloppe. Cette configuration suggère une volatilité encore élevée mais un repli du cours vers la moyenne, la décision "Neutre" étant cohérente avec une phase de consolidation après un mouvement haussier marqué.</w:t>
      </w:r>
    </w:p>
    <w:p>
      <w:pPr>
        <w:spacing w:after="120" w:line="276" w:lineRule="auto"/>
      </w:pPr>
      <w:r>
        <w:t>Le MACD affiche une valeur de 465,36, inférieure à son signal de 694,04, indiquant un croisement baissier récent. Cette divergence négative traduit un ralentissement du momentum haussier, justifiant la décision "Vente" à court terme, bien que le MACD reste positif en valeur absolue, ce qui nuance le signal.</w:t>
      </w:r>
    </w:p>
    <w:p>
      <w:pPr>
        <w:spacing w:after="120" w:line="276" w:lineRule="auto"/>
      </w:pPr>
      <w:r>
        <w:t>Le RSI à 41,46 se situe dans la zone neutre (30-70), sans signal extrême de surachat ou de survente. Cette valeur suggère un momentum modéré, ni surchauffé ni survendu, cohérent avec une phase de correction modérée après la forte hausse.</w:t>
      </w:r>
    </w:p>
    <w:p>
      <w:pPr>
        <w:spacing w:after="120" w:line="276" w:lineRule="auto"/>
      </w:pPr>
      <w:r>
        <w:t>Le stochastique affiche un %K à 0,0 et un %D à 9,07, indiquant une condition de survente extrême. Le %K sous le %D suggère une pression vendeuse persistante, mais un rebond technique est probable à ces niveaux, justifiant la décision "Achat" pour un horizon très court terme.</w:t>
      </w:r>
    </w:p>
    <w:p>
      <w:pPr>
        <w:spacing w:after="120" w:line="276" w:lineRule="auto"/>
      </w:pPr>
      <w:r>
        <w:t>En conclusion technique, les signaux sont mitigés : la tendance de fond reste haussière (MM), mais le momentum à court terme s'affaiblit (MACD, prix sous MM20). Le stochastique en survente extrême pourrait déclencher un rebond technique, mais la prudence est de mise tant que le cours ne repasse pas au-dessus de la MM20 à 8 473 FCFA.</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officiels fournis permettent une analyse approfondie. Le rapport daté du 31 décembre 2024 (couvrant l'exercice 2023) indique un chiffre d'affaires de 701,09 millions FCFA, en baisse de 38,4 % par rapport à 2022 (1 138,17 millions FCFA), avec un résultat net bénéficiaire de 19,25 millions FCFA contre une perte de 39,95 millions en 2022, marquant un retour à la profitabilité après deux années déficitaires. La marge nette ressort à 2,75 %, inférieure aux standards sectoriels, et la société n'a distribué aucun dividende, ses pertes cumulées s'élevant à 689,86 millions FCFA. Le rapport 2022 confirme la tendance : CA de 1 138 millions FCFA (-17,6 % vs 2021), perte nette de 39,95 millions, avec une marge nette négative de -3,51 %. Les rapports plus anciens (2015-2020) montrent une rentabilité historiquement volatile : bénéfice net de 434,87 millions en 2015, 53,3 millions en 2016, 100,6 millions en 2017, puis 109,8 millions en 2020 après une chute à 2,35 millions en 2019. L'analyse révèle une entreprise en redressement fragile, avec une dépendance aux cours du coprah et des problèmes structurels de trésorerie (découverts bancaires multipliés par 14 en 2023). Les perspectives restent incertaines, la résorption des pertes étant estimée à 2025-2026 au plus tôt, et l'AGO du 22 mai 2026 (exercice 2024) devrait apporter des éclaircissements sur la trajectoire récente.</w:t>
      </w:r>
    </w:p>
    <w:p>
      <w:pPr>
        <w:spacing w:after="120" w:line="276" w:lineRule="auto" w:before="240"/>
      </w:pPr>
      <w:r>
        <w:rPr>
          <w:b/>
          <w:color w:val="003366"/>
          <w:sz w:val="24"/>
        </w:rPr>
        <w:t>**PARTIE 4 : CONCLUSION D'INVESTISSEMENT**</w:t>
      </w:r>
    </w:p>
    <w:p>
      <w:pPr>
        <w:spacing w:after="120" w:line="276" w:lineRule="auto"/>
      </w:pPr>
      <w:r>
        <w:t>La valorisation de SICC est impossible à établir précisément faute de ratios calculables, mais le PER implicite suggère une surévaluation extrême par rapport aux bénéfices historiques. Le comportement du cours (+100 % en 100 jours) est remarquable mais accompagné d'une volatilité très élevée (59,5 %) et d'une asymétrie positive qui signale un risque de retournement. Les signaux techniques sont divergents : tendance haussière de fond (MM) mais momentum court terme négatif (MACD, prix sous MM20), avec un stochastique en survente extrême suggérant un rebond technique possible. Fondamentalement, la société reste fragile avec un bénéfice net modeste (19,25 millions FCFA en 2023), des pertes cumulées importantes et aucun dividende distribué. Les prédictions IA pour les 10 prochains jours (7 941 à 7 313 FCFA) confirment une tendance baissière à court terme, contredisant le signal d'achat du stochastique. La synthèse globale indique une divergence nette entre la performance boursière récente et les fondamentaux, suggérant une possible spéculation. Recommandation : **VENTE** pour les investisseurs existants cherchant à sécuriser les gains, avec un niveau de confiance **Moyen** et un risque global **Élevé**. Horizon d'investissement optimal : **court terme (&lt;3 mois)** pour les traders, avec une surveillance étroite du support à 6 500 FCFA (borne inférieure de Bollinger) et de la résistance à 8 500 FCFA (MM20).</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5,446 titres</w:t>
            </w:r>
          </w:p>
        </w:tc>
        <w:tc>
          <w:tcPr>
            <w:tcW w:type="dxa" w:w="2268"/>
            <w:shd w:fill="FFF2CC" w:val="clear"/>
          </w:tcPr>
          <w:p>
            <w:r>
              <w:rPr>
                <w:b/>
                <w:color w:val="503200"/>
                <w:sz w:val="16"/>
              </w:rPr>
              <w:t xml:space="preserve">Cours actuel : </w:t>
            </w:r>
            <w:r>
              <w:rPr>
                <w:color w:val="000000"/>
                <w:sz w:val="17"/>
              </w:rPr>
              <w:t>2,425 FCFA</w:t>
            </w:r>
          </w:p>
          <w:p>
            <w:r>
              <w:rPr>
                <w:b/>
                <w:color w:val="503200"/>
                <w:sz w:val="16"/>
              </w:rPr>
              <w:t xml:space="preserve">Var. 100 jours : </w:t>
            </w:r>
            <w:r>
              <w:rPr>
                <w:b/>
                <w:color w:val="B40000"/>
                <w:sz w:val="17"/>
              </w:rPr>
              <w:t>-17.38%</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μ=2,579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β=0.3501 (Défensif) — Cov=0.000013, Var(idx)=0.000036, ρ=0.065,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2,147</w:t>
            </w:r>
          </w:p>
        </w:tc>
        <w:tc>
          <w:tcPr>
            <w:tcW w:type="dxa" w:w="1440"/>
            <w:shd w:fill="FFDCE0" w:val="clear"/>
          </w:tcPr>
          <w:p>
            <w:r>
              <w:rPr>
                <w:b/>
                <w:sz w:val="17"/>
              </w:rPr>
              <w:t>2,243</w:t>
            </w:r>
          </w:p>
        </w:tc>
        <w:tc>
          <w:tcPr>
            <w:tcW w:type="dxa" w:w="1440"/>
            <w:shd w:fill="FFDCE0" w:val="clear"/>
          </w:tcPr>
          <w:p>
            <w:r>
              <w:rPr>
                <w:sz w:val="17"/>
              </w:rPr>
              <w:t>2,339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2,064</w:t>
            </w:r>
          </w:p>
        </w:tc>
        <w:tc>
          <w:tcPr>
            <w:tcW w:type="dxa" w:w="1440"/>
            <w:shd w:fill="FFDCE0" w:val="clear"/>
          </w:tcPr>
          <w:p>
            <w:r>
              <w:rPr>
                <w:b/>
                <w:sz w:val="17"/>
              </w:rPr>
              <w:t>2,197</w:t>
            </w:r>
          </w:p>
        </w:tc>
        <w:tc>
          <w:tcPr>
            <w:tcW w:type="dxa" w:w="1440"/>
            <w:shd w:fill="FFDCE0" w:val="clear"/>
          </w:tcPr>
          <w:p>
            <w:r>
              <w:rPr>
                <w:sz w:val="17"/>
              </w:rPr>
              <w:t>2,331</w:t>
            </w:r>
          </w:p>
        </w:tc>
        <w:tc>
          <w:tcPr>
            <w:tcW w:type="dxa" w:w="1440"/>
            <w:shd w:fill="FFDCE0" w:val="clear"/>
          </w:tcPr>
          <w:p>
            <w:r>
              <w:rPr>
                <w:b/>
                <w:color w:val="C00000"/>
                <w:sz w:val="17"/>
              </w:rPr>
              <w:t>-9.4%</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1,991</w:t>
            </w:r>
          </w:p>
        </w:tc>
        <w:tc>
          <w:tcPr>
            <w:tcW w:type="dxa" w:w="1440"/>
            <w:shd w:fill="FFDCE0" w:val="clear"/>
          </w:tcPr>
          <w:p>
            <w:r>
              <w:rPr>
                <w:b/>
                <w:sz w:val="17"/>
              </w:rPr>
              <w:t>2,151</w:t>
            </w:r>
          </w:p>
        </w:tc>
        <w:tc>
          <w:tcPr>
            <w:tcW w:type="dxa" w:w="1440"/>
            <w:shd w:fill="FFDCE0" w:val="clear"/>
          </w:tcPr>
          <w:p>
            <w:r>
              <w:rPr>
                <w:sz w:val="17"/>
              </w:rPr>
              <w:t>2,311</w:t>
            </w:r>
          </w:p>
        </w:tc>
        <w:tc>
          <w:tcPr>
            <w:tcW w:type="dxa" w:w="1440"/>
            <w:shd w:fill="FFDCE0" w:val="clear"/>
          </w:tcPr>
          <w:p>
            <w:r>
              <w:rPr>
                <w:b/>
                <w:color w:val="C00000"/>
                <w:sz w:val="17"/>
              </w:rPr>
              <w:t>-11.3%</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1,922</w:t>
            </w:r>
          </w:p>
        </w:tc>
        <w:tc>
          <w:tcPr>
            <w:tcW w:type="dxa" w:w="1440"/>
            <w:shd w:fill="FFDCE0" w:val="clear"/>
          </w:tcPr>
          <w:p>
            <w:r>
              <w:rPr>
                <w:b/>
                <w:sz w:val="17"/>
              </w:rPr>
              <w:t>2,102</w:t>
            </w:r>
          </w:p>
        </w:tc>
        <w:tc>
          <w:tcPr>
            <w:tcW w:type="dxa" w:w="1440"/>
            <w:shd w:fill="FFDCE0" w:val="clear"/>
          </w:tcPr>
          <w:p>
            <w:r>
              <w:rPr>
                <w:sz w:val="17"/>
              </w:rPr>
              <w:t>2,283</w:t>
            </w:r>
          </w:p>
        </w:tc>
        <w:tc>
          <w:tcPr>
            <w:tcW w:type="dxa" w:w="1440"/>
            <w:shd w:fill="FFDCE0" w:val="clear"/>
          </w:tcPr>
          <w:p>
            <w:r>
              <w:rPr>
                <w:b/>
                <w:color w:val="C00000"/>
                <w:sz w:val="17"/>
              </w:rPr>
              <w:t>-13.3%</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1,857</w:t>
            </w:r>
          </w:p>
        </w:tc>
        <w:tc>
          <w:tcPr>
            <w:tcW w:type="dxa" w:w="1440"/>
            <w:shd w:fill="FFDCE0" w:val="clear"/>
          </w:tcPr>
          <w:p>
            <w:r>
              <w:rPr>
                <w:b/>
                <w:sz w:val="17"/>
              </w:rPr>
              <w:t>2,054</w:t>
            </w:r>
          </w:p>
        </w:tc>
        <w:tc>
          <w:tcPr>
            <w:tcW w:type="dxa" w:w="1440"/>
            <w:shd w:fill="FFDCE0" w:val="clear"/>
          </w:tcPr>
          <w:p>
            <w:r>
              <w:rPr>
                <w:sz w:val="17"/>
              </w:rPr>
              <w:t>2,252</w:t>
            </w:r>
          </w:p>
        </w:tc>
        <w:tc>
          <w:tcPr>
            <w:tcW w:type="dxa" w:w="1440"/>
            <w:shd w:fill="FFDCE0" w:val="clear"/>
          </w:tcPr>
          <w:p>
            <w:r>
              <w:rPr>
                <w:b/>
                <w:color w:val="C00000"/>
                <w:sz w:val="17"/>
              </w:rPr>
              <w:t>-15.3%</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1,797</w:t>
            </w:r>
          </w:p>
        </w:tc>
        <w:tc>
          <w:tcPr>
            <w:tcW w:type="dxa" w:w="1440"/>
            <w:shd w:fill="FFDCE0" w:val="clear"/>
          </w:tcPr>
          <w:p>
            <w:r>
              <w:rPr>
                <w:b/>
                <w:sz w:val="17"/>
              </w:rPr>
              <w:t>2,008</w:t>
            </w:r>
          </w:p>
        </w:tc>
        <w:tc>
          <w:tcPr>
            <w:tcW w:type="dxa" w:w="1440"/>
            <w:shd w:fill="FFDCE0" w:val="clear"/>
          </w:tcPr>
          <w:p>
            <w:r>
              <w:rPr>
                <w:sz w:val="17"/>
              </w:rPr>
              <w:t>2,219</w:t>
            </w:r>
          </w:p>
        </w:tc>
        <w:tc>
          <w:tcPr>
            <w:tcW w:type="dxa" w:w="1440"/>
            <w:shd w:fill="FFDCE0" w:val="clear"/>
          </w:tcPr>
          <w:p>
            <w:r>
              <w:rPr>
                <w:b/>
                <w:color w:val="C00000"/>
                <w:sz w:val="17"/>
              </w:rPr>
              <w:t>-17.2%</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1,740</w:t>
            </w:r>
          </w:p>
        </w:tc>
        <w:tc>
          <w:tcPr>
            <w:tcW w:type="dxa" w:w="1440"/>
            <w:shd w:fill="FFDCE0" w:val="clear"/>
          </w:tcPr>
          <w:p>
            <w:r>
              <w:rPr>
                <w:b/>
                <w:sz w:val="17"/>
              </w:rPr>
              <w:t>1,963</w:t>
            </w:r>
          </w:p>
        </w:tc>
        <w:tc>
          <w:tcPr>
            <w:tcW w:type="dxa" w:w="1440"/>
            <w:shd w:fill="FFDCE0" w:val="clear"/>
          </w:tcPr>
          <w:p>
            <w:r>
              <w:rPr>
                <w:sz w:val="17"/>
              </w:rPr>
              <w:t>2,186</w:t>
            </w:r>
          </w:p>
        </w:tc>
        <w:tc>
          <w:tcPr>
            <w:tcW w:type="dxa" w:w="1440"/>
            <w:shd w:fill="FFDCE0" w:val="clear"/>
          </w:tcPr>
          <w:p>
            <w:r>
              <w:rPr>
                <w:b/>
                <w:color w:val="C00000"/>
                <w:sz w:val="17"/>
              </w:rPr>
              <w:t>-19.1%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1,686</w:t>
            </w:r>
          </w:p>
        </w:tc>
        <w:tc>
          <w:tcPr>
            <w:tcW w:type="dxa" w:w="1440"/>
            <w:shd w:fill="FFDCE0" w:val="clear"/>
          </w:tcPr>
          <w:p>
            <w:r>
              <w:rPr>
                <w:b/>
                <w:sz w:val="17"/>
              </w:rPr>
              <w:t>1,919</w:t>
            </w:r>
          </w:p>
        </w:tc>
        <w:tc>
          <w:tcPr>
            <w:tcW w:type="dxa" w:w="1440"/>
            <w:shd w:fill="FFDCE0" w:val="clear"/>
          </w:tcPr>
          <w:p>
            <w:r>
              <w:rPr>
                <w:sz w:val="17"/>
              </w:rPr>
              <w:t>2,152</w:t>
            </w:r>
          </w:p>
        </w:tc>
        <w:tc>
          <w:tcPr>
            <w:tcW w:type="dxa" w:w="1440"/>
            <w:shd w:fill="FFDCE0" w:val="clear"/>
          </w:tcPr>
          <w:p>
            <w:r>
              <w:rPr>
                <w:b/>
                <w:color w:val="C00000"/>
                <w:sz w:val="17"/>
              </w:rPr>
              <w:t>-20.8%</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1,636</w:t>
            </w:r>
          </w:p>
        </w:tc>
        <w:tc>
          <w:tcPr>
            <w:tcW w:type="dxa" w:w="1440"/>
            <w:shd w:fill="FFDCE0" w:val="clear"/>
          </w:tcPr>
          <w:p>
            <w:r>
              <w:rPr>
                <w:b/>
                <w:sz w:val="17"/>
              </w:rPr>
              <w:t>1,878</w:t>
            </w:r>
          </w:p>
        </w:tc>
        <w:tc>
          <w:tcPr>
            <w:tcW w:type="dxa" w:w="1440"/>
            <w:shd w:fill="FFDCE0" w:val="clear"/>
          </w:tcPr>
          <w:p>
            <w:r>
              <w:rPr>
                <w:sz w:val="17"/>
              </w:rPr>
              <w:t>2,119</w:t>
            </w:r>
          </w:p>
        </w:tc>
        <w:tc>
          <w:tcPr>
            <w:tcW w:type="dxa" w:w="1440"/>
            <w:shd w:fill="FFDCE0" w:val="clear"/>
          </w:tcPr>
          <w:p>
            <w:r>
              <w:rPr>
                <w:b/>
                <w:color w:val="C00000"/>
                <w:sz w:val="17"/>
              </w:rPr>
              <w:t>-22.6%</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1,588</w:t>
            </w:r>
          </w:p>
        </w:tc>
        <w:tc>
          <w:tcPr>
            <w:tcW w:type="dxa" w:w="1440"/>
            <w:shd w:fill="FFDCE0" w:val="clear"/>
          </w:tcPr>
          <w:p>
            <w:r>
              <w:rPr>
                <w:b/>
                <w:sz w:val="17"/>
              </w:rPr>
              <w:t>1,837</w:t>
            </w:r>
          </w:p>
        </w:tc>
        <w:tc>
          <w:tcPr>
            <w:tcW w:type="dxa" w:w="1440"/>
            <w:shd w:fill="FFDCE0" w:val="clear"/>
          </w:tcPr>
          <w:p>
            <w:r>
              <w:rPr>
                <w:sz w:val="17"/>
              </w:rPr>
              <w:t>2,086</w:t>
            </w:r>
          </w:p>
        </w:tc>
        <w:tc>
          <w:tcPr>
            <w:tcW w:type="dxa" w:w="1440"/>
            <w:shd w:fill="FFDCE0" w:val="clear"/>
          </w:tcPr>
          <w:p>
            <w:r>
              <w:rPr>
                <w:b/>
                <w:color w:val="C00000"/>
                <w:sz w:val="17"/>
              </w:rPr>
              <w:t>-24.2%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dénommée **ERIUM COTE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21,18 milliards FCFA positionne ERIUM CI comme une valeur de taille moyenne sur la BRVM. Avec un BPA de 43 FCFA, le titre se paie très cher, affichant un PER de 56,2x, soit près de 5 à 7 fois la moyenne du marché (8-12x). Cette valorisation extrême est confirmée par un P/B de 6,47x, signifiant que les investisseurs paient plus de six fois la valeur comptable des actifs, et un EV/EBITDA de 17,6x, également très supérieur au seuil de 15x considéré comme exigeant. Ces ratios indiquent que le marché intègre des attentes de croissance et de redressement très fortes, qui ne sont pas encore reflétées dans les bénéfices actuels, exposant le titre à un risque de correction significatif si ces attentes ne se matérialisent pas.</w:t>
      </w:r>
    </w:p>
    <w:p>
      <w:pPr>
        <w:spacing w:after="120" w:line="276" w:lineRule="auto"/>
      </w:pPr>
      <w:r>
        <w:t>### PARTIE 1 : ANALYSE DU COURS — STATISTIQUES ET ÉVOLUTION (100 derniers jours)</w:t>
      </w:r>
    </w:p>
    <w:p>
      <w:pPr>
        <w:spacing w:after="120" w:line="276" w:lineRule="auto"/>
      </w:pPr>
      <w:r>
        <w:t>Sur les 100 derniers jours, l'action a enregistré une baisse marquée de -17,38%, bien que la dernière séance ait rebondi de +1,68% à 2 425 FCFA. Le titre a évolué dans une fourchette large de 1 295 FCFA, entre un plus haut de 3 215 FCFA et un plus bas de 1 920 FCFA, illustrant une forte amplitude et une tendance baissière dominante. La moyenne (2 579 FCFA) est inférieure à la médiane (2 645 FCFA), suggérant une distribution légèrement asymétrique avec des valeurs extrêmes basses. L'écart-type de 289 FCFA (CV de 11,2%) montre une dispersion modérée autour de la moyenne. Le kurtosis négatif (-1.006) indique une distribution "aplatie" avec peu de variations extrêmes, tandis que le skewness légèrement négatif (-0.189) confirme une queue de distribution plus longue vers les bas cours. La volatilité annualisée de 51,1% est extrêmement élevée, classant ce titre comme très risqué pour un investisseur cherchant la stabilité.</w:t>
      </w:r>
    </w:p>
    <w:p>
      <w:pPr>
        <w:spacing w:after="120" w:line="276" w:lineRule="auto"/>
      </w:pPr>
      <w:r>
        <w:t>### PARTIE 2 : ANALYSE TECHNIQUE DÉTAILLÉE</w:t>
      </w:r>
    </w:p>
    <w:p>
      <w:pPr>
        <w:spacing w:after="120" w:line="276" w:lineRule="auto"/>
      </w:pPr>
      <w:r>
        <w:t>**Moyennes Mobiles:** Le cours actuel (2 425 FCFA) est supérieur à la MM20 (2 338 FCFA) et à la MM50 (2 329,4 FCFA), ce qui indique un momentum haussier à court et moyen terme. La décision "Achat" est justifiée par cette configuration positive, suggérant que la tendance récente pourrait se poursuivre.</w:t>
      </w:r>
    </w:p>
    <w:p>
      <w:pPr>
        <w:spacing w:after="120" w:line="276" w:lineRule="auto"/>
      </w:pPr>
      <w:r>
        <w:t>**Bandes de Bollinger:** Le prix se situe entre la borne supérieure (2 545 FCFA) et la borne inférieure (2 131 FCFA), proche du milieu de canal. La décision "Neutre" est cohérente avec une volatilité qui, bien que présente, ne montre pas de cassure imminente. Le cours évolue dans une zone de consolidation, sans signal fort de surachat ou de survente.</w:t>
      </w:r>
    </w:p>
    <w:p>
      <w:pPr>
        <w:spacing w:after="120" w:line="276" w:lineRule="auto"/>
      </w:pPr>
      <w:r>
        <w:t>**MACD:** La valeur du MACD (15,44) est supérieure à son signal (7,81), indiquant un momentum haussier en cours. La décision "Achat" est justifiée par cette divergence positive, qui suggère une poursuite potentielle du mouvement ascendant à court terme.</w:t>
      </w:r>
    </w:p>
    <w:p>
      <w:pPr>
        <w:spacing w:after="120" w:line="276" w:lineRule="auto"/>
      </w:pPr>
      <w:r>
        <w:t>**RSI:** Avec une valeur de 53,62, le RSI se situe dans la zone neutre (entre 30 et 70). La décision "Neutre" est correcte, car le titre n'est ni suracheté ni survendu, laissant place à une évolution dans les deux sens sans pression particulière des acheteurs ou des vendeurs.</w:t>
      </w:r>
    </w:p>
    <w:p>
      <w:pPr>
        <w:spacing w:after="120" w:line="276" w:lineRule="auto"/>
      </w:pPr>
      <w:r>
        <w:t>**Stochastique:** Le %K (95,83) est très supérieur au %D (58,33), indiquant une zone de surachat extrême. La décision "Vente" est justifiée par ce croisement baissier potentiel, signalant un risque élevé de retournement ou de consolidation à très court terme.</w:t>
      </w:r>
    </w:p>
    <w:p>
      <w:pPr>
        <w:spacing w:after="120" w:line="276" w:lineRule="auto"/>
      </w:pPr>
      <w:r>
        <w:t>**Conclusion technique:** Les signaux sont mitigés. Les moyennes mobiles et le MACD suggèrent une dynamique haussière, mais le Stochastique en zone de surachat extrême et le RSI neutre indiquent un essoufflement possible. La prudence est de mise, car le titre pourrait connaître une phase de consolidation avant de poursuivre sa tendance.</w:t>
      </w:r>
    </w:p>
    <w:p>
      <w:pPr>
        <w:spacing w:after="120" w:line="276" w:lineRule="auto"/>
      </w:pPr>
      <w:r>
        <w:t>### PARTIE 3 : ANALYSE FONDAMENTALE (SECTION CRITIQUE)</w:t>
      </w:r>
    </w:p>
    <w:p>
      <w:pPr>
        <w:spacing w:after="120" w:line="276" w:lineRule="auto"/>
      </w:pPr>
      <w:r>
        <w:t>Les données structurées pour l'exercice 2024 (base brvm_donnees_financieres) présentent un profil hybride, avec des éléments de bilan et de compte de résultat typiques d'une entreprise industrielle. En 2024, le chiffre d'affaires s'établissait à 9,283 milliards FCFA, avec un résultat net de 376,96 millions FCFA, soit une marge nette de 4,06%. Le ROE était de 11,52% et le ROA de 2,69%. Cependant, le rapport annuel pour l'exercice clos au 31 décembre 2025 (analysé par DeepSeek) révèle une forte dégradation : le CA a progressé de +8,53% à 10,07 milliards FCFA, mais le résultat net a chuté de -52,4% à 179,29 millions FCFA, faisant chuter la marge nette à 1,78%. Cette baisse est attribuée à une hausse des charges et à une dégradation du résultat financier. Les rapports trimestriels de 2025 (S1 et T3) montrent pourtant une dynamique opérationnelle positive, avec un résultat net en forte hausse (+58% au T3 2025), suggérant que les difficultés sont concentrées sur les éléments financiers et exceptionnels de fin d'année. La structure financière reste fragile avec une trésorerie nette négative de -1,66 milliard FCFA et un endettement financier élevé de 4,16 milliards FCFA en 2025. Le changement de contrôle majeur (cession de 72% par Air Liquide International à Erium Ltd) en novembre 2025 est un événement structurant qui pourrait redéfinir la stratégie et la gouvernance de l'entreprise.</w:t>
      </w:r>
    </w:p>
    <w:p>
      <w:pPr>
        <w:spacing w:after="120" w:line="276" w:lineRule="auto"/>
      </w:pPr>
      <w:r>
        <w:t>### PARTIE 4 : CONCLUSION D'INVESTISSEMENT</w:t>
      </w:r>
    </w:p>
    <w:p>
      <w:pPr>
        <w:spacing w:after="120" w:line="276" w:lineRule="auto"/>
      </w:pPr>
      <w:r>
        <w:t>L'analyse croisée révèle une situation complexe et paradoxale. La valorisation boursière (Partie 0) est extrêmement exigeante, avec un PER de 56x, ce qui est injustifiable au regard des fondamentaux actuels. Le comportement du cours (Partie 1) montre une tendance baissière sur 100 jours, mais avec une volatilité très élevée (51%). Les signaux techniques (Partie 2) sont mitigés, avec un biais haussier à court terme mais des indicateurs de surachat. Les fondamentaux (Partie 3) sont préoccupants : la rentabilité s'est effondrée en 2025 malgré une croissance du CA, et la structure financière est fragile. Les prédictions IA pour les 10 prochains jours (baisse de 2 243 à 2 054 FCFA) suggèrent une poursuite du mouvement baissier, contredisant les signaux techniques haussiers à court terme. La convergence entre la surévaluation flagrante, la dégradation des fondamentaux et la prédiction IA baissière l'emporte sur les signaux techniques. Par conséquent, la recommandation finale est **VENTE**. Le niveau de confiance est **Moyen**, car le changement d'actionnariat pourrait apporter des catalyseurs positifs. Le niveau de risque global est **Élevé**. L'horizon d'investissement optimal serait de **court terme (&lt;3 mois)** pour les investisseurs cherchant à réduire leur exposition, ou d'attendre une clarification stratégique post-changement de contrôle pour envisager un repositionnement.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1,217 titres</w:t>
            </w:r>
          </w:p>
        </w:tc>
        <w:tc>
          <w:tcPr>
            <w:tcW w:type="dxa" w:w="2268"/>
            <w:shd w:fill="FFF2CC" w:val="clear"/>
          </w:tcPr>
          <w:p>
            <w:r>
              <w:rPr>
                <w:b/>
                <w:color w:val="503200"/>
                <w:sz w:val="16"/>
              </w:rPr>
              <w:t xml:space="preserve">Cours actuel : </w:t>
            </w:r>
            <w:r>
              <w:rPr>
                <w:color w:val="000000"/>
                <w:sz w:val="17"/>
              </w:rPr>
              <w:t>37,990 FCFA</w:t>
            </w:r>
          </w:p>
          <w:p>
            <w:r>
              <w:rPr>
                <w:b/>
                <w:color w:val="503200"/>
                <w:sz w:val="16"/>
              </w:rPr>
              <w:t xml:space="preserve">Var. 100 jours : </w:t>
            </w:r>
            <w:r>
              <w:rPr>
                <w:b/>
                <w:color w:val="007800"/>
                <w:sz w:val="17"/>
              </w:rPr>
              <w:t>+1.31%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2.51% (Faible) — μ=38,303 FCFA, σ=960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β=0.0411 (Défensif) — Cov=0.000001, Var(idx)=0.000036,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36,647</w:t>
            </w:r>
          </w:p>
        </w:tc>
        <w:tc>
          <w:tcPr>
            <w:tcW w:type="dxa" w:w="1440"/>
            <w:shd w:fill="FAFAFA" w:val="clear"/>
          </w:tcPr>
          <w:p>
            <w:r>
              <w:rPr>
                <w:b/>
                <w:sz w:val="17"/>
              </w:rPr>
              <w:t>37,898</w:t>
            </w:r>
          </w:p>
        </w:tc>
        <w:tc>
          <w:tcPr>
            <w:tcW w:type="dxa" w:w="1440"/>
            <w:shd w:fill="FAFAFA" w:val="clear"/>
          </w:tcPr>
          <w:p>
            <w:r>
              <w:rPr>
                <w:sz w:val="17"/>
              </w:rPr>
              <w:t>39,148</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36,130</w:t>
            </w:r>
          </w:p>
        </w:tc>
        <w:tc>
          <w:tcPr>
            <w:tcW w:type="dxa" w:w="1440"/>
            <w:shd w:fill="FAFAFA" w:val="clear"/>
          </w:tcPr>
          <w:p>
            <w:r>
              <w:rPr>
                <w:b/>
                <w:sz w:val="17"/>
              </w:rPr>
              <w:t>37,899</w:t>
            </w:r>
          </w:p>
        </w:tc>
        <w:tc>
          <w:tcPr>
            <w:tcW w:type="dxa" w:w="1440"/>
            <w:shd w:fill="FAFAFA" w:val="clear"/>
          </w:tcPr>
          <w:p>
            <w:r>
              <w:rPr>
                <w:sz w:val="17"/>
              </w:rPr>
              <w:t>39,668</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35,703</w:t>
            </w:r>
          </w:p>
        </w:tc>
        <w:tc>
          <w:tcPr>
            <w:tcW w:type="dxa" w:w="1440"/>
            <w:shd w:fill="FAFAFA" w:val="clear"/>
          </w:tcPr>
          <w:p>
            <w:r>
              <w:rPr>
                <w:b/>
                <w:sz w:val="17"/>
              </w:rPr>
              <w:t>37,867</w:t>
            </w:r>
          </w:p>
        </w:tc>
        <w:tc>
          <w:tcPr>
            <w:tcW w:type="dxa" w:w="1440"/>
            <w:shd w:fill="FAFAFA" w:val="clear"/>
          </w:tcPr>
          <w:p>
            <w:r>
              <w:rPr>
                <w:sz w:val="17"/>
              </w:rPr>
              <w:t>40,031</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2026-09-08</w:t>
            </w:r>
          </w:p>
        </w:tc>
        <w:tc>
          <w:tcPr>
            <w:tcW w:type="dxa" w:w="1440"/>
            <w:shd w:fill="FAFAFA" w:val="clear"/>
          </w:tcPr>
          <w:p>
            <w:r>
              <w:rPr>
                <w:sz w:val="17"/>
              </w:rPr>
              <w:t>35,332</w:t>
            </w:r>
          </w:p>
        </w:tc>
        <w:tc>
          <w:tcPr>
            <w:tcW w:type="dxa" w:w="1440"/>
            <w:shd w:fill="FAFAFA" w:val="clear"/>
          </w:tcPr>
          <w:p>
            <w:r>
              <w:rPr>
                <w:b/>
                <w:sz w:val="17"/>
              </w:rPr>
              <w:t>37,829</w:t>
            </w:r>
          </w:p>
        </w:tc>
        <w:tc>
          <w:tcPr>
            <w:tcW w:type="dxa" w:w="1440"/>
            <w:shd w:fill="FAFAFA" w:val="clear"/>
          </w:tcPr>
          <w:p>
            <w:r>
              <w:rPr>
                <w:sz w:val="17"/>
              </w:rPr>
              <w:t>40,325</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2026-09-09</w:t>
            </w:r>
          </w:p>
        </w:tc>
        <w:tc>
          <w:tcPr>
            <w:tcW w:type="dxa" w:w="1440"/>
            <w:shd w:fill="FAFAFA" w:val="clear"/>
          </w:tcPr>
          <w:p>
            <w:r>
              <w:rPr>
                <w:sz w:val="17"/>
              </w:rPr>
              <w:t>35,002</w:t>
            </w:r>
          </w:p>
        </w:tc>
        <w:tc>
          <w:tcPr>
            <w:tcW w:type="dxa" w:w="1440"/>
            <w:shd w:fill="FAFAFA" w:val="clear"/>
          </w:tcPr>
          <w:p>
            <w:r>
              <w:rPr>
                <w:b/>
                <w:sz w:val="17"/>
              </w:rPr>
              <w:t>37,790</w:t>
            </w:r>
          </w:p>
        </w:tc>
        <w:tc>
          <w:tcPr>
            <w:tcW w:type="dxa" w:w="1440"/>
            <w:shd w:fill="FAFAFA" w:val="clear"/>
          </w:tcPr>
          <w:p>
            <w:r>
              <w:rPr>
                <w:sz w:val="17"/>
              </w:rPr>
              <w:t>40,578</w:t>
            </w:r>
          </w:p>
        </w:tc>
        <w:tc>
          <w:tcPr>
            <w:tcW w:type="dxa" w:w="1440"/>
            <w:shd w:fill="FAFAFA" w:val="clear"/>
          </w:tcPr>
          <w:p>
            <w:r>
              <w:rPr>
                <w:b/>
                <w:color w:val="C00000"/>
                <w:sz w:val="17"/>
              </w:rPr>
              <w:t>-0.5%</w:t>
            </w:r>
          </w:p>
        </w:tc>
      </w:tr>
      <w:tr>
        <w:tc>
          <w:tcPr>
            <w:tcW w:type="dxa" w:w="1440"/>
            <w:shd w:fill="FAFAFA" w:val="clear"/>
          </w:tcPr>
          <w:p>
            <w:r>
              <w:rPr>
                <w:sz w:val="17"/>
              </w:rPr>
              <w:t>J+6  Moyenne</w:t>
            </w:r>
          </w:p>
        </w:tc>
        <w:tc>
          <w:tcPr>
            <w:tcW w:type="dxa" w:w="1440"/>
            <w:shd w:fill="FAFAFA" w:val="clear"/>
          </w:tcPr>
          <w:p>
            <w:r>
              <w:rPr>
                <w:sz w:val="17"/>
              </w:rPr>
              <w:t>2026-09-10</w:t>
            </w:r>
          </w:p>
        </w:tc>
        <w:tc>
          <w:tcPr>
            <w:tcW w:type="dxa" w:w="1440"/>
            <w:shd w:fill="FAFAFA" w:val="clear"/>
          </w:tcPr>
          <w:p>
            <w:r>
              <w:rPr>
                <w:sz w:val="17"/>
              </w:rPr>
              <w:t>34,701</w:t>
            </w:r>
          </w:p>
        </w:tc>
        <w:tc>
          <w:tcPr>
            <w:tcW w:type="dxa" w:w="1440"/>
            <w:shd w:fill="FAFAFA" w:val="clear"/>
          </w:tcPr>
          <w:p>
            <w:r>
              <w:rPr>
                <w:b/>
                <w:sz w:val="17"/>
              </w:rPr>
              <w:t>37,752</w:t>
            </w:r>
          </w:p>
        </w:tc>
        <w:tc>
          <w:tcPr>
            <w:tcW w:type="dxa" w:w="1440"/>
            <w:shd w:fill="FAFAFA" w:val="clear"/>
          </w:tcPr>
          <w:p>
            <w:r>
              <w:rPr>
                <w:sz w:val="17"/>
              </w:rPr>
              <w:t>40,804</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2026-09-11</w:t>
            </w:r>
          </w:p>
        </w:tc>
        <w:tc>
          <w:tcPr>
            <w:tcW w:type="dxa" w:w="1440"/>
            <w:shd w:fill="FAFAFA" w:val="clear"/>
          </w:tcPr>
          <w:p>
            <w:r>
              <w:rPr>
                <w:sz w:val="17"/>
              </w:rPr>
              <w:t>34,423</w:t>
            </w:r>
          </w:p>
        </w:tc>
        <w:tc>
          <w:tcPr>
            <w:tcW w:type="dxa" w:w="1440"/>
            <w:shd w:fill="FAFAFA" w:val="clear"/>
          </w:tcPr>
          <w:p>
            <w:r>
              <w:rPr>
                <w:b/>
                <w:sz w:val="17"/>
              </w:rPr>
              <w:t>37,716</w:t>
            </w:r>
          </w:p>
        </w:tc>
        <w:tc>
          <w:tcPr>
            <w:tcW w:type="dxa" w:w="1440"/>
            <w:shd w:fill="FAFAFA" w:val="clear"/>
          </w:tcPr>
          <w:p>
            <w:r>
              <w:rPr>
                <w:sz w:val="17"/>
              </w:rPr>
              <w:t>41,009</w:t>
            </w:r>
          </w:p>
        </w:tc>
        <w:tc>
          <w:tcPr>
            <w:tcW w:type="dxa" w:w="1440"/>
            <w:shd w:fill="FAFAFA" w:val="clear"/>
          </w:tcPr>
          <w:p>
            <w:r>
              <w:rPr>
                <w:b/>
                <w:color w:val="C00000"/>
                <w:sz w:val="17"/>
              </w:rPr>
              <w:t>-0.7%</w:t>
            </w:r>
          </w:p>
        </w:tc>
      </w:tr>
      <w:tr>
        <w:tc>
          <w:tcPr>
            <w:tcW w:type="dxa" w:w="1440"/>
            <w:shd w:fill="FAFAFA" w:val="clear"/>
          </w:tcPr>
          <w:p>
            <w:r>
              <w:rPr>
                <w:sz w:val="17"/>
              </w:rPr>
              <w:t>J+8  Moyenne</w:t>
            </w:r>
          </w:p>
        </w:tc>
        <w:tc>
          <w:tcPr>
            <w:tcW w:type="dxa" w:w="1440"/>
            <w:shd w:fill="FAFAFA" w:val="clear"/>
          </w:tcPr>
          <w:p>
            <w:r>
              <w:rPr>
                <w:sz w:val="17"/>
              </w:rPr>
              <w:t>2026-09-14</w:t>
            </w:r>
          </w:p>
        </w:tc>
        <w:tc>
          <w:tcPr>
            <w:tcW w:type="dxa" w:w="1440"/>
            <w:shd w:fill="FAFAFA" w:val="clear"/>
          </w:tcPr>
          <w:p>
            <w:r>
              <w:rPr>
                <w:sz w:val="17"/>
              </w:rPr>
              <w:t>34,164</w:t>
            </w:r>
          </w:p>
        </w:tc>
        <w:tc>
          <w:tcPr>
            <w:tcW w:type="dxa" w:w="1440"/>
            <w:shd w:fill="FAFAFA" w:val="clear"/>
          </w:tcPr>
          <w:p>
            <w:r>
              <w:rPr>
                <w:b/>
                <w:sz w:val="17"/>
              </w:rPr>
              <w:t>37,680</w:t>
            </w:r>
          </w:p>
        </w:tc>
        <w:tc>
          <w:tcPr>
            <w:tcW w:type="dxa" w:w="1440"/>
            <w:shd w:fill="FAFAFA" w:val="clear"/>
          </w:tcPr>
          <w:p>
            <w:r>
              <w:rPr>
                <w:sz w:val="17"/>
              </w:rPr>
              <w:t>41,197</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2026-09-15</w:t>
            </w:r>
          </w:p>
        </w:tc>
        <w:tc>
          <w:tcPr>
            <w:tcW w:type="dxa" w:w="1440"/>
            <w:shd w:fill="FAFAFA" w:val="clear"/>
          </w:tcPr>
          <w:p>
            <w:r>
              <w:rPr>
                <w:sz w:val="17"/>
              </w:rPr>
              <w:t>33,919</w:t>
            </w:r>
          </w:p>
        </w:tc>
        <w:tc>
          <w:tcPr>
            <w:tcW w:type="dxa" w:w="1440"/>
            <w:shd w:fill="FAFAFA" w:val="clear"/>
          </w:tcPr>
          <w:p>
            <w:r>
              <w:rPr>
                <w:b/>
                <w:sz w:val="17"/>
              </w:rPr>
              <w:t>37,645</w:t>
            </w:r>
          </w:p>
        </w:tc>
        <w:tc>
          <w:tcPr>
            <w:tcW w:type="dxa" w:w="1440"/>
            <w:shd w:fill="FAFAFA" w:val="clear"/>
          </w:tcPr>
          <w:p>
            <w:r>
              <w:rPr>
                <w:sz w:val="17"/>
              </w:rPr>
              <w:t>41,372</w:t>
            </w:r>
          </w:p>
        </w:tc>
        <w:tc>
          <w:tcPr>
            <w:tcW w:type="dxa" w:w="1440"/>
            <w:shd w:fill="FAFAFA" w:val="clear"/>
          </w:tcPr>
          <w:p>
            <w:r>
              <w:rPr>
                <w:b/>
                <w:color w:val="C00000"/>
                <w:sz w:val="17"/>
              </w:rPr>
              <w:t>-0.9%</w:t>
            </w:r>
          </w:p>
        </w:tc>
      </w:tr>
      <w:tr>
        <w:tc>
          <w:tcPr>
            <w:tcW w:type="dxa" w:w="1440"/>
            <w:shd w:fill="FAFAFA" w:val="clear"/>
          </w:tcPr>
          <w:p>
            <w:r>
              <w:rPr>
                <w:sz w:val="17"/>
              </w:rPr>
              <w:t>J+10  Moyenne</w:t>
            </w:r>
          </w:p>
        </w:tc>
        <w:tc>
          <w:tcPr>
            <w:tcW w:type="dxa" w:w="1440"/>
            <w:shd w:fill="FAFAFA" w:val="clear"/>
          </w:tcPr>
          <w:p>
            <w:r>
              <w:rPr>
                <w:sz w:val="17"/>
              </w:rPr>
              <w:t>2026-09-16</w:t>
            </w:r>
          </w:p>
        </w:tc>
        <w:tc>
          <w:tcPr>
            <w:tcW w:type="dxa" w:w="1440"/>
            <w:shd w:fill="FAFAFA" w:val="clear"/>
          </w:tcPr>
          <w:p>
            <w:r>
              <w:rPr>
                <w:sz w:val="17"/>
              </w:rPr>
              <w:t>33,686</w:t>
            </w:r>
          </w:p>
        </w:tc>
        <w:tc>
          <w:tcPr>
            <w:tcW w:type="dxa" w:w="1440"/>
            <w:shd w:fill="FAFAFA" w:val="clear"/>
          </w:tcPr>
          <w:p>
            <w:r>
              <w:rPr>
                <w:b/>
                <w:sz w:val="17"/>
              </w:rPr>
              <w:t>37,611</w:t>
            </w:r>
          </w:p>
        </w:tc>
        <w:tc>
          <w:tcPr>
            <w:tcW w:type="dxa" w:w="1440"/>
            <w:shd w:fill="FAFAFA" w:val="clear"/>
          </w:tcPr>
          <w:p>
            <w:r>
              <w:rPr>
                <w:sz w:val="17"/>
              </w:rPr>
              <w:t>41,535</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de l'analyse : 02 septembre 2026**</w:t>
        <w:br/>
        <w:t>**Cours de référence : 37 990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SOLIBRA s'établit à 625,35 milliards FCFA, ce qui en fait l'une des valeurs les plus lourdes et les plus liquides de la cote de la BRVM, reflétant son statut de leader régional des boissons. Avec un BPA de 2 781 FCFA, le titre se négocie à un PER de 13,7x, légèrement au-dessus de la moyenne historique de la place (~8-12x), ce qui traduit une prime de croissance accordée par le marché aux récentes performances exceptionnelles de la société. Le P/B de 3,20x confirme cette prime, le marché valorisant les capitaux propres bien au-delà de leur valeur comptable, en récompense d'un ROE de 23,46%. Enfin, un EV/EBITDA de 7,4x indique que la valeur totale de l'entreprise reste raisonnable par rapport à sa capacité opérationnelle de génération de cash-flow, ce qui suggère une valorisation globalement soutenable malgré des multiples supérieurs aux moyennes historiques de la place.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SLBC affiche une variation totale de +1,31%, avec une dernière séance quasi stable (-0,03%), témoignant d'une phase de consolidation après une période plus dynamique. Le cours a évolué dans un range de 35 540 FCFA (plus bas) à 41 500 FCFA (plus haut), soit une amplitude de près de 17%, indiquant des mouvements significatifs sur la période. La moyenne du cours sur 100 jours (38 303 FCFA) est très proche de la médiane (38 005 FCFA), et le mode (37 500 FCFA) est légèrement inférieur, ce qui suggère une distribution quasi symétrique des prix, confirmée par un skewness de 0,331. L'écart-type de 965 FCFA (CV = 2,5%) révèle une dispersion très faible autour de la moyenne, indiquant une stabilité relative des prix. Le kurtosis de 0,261 (mésokurtique) suggère l'absence de risques de mouvements extrêmes ou de pics spéculatifs. La volatilité annualisée de 29,7% positionne le titre dans la catégorie "élevée" (&gt;30% étant le seuil), ce qui implique un risque de variation important pour les investisseurs à court terme, malgré une tendance de fond légèrement positive.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(37 990 FCFA) se situe au-dessus de la MM20 (37 521 FCFA) mais en dessous de la MM50 (38 457 FCFA), créant une configuration contradictoire. La décision de "Vente" générée par ce croisement baissier à moyen terme suggère que la dynamique de fond s'essouffle, même si le court terme reste légèrement positif. Cette configuration indique une phase de transition où les acheteurs reprennent timidement la main après un repli.</w:t>
      </w:r>
    </w:p>
    <w:p>
      <w:pPr>
        <w:spacing w:after="120" w:line="276" w:lineRule="auto"/>
      </w:pPr>
      <w:r>
        <w:t>**Bandes de Bollinger** : Le prix se positionne à 37 990 FCFA, entre la borne inférieure (36 709,54 FCFA) et la borne supérieure (38 332,46 FCFA), mais plus près de la borne supérieure, indiquant une pression acheteuse modérée. La largeur des bandes reflète une volatilité contenue. La décision "Neutre" est cohérente avec un cours qui évolue dans la partie médiane-haute du canal, sans signal directionnel fort.</w:t>
      </w:r>
    </w:p>
    <w:p>
      <w:pPr>
        <w:spacing w:after="120" w:line="276" w:lineRule="auto"/>
      </w:pPr>
      <w:r>
        <w:t>**MACD** : La valeur MACD (-165,17) est négative mais se situe au-dessus de sa ligne de signal (-272,80), formant une divergence positive. Cette configuration, qui génère une décision "Achat", indique que le momentum baissier s'affaiblit nettement et qu'un retournement haussier pourrait se matérialiser à court terme. L'écart croissant entre les deux lignes renforce ce signal de reprise.</w:t>
      </w:r>
    </w:p>
    <w:p>
      <w:pPr>
        <w:spacing w:after="120" w:line="276" w:lineRule="auto"/>
      </w:pPr>
      <w:r>
        <w:t>**RSI** : À 55,81, le RSI se positionne en zone neutre (entre 30 et 70), sans signal de surachat ni de survente. Cette valeur suggère un équilibre entre acheteurs et vendeurs, avec un léger biais haussier. La décision "Neutre" est justifiée, le marché n'étant pas encore dans une configuration de force ou de faiblesse excessive.</w:t>
      </w:r>
    </w:p>
    <w:p>
      <w:pPr>
        <w:spacing w:after="120" w:line="276" w:lineRule="auto"/>
      </w:pPr>
      <w:r>
        <w:t>**Stochastique** : Les valeurs %K (99,0) et %D (99,67) sont extrêmement élevées, en territoire de surachat très prononcé. Cette configuration génère une décision "Vente", signalant un risque élevé de correction technique à très court terme. Le croisement baissier potentiel entre %K et %D serait un signal de retournement majeur.</w:t>
      </w:r>
    </w:p>
    <w:p>
      <w:pPr>
        <w:spacing w:after="120" w:line="276" w:lineRule="auto"/>
      </w:pPr>
      <w:r>
        <w:t>**Conclusion technique** : Les indicateurs sont globalement contradictoires, avec un MACD positif (momentum haussier naissant) mais un stochastique en surachat extrême (risque de correction immédiate). Les moyennes mobiles et le RSI restent neutres. Cette divergence suggère une phase de consolidation avec un biais haussier à moyen terme, mais un risque de repli technique à très court terme. La prudence est de mise avant d'envisager un positionnement.</w:t>
      </w:r>
    </w:p>
    <w:p>
      <w:pPr>
        <w:spacing w:after="120" w:line="276" w:lineRule="auto"/>
      </w:pPr>
      <w:r>
        <w:t>---</w:t>
      </w:r>
    </w:p>
    <w:p>
      <w:pPr>
        <w:spacing w:after="120" w:line="276" w:lineRule="auto"/>
      </w:pPr>
      <w:r>
        <w:t>### PARTIE 3 : ANALYSE FONDAMENTALE (SECTION CRITIQUE)</w:t>
      </w:r>
    </w:p>
    <w:p>
      <w:pPr>
        <w:spacing w:after="120" w:line="276" w:lineRule="auto"/>
      </w:pPr>
      <w:r>
        <w:t>En 2025, SOLIBRA a réalisé une performance exceptionnelle avec un chiffre d'affaires de 378,123 milliards FCFA, en croissance de +22,1% par rapport à 2024 (309,722 milliards FCFA), et un résultat net de 45,781 milliards FCFA, soit une progression spectaculaire de +113% (contre 21,472 milliards en 2024). La marge nette s'est ainsi améliorée de 6,9% à 12,1%, tandis que le ROE atteint 23,46% et le ROA 13,48%, des niveaux excellents pour une entreprise industrielle. La structure financière est saine avec une autonomie financière de 57,5% et une capacité de remboursement de seulement 0,67 année. Le BFR de 61,587 milliards FCFA, bien que positif, est financé par un fonds de roulement de 83,689 milliards FCFA, assurant une trésorerie nette positive de 22,117 milliards. Les délais d'exploitation sont maîtrisés : 64 jours pour les clients, 77 jours pour les fournisseurs et 117 jours de stockage, ce qui est cohérent avec l'activité de boissons. Le rapport du T1 2026 (publié en 2026) confirme la dynamique avec un CA de 93,46 milliards (+7,6%) et un résultat net de 16,26 milliards (+4,8%), permettant d'estimer un exercice 2026 en croissance modérée mais soutenue. Le rapport de l'exercice 2024 (analysé par MISTRAL en mars 2026) montrait déjà une amélioration de la rentabilité (+42,4% de résultat net), mais la performance 2025 a largement dépassé ces attentes. La politique de dividende est très généreuse avec un taux de distribution de 76,5% en 2025 (dividende proposé de 2 127 FCFA/action), contre 93,5% en 2024, reflétant la confiance du management dans la pérennité des flux de trésorerie. Les risques identifiés incluent la dépendance aux matières premières (sucre, PET) et la concentration géographique sur la Côte d'Ivoire, mais la position de leader et la solidité financière de l'entreprise constituent des atouts majeurs.</w:t>
      </w:r>
    </w:p>
    <w:p>
      <w:pPr>
        <w:spacing w:after="120" w:line="276" w:lineRule="auto"/>
      </w:pPr>
      <w:r>
        <w:t>---</w:t>
      </w:r>
    </w:p>
    <w:p>
      <w:pPr>
        <w:spacing w:after="120" w:line="276" w:lineRule="auto"/>
      </w:pPr>
      <w:r>
        <w:t>### PARTIE 4 : CONCLUSION D'INVESTISSEMENT</w:t>
      </w:r>
    </w:p>
    <w:p>
      <w:pPr>
        <w:spacing w:after="120" w:line="276" w:lineRule="auto"/>
      </w:pPr>
      <w:r>
        <w:t>La valorisation actuelle de SLBC (PER 13,7x, P/B 3,2x, EV/EBITDA 7,4x) reflète une prime de croissance justifiée par des fondamentaux exceptionnels, mais qui limite le potentiel de hausse à court terme. Le comportement du cours sur 100 jours montre une stabilité relative (CV 2,5%) avec une volatilité annualisée élevée (29,7%), indiquant un titre qui peut connaître des mouvements amples mais qui reste globalement orienté à la hausse. Les signaux techniques sont mitigés : le MACD est positif mais le stochastique en surachat extrême suggère un repli imminent, tandis que les moyennes mobiles restent neutres. Les fondamentaux, eux, sont indiscutablement solides avec une croissance à deux chiffres du CA et du résultat net, une rentabilité exceptionnelle (ROE 23,5%) et une politique de dividende généreuse. Les prédictions IA pour les 10 prochains jours (37 898 à 37 790 FCFA) anticipent une légère baisse, confirmant le scénario de consolidation technique à court terme. La convergence entre la solidité fondamentale et la prudence technique suggère une recommandation **CONSERVER** pour les investisseurs existants, avec un niveau de confiance **Moyen** et un risque global **Moyen**. L'horizon d'investissement optimal serait le **moyen terme (3-12 mois)**, permettant d'absorber une éventuelle correction technique et de bénéficier de la croissance continue des bénéfices et du rendement du dividende (environ 5,6% au cours actuel). Un point d'entrée plus attractif pourrait se situer autour de 36 500-37 000 FCFA, en cas de correction technique.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1,437 titres</w:t>
            </w:r>
          </w:p>
        </w:tc>
        <w:tc>
          <w:tcPr>
            <w:tcW w:type="dxa" w:w="2268"/>
            <w:shd w:fill="FFF2CC" w:val="clear"/>
          </w:tcPr>
          <w:p>
            <w:r>
              <w:rPr>
                <w:b/>
                <w:color w:val="503200"/>
                <w:sz w:val="16"/>
              </w:rPr>
              <w:t xml:space="preserve">Cours actuel : </w:t>
            </w:r>
            <w:r>
              <w:rPr>
                <w:color w:val="000000"/>
                <w:sz w:val="17"/>
              </w:rPr>
              <w:t>17,250 FCFA</w:t>
            </w:r>
          </w:p>
          <w:p>
            <w:r>
              <w:rPr>
                <w:b/>
                <w:color w:val="503200"/>
                <w:sz w:val="16"/>
              </w:rPr>
              <w:t xml:space="preserve">Var. 100 jours : </w:t>
            </w:r>
            <w:r>
              <w:rPr>
                <w:b/>
                <w:color w:val="007800"/>
                <w:sz w:val="17"/>
              </w:rPr>
              <w:t>+45.57%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14.73% (Moyenne) — μ=14,811 FCFA, σ=2,182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β=-0.6433 (Contre-cyclique) — Cov=-0.000023, Var(idx)=0.000036, ρ=-0.168,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16,613</w:t>
            </w:r>
          </w:p>
        </w:tc>
        <w:tc>
          <w:tcPr>
            <w:tcW w:type="dxa" w:w="1440"/>
            <w:shd w:fill="FAFAFA" w:val="clear"/>
          </w:tcPr>
          <w:p>
            <w:r>
              <w:rPr>
                <w:b/>
                <w:sz w:val="17"/>
              </w:rPr>
              <w:t>17,080</w:t>
            </w:r>
          </w:p>
        </w:tc>
        <w:tc>
          <w:tcPr>
            <w:tcW w:type="dxa" w:w="1440"/>
            <w:shd w:fill="FAFAFA" w:val="clear"/>
          </w:tcPr>
          <w:p>
            <w:r>
              <w:rPr>
                <w:sz w:val="17"/>
              </w:rPr>
              <w:t>17,546</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16,356</w:t>
            </w:r>
          </w:p>
        </w:tc>
        <w:tc>
          <w:tcPr>
            <w:tcW w:type="dxa" w:w="1440"/>
            <w:shd w:fill="FAFAFA" w:val="clear"/>
          </w:tcPr>
          <w:p>
            <w:r>
              <w:rPr>
                <w:b/>
                <w:sz w:val="17"/>
              </w:rPr>
              <w:t>17,013</w:t>
            </w:r>
          </w:p>
        </w:tc>
        <w:tc>
          <w:tcPr>
            <w:tcW w:type="dxa" w:w="1440"/>
            <w:shd w:fill="FAFAFA" w:val="clear"/>
          </w:tcPr>
          <w:p>
            <w:r>
              <w:rPr>
                <w:sz w:val="17"/>
              </w:rPr>
              <w:t>17,670</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16,138</w:t>
            </w:r>
          </w:p>
        </w:tc>
        <w:tc>
          <w:tcPr>
            <w:tcW w:type="dxa" w:w="1440"/>
            <w:shd w:fill="FAFAFA" w:val="clear"/>
          </w:tcPr>
          <w:p>
            <w:r>
              <w:rPr>
                <w:b/>
                <w:sz w:val="17"/>
              </w:rPr>
              <w:t>16,939</w:t>
            </w:r>
          </w:p>
        </w:tc>
        <w:tc>
          <w:tcPr>
            <w:tcW w:type="dxa" w:w="1440"/>
            <w:shd w:fill="FAFAFA" w:val="clear"/>
          </w:tcPr>
          <w:p>
            <w:r>
              <w:rPr>
                <w:sz w:val="17"/>
              </w:rPr>
              <w:t>17,741</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2026-09-08</w:t>
            </w:r>
          </w:p>
        </w:tc>
        <w:tc>
          <w:tcPr>
            <w:tcW w:type="dxa" w:w="1440"/>
            <w:shd w:fill="FFDCE0" w:val="clear"/>
          </w:tcPr>
          <w:p>
            <w:r>
              <w:rPr>
                <w:sz w:val="17"/>
              </w:rPr>
              <w:t>15,949</w:t>
            </w:r>
          </w:p>
        </w:tc>
        <w:tc>
          <w:tcPr>
            <w:tcW w:type="dxa" w:w="1440"/>
            <w:shd w:fill="FFDCE0" w:val="clear"/>
          </w:tcPr>
          <w:p>
            <w:r>
              <w:rPr>
                <w:b/>
                <w:sz w:val="17"/>
              </w:rPr>
              <w:t>16,870</w:t>
            </w:r>
          </w:p>
        </w:tc>
        <w:tc>
          <w:tcPr>
            <w:tcW w:type="dxa" w:w="1440"/>
            <w:shd w:fill="FFDCE0" w:val="clear"/>
          </w:tcPr>
          <w:p>
            <w:r>
              <w:rPr>
                <w:sz w:val="17"/>
              </w:rPr>
              <w:t>17,792</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2026-09-09</w:t>
            </w:r>
          </w:p>
        </w:tc>
        <w:tc>
          <w:tcPr>
            <w:tcW w:type="dxa" w:w="1440"/>
            <w:shd w:fill="FFDCE0" w:val="clear"/>
          </w:tcPr>
          <w:p>
            <w:r>
              <w:rPr>
                <w:sz w:val="17"/>
              </w:rPr>
              <w:t>15,777</w:t>
            </w:r>
          </w:p>
        </w:tc>
        <w:tc>
          <w:tcPr>
            <w:tcW w:type="dxa" w:w="1440"/>
            <w:shd w:fill="FFDCE0" w:val="clear"/>
          </w:tcPr>
          <w:p>
            <w:r>
              <w:rPr>
                <w:b/>
                <w:sz w:val="17"/>
              </w:rPr>
              <w:t>16,804</w:t>
            </w:r>
          </w:p>
        </w:tc>
        <w:tc>
          <w:tcPr>
            <w:tcW w:type="dxa" w:w="1440"/>
            <w:shd w:fill="FFDCE0" w:val="clear"/>
          </w:tcPr>
          <w:p>
            <w:r>
              <w:rPr>
                <w:sz w:val="17"/>
              </w:rPr>
              <w:t>17,830</w:t>
            </w:r>
          </w:p>
        </w:tc>
        <w:tc>
          <w:tcPr>
            <w:tcW w:type="dxa" w:w="1440"/>
            <w:shd w:fill="FFDCE0" w:val="clear"/>
          </w:tcPr>
          <w:p>
            <w:r>
              <w:rPr>
                <w:b/>
                <w:color w:val="C00000"/>
                <w:sz w:val="17"/>
              </w:rPr>
              <w:t>-2.6%</w:t>
            </w:r>
          </w:p>
        </w:tc>
      </w:tr>
      <w:tr>
        <w:tc>
          <w:tcPr>
            <w:tcW w:type="dxa" w:w="1440"/>
            <w:shd w:fill="FFDCE0" w:val="clear"/>
          </w:tcPr>
          <w:p>
            <w:r>
              <w:rPr>
                <w:sz w:val="17"/>
              </w:rPr>
              <w:t>J+6  Moyenne</w:t>
            </w:r>
          </w:p>
        </w:tc>
        <w:tc>
          <w:tcPr>
            <w:tcW w:type="dxa" w:w="1440"/>
            <w:shd w:fill="FFDCE0" w:val="clear"/>
          </w:tcPr>
          <w:p>
            <w:r>
              <w:rPr>
                <w:sz w:val="17"/>
              </w:rPr>
              <w:t>2026-09-10</w:t>
            </w:r>
          </w:p>
        </w:tc>
        <w:tc>
          <w:tcPr>
            <w:tcW w:type="dxa" w:w="1440"/>
            <w:shd w:fill="FFDCE0" w:val="clear"/>
          </w:tcPr>
          <w:p>
            <w:r>
              <w:rPr>
                <w:sz w:val="17"/>
              </w:rPr>
              <w:t>15,618</w:t>
            </w:r>
          </w:p>
        </w:tc>
        <w:tc>
          <w:tcPr>
            <w:tcW w:type="dxa" w:w="1440"/>
            <w:shd w:fill="FFDCE0" w:val="clear"/>
          </w:tcPr>
          <w:p>
            <w:r>
              <w:rPr>
                <w:b/>
                <w:sz w:val="17"/>
              </w:rPr>
              <w:t>16,739</w:t>
            </w:r>
          </w:p>
        </w:tc>
        <w:tc>
          <w:tcPr>
            <w:tcW w:type="dxa" w:w="1440"/>
            <w:shd w:fill="FFDCE0" w:val="clear"/>
          </w:tcPr>
          <w:p>
            <w:r>
              <w:rPr>
                <w:sz w:val="17"/>
              </w:rPr>
              <w:t>17,859</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2026-09-11</w:t>
            </w:r>
          </w:p>
        </w:tc>
        <w:tc>
          <w:tcPr>
            <w:tcW w:type="dxa" w:w="1440"/>
            <w:shd w:fill="FFDCE0" w:val="clear"/>
          </w:tcPr>
          <w:p>
            <w:r>
              <w:rPr>
                <w:sz w:val="17"/>
              </w:rPr>
              <w:t>15,469</w:t>
            </w:r>
          </w:p>
        </w:tc>
        <w:tc>
          <w:tcPr>
            <w:tcW w:type="dxa" w:w="1440"/>
            <w:shd w:fill="FFDCE0" w:val="clear"/>
          </w:tcPr>
          <w:p>
            <w:r>
              <w:rPr>
                <w:b/>
                <w:sz w:val="17"/>
              </w:rPr>
              <w:t>16,675</w:t>
            </w:r>
          </w:p>
        </w:tc>
        <w:tc>
          <w:tcPr>
            <w:tcW w:type="dxa" w:w="1440"/>
            <w:shd w:fill="FFDCE0" w:val="clear"/>
          </w:tcPr>
          <w:p>
            <w:r>
              <w:rPr>
                <w:sz w:val="17"/>
              </w:rPr>
              <w:t>17,880</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2026-09-14</w:t>
            </w:r>
          </w:p>
        </w:tc>
        <w:tc>
          <w:tcPr>
            <w:tcW w:type="dxa" w:w="1440"/>
            <w:shd w:fill="FFDCE0" w:val="clear"/>
          </w:tcPr>
          <w:p>
            <w:r>
              <w:rPr>
                <w:sz w:val="17"/>
              </w:rPr>
              <w:t>15,328</w:t>
            </w:r>
          </w:p>
        </w:tc>
        <w:tc>
          <w:tcPr>
            <w:tcW w:type="dxa" w:w="1440"/>
            <w:shd w:fill="FFDCE0" w:val="clear"/>
          </w:tcPr>
          <w:p>
            <w:r>
              <w:rPr>
                <w:b/>
                <w:sz w:val="17"/>
              </w:rPr>
              <w:t>16,612</w:t>
            </w:r>
          </w:p>
        </w:tc>
        <w:tc>
          <w:tcPr>
            <w:tcW w:type="dxa" w:w="1440"/>
            <w:shd w:fill="FFDCE0" w:val="clear"/>
          </w:tcPr>
          <w:p>
            <w:r>
              <w:rPr>
                <w:sz w:val="17"/>
              </w:rPr>
              <w:t>17,895</w:t>
            </w:r>
          </w:p>
        </w:tc>
        <w:tc>
          <w:tcPr>
            <w:tcW w:type="dxa" w:w="1440"/>
            <w:shd w:fill="FFDCE0" w:val="clear"/>
          </w:tcPr>
          <w:p>
            <w:r>
              <w:rPr>
                <w:b/>
                <w:color w:val="C00000"/>
                <w:sz w:val="17"/>
              </w:rPr>
              <w:t>-3.7%</w:t>
            </w:r>
          </w:p>
        </w:tc>
      </w:tr>
      <w:tr>
        <w:tc>
          <w:tcPr>
            <w:tcW w:type="dxa" w:w="1440"/>
            <w:shd w:fill="FFDCE0" w:val="clear"/>
          </w:tcPr>
          <w:p>
            <w:r>
              <w:rPr>
                <w:sz w:val="17"/>
              </w:rPr>
              <w:t>J+9  Moyenne</w:t>
            </w:r>
          </w:p>
        </w:tc>
        <w:tc>
          <w:tcPr>
            <w:tcW w:type="dxa" w:w="1440"/>
            <w:shd w:fill="FFDCE0" w:val="clear"/>
          </w:tcPr>
          <w:p>
            <w:r>
              <w:rPr>
                <w:sz w:val="17"/>
              </w:rPr>
              <w:t>2026-09-15</w:t>
            </w:r>
          </w:p>
        </w:tc>
        <w:tc>
          <w:tcPr>
            <w:tcW w:type="dxa" w:w="1440"/>
            <w:shd w:fill="FFDCE0" w:val="clear"/>
          </w:tcPr>
          <w:p>
            <w:r>
              <w:rPr>
                <w:sz w:val="17"/>
              </w:rPr>
              <w:t>15,193</w:t>
            </w:r>
          </w:p>
        </w:tc>
        <w:tc>
          <w:tcPr>
            <w:tcW w:type="dxa" w:w="1440"/>
            <w:shd w:fill="FFDCE0" w:val="clear"/>
          </w:tcPr>
          <w:p>
            <w:r>
              <w:rPr>
                <w:b/>
                <w:sz w:val="17"/>
              </w:rPr>
              <w:t>16,549</w:t>
            </w:r>
          </w:p>
        </w:tc>
        <w:tc>
          <w:tcPr>
            <w:tcW w:type="dxa" w:w="1440"/>
            <w:shd w:fill="FFDCE0" w:val="clear"/>
          </w:tcPr>
          <w:p>
            <w:r>
              <w:rPr>
                <w:sz w:val="17"/>
              </w:rPr>
              <w:t>17,906</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2026-09-16</w:t>
            </w:r>
          </w:p>
        </w:tc>
        <w:tc>
          <w:tcPr>
            <w:tcW w:type="dxa" w:w="1440"/>
            <w:shd w:fill="FFDCE0" w:val="clear"/>
          </w:tcPr>
          <w:p>
            <w:r>
              <w:rPr>
                <w:sz w:val="17"/>
              </w:rPr>
              <w:t>15,064</w:t>
            </w:r>
          </w:p>
        </w:tc>
        <w:tc>
          <w:tcPr>
            <w:tcW w:type="dxa" w:w="1440"/>
            <w:shd w:fill="FFDCE0" w:val="clear"/>
          </w:tcPr>
          <w:p>
            <w:r>
              <w:rPr>
                <w:b/>
                <w:sz w:val="17"/>
              </w:rPr>
              <w:t>16,488</w:t>
            </w:r>
          </w:p>
        </w:tc>
        <w:tc>
          <w:tcPr>
            <w:tcW w:type="dxa" w:w="1440"/>
            <w:shd w:fill="FFDCE0" w:val="clear"/>
          </w:tcPr>
          <w:p>
            <w:r>
              <w:rPr>
                <w:sz w:val="17"/>
              </w:rPr>
              <w:t>17,913</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134,47 milliards FCFA, un niveau qui la positionne parmi les valeurs moyennes du compartiment obligataire de la BRVM, avec une liquidité quotidienne limitée (1 437 titres échangés en moyenne). Le BPA de 1 677 FCFA indique que chaque action génère un bénéfice substantiel, justifiant un PER de 10,3x, en ligne avec la moyenne historique du marché régional (8-12x), ce qui traduit une valorisation raisonnable sans prime excessive. Le P/B de 3,13x montre que le marché valorise la société à plus du triple de sa valeur comptable, reflétant une prime de croissance accordée par les investisseurs pour la rentabilité élevée de l'entreprise. Enfin, l'EV/EBITDA de 6,5x confirme une évaluation modérée de la capacité opérationnelle, dans une fourchette de 5 à 10x considérée comme saine pour le secteur industriel.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SMBC affiche une progression spectaculaire de +45,57%, passant d'un plus bas de 11 450 FCFA à un plus haut de 17 735 FCFA, avec un cours actuel de 17 250 FCFA et une variation nulle lors de la dernière séance. La moyenne de 14 811 FCFA est inférieure à la médiane de 15 900 FCFA, indiquant une asymétrie positive récente où les cours élevés de la fin de période tirent la moyenne vers le haut. L'écart-type de 2 193 FCFA, soit un coefficient de variation de 14,8%, révèle une dispersion modérée des prix autour de la moyenne. Le kurtosis de -1,478 (platykurtique) signale une distribution aplatie avec peu de valeurs extrêmes, tandis que le skewness de -0,388 suggère une légère asymétrie négative sur la période, malgré la tendance haussière récente. La volatilité annualisée de 36,3% classe SMBC comme un titre à forte volatilité, ce qui implique un risque élevé mais aussi un potentiel de rendement significatif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Les MM20 et MM50, respectivement à 16 699,5 FCFA et 16 601,9 FCFA, sont toutes deux inférieures au cours actuel de 17 250 FCFA, confirmant une dynamique haussière solide. L'écart positif entre le prix et ces moyennes indique que la tendance de fond reste bullish, avec un signal d'achat maintenu malgré la distance croissante qui pourrait précéder un repli technique.</w:t>
      </w:r>
    </w:p>
    <w:p>
      <w:pPr>
        <w:spacing w:after="120" w:line="276" w:lineRule="auto"/>
      </w:pPr>
      <w:r>
        <w:t>**Bandes de Bollinger**: Le cours se situe à 17 250 FCFA, proche de la borne supérieure de 17 525,17 FCFA, ce qui témoigne d'une pression acheteuse soutenue mais aussi d'une zone de surachat potentiel. La largeur des bandes (écart de 1 651 FCFA) reflète la volatilité accrue du titre, justifiant une décision neutre dans l'attente d'une consolidation ou d'une cassure au-delà de la borne supérieure.</w:t>
      </w:r>
    </w:p>
    <w:p>
      <w:pPr>
        <w:spacing w:after="120" w:line="276" w:lineRule="auto"/>
      </w:pPr>
      <w:r>
        <w:t>**MACD**: La valeur du MACD à 278,21 est nettement supérieure au signal à 210,51, avec un histogramme positif qui se creuse, confirmant un momentum haussier robuste. Cette configuration, typique d'une tendance en accélération, valide la décision d'achat, bien que l'ampleur de l'écart puisse signaler une exubérance temporaire à surveiller.</w:t>
      </w:r>
    </w:p>
    <w:p>
      <w:pPr>
        <w:spacing w:after="120" w:line="276" w:lineRule="auto"/>
      </w:pPr>
      <w:r>
        <w:t>**RSI**: Le RSI à 73,44 dépasse le seuil de surachat de 70, indiquant que le titre est techniquement surévalué à court terme. Cette lecture suggère un essoufflement probable des acheteurs et justifie une décision de vente pour les traders opportunistes, même si le RSI peut rester en zone de surachat prolongée en tendance forte.</w:t>
      </w:r>
    </w:p>
    <w:p>
      <w:pPr>
        <w:spacing w:after="120" w:line="276" w:lineRule="auto"/>
      </w:pPr>
      <w:r>
        <w:t>**Stochastique**: Les valeurs de %K à 87,32 et %D à 85,69 sont toutes deux profondément en zone de surachat (&gt;80), sans croisement baissier imminent. Cette configuration extrême renforce le signal de vente, car elle indique que le mouvement haussier est arrivé à maturité et qu'une correction technique est probable à très court terme.</w:t>
      </w:r>
    </w:p>
    <w:p>
      <w:pPr>
        <w:spacing w:after="120" w:line="276" w:lineRule="auto"/>
      </w:pPr>
      <w:r>
        <w:t>**Conclusion technique**: La convergence des indicateurs est contrastée : les moyennes mobiles et le MACD plaident pour une poursuite de la tendance haussière, tandis que le RSI et le stochastique signalent un surachat prononcé. Cette divergence suggère qu'un repli technique de court terme est probable avant une reprise de la tendance de fond, invitant à la prudence pour les nouveaux entrants.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(229,061 milliards FCFA), mais avec un résultat net en forte progression de 50,3% à 13,075 milliards FCFA, contre 8,698 milliards en 2024. Cette amélioration spectaculaire de la rentabilité se traduit par un ROE de 30,47% (excellent, &gt;15%) et un ROA de 7,26%, soutenus par une marge nette passée de 3,8% à 6,32%. La structure financière s'est renforcée avec des capitaux propres de 42,913 milliards FCFA (+21,6% vs 2024), une trésorerie nette positive de 23,988 milliards FCFA et un BFR de 1,693 milliards FCFA, signe d'une gestion saine du cycle d'exploitation. Les délais clients de 193,75 jours restent élevés, constituant un risque de trésorerie, mais le délai fournisseurs de 207,07 jours compense partiellement cette pression. Sur la base des rapports trimestriels 2025 (T1 : CA de 54,8 milliards FCFA en baisse de 22%, résultat net de 2,7 milliards FCFA ; S1 : CA de 101,9 milliards FCFA en baisse de 23%, résultat net de 3,9 milliards FCFA ; 9M : CA de 155,2 milliards FCFA en baisse de 14%, résultat net de 5,7 milliards FCFA en hausse de 6%), on estime que l'exercice 2025 complet devrait confirmer la tendance de reprise progressive, avec une stabilisation du CA et une poursuite de l'amélioration des marges. Le rapport annuel 2025 (daté du 31 décembre 2025, analysé par DeepSeek le 12 mai 2026) confirme cette dynamique avec une recommandation de conserver, tandis que le rapport 2024 (analysé par Mistral) soulignait une politique de dividende insoutenable à 107,5% de distribution, corrigée en 2025 avec un taux de 41,7% (5,457 milliards FCFA versés). La solidité financière, la rentabilité exceptionnelle et la trésorerie abondante positionnent SMBC favorablement, malgré les risques liés à la baisse du CA et à la dépendance aux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(PER de 10,3x, P/B de 3,13x, EV/EBITDA de 6,5x) indique une sous-évaluation relative par rapport à sa rentabilité exceptionnelle, tandis que le comportement du cours sur 100 jours (+45,57%) avec une volatilité élevée de 36,3% reflète un intérêt croissant des investisseurs, malgré un kurtosis platykurtique suggérant une distribution stable. Les signaux techniques sont mitigés : les moyennes mobiles et le MACD restent positifs, mais le RSI à 73,44 et le stochastique à 87,32 signalent un surachat imminent, préfigurant une consolidation à court terme. Les fondamentaux sont solides avec un ROE de 30,47%, une trésorerie nette de 23,988 milliards FCFA et une amélioration continue des marges, soutenue par les rapports trimestriels 2025 qui montrent une reprise progressive. Les prédictions IA pour les 10 prochains jours (baisse de 17 250 à 16 804 FCFA) confirment la probabilité d'un repli technique, en cohérence avec les signaux de surachat. En synthèse, la convergence entre la sous-évaluation fondamentale, la tendance haussière de fond et les perspectives de croissance justifie une recommandation **ACHAT** sur les replis, avec un niveau de confiance **Moyen** et un risque global **Élevé** en raison de la volatilité. L'horizon d'investissement optimal est le **moyen terme (3-12 mois)**, permettant d'absorber la correction technique attendue et de bénéficier de la solidité financière de l'entreprise.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3715.00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10,106 titres</w:t>
            </w:r>
          </w:p>
        </w:tc>
        <w:tc>
          <w:tcPr>
            <w:tcW w:type="dxa" w:w="2268"/>
            <w:shd w:fill="FFF2CC" w:val="clear"/>
          </w:tcPr>
          <w:p>
            <w:r>
              <w:rPr>
                <w:b/>
                <w:color w:val="503200"/>
                <w:sz w:val="16"/>
              </w:rPr>
              <w:t xml:space="preserve">Cours actuel : </w:t>
            </w:r>
            <w:r>
              <w:rPr>
                <w:color w:val="000000"/>
                <w:sz w:val="17"/>
              </w:rPr>
              <w:t>37,150 FCFA</w:t>
            </w:r>
          </w:p>
          <w:p>
            <w:r>
              <w:rPr>
                <w:b/>
                <w:color w:val="503200"/>
                <w:sz w:val="16"/>
              </w:rPr>
              <w:t xml:space="preserve">Var. 100 jours : </w:t>
            </w:r>
            <w:r>
              <w:rPr>
                <w:b/>
                <w:color w:val="007800"/>
                <w:sz w:val="17"/>
              </w:rPr>
              <w:t>+28.99%</w:t>
            </w:r>
          </w:p>
          <w:p>
            <w:r>
              <w:rPr>
                <w:b/>
                <w:color w:val="503200"/>
                <w:sz w:val="16"/>
              </w:rPr>
              <w:t xml:space="preserve">Plus haut 100j : </w:t>
            </w:r>
            <w:r>
              <w:rPr>
                <w:color w:val="000000"/>
                <w:sz w:val="17"/>
              </w:rPr>
              <w:t>37,150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7.91% (Moyenne) — μ=30,205 FCFA, σ=2,388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β=1.9168 (Très agressif) — Cov=0.000069, Var(idx)=0.000036, ρ=0.581,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10,106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34,731</w:t>
            </w:r>
          </w:p>
        </w:tc>
        <w:tc>
          <w:tcPr>
            <w:tcW w:type="dxa" w:w="1440"/>
            <w:shd w:fill="FFDCE0" w:val="clear"/>
          </w:tcPr>
          <w:p>
            <w:r>
              <w:rPr>
                <w:b/>
                <w:sz w:val="17"/>
              </w:rPr>
              <w:t>36,178</w:t>
            </w:r>
          </w:p>
        </w:tc>
        <w:tc>
          <w:tcPr>
            <w:tcW w:type="dxa" w:w="1440"/>
            <w:shd w:fill="FFDCE0" w:val="clear"/>
          </w:tcPr>
          <w:p>
            <w:r>
              <w:rPr>
                <w:sz w:val="17"/>
              </w:rPr>
              <w:t>37,626</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34,078</w:t>
            </w:r>
          </w:p>
        </w:tc>
        <w:tc>
          <w:tcPr>
            <w:tcW w:type="dxa" w:w="1440"/>
            <w:shd w:fill="FFDCE0" w:val="clear"/>
          </w:tcPr>
          <w:p>
            <w:r>
              <w:rPr>
                <w:b/>
                <w:sz w:val="17"/>
              </w:rPr>
              <w:t>36,122</w:t>
            </w:r>
          </w:p>
        </w:tc>
        <w:tc>
          <w:tcPr>
            <w:tcW w:type="dxa" w:w="1440"/>
            <w:shd w:fill="FFDCE0" w:val="clear"/>
          </w:tcPr>
          <w:p>
            <w:r>
              <w:rPr>
                <w:sz w:val="17"/>
              </w:rPr>
              <w:t>38,166</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33,504</w:t>
            </w:r>
          </w:p>
        </w:tc>
        <w:tc>
          <w:tcPr>
            <w:tcW w:type="dxa" w:w="1440"/>
            <w:shd w:fill="FFDCE0" w:val="clear"/>
          </w:tcPr>
          <w:p>
            <w:r>
              <w:rPr>
                <w:b/>
                <w:sz w:val="17"/>
              </w:rPr>
              <w:t>35,999</w:t>
            </w:r>
          </w:p>
        </w:tc>
        <w:tc>
          <w:tcPr>
            <w:tcW w:type="dxa" w:w="1440"/>
            <w:shd w:fill="FFDCE0" w:val="clear"/>
          </w:tcPr>
          <w:p>
            <w:r>
              <w:rPr>
                <w:sz w:val="17"/>
              </w:rPr>
              <w:t>38,494</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33,017</w:t>
            </w:r>
          </w:p>
        </w:tc>
        <w:tc>
          <w:tcPr>
            <w:tcW w:type="dxa" w:w="1440"/>
            <w:shd w:fill="FFDCE0" w:val="clear"/>
          </w:tcPr>
          <w:p>
            <w:r>
              <w:rPr>
                <w:b/>
                <w:sz w:val="17"/>
              </w:rPr>
              <w:t>35,889</w:t>
            </w:r>
          </w:p>
        </w:tc>
        <w:tc>
          <w:tcPr>
            <w:tcW w:type="dxa" w:w="1440"/>
            <w:shd w:fill="FFDCE0" w:val="clear"/>
          </w:tcPr>
          <w:p>
            <w:r>
              <w:rPr>
                <w:sz w:val="17"/>
              </w:rPr>
              <w:t>38,761</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32,593</w:t>
            </w:r>
          </w:p>
        </w:tc>
        <w:tc>
          <w:tcPr>
            <w:tcW w:type="dxa" w:w="1440"/>
            <w:shd w:fill="FFDCE0" w:val="clear"/>
          </w:tcPr>
          <w:p>
            <w:r>
              <w:rPr>
                <w:b/>
                <w:sz w:val="17"/>
              </w:rPr>
              <w:t>35,796</w:t>
            </w:r>
          </w:p>
        </w:tc>
        <w:tc>
          <w:tcPr>
            <w:tcW w:type="dxa" w:w="1440"/>
            <w:shd w:fill="FFDCE0" w:val="clear"/>
          </w:tcPr>
          <w:p>
            <w:r>
              <w:rPr>
                <w:sz w:val="17"/>
              </w:rPr>
              <w:t>38,999</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32,213</w:t>
            </w:r>
          </w:p>
        </w:tc>
        <w:tc>
          <w:tcPr>
            <w:tcW w:type="dxa" w:w="1440"/>
            <w:shd w:fill="FFDCE0" w:val="clear"/>
          </w:tcPr>
          <w:p>
            <w:r>
              <w:rPr>
                <w:b/>
                <w:sz w:val="17"/>
              </w:rPr>
              <w:t>35,713</w:t>
            </w:r>
          </w:p>
        </w:tc>
        <w:tc>
          <w:tcPr>
            <w:tcW w:type="dxa" w:w="1440"/>
            <w:shd w:fill="FFDCE0" w:val="clear"/>
          </w:tcPr>
          <w:p>
            <w:r>
              <w:rPr>
                <w:sz w:val="17"/>
              </w:rPr>
              <w:t>39,213</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31,862</w:t>
            </w:r>
          </w:p>
        </w:tc>
        <w:tc>
          <w:tcPr>
            <w:tcW w:type="dxa" w:w="1440"/>
            <w:shd w:fill="FFDCE0" w:val="clear"/>
          </w:tcPr>
          <w:p>
            <w:r>
              <w:rPr>
                <w:b/>
                <w:sz w:val="17"/>
              </w:rPr>
              <w:t>35,634</w:t>
            </w:r>
          </w:p>
        </w:tc>
        <w:tc>
          <w:tcPr>
            <w:tcW w:type="dxa" w:w="1440"/>
            <w:shd w:fill="FFDCE0" w:val="clear"/>
          </w:tcPr>
          <w:p>
            <w:r>
              <w:rPr>
                <w:sz w:val="17"/>
              </w:rPr>
              <w:t>39,406</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31,534</w:t>
            </w:r>
          </w:p>
        </w:tc>
        <w:tc>
          <w:tcPr>
            <w:tcW w:type="dxa" w:w="1440"/>
            <w:shd w:fill="FFDCE0" w:val="clear"/>
          </w:tcPr>
          <w:p>
            <w:r>
              <w:rPr>
                <w:b/>
                <w:sz w:val="17"/>
              </w:rPr>
              <w:t>35,558</w:t>
            </w:r>
          </w:p>
        </w:tc>
        <w:tc>
          <w:tcPr>
            <w:tcW w:type="dxa" w:w="1440"/>
            <w:shd w:fill="FFDCE0" w:val="clear"/>
          </w:tcPr>
          <w:p>
            <w:r>
              <w:rPr>
                <w:sz w:val="17"/>
              </w:rPr>
              <w:t>39,582</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31,225</w:t>
            </w:r>
          </w:p>
        </w:tc>
        <w:tc>
          <w:tcPr>
            <w:tcW w:type="dxa" w:w="1440"/>
            <w:shd w:fill="FFDCE0" w:val="clear"/>
          </w:tcPr>
          <w:p>
            <w:r>
              <w:rPr>
                <w:b/>
                <w:sz w:val="17"/>
              </w:rPr>
              <w:t>35,484</w:t>
            </w:r>
          </w:p>
        </w:tc>
        <w:tc>
          <w:tcPr>
            <w:tcW w:type="dxa" w:w="1440"/>
            <w:shd w:fill="FFDCE0" w:val="clear"/>
          </w:tcPr>
          <w:p>
            <w:r>
              <w:rPr>
                <w:sz w:val="17"/>
              </w:rPr>
              <w:t>39,743</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30,931</w:t>
            </w:r>
          </w:p>
        </w:tc>
        <w:tc>
          <w:tcPr>
            <w:tcW w:type="dxa" w:w="1440"/>
            <w:shd w:fill="FFDCE0" w:val="clear"/>
          </w:tcPr>
          <w:p>
            <w:r>
              <w:rPr>
                <w:b/>
                <w:sz w:val="17"/>
              </w:rPr>
              <w:t>35,411</w:t>
            </w:r>
          </w:p>
        </w:tc>
        <w:tc>
          <w:tcPr>
            <w:tcW w:type="dxa" w:w="1440"/>
            <w:shd w:fill="FFDCE0" w:val="clear"/>
          </w:tcPr>
          <w:p>
            <w:r>
              <w:rPr>
                <w:sz w:val="17"/>
              </w:rPr>
              <w:t>39,891</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02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3 715 milliards FCFA, ce qui en fait l'une des toutes premières capitalisations de la BRVM, représentant un poids considérable dans l'indice. Avec un BPA de 4 136 FCFA, le titre se négocie à un PER de 9,0x, un niveau inférieur à la moyenne historique du marché BRVM (8-12x), suggérant une sous-évaluation relative de la valeur. Le P/B de 2,65x indique que le marché valorise la société à plus de 2,5 fois ses capitaux propres comptables, ce qui est cohérent avec la prime de croissance accordée aux leaders de marché. L'EV/EBITDA de 3,9x est particulièrement attractif, signalant que la valeur totale de l'entreprise (dette incluse) reste très raisonnable par rapport à sa capacité opérationnelle de génération de cash. L'ensemble de ces ratios confirme une valorisation modérée pour un actif de cette qualité.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performance remarquable de +28,99%, avec un cours actuel de 37 150 FCFA, proche de son plus haut sur la période (37 150 FCFA) et nettement au-dessus de son plus bas (27 160 FCFA). La tendance est clairement haussière, soutenue par une dernière séance positive (+0,41%). La moyenne du cours (30 205 FCFA) est inférieure à la médiane (28 930 FCFA), et l'écart important entre ces deux valeurs, combiné à un skewness positif de 1,444, révèle une distribution asymétrique avec des journées majoritairement sous la moyenne mais quelques fortes progressions qui tirent le cours vers le haut. Le kurtosis de 1,441 (leptokurtique) indique un risque de mouvements extrêmes, tandis que l'écart-type de 2 400 FCFA (CV=7,9%) montre une dispersion modérée. La volatilité annualisée de 31,2% classe le titre dans la catégorie élevée (&gt;30%), reflétant une dynamique de marché soutenue et des mouvements de prix potentiellement amples.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(37 150 FCFA) évolue nettement au-dessus de la MM20 (33 861 FCFA) et de la MM50 (31 849 FCFA), confirmant une tendance haussière solide à court et moyen terme. La configuration en pente ascendante des moyennes mobiles valide la dynamique positive, justifiant la décision d'achat.</w:t>
      </w:r>
    </w:p>
    <w:p>
      <w:pPr>
        <w:spacing w:after="120" w:line="276" w:lineRule="auto"/>
      </w:pPr>
      <w:r>
        <w:t>**Bandes de Bollinger** : Le prix se positionne à 37 150 FCFA, proche de la borne supérieure (38 667 FCFA) et très éloigné de la borne inférieure (29 056 FCFA). Cette configuration indique une pression acheteuse soutenue, mais le resserrement de l'écart entre le prix et la borne supérieure suggère une possible consolidation à court terme, d'où la décision neutre.</w:t>
      </w:r>
    </w:p>
    <w:p>
      <w:pPr>
        <w:spacing w:after="120" w:line="276" w:lineRule="auto"/>
      </w:pPr>
      <w:r>
        <w:t>**MACD** : Avec une valeur de 1 572,3 contre un signal de 1 275,2, le MACD affiche une divergence positive significative, indiquant un momentum haussier puissant. L'écart croissant entre la ligne MACD et sa ligne de signal confirme la vigueur de la tendance, justifiant la décision d'achat.</w:t>
      </w:r>
    </w:p>
    <w:p>
      <w:pPr>
        <w:spacing w:after="120" w:line="276" w:lineRule="auto"/>
      </w:pPr>
      <w:r>
        <w:t>**RSI** : Le RSI à 74,98 dépasse largement le seuil de surachat (70), signalant une pression acheteuse excessive à court terme. Cette situation suggère un risque de correction technique, justifiant la décision de vente pour les traders à court terme.</w:t>
      </w:r>
    </w:p>
    <w:p>
      <w:pPr>
        <w:spacing w:after="120" w:line="276" w:lineRule="auto"/>
      </w:pPr>
      <w:r>
        <w:t>**Stochastique** : Le %K à 100 et le %D à 97,5 sont en zone de surachat extrême, indiquant que le titre est survendu d'un point de vue technique. Cette configuration appelle à la prudence pour de nouveaux achats à court terme, justifiant la décision de vente.</w:t>
      </w:r>
    </w:p>
    <w:p>
      <w:pPr>
        <w:spacing w:after="120" w:line="276" w:lineRule="auto"/>
      </w:pPr>
      <w:r>
        <w:t>**Conclusion technique** : Les indicateurs de tendance (MM, MACD) sont résolument haussiers, tandis que les oscillateurs (RSI, Stochastique) signalent une situation de surachat. Cette divergence suggère que la tendance de fond reste positive mais qu'une consolidation technique est probable à court terme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avec un chiffre d'affaires consolidé de 1 923,1 milliards FCFA (+8,3% vs 2024) et un résultat net de 413,6 milliards FCFA (+5,1%). La marge nette s'établit à 21,5%, le ROE atteint un niveau excellent de 29,6% et le ROA de 12,6%, démontrant une utilisation efficace des capitaux propres et des actifs. La structure financière est saine avec une autonomie financière de 42,8% et une capacité de remboursement de seulement 0,64 an. Le BFR négatif de -284,9 milliards FCFA est un signe très favorable, indiquant que l'entreprise finance son exploitation grâce à ses fournisseurs (délai fournisseurs de 201 jours contre 46 jours pour les clients). Les rapports trimestriels 2025 confirment cette dynamique : le T1 2025 montre une croissance du résultat net de +14,9%, et le S1 2025 enregistre un CA de 960,2 milliards FCFA (+9,4%). Le rapport du S1 2026, publié le 24 juillet 2026, révèle une poursuite de la croissance avec un CA de 1 049,8 milliards FCFA (+9,3%) et un résultat net de 230 milliards FCFA (+10,5%), avec une notation relevée à AAA(wu) par GCR Ratings. Sur la base de ces résultats semestriels, on estime que l'exercice 2026 devrait dépasser les 2 100 milliards FCFA de chiffre d'affaires, confirmant la solidité du modèle économique de Sonatel.</w:t>
      </w:r>
    </w:p>
    <w:p>
      <w:pPr>
        <w:spacing w:after="120" w:line="276" w:lineRule="auto"/>
      </w:pPr>
      <w:r>
        <w:t>---</w:t>
      </w:r>
    </w:p>
    <w:p>
      <w:pPr>
        <w:spacing w:after="120" w:line="276" w:lineRule="auto"/>
      </w:pPr>
      <w:r>
        <w:t>### PARTIE 4 : CONCLUSION D'INVESTISSEMENT</w:t>
      </w:r>
    </w:p>
    <w:p>
      <w:pPr>
        <w:spacing w:after="120" w:line="276" w:lineRule="auto"/>
      </w:pPr>
      <w:r>
        <w:t>La valorisation de SNTS (PER 9,0x, EV/EBITDA 3,9x) indique une sous-évaluation relative malgré la forte progression du cours (+28,99% sur 100 jours), soutenue par des fondamentaux excellents (ROE 29,6%, croissance à deux chiffres). Les signaux techniques sont partagés : la tendance de fond reste haussière (MM, MACD) mais les oscillateurs en surachat (RSI 75, Stochastique 100) suggèrent un risque de consolidation à court terme. Les prédictions IA pour les 10 prochains jours (36 178 à 35 796 FCFA) indiquent une légère correction technique, cohérente avec les signaux de surachat, mais sans remettre en cause la tendance haussière de fond. La convergence entre la solidité financière exceptionnelle, la croissance soutenue des activités et une valorisation encore attractive malgré la hausse récente plaide en faveur d'une recommandation **ACHAT** pour les investisseurs de moyen-long terme, avec un niveau de confiance **Élevé** et un risque global **Moyen**. L'horizon d'investissement optimal se situe au-delà de 12 mois pour bénéficier pleinement du potentiel de croissance du groupe dans la transformation digitale de l'Afrique de l'Ouest.</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183.40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5,812 titres</w:t>
            </w:r>
          </w:p>
        </w:tc>
        <w:tc>
          <w:tcPr>
            <w:tcW w:type="dxa" w:w="2268"/>
            <w:shd w:fill="FFF2CC" w:val="clear"/>
          </w:tcPr>
          <w:p>
            <w:r>
              <w:rPr>
                <w:b/>
                <w:color w:val="503200"/>
                <w:sz w:val="16"/>
              </w:rPr>
              <w:t xml:space="preserve">Cours actuel : </w:t>
            </w:r>
            <w:r>
              <w:rPr>
                <w:color w:val="000000"/>
                <w:sz w:val="17"/>
              </w:rPr>
              <w:t>8,490 FCFA</w:t>
            </w:r>
          </w:p>
          <w:p>
            <w:r>
              <w:rPr>
                <w:b/>
                <w:color w:val="503200"/>
                <w:sz w:val="16"/>
              </w:rPr>
              <w:t xml:space="preserve">Var. 100 jours : </w:t>
            </w:r>
            <w:r>
              <w:rPr>
                <w:b/>
                <w:color w:val="007800"/>
                <w:sz w:val="17"/>
              </w:rPr>
              <w:t>+8.85%</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4.84% (Faible) — μ=8,004 FCFA, σ=388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β=0.2277 (Défensif) — Cov=0.000008, Var(idx)=0.000036, ρ=0.059,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8,036</w:t>
            </w:r>
          </w:p>
        </w:tc>
        <w:tc>
          <w:tcPr>
            <w:tcW w:type="dxa" w:w="1440"/>
            <w:shd w:fill="FAFAFA" w:val="clear"/>
          </w:tcPr>
          <w:p>
            <w:r>
              <w:rPr>
                <w:b/>
                <w:sz w:val="17"/>
              </w:rPr>
              <w:t>8,411</w:t>
            </w:r>
          </w:p>
        </w:tc>
        <w:tc>
          <w:tcPr>
            <w:tcW w:type="dxa" w:w="1440"/>
            <w:shd w:fill="FAFAFA" w:val="clear"/>
          </w:tcPr>
          <w:p>
            <w:r>
              <w:rPr>
                <w:sz w:val="17"/>
              </w:rPr>
              <w:t>8,785</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2026-09-04</w:t>
            </w:r>
          </w:p>
        </w:tc>
        <w:tc>
          <w:tcPr>
            <w:tcW w:type="dxa" w:w="1440"/>
            <w:shd w:fill="FAFAFA" w:val="clear"/>
          </w:tcPr>
          <w:p>
            <w:r>
              <w:rPr>
                <w:sz w:val="17"/>
              </w:rPr>
              <w:t>7,893</w:t>
            </w:r>
          </w:p>
        </w:tc>
        <w:tc>
          <w:tcPr>
            <w:tcW w:type="dxa" w:w="1440"/>
            <w:shd w:fill="FAFAFA" w:val="clear"/>
          </w:tcPr>
          <w:p>
            <w:r>
              <w:rPr>
                <w:b/>
                <w:sz w:val="17"/>
              </w:rPr>
              <w:t>8,423</w:t>
            </w:r>
          </w:p>
        </w:tc>
        <w:tc>
          <w:tcPr>
            <w:tcW w:type="dxa" w:w="1440"/>
            <w:shd w:fill="FAFAFA" w:val="clear"/>
          </w:tcPr>
          <w:p>
            <w:r>
              <w:rPr>
                <w:sz w:val="17"/>
              </w:rPr>
              <w:t>8,954</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2026-09-07</w:t>
            </w:r>
          </w:p>
        </w:tc>
        <w:tc>
          <w:tcPr>
            <w:tcW w:type="dxa" w:w="1440"/>
            <w:shd w:fill="FAFAFA" w:val="clear"/>
          </w:tcPr>
          <w:p>
            <w:r>
              <w:rPr>
                <w:sz w:val="17"/>
              </w:rPr>
              <w:t>7,780</w:t>
            </w:r>
          </w:p>
        </w:tc>
        <w:tc>
          <w:tcPr>
            <w:tcW w:type="dxa" w:w="1440"/>
            <w:shd w:fill="FAFAFA" w:val="clear"/>
          </w:tcPr>
          <w:p>
            <w:r>
              <w:rPr>
                <w:b/>
                <w:sz w:val="17"/>
              </w:rPr>
              <w:t>8,430</w:t>
            </w:r>
          </w:p>
        </w:tc>
        <w:tc>
          <w:tcPr>
            <w:tcW w:type="dxa" w:w="1440"/>
            <w:shd w:fill="FAFAFA" w:val="clear"/>
          </w:tcPr>
          <w:p>
            <w:r>
              <w:rPr>
                <w:sz w:val="17"/>
              </w:rPr>
              <w:t>9,080</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2026-09-08</w:t>
            </w:r>
          </w:p>
        </w:tc>
        <w:tc>
          <w:tcPr>
            <w:tcW w:type="dxa" w:w="1440"/>
            <w:shd w:fill="FAFAFA" w:val="clear"/>
          </w:tcPr>
          <w:p>
            <w:r>
              <w:rPr>
                <w:sz w:val="17"/>
              </w:rPr>
              <w:t>7,688</w:t>
            </w:r>
          </w:p>
        </w:tc>
        <w:tc>
          <w:tcPr>
            <w:tcW w:type="dxa" w:w="1440"/>
            <w:shd w:fill="FAFAFA" w:val="clear"/>
          </w:tcPr>
          <w:p>
            <w:r>
              <w:rPr>
                <w:b/>
                <w:sz w:val="17"/>
              </w:rPr>
              <w:t>8,439</w:t>
            </w:r>
          </w:p>
        </w:tc>
        <w:tc>
          <w:tcPr>
            <w:tcW w:type="dxa" w:w="1440"/>
            <w:shd w:fill="FAFAFA" w:val="clear"/>
          </w:tcPr>
          <w:p>
            <w:r>
              <w:rPr>
                <w:sz w:val="17"/>
              </w:rPr>
              <w:t>9,191</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2026-09-09</w:t>
            </w:r>
          </w:p>
        </w:tc>
        <w:tc>
          <w:tcPr>
            <w:tcW w:type="dxa" w:w="1440"/>
            <w:shd w:fill="FAFAFA" w:val="clear"/>
          </w:tcPr>
          <w:p>
            <w:r>
              <w:rPr>
                <w:sz w:val="17"/>
              </w:rPr>
              <w:t>7,608</w:t>
            </w:r>
          </w:p>
        </w:tc>
        <w:tc>
          <w:tcPr>
            <w:tcW w:type="dxa" w:w="1440"/>
            <w:shd w:fill="FAFAFA" w:val="clear"/>
          </w:tcPr>
          <w:p>
            <w:r>
              <w:rPr>
                <w:b/>
                <w:sz w:val="17"/>
              </w:rPr>
              <w:t>8,449</w:t>
            </w:r>
          </w:p>
        </w:tc>
        <w:tc>
          <w:tcPr>
            <w:tcW w:type="dxa" w:w="1440"/>
            <w:shd w:fill="FAFAFA" w:val="clear"/>
          </w:tcPr>
          <w:p>
            <w:r>
              <w:rPr>
                <w:sz w:val="17"/>
              </w:rPr>
              <w:t>9,290</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2026-09-10</w:t>
            </w:r>
          </w:p>
        </w:tc>
        <w:tc>
          <w:tcPr>
            <w:tcW w:type="dxa" w:w="1440"/>
            <w:shd w:fill="FAFAFA" w:val="clear"/>
          </w:tcPr>
          <w:p>
            <w:r>
              <w:rPr>
                <w:sz w:val="17"/>
              </w:rPr>
              <w:t>7,536</w:t>
            </w:r>
          </w:p>
        </w:tc>
        <w:tc>
          <w:tcPr>
            <w:tcW w:type="dxa" w:w="1440"/>
            <w:shd w:fill="FAFAFA" w:val="clear"/>
          </w:tcPr>
          <w:p>
            <w:r>
              <w:rPr>
                <w:b/>
                <w:sz w:val="17"/>
              </w:rPr>
              <w:t>8,459</w:t>
            </w:r>
          </w:p>
        </w:tc>
        <w:tc>
          <w:tcPr>
            <w:tcW w:type="dxa" w:w="1440"/>
            <w:shd w:fill="FAFAFA" w:val="clear"/>
          </w:tcPr>
          <w:p>
            <w:r>
              <w:rPr>
                <w:sz w:val="17"/>
              </w:rPr>
              <w:t>9,381</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2026-09-11</w:t>
            </w:r>
          </w:p>
        </w:tc>
        <w:tc>
          <w:tcPr>
            <w:tcW w:type="dxa" w:w="1440"/>
            <w:shd w:fill="FAFAFA" w:val="clear"/>
          </w:tcPr>
          <w:p>
            <w:r>
              <w:rPr>
                <w:sz w:val="17"/>
              </w:rPr>
              <w:t>7,471</w:t>
            </w:r>
          </w:p>
        </w:tc>
        <w:tc>
          <w:tcPr>
            <w:tcW w:type="dxa" w:w="1440"/>
            <w:shd w:fill="FAFAFA" w:val="clear"/>
          </w:tcPr>
          <w:p>
            <w:r>
              <w:rPr>
                <w:b/>
                <w:sz w:val="17"/>
              </w:rPr>
              <w:t>8,468</w:t>
            </w:r>
          </w:p>
        </w:tc>
        <w:tc>
          <w:tcPr>
            <w:tcW w:type="dxa" w:w="1440"/>
            <w:shd w:fill="FAFAFA" w:val="clear"/>
          </w:tcPr>
          <w:p>
            <w:r>
              <w:rPr>
                <w:sz w:val="17"/>
              </w:rPr>
              <w:t>9,466</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2026-09-14</w:t>
            </w:r>
          </w:p>
        </w:tc>
        <w:tc>
          <w:tcPr>
            <w:tcW w:type="dxa" w:w="1440"/>
            <w:shd w:fill="FAFAFA" w:val="clear"/>
          </w:tcPr>
          <w:p>
            <w:r>
              <w:rPr>
                <w:sz w:val="17"/>
              </w:rPr>
              <w:t>7,410</w:t>
            </w:r>
          </w:p>
        </w:tc>
        <w:tc>
          <w:tcPr>
            <w:tcW w:type="dxa" w:w="1440"/>
            <w:shd w:fill="FAFAFA" w:val="clear"/>
          </w:tcPr>
          <w:p>
            <w:r>
              <w:rPr>
                <w:b/>
                <w:sz w:val="17"/>
              </w:rPr>
              <w:t>8,478</w:t>
            </w:r>
          </w:p>
        </w:tc>
        <w:tc>
          <w:tcPr>
            <w:tcW w:type="dxa" w:w="1440"/>
            <w:shd w:fill="FAFAFA" w:val="clear"/>
          </w:tcPr>
          <w:p>
            <w:r>
              <w:rPr>
                <w:sz w:val="17"/>
              </w:rPr>
              <w:t>9,545</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2026-09-15</w:t>
            </w:r>
          </w:p>
        </w:tc>
        <w:tc>
          <w:tcPr>
            <w:tcW w:type="dxa" w:w="1440"/>
            <w:shd w:fill="FAFAFA" w:val="clear"/>
          </w:tcPr>
          <w:p>
            <w:r>
              <w:rPr>
                <w:sz w:val="17"/>
              </w:rPr>
              <w:t>7,354</w:t>
            </w:r>
          </w:p>
        </w:tc>
        <w:tc>
          <w:tcPr>
            <w:tcW w:type="dxa" w:w="1440"/>
            <w:shd w:fill="FAFAFA" w:val="clear"/>
          </w:tcPr>
          <w:p>
            <w:r>
              <w:rPr>
                <w:b/>
                <w:sz w:val="17"/>
              </w:rPr>
              <w:t>8,487</w:t>
            </w:r>
          </w:p>
        </w:tc>
        <w:tc>
          <w:tcPr>
            <w:tcW w:type="dxa" w:w="1440"/>
            <w:shd w:fill="FAFAFA" w:val="clear"/>
          </w:tcPr>
          <w:p>
            <w:r>
              <w:rPr>
                <w:sz w:val="17"/>
              </w:rPr>
              <w:t>9,621</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2026-09-16</w:t>
            </w:r>
          </w:p>
        </w:tc>
        <w:tc>
          <w:tcPr>
            <w:tcW w:type="dxa" w:w="1440"/>
            <w:shd w:fill="FAFAFA" w:val="clear"/>
          </w:tcPr>
          <w:p>
            <w:r>
              <w:rPr>
                <w:sz w:val="17"/>
              </w:rPr>
              <w:t>7,300</w:t>
            </w:r>
          </w:p>
        </w:tc>
        <w:tc>
          <w:tcPr>
            <w:tcW w:type="dxa" w:w="1440"/>
            <w:shd w:fill="FAFAFA" w:val="clear"/>
          </w:tcPr>
          <w:p>
            <w:r>
              <w:rPr>
                <w:b/>
                <w:sz w:val="17"/>
              </w:rPr>
              <w:t>8,496</w:t>
            </w:r>
          </w:p>
        </w:tc>
        <w:tc>
          <w:tcPr>
            <w:tcW w:type="dxa" w:w="1440"/>
            <w:shd w:fill="FAFAFA" w:val="clear"/>
          </w:tcPr>
          <w:p>
            <w:r>
              <w:rPr>
                <w:sz w:val="17"/>
              </w:rPr>
              <w:t>9,693</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03 septembre 2026 | Cours de référence : 8 490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183,40 milliards FCFA, un niveau qui la positionne parmi les valeurs moyennes à grandes capitalisations de la BRVM, lui conférant une liquidité et une visibilité appréciables. Avec un BPA de 578 FCFA, le titre se négocie à un PER de 14,7x, une valorisation qui se situe au-dessus de la moyenne historique du marché BRVM (8-12x). Les investisseurs acceptent donc de payer une prime, justifiée par la solidité des résultats récents. Le P/B de 2,68x confirme cette prime de croissance, le marché valorisant la société à près de 2,7 fois ses capitaux propres, ce qui témoigne d'une confiance dans la création de valeur future. Enfin, un EV/EBITDA de 7,6x indique que la valeur totale de l'entreprise (dette incluse) reste raisonnable par rapport à sa capacité opérationnelle de génération de cash, un signal positif pour les investisseurs à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SOGC a affiché une progression totale de +8,85%, avec une dynamique récente soutenue (+2,29% sur la dernière séance), portant le cours à 8 490 FCFA. Le titre a évolué dans une fourchette de 7 100 à 8 600 FCFA, démontrant une tendance générale haussière sur la période, malgré quelques phases de consolidation. La moyenne du cours sur la période (8 004 FCFA) est inférieure à la médiane (8 100 FCFA), et le skewness négatif (-0.499) indique une distribution légèrement asymétrique, avec des épisodes de baisse plus marqués que les hausses. L'écart-type de 390 FCFA (CV=4,9%) révèle une dispersion relativement faible autour de la moyenne, et le kurtosis de -0.883 (mésokurtique) suggère l'absence de mouvements extrêmes ou de "pics" de volatilité soudains. La volatilité annualisée de 36,8% classe le titre comme très volatil (&gt;30%), ce qui implique un risque de marché élevé mais aussi un potentiel de gains significatifs pour les investisseurs actifs.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(8 490 FCFA) se situe au-dessus de la MM20 (8 060,75 FCFA) mais en dessous de la MM50 (8 202 FCFA). Cette configuration est ambiguë : le court terme est haussier, mais la tendance à moyen terme n'est pas encore confirmée. La décision de "Vente" signalée par cet indicateur semble liée à la position sous la MM50, suggérant une prudence tant que le cours ne dépasse pas durablement ce niveau.</w:t>
      </w:r>
    </w:p>
    <w:p>
      <w:pPr>
        <w:spacing w:after="120" w:line="276" w:lineRule="auto"/>
      </w:pPr>
      <w:r>
        <w:t>**Bandes de Bollinger**: Le prix évolue près de la borne supérieure (8 573,886 FCFA), indiquant une pression acheteuse soutenue. La largeur des bandes (écart entre 7 547 et 8 573 FCFA) reflète une volatilité élevée. La décision "Neutre" est cohérente, car un test de la borne supérieure peut précéder soit une poursuite de la hausse, soit un retour vers la moyenne.</w:t>
      </w:r>
    </w:p>
    <w:p>
      <w:pPr>
        <w:spacing w:after="120" w:line="276" w:lineRule="auto"/>
      </w:pPr>
      <w:r>
        <w:t>**MACD**: Avec une valeur de 56,564 et un signal à 5,152, la divergence positive est nette et le momentum est clairement haussier. La décision "Achat" est justifiée, ce croisement haussier indiquant une dynamique de fond qui pourrait se poursuivre à court terme.</w:t>
      </w:r>
    </w:p>
    <w:p>
      <w:pPr>
        <w:spacing w:after="120" w:line="276" w:lineRule="auto"/>
      </w:pPr>
      <w:r>
        <w:t>**RSI**: À 65,366, l'indicateur se situe en zone neutre-haute, sans être en surachat (&lt;70). Cela laisse une marge de progression avant une éventuelle correction. La décision "Neutre" est appropriée, le titre disposant encore d'un potentiel haussier sans risque immédiat de retournement.</w:t>
      </w:r>
    </w:p>
    <w:p>
      <w:pPr>
        <w:spacing w:after="120" w:line="276" w:lineRule="auto"/>
      </w:pPr>
      <w:r>
        <w:t>**Stochastique**: Les valeurs de %K (100) et %D (98,632) sont extrêmement élevées, en zone de surachat très prononcé. La décision "Vente" est un signal d'alerte classique, indiquant que le marché est survendu à court terme et qu'une consolidation technique est probable.</w:t>
      </w:r>
    </w:p>
    <w:p>
      <w:pPr>
        <w:spacing w:after="120" w:line="276" w:lineRule="auto"/>
      </w:pPr>
      <w:r>
        <w:t>**Conclusion technique**: Les signaux sont mitigés. Le MACD est clairement haussier, mais le Stochastique en surachat extrême et la position sous la MM50 suggèrent un risque de correction à très court terme. La tendance de fond reste positive, mais une pause technique semble nécessaire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98,979 milliards FCFA, en croissance de +10,7% par rapport à 2024 (93,52 milliards FCFA), et a dégagé un résultat net de 12,493 milliards FCFA, en léger repli de -5% par rapport au résultat exceptionnel de 2024 (13,11 milliards FCFA). Cette performance s'explique par une hausse des ventes de produits fabriqués (+12%) grâce aux prix de l'huile de palme (+20%) et de palmiste (+47%), mais aussi par une augmentation des coûts des matières premières (+15%). La rentabilité reste excellente avec un ROE de 18,26% et un ROA de 13,84%, soutenue par une marge opérationnelle de 17,24%. La structure financière est très saine avec une autonomie financière de 75,79% et une capacité de remboursement quasi nulle (0,04 an). Les rapports trimestriels de 2025 montrent une performance spectaculaire au T1 (+262,9% de résultat net) et au S1 (+151,6%), mais un ralentissement marqué au 9M (+39,5%), confirmant la dégradation du contexte au S2. Sur la base de ces données et des perspectives prudentes de la direction, on estime que l'exercice 2026 pourrait voir un résultat net stable, autour de 11-12 milliards FCFA, si les prix du caoutchouc restent sous pression. Le dividende proposé de 570 FCFA par action pour 2025 confirme la politique généreuse de distribution, avec un taux de distribution de 98,5%.</w:t>
      </w:r>
    </w:p>
    <w:p>
      <w:pPr>
        <w:spacing w:after="120" w:line="276" w:lineRule="auto"/>
      </w:pPr>
      <w:r>
        <w:t>---</w:t>
      </w:r>
    </w:p>
    <w:p>
      <w:pPr>
        <w:spacing w:after="120" w:line="276" w:lineRule="auto"/>
      </w:pPr>
      <w:r>
        <w:t>### PARTIE 4 : CONCLUSION D'INVESTISSEMENT</w:t>
      </w:r>
    </w:p>
    <w:p>
      <w:pPr>
        <w:spacing w:after="120" w:line="276" w:lineRule="auto"/>
      </w:pPr>
      <w:r>
        <w:t>La valorisation de SOGC (PER 14,7x, P/B 2,68x) est exigeante mais cohérente avec une qualité de bilan et une rentabilité supérieures à la moyenne du marché. Le comportement du cours sur 100 jours est haussier, mais la volatilité élevée (36,8%) et les statistiques descriptives (skewness négatif) appellent à la prudence. Les signaux techniques sont divergents : le MACD est positif, mais le Stochastique en surachat et la résistance de la MM50 suggèrent une consolidation à court terme. Les fondamentaux restent solides, avec une génération de cash-flow opérationnel robuste (22,6 milliards FCFA) et un bilan peu endetté, malgré un contexte de prix des matières premières moins favorable. Les prédictions IA (8 411 à 8 449 FCFA sur 10 jours) indiquent une stabilisation du cours, confirmant l'hypothèse d'une pause technique après la récente hausse. En synthèse, la convergence entre la solidité financière, la politique de dividende attractive et la tendance de fond haussière, malgré des signaux techniques de court terme mitigés, nous conduit à une recommandation **CONSERVER**. Le niveau de confiance est **Moyen**, le risque global est **Élevé** (volatilité et dépendance aux prix des commodités), et l'horizon d'investissement optimal est le **moyen terme (3-12 mois)**, en attendant une meilleure visibilité sur les prix du caoutchouc et une éventuelle correction technique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263.25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4,419 titres</w:t>
            </w:r>
          </w:p>
        </w:tc>
        <w:tc>
          <w:tcPr>
            <w:tcW w:type="dxa" w:w="2268"/>
            <w:shd w:fill="FFF2CC" w:val="clear"/>
          </w:tcPr>
          <w:p>
            <w:r>
              <w:rPr>
                <w:b/>
                <w:color w:val="503200"/>
                <w:sz w:val="16"/>
              </w:rPr>
              <w:t xml:space="preserve">Cours actuel : </w:t>
            </w:r>
            <w:r>
              <w:rPr>
                <w:color w:val="000000"/>
                <w:sz w:val="17"/>
              </w:rPr>
              <w:t>10,300 FCFA</w:t>
            </w:r>
          </w:p>
          <w:p>
            <w:r>
              <w:rPr>
                <w:b/>
                <w:color w:val="503200"/>
                <w:sz w:val="16"/>
              </w:rPr>
              <w:t xml:space="preserve">Var. 100 jours : </w:t>
            </w:r>
            <w:r>
              <w:rPr>
                <w:b/>
                <w:color w:val="007800"/>
                <w:sz w:val="17"/>
              </w:rPr>
              <w:t>+46.10%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9.32% (Moyenne) — μ=7,644 FCFA, σ=713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β=1.0995 (Neutre (suit le marché)) — Cov=0.000039, Var(idx)=0.000036, ρ=0.263,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9,295</w:t>
            </w:r>
          </w:p>
        </w:tc>
        <w:tc>
          <w:tcPr>
            <w:tcW w:type="dxa" w:w="1440"/>
            <w:shd w:fill="FFDCE0" w:val="clear"/>
          </w:tcPr>
          <w:p>
            <w:r>
              <w:rPr>
                <w:b/>
                <w:sz w:val="17"/>
              </w:rPr>
              <w:t>9,773</w:t>
            </w:r>
          </w:p>
        </w:tc>
        <w:tc>
          <w:tcPr>
            <w:tcW w:type="dxa" w:w="1440"/>
            <w:shd w:fill="FFDCE0" w:val="clear"/>
          </w:tcPr>
          <w:p>
            <w:r>
              <w:rPr>
                <w:sz w:val="17"/>
              </w:rPr>
              <w:t>10,251</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9,064</w:t>
            </w:r>
          </w:p>
        </w:tc>
        <w:tc>
          <w:tcPr>
            <w:tcW w:type="dxa" w:w="1440"/>
            <w:shd w:fill="FFDCE0" w:val="clear"/>
          </w:tcPr>
          <w:p>
            <w:r>
              <w:rPr>
                <w:b/>
                <w:sz w:val="17"/>
              </w:rPr>
              <w:t>9,737</w:t>
            </w:r>
          </w:p>
        </w:tc>
        <w:tc>
          <w:tcPr>
            <w:tcW w:type="dxa" w:w="1440"/>
            <w:shd w:fill="FFDCE0" w:val="clear"/>
          </w:tcPr>
          <w:p>
            <w:r>
              <w:rPr>
                <w:sz w:val="17"/>
              </w:rPr>
              <w:t>10,410</w:t>
            </w:r>
          </w:p>
        </w:tc>
        <w:tc>
          <w:tcPr>
            <w:tcW w:type="dxa" w:w="1440"/>
            <w:shd w:fill="FFDCE0" w:val="clear"/>
          </w:tcPr>
          <w:p>
            <w:r>
              <w:rPr>
                <w:b/>
                <w:color w:val="C00000"/>
                <w:sz w:val="17"/>
              </w:rPr>
              <w:t>-5.5%</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8,855</w:t>
            </w:r>
          </w:p>
        </w:tc>
        <w:tc>
          <w:tcPr>
            <w:tcW w:type="dxa" w:w="1440"/>
            <w:shd w:fill="FFDCE0" w:val="clear"/>
          </w:tcPr>
          <w:p>
            <w:r>
              <w:rPr>
                <w:b/>
                <w:sz w:val="17"/>
              </w:rPr>
              <w:t>9,674</w:t>
            </w:r>
          </w:p>
        </w:tc>
        <w:tc>
          <w:tcPr>
            <w:tcW w:type="dxa" w:w="1440"/>
            <w:shd w:fill="FFDCE0" w:val="clear"/>
          </w:tcPr>
          <w:p>
            <w:r>
              <w:rPr>
                <w:sz w:val="17"/>
              </w:rPr>
              <w:t>10,493</w:t>
            </w:r>
          </w:p>
        </w:tc>
        <w:tc>
          <w:tcPr>
            <w:tcW w:type="dxa" w:w="1440"/>
            <w:shd w:fill="FFDCE0" w:val="clear"/>
          </w:tcPr>
          <w:p>
            <w:r>
              <w:rPr>
                <w:b/>
                <w:color w:val="C00000"/>
                <w:sz w:val="17"/>
              </w:rPr>
              <w:t>-6.1%</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8,681</w:t>
            </w:r>
          </w:p>
        </w:tc>
        <w:tc>
          <w:tcPr>
            <w:tcW w:type="dxa" w:w="1440"/>
            <w:shd w:fill="FFDCE0" w:val="clear"/>
          </w:tcPr>
          <w:p>
            <w:r>
              <w:rPr>
                <w:b/>
                <w:sz w:val="17"/>
              </w:rPr>
              <w:t>9,621</w:t>
            </w:r>
          </w:p>
        </w:tc>
        <w:tc>
          <w:tcPr>
            <w:tcW w:type="dxa" w:w="1440"/>
            <w:shd w:fill="FFDCE0" w:val="clear"/>
          </w:tcPr>
          <w:p>
            <w:r>
              <w:rPr>
                <w:sz w:val="17"/>
              </w:rPr>
              <w:t>10,562</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8,527</w:t>
            </w:r>
          </w:p>
        </w:tc>
        <w:tc>
          <w:tcPr>
            <w:tcW w:type="dxa" w:w="1440"/>
            <w:shd w:fill="FFDCE0" w:val="clear"/>
          </w:tcPr>
          <w:p>
            <w:r>
              <w:rPr>
                <w:b/>
                <w:sz w:val="17"/>
              </w:rPr>
              <w:t>9,573</w:t>
            </w:r>
          </w:p>
        </w:tc>
        <w:tc>
          <w:tcPr>
            <w:tcW w:type="dxa" w:w="1440"/>
            <w:shd w:fill="FFDCE0" w:val="clear"/>
          </w:tcPr>
          <w:p>
            <w:r>
              <w:rPr>
                <w:sz w:val="17"/>
              </w:rPr>
              <w:t>10,620</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8,386</w:t>
            </w:r>
          </w:p>
        </w:tc>
        <w:tc>
          <w:tcPr>
            <w:tcW w:type="dxa" w:w="1440"/>
            <w:shd w:fill="FFDCE0" w:val="clear"/>
          </w:tcPr>
          <w:p>
            <w:r>
              <w:rPr>
                <w:b/>
                <w:sz w:val="17"/>
              </w:rPr>
              <w:t>9,526</w:t>
            </w:r>
          </w:p>
        </w:tc>
        <w:tc>
          <w:tcPr>
            <w:tcW w:type="dxa" w:w="1440"/>
            <w:shd w:fill="FFDCE0" w:val="clear"/>
          </w:tcPr>
          <w:p>
            <w:r>
              <w:rPr>
                <w:sz w:val="17"/>
              </w:rPr>
              <w:t>10,667</w:t>
            </w:r>
          </w:p>
        </w:tc>
        <w:tc>
          <w:tcPr>
            <w:tcW w:type="dxa" w:w="1440"/>
            <w:shd w:fill="FFDCE0" w:val="clear"/>
          </w:tcPr>
          <w:p>
            <w:r>
              <w:rPr>
                <w:b/>
                <w:color w:val="C00000"/>
                <w:sz w:val="17"/>
              </w:rPr>
              <w:t>-7.5%</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8,254</w:t>
            </w:r>
          </w:p>
        </w:tc>
        <w:tc>
          <w:tcPr>
            <w:tcW w:type="dxa" w:w="1440"/>
            <w:shd w:fill="FFDCE0" w:val="clear"/>
          </w:tcPr>
          <w:p>
            <w:r>
              <w:rPr>
                <w:b/>
                <w:sz w:val="17"/>
              </w:rPr>
              <w:t>9,480</w:t>
            </w:r>
          </w:p>
        </w:tc>
        <w:tc>
          <w:tcPr>
            <w:tcW w:type="dxa" w:w="1440"/>
            <w:shd w:fill="FFDCE0" w:val="clear"/>
          </w:tcPr>
          <w:p>
            <w:r>
              <w:rPr>
                <w:sz w:val="17"/>
              </w:rPr>
              <w:t>10,706</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8,129</w:t>
            </w:r>
          </w:p>
        </w:tc>
        <w:tc>
          <w:tcPr>
            <w:tcW w:type="dxa" w:w="1440"/>
            <w:shd w:fill="FFDCE0" w:val="clear"/>
          </w:tcPr>
          <w:p>
            <w:r>
              <w:rPr>
                <w:b/>
                <w:sz w:val="17"/>
              </w:rPr>
              <w:t>9,434</w:t>
            </w:r>
          </w:p>
        </w:tc>
        <w:tc>
          <w:tcPr>
            <w:tcW w:type="dxa" w:w="1440"/>
            <w:shd w:fill="FFDCE0" w:val="clear"/>
          </w:tcPr>
          <w:p>
            <w:r>
              <w:rPr>
                <w:sz w:val="17"/>
              </w:rPr>
              <w:t>10,738</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8,012</w:t>
            </w:r>
          </w:p>
        </w:tc>
        <w:tc>
          <w:tcPr>
            <w:tcW w:type="dxa" w:w="1440"/>
            <w:shd w:fill="FFDCE0" w:val="clear"/>
          </w:tcPr>
          <w:p>
            <w:r>
              <w:rPr>
                <w:b/>
                <w:sz w:val="17"/>
              </w:rPr>
              <w:t>9,388</w:t>
            </w:r>
          </w:p>
        </w:tc>
        <w:tc>
          <w:tcPr>
            <w:tcW w:type="dxa" w:w="1440"/>
            <w:shd w:fill="FFDCE0" w:val="clear"/>
          </w:tcPr>
          <w:p>
            <w:r>
              <w:rPr>
                <w:sz w:val="17"/>
              </w:rPr>
              <w:t>10,765</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7,900</w:t>
            </w:r>
          </w:p>
        </w:tc>
        <w:tc>
          <w:tcPr>
            <w:tcW w:type="dxa" w:w="1440"/>
            <w:shd w:fill="FFDCE0" w:val="clear"/>
          </w:tcPr>
          <w:p>
            <w:r>
              <w:rPr>
                <w:b/>
                <w:sz w:val="17"/>
              </w:rPr>
              <w:t>9,344</w:t>
            </w:r>
          </w:p>
        </w:tc>
        <w:tc>
          <w:tcPr>
            <w:tcW w:type="dxa" w:w="1440"/>
            <w:shd w:fill="FFDCE0" w:val="clear"/>
          </w:tcPr>
          <w:p>
            <w:r>
              <w:rPr>
                <w:sz w:val="17"/>
              </w:rPr>
              <w:t>10,788</w:t>
            </w:r>
          </w:p>
        </w:tc>
        <w:tc>
          <w:tcPr>
            <w:tcW w:type="dxa" w:w="1440"/>
            <w:shd w:fill="FFDCE0" w:val="clear"/>
          </w:tcPr>
          <w:p>
            <w:r>
              <w:rPr>
                <w:b/>
                <w:color w:val="C00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Absolument. Voici votre rapport d'analyse financière structuré pour l'action SPHC (SAPH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263,25 milliards FCFA, ce qui en fait une valeur de première importance sur la BRVM. Avec un BPA de 977 FCFA, le titre se négocie à un PER de 10,5x, un niveau qui se situe dans la fourchette moyenne du marché (8-12x), indiquant une valorisation raisonnable pour les bénéfices générés. Le P/B de 1,91x suggère que le marché valorise la société à près du double de sa valeur comptable, ce qui est cohérent avec une rentabilité des fonds propres élevée. Enfin, un EV/EBITDA de 6,3x confirme que la valeur totale de l'entreprise (dette incluse) reste attractive par rapport à sa capacité opérationnelle de génération de cash. L'ensemble de ces ratios dépeint une valorisation équilibrée, sans prime excessive ni décote injustifiée.</w:t>
      </w:r>
    </w:p>
    <w:p>
      <w:pPr>
        <w:spacing w:after="120" w:line="276" w:lineRule="auto"/>
      </w:pPr>
      <w:r>
        <w:t>### **PARTIE 1 : ANALYSE DU COURS — STATISTIQUES ET ÉVOLUTION (100 derniers jours)**</w:t>
      </w:r>
    </w:p>
    <w:p>
      <w:pPr>
        <w:spacing w:after="120" w:line="276" w:lineRule="auto"/>
      </w:pPr>
      <w:r>
        <w:t>Sur les 100 derniers jours, l'action SPHC a connu une progression spectaculaire de +46,10%, avec une accélération marquée lors de la dernière séance (+5,64%). Le cours a évolué dans une fourchette très large, allant d'un plus bas de 6 720 FCFA à un plus haut historique de 10 300 FCFA, démontrant une forte dynamique haussière. La moyenne (7 644 FCFA) est supérieure à la médiane (7 500 FCFA), et le skewness positif (1.761) indique que le cours a passé plus de temps sous sa moyenne, avec des poussées haussières récentes et prononcées. L'écart-type de 716 FCFA (CV=9.4%) montre une dispersion modérée, mais le kurtosis élevé (2.865) signale un risque de mouvements extrêmes. La volatilité annualisée de 40,4% est élevée, reflétant un titre dynamique mais risqué, particulièrement sensible aux nouvelles et aux variations des cours mondiaux du caoutchouc.</w:t>
      </w:r>
    </w:p>
    <w:p>
      <w:pPr>
        <w:spacing w:after="120" w:line="276" w:lineRule="auto"/>
      </w:pPr>
      <w:r>
        <w:t>### **PARTIE 2 : ANALYSE TECHNIQUE DÉTAILLÉE**</w:t>
      </w:r>
    </w:p>
    <w:p>
      <w:pPr>
        <w:spacing w:after="120" w:line="276" w:lineRule="auto"/>
      </w:pPr>
      <w:r>
        <w:t>**Moyennes Mobiles:** Le cours actuel (10 300 FCFA) est nettement au-dessus de la MM20 (8 727,75 FCFA) et de la MM50 (8 046,6 FCFA). Cette configuration haussière, où le prix est soutenu par ses moyennes mobiles, confirme une tendance de fond positive et justifie la décision d'**Achat**.</w:t>
      </w:r>
    </w:p>
    <w:p>
      <w:pPr>
        <w:spacing w:after="120" w:line="276" w:lineRule="auto"/>
      </w:pPr>
      <w:r>
        <w:t>**Bandes de Bollinger:** Le prix se situe à la borne supérieure des bandes (10 455,65 FCFA), indiquant une pression acheteuse très forte. Bien que le titre soit en zone de surachat technique, la décision est **Neutre**, car le franchissement de la borne supérieure peut également signaler une poursuite de la tendance dans un marché fort.</w:t>
      </w:r>
    </w:p>
    <w:p>
      <w:pPr>
        <w:spacing w:after="120" w:line="276" w:lineRule="auto"/>
      </w:pPr>
      <w:r>
        <w:t>**MACD:** La valeur du MACD (571,91) est nettement supérieure à sa ligne de signal (451,36), et les deux sont positives. Cette configuration montre un momentum haussier puissant et croissant, confirmant la vigueur de la tendance actuelle. La décision est à l'**Achat**.</w:t>
      </w:r>
    </w:p>
    <w:p>
      <w:pPr>
        <w:spacing w:after="120" w:line="276" w:lineRule="auto"/>
      </w:pPr>
      <w:r>
        <w:t>**RSI:** Le RSI à 77,93 est entré en zone de surachat (au-dessus de 70). Cela indique que le titre a fortement monté et qu'un repli technique ou une consolidation est probable à court terme. La décision est à la **Vente** pour les traders à court terme.</w:t>
      </w:r>
    </w:p>
    <w:p>
      <w:pPr>
        <w:spacing w:after="120" w:line="276" w:lineRule="auto"/>
      </w:pPr>
      <w:r>
        <w:t>**Stochastique:** Le %K (100,0) et le %D (97,02) sont tous deux à des niveaux extrêmement élevés, en zone de surachat. Le croisement de ces deux lignes à la baisse pourrait signaler un retournement imminent. La décision est à la **Vente**.</w:t>
      </w:r>
    </w:p>
    <w:p>
      <w:pPr>
        <w:spacing w:after="120" w:line="276" w:lineRule="auto"/>
      </w:pPr>
      <w:r>
        <w:t>**Conclusion technique :** Les indicateurs de tendance (MM, MACD) sont résolument haussiers, mais les oscillateurs de momentum (RSI, Stochastique) crient à la surachat. Cette divergence signale une dynamique positive très forte, mais avec un risque élevé de correction technique à très court terme. Un investisseur pourrait attendre un repli vers les 9 500-9 800 FCFA pour renforcer sa position.</w:t>
      </w:r>
    </w:p>
    <w:p>
      <w:pPr>
        <w:spacing w:after="120" w:line="276" w:lineRule="auto"/>
      </w:pPr>
      <w:r>
        <w:t>### **PARTIE 3 : ANALYSE FONDAMENTALE (SECTION CRITIQUE)**</w:t>
      </w:r>
    </w:p>
    <w:p>
      <w:pPr>
        <w:spacing w:after="120" w:line="276" w:lineRule="auto"/>
      </w:pPr>
      <w:r>
        <w:t>Les données structurées pour l'exercice 2025 confirment la performance exceptionnelle de SPHC. Le chiffre d'affaires a atteint 340,83 milliards FCFA, en croissance de 22% par rapport à 2024, et le résultat net s'établit à 24,97 milliards FCFA. Cette performance se traduit par un ROE excellent de 18,1% et un ROA de 11,1%. En tant qu'entreprise agro-industrielle, l'analyse se concentre sur la gestion du BFR, qui est positif à 65,39 milliards FCFA, avec un délai de stockage de 72 jours et un délai client de 35 jours, ce qui nécessite un besoin de financement important. L'endettement est maîtrisé avec un ratio d'endettement de 25,8%. Les rapports trimestriels de 2025 montrent une trajectoire ascendante, avec un T1 en hausse de +72% et un S1 en hausse de +51%, confirmant la vigueur de l'exercice annuel. Cependant, le rapport du T1 2026 (daté de 2026) révèle un net ralentissement avec un CA de 71,8 milliards FCFA (-24%) et un résultat net de 2,6 milliards FCFA (-78%), pénalisé par la chute des cours mondiaux du caoutchouc et une concurrence accrue. Sur la base de ce rapport T1 2026, on estime que l'exercice 2026 pourrait être nettement moins performant que 2025, avec une marge nette potentiellement réduite à 4-5%. Malgré ce ralentissement, la société maintient une structure financière solide et une politique de dividende généreuse (489 FCFA/action proposé pour 2025).</w:t>
      </w:r>
    </w:p>
    <w:p>
      <w:pPr>
        <w:spacing w:after="120" w:line="276" w:lineRule="auto"/>
      </w:pPr>
      <w:r>
        <w:t>### **PARTIE 4 : CONCLUSION D'INVESTISSEMENT**</w:t>
      </w:r>
    </w:p>
    <w:p>
      <w:pPr>
        <w:spacing w:after="120" w:line="276" w:lineRule="auto"/>
      </w:pPr>
      <w:r>
        <w:t>SPHC présente un profil contrasté. La valorisation (Partie 0) est raisonnable, mais le comportement du cours (Partie 1) montre une hausse rapide de 46% en 100 jours, avec une volatilité élevée et des signaux de surachat technique (Partie 2) qui suggèrent un risque de correction à court terme. Les fondamentaux (Partie 3) sont solides pour 2025, mais les estimations basées sur le rapport T1 2026 indiquent un fort ralentissement de l'activité et de la rentabilité. Les prédictions IA (J+1 à J+10) confirment cette analyse en projetant un repli progressif du cours vers 9 573 FCFA, soit une baisse d'environ 7% par rapport au niveau actuel. La convergence entre les signaux techniques de surachat, le ralentissement fondamental prévu et les prédictions IA suggère une prudence accrue. Par conséquent, la recommandation finale est de **CONSERVER** le titre, avec un niveau de confiance **Moyen**. Le risque global est **Élevé** en raison de la volatilité du cours et de l'incertitude sur les prix du caoutchouc. L'horizon d'investissement optimal serait de **moyen terme (3-12 mois)**, attendant une meilleure visibilité sur la reprise des cours et une possible correction du cours pour un point d'entrée plus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6,061 titres</w:t>
            </w:r>
          </w:p>
        </w:tc>
        <w:tc>
          <w:tcPr>
            <w:tcW w:type="dxa" w:w="2268"/>
            <w:shd w:fill="FFF2CC" w:val="clear"/>
          </w:tcPr>
          <w:p>
            <w:r>
              <w:rPr>
                <w:b/>
                <w:color w:val="503200"/>
                <w:sz w:val="16"/>
              </w:rPr>
              <w:t xml:space="preserve">Cours actuel : </w:t>
            </w:r>
            <w:r>
              <w:rPr>
                <w:color w:val="000000"/>
                <w:sz w:val="17"/>
              </w:rPr>
              <w:t>2,815 FCFA</w:t>
            </w:r>
          </w:p>
          <w:p>
            <w:r>
              <w:rPr>
                <w:b/>
                <w:color w:val="503200"/>
                <w:sz w:val="16"/>
              </w:rPr>
              <w:t xml:space="preserve">Var. 100 jours : </w:t>
            </w:r>
            <w:r>
              <w:rPr>
                <w:b/>
                <w:color w:val="B40000"/>
                <w:sz w:val="17"/>
              </w:rPr>
              <w:t>-27.73%</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11.12% (Moyenne) — μ=3,014 FCFA, σ=335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β=-0.3281 (Contre-cyclique) — Cov=-0.000012, Var(idx)=0.000036, ρ=-0.051,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σ_j=3.84%/j (Modérée) — Vol. annualisée≈61.0%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2026-09-03</w:t>
            </w:r>
          </w:p>
        </w:tc>
        <w:tc>
          <w:tcPr>
            <w:tcW w:type="dxa" w:w="1440"/>
            <w:shd w:fill="FFDCE0" w:val="clear"/>
          </w:tcPr>
          <w:p>
            <w:r>
              <w:rPr>
                <w:sz w:val="17"/>
              </w:rPr>
              <w:t>2,534</w:t>
            </w:r>
          </w:p>
        </w:tc>
        <w:tc>
          <w:tcPr>
            <w:tcW w:type="dxa" w:w="1440"/>
            <w:shd w:fill="FFDCE0" w:val="clear"/>
          </w:tcPr>
          <w:p>
            <w:r>
              <w:rPr>
                <w:b/>
                <w:sz w:val="17"/>
              </w:rPr>
              <w:t>2,661</w:t>
            </w:r>
          </w:p>
        </w:tc>
        <w:tc>
          <w:tcPr>
            <w:tcW w:type="dxa" w:w="1440"/>
            <w:shd w:fill="FFDCE0" w:val="clear"/>
          </w:tcPr>
          <w:p>
            <w:r>
              <w:rPr>
                <w:sz w:val="17"/>
              </w:rPr>
              <w:t>2,788</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2,315</w:t>
            </w:r>
          </w:p>
        </w:tc>
        <w:tc>
          <w:tcPr>
            <w:tcW w:type="dxa" w:w="1440"/>
            <w:shd w:fill="FFDCE0" w:val="clear"/>
          </w:tcPr>
          <w:p>
            <w:r>
              <w:rPr>
                <w:b/>
                <w:sz w:val="17"/>
              </w:rPr>
              <w:t>2,482</w:t>
            </w:r>
          </w:p>
        </w:tc>
        <w:tc>
          <w:tcPr>
            <w:tcW w:type="dxa" w:w="1440"/>
            <w:shd w:fill="FFDCE0" w:val="clear"/>
          </w:tcPr>
          <w:p>
            <w:r>
              <w:rPr>
                <w:sz w:val="17"/>
              </w:rPr>
              <w:t>2,650</w:t>
            </w:r>
          </w:p>
        </w:tc>
        <w:tc>
          <w:tcPr>
            <w:tcW w:type="dxa" w:w="1440"/>
            <w:shd w:fill="FFDCE0" w:val="clear"/>
          </w:tcPr>
          <w:p>
            <w:r>
              <w:rPr>
                <w:b/>
                <w:color w:val="C00000"/>
                <w:sz w:val="17"/>
              </w:rPr>
              <w:t>-11.8%</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2,106</w:t>
            </w:r>
          </w:p>
        </w:tc>
        <w:tc>
          <w:tcPr>
            <w:tcW w:type="dxa" w:w="1440"/>
            <w:shd w:fill="FFDCE0" w:val="clear"/>
          </w:tcPr>
          <w:p>
            <w:r>
              <w:rPr>
                <w:b/>
                <w:sz w:val="17"/>
              </w:rPr>
              <w:t>2,296</w:t>
            </w:r>
          </w:p>
        </w:tc>
        <w:tc>
          <w:tcPr>
            <w:tcW w:type="dxa" w:w="1440"/>
            <w:shd w:fill="FFDCE0" w:val="clear"/>
          </w:tcPr>
          <w:p>
            <w:r>
              <w:rPr>
                <w:sz w:val="17"/>
              </w:rPr>
              <w:t>2,486</w:t>
            </w:r>
          </w:p>
        </w:tc>
        <w:tc>
          <w:tcPr>
            <w:tcW w:type="dxa" w:w="1440"/>
            <w:shd w:fill="FFDCE0" w:val="clear"/>
          </w:tcPr>
          <w:p>
            <w:r>
              <w:rPr>
                <w:b/>
                <w:color w:val="C00000"/>
                <w:sz w:val="17"/>
              </w:rPr>
              <w:t>-18.4%</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1,921</w:t>
            </w:r>
          </w:p>
        </w:tc>
        <w:tc>
          <w:tcPr>
            <w:tcW w:type="dxa" w:w="1440"/>
            <w:shd w:fill="FFDCE0" w:val="clear"/>
          </w:tcPr>
          <w:p>
            <w:r>
              <w:rPr>
                <w:b/>
                <w:sz w:val="17"/>
              </w:rPr>
              <w:t>2,124</w:t>
            </w:r>
          </w:p>
        </w:tc>
        <w:tc>
          <w:tcPr>
            <w:tcW w:type="dxa" w:w="1440"/>
            <w:shd w:fill="FFDCE0" w:val="clear"/>
          </w:tcPr>
          <w:p>
            <w:r>
              <w:rPr>
                <w:sz w:val="17"/>
              </w:rPr>
              <w:t>2,327</w:t>
            </w:r>
          </w:p>
        </w:tc>
        <w:tc>
          <w:tcPr>
            <w:tcW w:type="dxa" w:w="1440"/>
            <w:shd w:fill="FFDCE0" w:val="clear"/>
          </w:tcPr>
          <w:p>
            <w:r>
              <w:rPr>
                <w:b/>
                <w:color w:val="C00000"/>
                <w:sz w:val="17"/>
              </w:rPr>
              <w:t>-24.5%</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1,768</w:t>
            </w:r>
          </w:p>
        </w:tc>
        <w:tc>
          <w:tcPr>
            <w:tcW w:type="dxa" w:w="1440"/>
            <w:shd w:fill="FFDCE0" w:val="clear"/>
          </w:tcPr>
          <w:p>
            <w:r>
              <w:rPr>
                <w:b/>
                <w:sz w:val="17"/>
              </w:rPr>
              <w:t>1,980</w:t>
            </w:r>
          </w:p>
        </w:tc>
        <w:tc>
          <w:tcPr>
            <w:tcW w:type="dxa" w:w="1440"/>
            <w:shd w:fill="FFDCE0" w:val="clear"/>
          </w:tcPr>
          <w:p>
            <w:r>
              <w:rPr>
                <w:sz w:val="17"/>
              </w:rPr>
              <w:t>2,191</w:t>
            </w:r>
          </w:p>
        </w:tc>
        <w:tc>
          <w:tcPr>
            <w:tcW w:type="dxa" w:w="1440"/>
            <w:shd w:fill="FFDCE0" w:val="clear"/>
          </w:tcPr>
          <w:p>
            <w:r>
              <w:rPr>
                <w:b/>
                <w:color w:val="C00000"/>
                <w:sz w:val="17"/>
              </w:rPr>
              <w:t>-29.7%</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1,650</w:t>
            </w:r>
          </w:p>
        </w:tc>
        <w:tc>
          <w:tcPr>
            <w:tcW w:type="dxa" w:w="1440"/>
            <w:shd w:fill="FFDCE0" w:val="clear"/>
          </w:tcPr>
          <w:p>
            <w:r>
              <w:rPr>
                <w:b/>
                <w:sz w:val="17"/>
              </w:rPr>
              <w:t>1,869</w:t>
            </w:r>
          </w:p>
        </w:tc>
        <w:tc>
          <w:tcPr>
            <w:tcW w:type="dxa" w:w="1440"/>
            <w:shd w:fill="FFDCE0" w:val="clear"/>
          </w:tcPr>
          <w:p>
            <w:r>
              <w:rPr>
                <w:sz w:val="17"/>
              </w:rPr>
              <w:t>2,088</w:t>
            </w:r>
          </w:p>
        </w:tc>
        <w:tc>
          <w:tcPr>
            <w:tcW w:type="dxa" w:w="1440"/>
            <w:shd w:fill="FFDCE0" w:val="clear"/>
          </w:tcPr>
          <w:p>
            <w:r>
              <w:rPr>
                <w:b/>
                <w:color w:val="C00000"/>
                <w:sz w:val="17"/>
              </w:rPr>
              <w:t>-33.6%</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1,557</w:t>
            </w:r>
          </w:p>
        </w:tc>
        <w:tc>
          <w:tcPr>
            <w:tcW w:type="dxa" w:w="1440"/>
            <w:shd w:fill="FFDCE0" w:val="clear"/>
          </w:tcPr>
          <w:p>
            <w:r>
              <w:rPr>
                <w:b/>
                <w:sz w:val="17"/>
              </w:rPr>
              <w:t>1,782</w:t>
            </w:r>
          </w:p>
        </w:tc>
        <w:tc>
          <w:tcPr>
            <w:tcW w:type="dxa" w:w="1440"/>
            <w:shd w:fill="FFDCE0" w:val="clear"/>
          </w:tcPr>
          <w:p>
            <w:r>
              <w:rPr>
                <w:sz w:val="17"/>
              </w:rPr>
              <w:t>2,007</w:t>
            </w:r>
          </w:p>
        </w:tc>
        <w:tc>
          <w:tcPr>
            <w:tcW w:type="dxa" w:w="1440"/>
            <w:shd w:fill="FFDCE0" w:val="clear"/>
          </w:tcPr>
          <w:p>
            <w:r>
              <w:rPr>
                <w:b/>
                <w:color w:val="C00000"/>
                <w:sz w:val="17"/>
              </w:rPr>
              <w:t>-36.7%</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1,482</w:t>
            </w:r>
          </w:p>
        </w:tc>
        <w:tc>
          <w:tcPr>
            <w:tcW w:type="dxa" w:w="1440"/>
            <w:shd w:fill="FFDCE0" w:val="clear"/>
          </w:tcPr>
          <w:p>
            <w:r>
              <w:rPr>
                <w:b/>
                <w:sz w:val="17"/>
              </w:rPr>
              <w:t>1,714</w:t>
            </w:r>
          </w:p>
        </w:tc>
        <w:tc>
          <w:tcPr>
            <w:tcW w:type="dxa" w:w="1440"/>
            <w:shd w:fill="FFDCE0" w:val="clear"/>
          </w:tcPr>
          <w:p>
            <w:r>
              <w:rPr>
                <w:sz w:val="17"/>
              </w:rPr>
              <w:t>1,945</w:t>
            </w:r>
          </w:p>
        </w:tc>
        <w:tc>
          <w:tcPr>
            <w:tcW w:type="dxa" w:w="1440"/>
            <w:shd w:fill="FFDCE0" w:val="clear"/>
          </w:tcPr>
          <w:p>
            <w:r>
              <w:rPr>
                <w:b/>
                <w:color w:val="C00000"/>
                <w:sz w:val="17"/>
              </w:rPr>
              <w:t>-39.1%</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1,420</w:t>
            </w:r>
          </w:p>
        </w:tc>
        <w:tc>
          <w:tcPr>
            <w:tcW w:type="dxa" w:w="1440"/>
            <w:shd w:fill="FFDCE0" w:val="clear"/>
          </w:tcPr>
          <w:p>
            <w:r>
              <w:rPr>
                <w:b/>
                <w:sz w:val="17"/>
              </w:rPr>
              <w:t>1,658</w:t>
            </w:r>
          </w:p>
        </w:tc>
        <w:tc>
          <w:tcPr>
            <w:tcW w:type="dxa" w:w="1440"/>
            <w:shd w:fill="FFDCE0" w:val="clear"/>
          </w:tcPr>
          <w:p>
            <w:r>
              <w:rPr>
                <w:sz w:val="17"/>
              </w:rPr>
              <w:t>1,896</w:t>
            </w:r>
          </w:p>
        </w:tc>
        <w:tc>
          <w:tcPr>
            <w:tcW w:type="dxa" w:w="1440"/>
            <w:shd w:fill="FFDCE0" w:val="clear"/>
          </w:tcPr>
          <w:p>
            <w:r>
              <w:rPr>
                <w:b/>
                <w:color w:val="C00000"/>
                <w:sz w:val="17"/>
              </w:rPr>
              <w:t>-41.1%</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1,368</w:t>
            </w:r>
          </w:p>
        </w:tc>
        <w:tc>
          <w:tcPr>
            <w:tcW w:type="dxa" w:w="1440"/>
            <w:shd w:fill="FFDCE0" w:val="clear"/>
          </w:tcPr>
          <w:p>
            <w:r>
              <w:rPr>
                <w:b/>
                <w:sz w:val="17"/>
              </w:rPr>
              <w:t>1,612</w:t>
            </w:r>
          </w:p>
        </w:tc>
        <w:tc>
          <w:tcPr>
            <w:tcW w:type="dxa" w:w="1440"/>
            <w:shd w:fill="FFDCE0" w:val="clear"/>
          </w:tcPr>
          <w:p>
            <w:r>
              <w:rPr>
                <w:sz w:val="17"/>
              </w:rPr>
              <w:t>1,855</w:t>
            </w:r>
          </w:p>
        </w:tc>
        <w:tc>
          <w:tcPr>
            <w:tcW w:type="dxa" w:w="1440"/>
            <w:shd w:fill="FFDCE0" w:val="clear"/>
          </w:tcPr>
          <w:p>
            <w:r>
              <w:rPr>
                <w:b/>
                <w:color w:val="C00000"/>
                <w:sz w:val="17"/>
              </w:rPr>
              <w:t>-42.8%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 2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37,83 milliards FCFA, un niveau modeste dans l'écosystème de la BRVM, qui confère au titre un statut de valeur de seconde ligne. Le BPA est négatif à -7 FCFA, reflétant l'incapacité de la société à générer des bénéfices par action, ce qui explique un PER négatif de -391,8x, une situation qui rend ce ratio inexploitable pour juger de la cherté du titre. Le P/B de 106,05x est extrêmement élevé, indiquant que le marché valorise l'actif net comptable à une prime considérable, ce qui est atypique pour une entreprise en pertes. En l'absence d'EBITDA positif, le ratio EV/EBITDA ne peut être calculé, soulignant la destruction de valeur opérationnelle. Ces ratios traduisent une valorisation purement spéculative, déconnectée des fondamentaux comptables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subi une dépréciation massive de -27,73%, avec une légère baisse de -0,53% lors de la dernière séance, confirmant une pression vendeuse persistante. Le cours a évolué dans une fourchette large de 2 515 à 3 895 FCFA, illustrant une forte amplitude de trading. La moyenne du cours (3 014 FCFA) est supérieure à la médiane (2 970 FCFA), suggérant une distribution légèrement asymétrique à gauche, mais le skewness positif de 0,487 indique une queue de distribution vers les hauts cours. L'écart-type de 337 FCFA (CV de 11,2%) montre une dispersion modérée autour de la moyenne, tandis que le kurtosis de -0,795 (mésokurtique) indique l'absence de pics extrêmes. La volatilité annualisée de 61,0% est extrêmement élevée, classant STAC comme un actif très risqué, bien au-delà du seuil de 30% considéré comme élevé sur les marchés développés.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(2 815 FCFA) se situe en dessous de la MM20 (2 642,5 FCFA) mais au-dessus de la MM50 (2 967,6 FCFA), créant une configuration baissière à court terme. La décision de "Vente" est justifiée par la tendance générale négative, le prix évoluant sous sa moyenne à long terme, signalant une dynamique défavorable.</w:t>
      </w:r>
    </w:p>
    <w:p>
      <w:pPr>
        <w:spacing w:after="120" w:line="276" w:lineRule="auto"/>
      </w:pPr>
      <w:r>
        <w:t>**Bandes de Bollinger** : Le prix se trouve proche de la borne supérieure (2 828,2 FCFA) après un rebond depuis la borne inférieure (2 456,8 FCFA), indiquant une volatilité récente. La décision "Neutre" s'explique par le fait que le cours n'a pas encore franchi de manière décisive les bornes, laissant planer une incertitude sur la direction future.</w:t>
      </w:r>
    </w:p>
    <w:p>
      <w:pPr>
        <w:spacing w:after="120" w:line="276" w:lineRule="auto"/>
      </w:pPr>
      <w:r>
        <w:t>**MACD** : Le MACD (-52,7) est négatif mais supérieur à son signal (-101,1), formant une divergence positive. Cette configuration suggère un ralentissement de la dynamique baissière, avec un potentiel de retournement haussier. La décision "Achat" reflète ce début de momentum positif, bien que fragile.</w:t>
      </w:r>
    </w:p>
    <w:p>
      <w:pPr>
        <w:spacing w:after="120" w:line="276" w:lineRule="auto"/>
      </w:pPr>
      <w:r>
        <w:t>**RSI** : Le RSI à 64,22 se situe en zone neutre, proche du seuil de surachat (70). Cela indique une pression acheteuse modérée sans excès, laissant une marge de manœuvre avant une éventuelle correction. La décision "Neutre" est cohérente avec cette lecture.</w:t>
      </w:r>
    </w:p>
    <w:p>
      <w:pPr>
        <w:spacing w:after="120" w:line="276" w:lineRule="auto"/>
      </w:pPr>
      <w:r>
        <w:t>**Stochastique** : Le %K (95,0) et le %D (98,3) sont tous deux en zone de surachat extrême (&gt;80), signalant une possible exhaustion acheteuse à court terme. La décision "Vente" est justifiée par ce niveau extrême, qui précède souvent un repli technique.</w:t>
      </w:r>
    </w:p>
    <w:p>
      <w:pPr>
        <w:spacing w:after="120" w:line="276" w:lineRule="auto"/>
      </w:pPr>
      <w:r>
        <w:t>**Conclusion technique** : Les indicateurs sont mitigés, avec un MACD positif contrastant avec des stochastiques surachetés et des moyennes mobiles baissières. Cette divergence suggère une phase de consolidation incertaine, où le titre pourrait osciller avant de trouver une direction claire. La prudence est de mise, car les signaux contradictoires ne permettent pas d'anticiper un mouvement net.</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critique pour STAC. Le chiffre d'affaires s'établit à 3,878 milliards FCFA, mais le résultat net est une perte de -96,56 millions FCFA, avec un ROE de -27,07% et un ROA de -1,77%, indiquant une destruction de valeur. La marge opérationnelle est profondément négative à -19,90%, et l'EBE est déficitaire de -650 millions FCFA, montrant une incapacité à couvrir les charges fixes. Le BFR est négatif à -930 millions FCFA, ce qui est un point positif pour une entreprise, car cela signifie que les dettes fournisseurs financent l'exploitation, mais la dépendance financière est élevée (129,87%). Les rapports trimestriels 2025 montrent une reprise du CA : le S1 2025 atteint 2 271 millions FCFA (+290% vs S1 2024), et le cumul 9 mois 2025 est de 3 456 millions FCFA (+176%), porté par le chantier de l'aéroport d'Abidjan. Cependant, les pertes persistent (-557 millions au S1, -477 millions sur 9 mois), bien qu'en amélioration. La prévision annuelle de 4 milliards FCFA pour 2025 semble atteignable, mais la rentabilité reste hors de portée à court terme, avec une trésorerie nette positive de 1,33 milliard FCFA comme seul rempart. Les rapports historiques (2020-2021) montrent une société autrefois florissante (CA de 15,9 milliards en 2020, résultat net de 2,3 milliards), mais la chute depuis 2022 est vertigineuse, avec une perte de -348 millions en 2024 et une activité en contraction de -80,6%.</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surévaluée au regard de ses fondamentaux, avec un P/B de 106x et des pertes récurrentes, indiquant une prime spéculative injustifiée. Le comportement du cours est préoccupant, avec une chute de -27,73% sur 100 jours et une volatilité annualisée de 61%, reflétant un risque élevé. Les signaux techniques sont divergents, mais la tendance baissière des moyennes mobiles et les stochastiques surachetés suggèrent un potentiel de repli. Les fondamentaux montrent une amélioration de l'activité en 2025 (CA en hausse de 176% sur 9 mois), mais la rentabilité reste négative, et la société dépend d'un seul projet majeur. Les prédictions IA pour les 10 prochains jours (de 2 661 à 1 980 FCFA) confirment une poursuite de la baisse, avec une chute potentielle de 30%. En synthèse, la convergence entre la surévaluation, la faiblesse technique et les prédictions baissières conduit à une recommandation de **VENTE FORTE**, avec un niveau de confiance **Élevé** et un risque global **Élevé**. L'horizon d'investissement optimal est le **court terme (&lt;3 mois)** pour les investisseurs cherchant à réduire leur exposition, car les perspectives de redressement à long terme restent incertaines.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395.01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3,712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+3.09%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6.11% (Moyenne) — μ=22,314 FCFA, σ=1,364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β=0.4406 (Défensif) — Cov=0.000016, Var(idx)=0.000036, ρ=0.115,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2026-09-03</w:t>
            </w:r>
          </w:p>
        </w:tc>
        <w:tc>
          <w:tcPr>
            <w:tcW w:type="dxa" w:w="1440"/>
            <w:shd w:fill="C6EFCE" w:val="clear"/>
          </w:tcPr>
          <w:p>
            <w:r>
              <w:rPr>
                <w:sz w:val="17"/>
              </w:rPr>
              <w:t>21,493</w:t>
            </w:r>
          </w:p>
        </w:tc>
        <w:tc>
          <w:tcPr>
            <w:tcW w:type="dxa" w:w="1440"/>
            <w:shd w:fill="C6EFCE" w:val="clear"/>
          </w:tcPr>
          <w:p>
            <w:r>
              <w:rPr>
                <w:b/>
                <w:sz w:val="17"/>
              </w:rPr>
              <w:t>22,570</w:t>
            </w:r>
          </w:p>
        </w:tc>
        <w:tc>
          <w:tcPr>
            <w:tcW w:type="dxa" w:w="1440"/>
            <w:shd w:fill="C6EFCE" w:val="clear"/>
          </w:tcPr>
          <w:p>
            <w:r>
              <w:rPr>
                <w:sz w:val="17"/>
              </w:rPr>
              <w:t>23,647</w:t>
            </w:r>
          </w:p>
        </w:tc>
        <w:tc>
          <w:tcPr>
            <w:tcW w:type="dxa" w:w="1440"/>
            <w:shd w:fill="C6EFCE" w:val="clear"/>
          </w:tcPr>
          <w:p>
            <w:r>
              <w:rPr>
                <w:b/>
                <w:color w:val="008000"/>
                <w:sz w:val="17"/>
              </w:rPr>
              <w:t>+2.6%</w:t>
            </w:r>
          </w:p>
        </w:tc>
      </w:tr>
      <w:tr>
        <w:tc>
          <w:tcPr>
            <w:tcW w:type="dxa" w:w="1440"/>
            <w:shd w:fill="C6EFCE" w:val="clear"/>
          </w:tcPr>
          <w:p>
            <w:r>
              <w:rPr>
                <w:sz w:val="17"/>
              </w:rPr>
              <w:t>J+2  ⭐</w:t>
            </w:r>
          </w:p>
        </w:tc>
        <w:tc>
          <w:tcPr>
            <w:tcW w:type="dxa" w:w="1440"/>
            <w:shd w:fill="C6EFCE" w:val="clear"/>
          </w:tcPr>
          <w:p>
            <w:r>
              <w:rPr>
                <w:sz w:val="17"/>
              </w:rPr>
              <w:t>2026-09-04</w:t>
            </w:r>
          </w:p>
        </w:tc>
        <w:tc>
          <w:tcPr>
            <w:tcW w:type="dxa" w:w="1440"/>
            <w:shd w:fill="C6EFCE" w:val="clear"/>
          </w:tcPr>
          <w:p>
            <w:r>
              <w:rPr>
                <w:sz w:val="17"/>
              </w:rPr>
              <w:t>21,208</w:t>
            </w:r>
          </w:p>
        </w:tc>
        <w:tc>
          <w:tcPr>
            <w:tcW w:type="dxa" w:w="1440"/>
            <w:shd w:fill="C6EFCE" w:val="clear"/>
          </w:tcPr>
          <w:p>
            <w:r>
              <w:rPr>
                <w:b/>
                <w:sz w:val="17"/>
              </w:rPr>
              <w:t>22,744</w:t>
            </w:r>
          </w:p>
        </w:tc>
        <w:tc>
          <w:tcPr>
            <w:tcW w:type="dxa" w:w="1440"/>
            <w:shd w:fill="C6EFCE" w:val="clear"/>
          </w:tcPr>
          <w:p>
            <w:r>
              <w:rPr>
                <w:sz w:val="17"/>
              </w:rPr>
              <w:t>24,279</w:t>
            </w:r>
          </w:p>
        </w:tc>
        <w:tc>
          <w:tcPr>
            <w:tcW w:type="dxa" w:w="1440"/>
            <w:shd w:fill="C6EFCE" w:val="clear"/>
          </w:tcPr>
          <w:p>
            <w:r>
              <w:rPr>
                <w:b/>
                <w:color w:val="008000"/>
                <w:sz w:val="17"/>
              </w:rPr>
              <w:t>+3.4%</w:t>
            </w:r>
          </w:p>
        </w:tc>
      </w:tr>
      <w:tr>
        <w:tc>
          <w:tcPr>
            <w:tcW w:type="dxa" w:w="1440"/>
            <w:shd w:fill="C6EFCE" w:val="clear"/>
          </w:tcPr>
          <w:p>
            <w:r>
              <w:rPr>
                <w:sz w:val="17"/>
              </w:rPr>
              <w:t>J+3  ⭐</w:t>
            </w:r>
          </w:p>
        </w:tc>
        <w:tc>
          <w:tcPr>
            <w:tcW w:type="dxa" w:w="1440"/>
            <w:shd w:fill="C6EFCE" w:val="clear"/>
          </w:tcPr>
          <w:p>
            <w:r>
              <w:rPr>
                <w:sz w:val="17"/>
              </w:rPr>
              <w:t>2026-09-07</w:t>
            </w:r>
          </w:p>
        </w:tc>
        <w:tc>
          <w:tcPr>
            <w:tcW w:type="dxa" w:w="1440"/>
            <w:shd w:fill="C6EFCE" w:val="clear"/>
          </w:tcPr>
          <w:p>
            <w:r>
              <w:rPr>
                <w:sz w:val="17"/>
              </w:rPr>
              <w:t>21,044</w:t>
            </w:r>
          </w:p>
        </w:tc>
        <w:tc>
          <w:tcPr>
            <w:tcW w:type="dxa" w:w="1440"/>
            <w:shd w:fill="C6EFCE" w:val="clear"/>
          </w:tcPr>
          <w:p>
            <w:r>
              <w:rPr>
                <w:b/>
                <w:sz w:val="17"/>
              </w:rPr>
              <w:t>22,941</w:t>
            </w:r>
          </w:p>
        </w:tc>
        <w:tc>
          <w:tcPr>
            <w:tcW w:type="dxa" w:w="1440"/>
            <w:shd w:fill="C6EFCE" w:val="clear"/>
          </w:tcPr>
          <w:p>
            <w:r>
              <w:rPr>
                <w:sz w:val="17"/>
              </w:rPr>
              <w:t>24,837</w:t>
            </w:r>
          </w:p>
        </w:tc>
        <w:tc>
          <w:tcPr>
            <w:tcW w:type="dxa" w:w="1440"/>
            <w:shd w:fill="C6EFCE" w:val="clear"/>
          </w:tcPr>
          <w:p>
            <w:r>
              <w:rPr>
                <w:b/>
                <w:color w:val="008000"/>
                <w:sz w:val="17"/>
              </w:rPr>
              <w:t>+4.3%</w:t>
            </w:r>
          </w:p>
        </w:tc>
      </w:tr>
      <w:tr>
        <w:tc>
          <w:tcPr>
            <w:tcW w:type="dxa" w:w="1440"/>
            <w:shd w:fill="C6EFCE" w:val="clear"/>
          </w:tcPr>
          <w:p>
            <w:r>
              <w:rPr>
                <w:sz w:val="17"/>
              </w:rPr>
              <w:t>J+4  ⭐</w:t>
            </w:r>
          </w:p>
        </w:tc>
        <w:tc>
          <w:tcPr>
            <w:tcW w:type="dxa" w:w="1440"/>
            <w:shd w:fill="C6EFCE" w:val="clear"/>
          </w:tcPr>
          <w:p>
            <w:r>
              <w:rPr>
                <w:sz w:val="17"/>
              </w:rPr>
              <w:t>2026-09-08</w:t>
            </w:r>
          </w:p>
        </w:tc>
        <w:tc>
          <w:tcPr>
            <w:tcW w:type="dxa" w:w="1440"/>
            <w:shd w:fill="C6EFCE" w:val="clear"/>
          </w:tcPr>
          <w:p>
            <w:r>
              <w:rPr>
                <w:sz w:val="17"/>
              </w:rPr>
              <w:t>20,942</w:t>
            </w:r>
          </w:p>
        </w:tc>
        <w:tc>
          <w:tcPr>
            <w:tcW w:type="dxa" w:w="1440"/>
            <w:shd w:fill="C6EFCE" w:val="clear"/>
          </w:tcPr>
          <w:p>
            <w:r>
              <w:rPr>
                <w:b/>
                <w:sz w:val="17"/>
              </w:rPr>
              <w:t>23,152</w:t>
            </w:r>
          </w:p>
        </w:tc>
        <w:tc>
          <w:tcPr>
            <w:tcW w:type="dxa" w:w="1440"/>
            <w:shd w:fill="C6EFCE" w:val="clear"/>
          </w:tcPr>
          <w:p>
            <w:r>
              <w:rPr>
                <w:sz w:val="17"/>
              </w:rPr>
              <w:t>25,362</w:t>
            </w:r>
          </w:p>
        </w:tc>
        <w:tc>
          <w:tcPr>
            <w:tcW w:type="dxa" w:w="1440"/>
            <w:shd w:fill="C6EFCE" w:val="clear"/>
          </w:tcPr>
          <w:p>
            <w:r>
              <w:rPr>
                <w:b/>
                <w:color w:val="008000"/>
                <w:sz w:val="17"/>
              </w:rPr>
              <w:t>+5.2%</w:t>
            </w:r>
          </w:p>
        </w:tc>
      </w:tr>
      <w:tr>
        <w:tc>
          <w:tcPr>
            <w:tcW w:type="dxa" w:w="1440"/>
            <w:shd w:fill="C6EFCE" w:val="clear"/>
          </w:tcPr>
          <w:p>
            <w:r>
              <w:rPr>
                <w:sz w:val="17"/>
              </w:rPr>
              <w:t>J+5  ⭐</w:t>
            </w:r>
          </w:p>
        </w:tc>
        <w:tc>
          <w:tcPr>
            <w:tcW w:type="dxa" w:w="1440"/>
            <w:shd w:fill="C6EFCE" w:val="clear"/>
          </w:tcPr>
          <w:p>
            <w:r>
              <w:rPr>
                <w:sz w:val="17"/>
              </w:rPr>
              <w:t>2026-09-09</w:t>
            </w:r>
          </w:p>
        </w:tc>
        <w:tc>
          <w:tcPr>
            <w:tcW w:type="dxa" w:w="1440"/>
            <w:shd w:fill="C6EFCE" w:val="clear"/>
          </w:tcPr>
          <w:p>
            <w:r>
              <w:rPr>
                <w:sz w:val="17"/>
              </w:rPr>
              <w:t>20,881</w:t>
            </w:r>
          </w:p>
        </w:tc>
        <w:tc>
          <w:tcPr>
            <w:tcW w:type="dxa" w:w="1440"/>
            <w:shd w:fill="C6EFCE" w:val="clear"/>
          </w:tcPr>
          <w:p>
            <w:r>
              <w:rPr>
                <w:b/>
                <w:sz w:val="17"/>
              </w:rPr>
              <w:t>23,376</w:t>
            </w:r>
          </w:p>
        </w:tc>
        <w:tc>
          <w:tcPr>
            <w:tcW w:type="dxa" w:w="1440"/>
            <w:shd w:fill="C6EFCE" w:val="clear"/>
          </w:tcPr>
          <w:p>
            <w:r>
              <w:rPr>
                <w:sz w:val="17"/>
              </w:rPr>
              <w:t>25,871</w:t>
            </w:r>
          </w:p>
        </w:tc>
        <w:tc>
          <w:tcPr>
            <w:tcW w:type="dxa" w:w="1440"/>
            <w:shd w:fill="C6EFCE" w:val="clear"/>
          </w:tcPr>
          <w:p>
            <w:r>
              <w:rPr>
                <w:b/>
                <w:color w:val="008000"/>
                <w:sz w:val="17"/>
              </w:rPr>
              <w:t>+6.3%</w:t>
            </w:r>
          </w:p>
        </w:tc>
      </w:tr>
      <w:tr>
        <w:tc>
          <w:tcPr>
            <w:tcW w:type="dxa" w:w="1440"/>
            <w:shd w:fill="C6EFCE" w:val="clear"/>
          </w:tcPr>
          <w:p>
            <w:r>
              <w:rPr>
                <w:sz w:val="17"/>
              </w:rPr>
              <w:t>J+6  ⭐</w:t>
            </w:r>
          </w:p>
        </w:tc>
        <w:tc>
          <w:tcPr>
            <w:tcW w:type="dxa" w:w="1440"/>
            <w:shd w:fill="C6EFCE" w:val="clear"/>
          </w:tcPr>
          <w:p>
            <w:r>
              <w:rPr>
                <w:sz w:val="17"/>
              </w:rPr>
              <w:t>2026-09-10</w:t>
            </w:r>
          </w:p>
        </w:tc>
        <w:tc>
          <w:tcPr>
            <w:tcW w:type="dxa" w:w="1440"/>
            <w:shd w:fill="C6EFCE" w:val="clear"/>
          </w:tcPr>
          <w:p>
            <w:r>
              <w:rPr>
                <w:sz w:val="17"/>
              </w:rPr>
              <w:t>20,849</w:t>
            </w:r>
          </w:p>
        </w:tc>
        <w:tc>
          <w:tcPr>
            <w:tcW w:type="dxa" w:w="1440"/>
            <w:shd w:fill="C6EFCE" w:val="clear"/>
          </w:tcPr>
          <w:p>
            <w:r>
              <w:rPr>
                <w:b/>
                <w:sz w:val="17"/>
              </w:rPr>
              <w:t>23,609</w:t>
            </w:r>
          </w:p>
        </w:tc>
        <w:tc>
          <w:tcPr>
            <w:tcW w:type="dxa" w:w="1440"/>
            <w:shd w:fill="C6EFCE" w:val="clear"/>
          </w:tcPr>
          <w:p>
            <w:r>
              <w:rPr>
                <w:sz w:val="17"/>
              </w:rPr>
              <w:t>26,369</w:t>
            </w:r>
          </w:p>
        </w:tc>
        <w:tc>
          <w:tcPr>
            <w:tcW w:type="dxa" w:w="1440"/>
            <w:shd w:fill="C6EFCE" w:val="clear"/>
          </w:tcPr>
          <w:p>
            <w:r>
              <w:rPr>
                <w:b/>
                <w:color w:val="008000"/>
                <w:sz w:val="17"/>
              </w:rPr>
              <w:t>+7.3%</w:t>
            </w:r>
          </w:p>
        </w:tc>
      </w:tr>
      <w:tr>
        <w:tc>
          <w:tcPr>
            <w:tcW w:type="dxa" w:w="1440"/>
            <w:shd w:fill="C6EFCE" w:val="clear"/>
          </w:tcPr>
          <w:p>
            <w:r>
              <w:rPr>
                <w:sz w:val="17"/>
              </w:rPr>
              <w:t>J+7  ⭐</w:t>
            </w:r>
          </w:p>
        </w:tc>
        <w:tc>
          <w:tcPr>
            <w:tcW w:type="dxa" w:w="1440"/>
            <w:shd w:fill="C6EFCE" w:val="clear"/>
          </w:tcPr>
          <w:p>
            <w:r>
              <w:rPr>
                <w:sz w:val="17"/>
              </w:rPr>
              <w:t>2026-09-11</w:t>
            </w:r>
          </w:p>
        </w:tc>
        <w:tc>
          <w:tcPr>
            <w:tcW w:type="dxa" w:w="1440"/>
            <w:shd w:fill="C6EFCE" w:val="clear"/>
          </w:tcPr>
          <w:p>
            <w:r>
              <w:rPr>
                <w:sz w:val="17"/>
              </w:rPr>
              <w:t>20,839</w:t>
            </w:r>
          </w:p>
        </w:tc>
        <w:tc>
          <w:tcPr>
            <w:tcW w:type="dxa" w:w="1440"/>
            <w:shd w:fill="C6EFCE" w:val="clear"/>
          </w:tcPr>
          <w:p>
            <w:r>
              <w:rPr>
                <w:b/>
                <w:sz w:val="17"/>
              </w:rPr>
              <w:t>23,850</w:t>
            </w:r>
          </w:p>
        </w:tc>
        <w:tc>
          <w:tcPr>
            <w:tcW w:type="dxa" w:w="1440"/>
            <w:shd w:fill="C6EFCE" w:val="clear"/>
          </w:tcPr>
          <w:p>
            <w:r>
              <w:rPr>
                <w:sz w:val="17"/>
              </w:rPr>
              <w:t>26,862</w:t>
            </w:r>
          </w:p>
        </w:tc>
        <w:tc>
          <w:tcPr>
            <w:tcW w:type="dxa" w:w="1440"/>
            <w:shd w:fill="C6EFCE" w:val="clear"/>
          </w:tcPr>
          <w:p>
            <w:r>
              <w:rPr>
                <w:b/>
                <w:color w:val="008000"/>
                <w:sz w:val="17"/>
              </w:rPr>
              <w:t>+8.4%</w:t>
            </w:r>
          </w:p>
        </w:tc>
      </w:tr>
      <w:tr>
        <w:tc>
          <w:tcPr>
            <w:tcW w:type="dxa" w:w="1440"/>
            <w:shd w:fill="C6EFCE" w:val="clear"/>
          </w:tcPr>
          <w:p>
            <w:r>
              <w:rPr>
                <w:sz w:val="17"/>
              </w:rPr>
              <w:t>J+8  ⭐</w:t>
            </w:r>
          </w:p>
        </w:tc>
        <w:tc>
          <w:tcPr>
            <w:tcW w:type="dxa" w:w="1440"/>
            <w:shd w:fill="C6EFCE" w:val="clear"/>
          </w:tcPr>
          <w:p>
            <w:r>
              <w:rPr>
                <w:sz w:val="17"/>
              </w:rPr>
              <w:t>2026-09-14</w:t>
            </w:r>
          </w:p>
        </w:tc>
        <w:tc>
          <w:tcPr>
            <w:tcW w:type="dxa" w:w="1440"/>
            <w:shd w:fill="C6EFCE" w:val="clear"/>
          </w:tcPr>
          <w:p>
            <w:r>
              <w:rPr>
                <w:sz w:val="17"/>
              </w:rPr>
              <w:t>20,831</w:t>
            </w:r>
          </w:p>
        </w:tc>
        <w:tc>
          <w:tcPr>
            <w:tcW w:type="dxa" w:w="1440"/>
            <w:shd w:fill="C6EFCE" w:val="clear"/>
          </w:tcPr>
          <w:p>
            <w:r>
              <w:rPr>
                <w:b/>
                <w:sz w:val="17"/>
              </w:rPr>
              <w:t>24,082</w:t>
            </w:r>
          </w:p>
        </w:tc>
        <w:tc>
          <w:tcPr>
            <w:tcW w:type="dxa" w:w="1440"/>
            <w:shd w:fill="C6EFCE" w:val="clear"/>
          </w:tcPr>
          <w:p>
            <w:r>
              <w:rPr>
                <w:sz w:val="17"/>
              </w:rPr>
              <w:t>27,333</w:t>
            </w:r>
          </w:p>
        </w:tc>
        <w:tc>
          <w:tcPr>
            <w:tcW w:type="dxa" w:w="1440"/>
            <w:shd w:fill="C6EFCE" w:val="clear"/>
          </w:tcPr>
          <w:p>
            <w:r>
              <w:rPr>
                <w:b/>
                <w:color w:val="008000"/>
                <w:sz w:val="17"/>
              </w:rPr>
              <w:t>+9.5%</w:t>
            </w:r>
          </w:p>
        </w:tc>
      </w:tr>
      <w:tr>
        <w:tc>
          <w:tcPr>
            <w:tcW w:type="dxa" w:w="1440"/>
            <w:shd w:fill="C6EFCE" w:val="clear"/>
          </w:tcPr>
          <w:p>
            <w:r>
              <w:rPr>
                <w:sz w:val="17"/>
              </w:rPr>
              <w:t>J+9  ⭐</w:t>
            </w:r>
          </w:p>
        </w:tc>
        <w:tc>
          <w:tcPr>
            <w:tcW w:type="dxa" w:w="1440"/>
            <w:shd w:fill="C6EFCE" w:val="clear"/>
          </w:tcPr>
          <w:p>
            <w:r>
              <w:rPr>
                <w:sz w:val="17"/>
              </w:rPr>
              <w:t>2026-09-15</w:t>
            </w:r>
          </w:p>
        </w:tc>
        <w:tc>
          <w:tcPr>
            <w:tcW w:type="dxa" w:w="1440"/>
            <w:shd w:fill="C6EFCE" w:val="clear"/>
          </w:tcPr>
          <w:p>
            <w:r>
              <w:rPr>
                <w:sz w:val="17"/>
              </w:rPr>
              <w:t>20,830</w:t>
            </w:r>
          </w:p>
        </w:tc>
        <w:tc>
          <w:tcPr>
            <w:tcW w:type="dxa" w:w="1440"/>
            <w:shd w:fill="C6EFCE" w:val="clear"/>
          </w:tcPr>
          <w:p>
            <w:r>
              <w:rPr>
                <w:b/>
                <w:sz w:val="17"/>
              </w:rPr>
              <w:t>24,311</w:t>
            </w:r>
          </w:p>
        </w:tc>
        <w:tc>
          <w:tcPr>
            <w:tcW w:type="dxa" w:w="1440"/>
            <w:shd w:fill="C6EFCE" w:val="clear"/>
          </w:tcPr>
          <w:p>
            <w:r>
              <w:rPr>
                <w:sz w:val="17"/>
              </w:rPr>
              <w:t>27,792</w:t>
            </w:r>
          </w:p>
        </w:tc>
        <w:tc>
          <w:tcPr>
            <w:tcW w:type="dxa" w:w="1440"/>
            <w:shd w:fill="C6EFCE" w:val="clear"/>
          </w:tcPr>
          <w:p>
            <w:r>
              <w:rPr>
                <w:b/>
                <w:color w:val="008000"/>
                <w:sz w:val="17"/>
              </w:rPr>
              <w:t>+10.5%</w:t>
            </w:r>
          </w:p>
        </w:tc>
      </w:tr>
      <w:tr>
        <w:tc>
          <w:tcPr>
            <w:tcW w:type="dxa" w:w="1440"/>
            <w:shd w:fill="C6EFCE" w:val="clear"/>
          </w:tcPr>
          <w:p>
            <w:r>
              <w:rPr>
                <w:sz w:val="17"/>
              </w:rPr>
              <w:t>J+10  ⭐</w:t>
            </w:r>
          </w:p>
        </w:tc>
        <w:tc>
          <w:tcPr>
            <w:tcW w:type="dxa" w:w="1440"/>
            <w:shd w:fill="C6EFCE" w:val="clear"/>
          </w:tcPr>
          <w:p>
            <w:r>
              <w:rPr>
                <w:sz w:val="17"/>
              </w:rPr>
              <w:t>2026-09-16</w:t>
            </w:r>
          </w:p>
        </w:tc>
        <w:tc>
          <w:tcPr>
            <w:tcW w:type="dxa" w:w="1440"/>
            <w:shd w:fill="C6EFCE" w:val="clear"/>
          </w:tcPr>
          <w:p>
            <w:r>
              <w:rPr>
                <w:sz w:val="17"/>
              </w:rPr>
              <w:t>20,844</w:t>
            </w:r>
          </w:p>
        </w:tc>
        <w:tc>
          <w:tcPr>
            <w:tcW w:type="dxa" w:w="1440"/>
            <w:shd w:fill="C6EFCE" w:val="clear"/>
          </w:tcPr>
          <w:p>
            <w:r>
              <w:rPr>
                <w:b/>
                <w:sz w:val="17"/>
              </w:rPr>
              <w:t>24,549</w:t>
            </w:r>
          </w:p>
        </w:tc>
        <w:tc>
          <w:tcPr>
            <w:tcW w:type="dxa" w:w="1440"/>
            <w:shd w:fill="C6EFCE" w:val="clear"/>
          </w:tcPr>
          <w:p>
            <w:r>
              <w:rPr>
                <w:sz w:val="17"/>
              </w:rPr>
              <w:t>28,255</w:t>
            </w:r>
          </w:p>
        </w:tc>
        <w:tc>
          <w:tcPr>
            <w:tcW w:type="dxa" w:w="1440"/>
            <w:shd w:fill="C6EFCE" w:val="clear"/>
          </w:tcPr>
          <w:p>
            <w:r>
              <w:rPr>
                <w:b/>
                <w:color w:val="008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395,01 milliards FCFA positionne STBC comme une valeur de premier plan sur la BRVM, reflétant son statut de leader sur le marché ivoirien du tabac. Avec un BPA de 2 014 FCFA, chaque action génère un bénéfice substantiel, ce qui justifie un PER de 10,9x, un niveau modéré et raisonnable par rapport à la moyenne historique de la place (~8-12x), indiquant que les investisseurs ne paient pas un prix excessif pour les bénéfices actuels. En revanche, le P/B de 8,71x est particulièrement exigeant, signifiant que le marché valorise l'action près de neuf fois sa valeur comptable, une prime qui traduit des attentes élevées de rentabilité future. Enfin, l'EV/EBITDA de 7,9x se situe dans une fourchette raisonnable (5-10x), suggérant que la valeur d'entreprise reste cohérente avec la capacité opérationnelle de dégager des flux, malgré la prime comptable.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+3,09%, mais la dernière séance enregistre un repli marqué de -1,79%, signalant une hésitation des investisseurs. Le cours a évolué dans un range de 19 705 FCFA à 25 000 FCFA, démontrant une amplitude de fluctuation importante. La moyenne de 22 314 FCFA, très proche de la médiane de 22 168 FCFA, indique une distribution des prix relativement symétrique, confirmée par un skewness de 0,240. L'écart-type de 1 371 FCFA, avec un coefficient de variation de 6,1%, révèle une dispersion modérée autour de la moyenne. Le kurtosis de -0,957 (mésokurtique) suggère une distribution proche de la normale, sans risque extrême de pics ou de queues épaisses. La volatilité annualisée de 36,4% classe le titre comme très volatil (&gt;30%), un niveau élevé qui requiert une tolérance au risque accrue de la part des investisseurs.</w:t>
      </w:r>
    </w:p>
    <w:p>
      <w:pPr>
        <w:spacing w:after="120" w:line="276" w:lineRule="auto" w:before="240"/>
      </w:pPr>
      <w:r>
        <w:rPr>
          <w:b/>
          <w:color w:val="003366"/>
          <w:sz w:val="24"/>
        </w:rPr>
        <w:t>**PARTIE 2 : ANALYSE TECHNIQUE DÉTAILLÉE**</w:t>
      </w:r>
    </w:p>
    <w:p>
      <w:pPr>
        <w:spacing w:after="120" w:line="276" w:lineRule="auto"/>
      </w:pPr>
      <w:r>
        <w:t>Les moyennes mobiles MM20 (23 130 FCFA) et MM50 (23 432 FCFA) se situent toutes deux au-dessus du cours actuel de 22 000 FCFA, établissant une configuration baissière. Le fait que le prix soit inférieur à la MM20, elle-même sous la MM50, confirme une tendance de fond négative à court et moyen terme. La décision de Vente est justifiée par cette structure hiérarchique défavorable, le titre évoluant dans une dynamique de correction.</w:t>
      </w:r>
    </w:p>
    <w:p>
      <w:pPr>
        <w:spacing w:after="120" w:line="276" w:lineRule="auto"/>
      </w:pPr>
      <w:r>
        <w:t>Le cours se positionne près de la borne inférieure des Bandes de Bollinger (21 125 FCFA), à 22 000 FCFA, tandis que la borne supérieure s'établit à 25 135 FCFA. Cette proximité avec la bande basse indique que le titre est proche de conditions de survente relative. La décision Neutre suggère que, bien que la pression vendeuse soit présente, le marché pourrait assister à un rebond technique si le support des 21 125 FCFA tient.</w:t>
      </w:r>
    </w:p>
    <w:p>
      <w:pPr>
        <w:spacing w:after="120" w:line="276" w:lineRule="auto"/>
      </w:pPr>
      <w:r>
        <w:t>Le MACD affiche une valeur négative de -342,259, inférieure à son signal (-237,795), ce qui confirme un momentum baissier en cours. La divergence négative entre la ligne MACD et sa ligne de signal indique que la dynamique des prix reste sous pression. La décision de Vente est cohérente avec cette configuration, bien que l'écart ne soit pas excessif, laissant entrevoir une possible stabilisation.</w:t>
      </w:r>
    </w:p>
    <w:p>
      <w:pPr>
        <w:spacing w:after="120" w:line="276" w:lineRule="auto"/>
      </w:pPr>
      <w:r>
        <w:t>Le RSI de 39,598 se situe en zone neutre, entre 30 et 70, sans signal extrême de survente ou de surachat. Cette valeur indique que le titre n'est ni survendu ni suracheté, laissant place à une certaine indécision. La décision Neutre est appropriée, car le RSI ne fournit pas de signal directionnel fort, mais penche légèrement vers une faiblesse relative.</w:t>
      </w:r>
    </w:p>
    <w:p>
      <w:pPr>
        <w:spacing w:after="120" w:line="276" w:lineRule="auto"/>
      </w:pPr>
      <w:r>
        <w:t>Le Stochastique montre un %K à 34,716, inférieur à son %D à 47,738, indiquant que le titre est sous pression vendeuse à court terme. Le croisement baissier de ces deux lignes suggère que le momentum de prix reste négatif. La décision Neutre reflète toutefois que le %K n'est pas encore en zone de survente (&lt;20), laissant une marge de manœuvre avant un éventuel retournement.</w:t>
      </w:r>
    </w:p>
    <w:p>
      <w:pPr>
        <w:spacing w:after="120" w:line="276" w:lineRule="auto"/>
      </w:pPr>
      <w:r>
        <w:t>En conclusion technique, la majorité des indicateurs (MM, MACD) penchent vers une dynamique baissière, tandis que le RSI, le Stochastique et les Bandes de Bollinger restent neutres. Cette configuration mitigée suggère une phase de consolidation avec un biais négatif, mais sans signal de vente violent. Le titre semble chercher un support solide avant une éventuelle reprise, et une stabilisation sous les 21 125 FCFA serait nécessaire pour confirmer un rebond.</w:t>
      </w:r>
    </w:p>
    <w:p>
      <w:pPr>
        <w:spacing w:after="120" w:line="276" w:lineRule="auto" w:before="240"/>
      </w:pPr>
      <w:r>
        <w:rPr>
          <w:b/>
          <w:color w:val="003366"/>
          <w:sz w:val="24"/>
        </w:rPr>
        <w:t>**PARTIE 3 : ANALYSE FONDAMENTALE (SECTION CRITIQUE)**</w:t>
      </w:r>
    </w:p>
    <w:p>
      <w:pPr>
        <w:spacing w:after="120" w:line="276" w:lineRule="auto"/>
      </w:pPr>
      <w:r>
        <w:t>En 2025, les données structurées de STBC révèlent une entreprise non bancaire avec un chiffre d'affaires de 268,537 milliards FCFA, en croissance de 25,3%, et un résultat net de 36,158 milliards FCFA. La rentabilité est exceptionnelle avec un ROE de 79,75% et un ROA de 48,09%, démontrant une utilisation très efficace des capitaux propres et des actifs. La structure financière est saine : l'autonomie financière de 60,3% et une solvabilité générale de 251,9% indiquent une solidité remarquable, avec une trésorerie nette de 30,763 milliards FCFA et des dettes financières quasi nulles (1,4 million FCFA). Le BFR de 5,639 milliards FCFA est positif mais gérable, et le délai clients de 42,57 jours est raisonnable. Les rapports narratifs de 2025 (datés de fin 2025 et début 2026) confirment cette tendance, mais soulignent une dégradation de la rentabilité nette par rapport à 2024 (résultat net en baisse de 17,5% à 36,5 milliards FCFA), due à une hausse des droits d'accise (49% à 70%) et des charges d'exploitation. Sur la base du rapport T1 2026 (CA +12% à 68,8 milliards FCFA, volumes +10%), on estime que l'exercice 2026 pourrait voir une stabilisation de l'activité, mais la marge nette (13,5% au T1 2026) reste sous pression. La recommandation fondamentale est de CONSERVER, car la société affiche une croissance commerciale robuste et une santé financière solide, mais doit faire face à un environnement fiscal contraignant et à une compression des marges.</w:t>
      </w:r>
    </w:p>
    <w:p>
      <w:pPr>
        <w:spacing w:after="120" w:line="276" w:lineRule="auto" w:before="240"/>
      </w:pPr>
      <w:r>
        <w:rPr>
          <w:b/>
          <w:color w:val="003366"/>
          <w:sz w:val="24"/>
        </w:rPr>
        <w:t>**PARTIE 4 : CONCLUSION D'INVESTISSEMENT**</w:t>
      </w:r>
    </w:p>
    <w:p>
      <w:pPr>
        <w:spacing w:after="120" w:line="276" w:lineRule="auto"/>
      </w:pPr>
      <w:r>
        <w:t>La valorisation de STBC (PER de 10,9x, EV/EBITDA de 7,9x) est modérée, mais le P/B de 8,71x reflète une prime élevée qui pourrait limiter le potentiel de hausse. Le comportement du cours sur 100 jours montre une tendance légèrement positive (+3,09%) mais avec une volatilité très élevée (36,4%) et une récente baisse de -1,79%, signalant une prudence des investisseurs. Les signaux techniques sont mitigés, avec une majorité d'indicateurs neutres (Bollinger, RSI, Stochastique) mais une dynamique baissière confirmée par les moyennes mobiles et le MACD. Les fondamentaux restent solides avec une croissance du CA de 25,3% en 2025, un ROE de 79,75% et une trésorerie abondante, mais la baisse du résultat net (-17,5%) et la pression fiscale constituent des risques. Les prédictions IA pour les 10 prochains jours (de 22 570 à 23 376 FCFA) suggèrent une trajectoire haussière, contredisant les signaux techniques à court terme et indiquant un possible rebond. En synthèse, la convergence entre une valorisation raisonnable, des fondamentaux robustes et des prédictions IA positives, malgré des signaux techniques baissiers, conduit à une recommandation de **CONSERVER** avec un niveau de confiance **Moyen**. Le risque global est **Moyen**, et l'horizon d'investissement optimal serait à **moyen terme (3-12 mois)** pour capitaliser sur la solidité financière et le rendement du dividende, tout en surveillant l'évolution des marges et de la réglementation.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213.44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7,059 titres</w:t>
            </w:r>
          </w:p>
        </w:tc>
        <w:tc>
          <w:tcPr>
            <w:tcW w:type="dxa" w:w="2268"/>
            <w:shd w:fill="FFF2CC" w:val="clear"/>
          </w:tcPr>
          <w:p>
            <w:r>
              <w:rPr>
                <w:b/>
                <w:color w:val="503200"/>
                <w:sz w:val="16"/>
              </w:rPr>
              <w:t xml:space="preserve">Cours actuel : </w:t>
            </w:r>
            <w:r>
              <w:rPr>
                <w:color w:val="000000"/>
                <w:sz w:val="17"/>
              </w:rPr>
              <w:t>3,390 FCFA</w:t>
            </w:r>
          </w:p>
          <w:p>
            <w:r>
              <w:rPr>
                <w:b/>
                <w:color w:val="503200"/>
                <w:sz w:val="16"/>
              </w:rPr>
              <w:t xml:space="preserve">Var. 100 jours : </w:t>
            </w:r>
            <w:r>
              <w:rPr>
                <w:b/>
                <w:color w:val="007800"/>
                <w:sz w:val="17"/>
              </w:rPr>
              <w:t>+27.92%</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μ=2,924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β=-0.2862 (Contre-cyclique) — Cov=-0.000010, Var(idx)=0.000036, ρ=-0.067,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2026-09-03</w:t>
            </w:r>
          </w:p>
        </w:tc>
        <w:tc>
          <w:tcPr>
            <w:tcW w:type="dxa" w:w="1440"/>
            <w:shd w:fill="FAFAFA" w:val="clear"/>
          </w:tcPr>
          <w:p>
            <w:r>
              <w:rPr>
                <w:sz w:val="17"/>
              </w:rPr>
              <w:t>3,195</w:t>
            </w:r>
          </w:p>
        </w:tc>
        <w:tc>
          <w:tcPr>
            <w:tcW w:type="dxa" w:w="1440"/>
            <w:shd w:fill="FAFAFA" w:val="clear"/>
          </w:tcPr>
          <w:p>
            <w:r>
              <w:rPr>
                <w:b/>
                <w:sz w:val="17"/>
              </w:rPr>
              <w:t>3,377</w:t>
            </w:r>
          </w:p>
        </w:tc>
        <w:tc>
          <w:tcPr>
            <w:tcW w:type="dxa" w:w="1440"/>
            <w:shd w:fill="FAFAFA" w:val="clear"/>
          </w:tcPr>
          <w:p>
            <w:r>
              <w:rPr>
                <w:sz w:val="17"/>
              </w:rPr>
              <w:t>3,559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2026-09-04</w:t>
            </w:r>
          </w:p>
        </w:tc>
        <w:tc>
          <w:tcPr>
            <w:tcW w:type="dxa" w:w="1440"/>
            <w:shd w:fill="FAFAFA" w:val="clear"/>
          </w:tcPr>
          <w:p>
            <w:r>
              <w:rPr>
                <w:sz w:val="17"/>
              </w:rPr>
              <w:t>3,106</w:t>
            </w:r>
          </w:p>
        </w:tc>
        <w:tc>
          <w:tcPr>
            <w:tcW w:type="dxa" w:w="1440"/>
            <w:shd w:fill="FAFAFA" w:val="clear"/>
          </w:tcPr>
          <w:p>
            <w:r>
              <w:rPr>
                <w:b/>
                <w:sz w:val="17"/>
              </w:rPr>
              <w:t>3,362</w:t>
            </w:r>
          </w:p>
        </w:tc>
        <w:tc>
          <w:tcPr>
            <w:tcW w:type="dxa" w:w="1440"/>
            <w:shd w:fill="FAFAFA" w:val="clear"/>
          </w:tcPr>
          <w:p>
            <w:r>
              <w:rPr>
                <w:sz w:val="17"/>
              </w:rPr>
              <w:t>3,618</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2026-09-07</w:t>
            </w:r>
          </w:p>
        </w:tc>
        <w:tc>
          <w:tcPr>
            <w:tcW w:type="dxa" w:w="1440"/>
            <w:shd w:fill="FAFAFA" w:val="clear"/>
          </w:tcPr>
          <w:p>
            <w:r>
              <w:rPr>
                <w:sz w:val="17"/>
              </w:rPr>
              <w:t>3,035</w:t>
            </w:r>
          </w:p>
        </w:tc>
        <w:tc>
          <w:tcPr>
            <w:tcW w:type="dxa" w:w="1440"/>
            <w:shd w:fill="FAFAFA" w:val="clear"/>
          </w:tcPr>
          <w:p>
            <w:r>
              <w:rPr>
                <w:b/>
                <w:sz w:val="17"/>
              </w:rPr>
              <w:t>3,347</w:t>
            </w:r>
          </w:p>
        </w:tc>
        <w:tc>
          <w:tcPr>
            <w:tcW w:type="dxa" w:w="1440"/>
            <w:shd w:fill="FAFAFA" w:val="clear"/>
          </w:tcPr>
          <w:p>
            <w:r>
              <w:rPr>
                <w:sz w:val="17"/>
              </w:rPr>
              <w:t>3,660</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2026-09-08</w:t>
            </w:r>
          </w:p>
        </w:tc>
        <w:tc>
          <w:tcPr>
            <w:tcW w:type="dxa" w:w="1440"/>
            <w:shd w:fill="FAFAFA" w:val="clear"/>
          </w:tcPr>
          <w:p>
            <w:r>
              <w:rPr>
                <w:sz w:val="17"/>
              </w:rPr>
              <w:t>2,974</w:t>
            </w:r>
          </w:p>
        </w:tc>
        <w:tc>
          <w:tcPr>
            <w:tcW w:type="dxa" w:w="1440"/>
            <w:shd w:fill="FAFAFA" w:val="clear"/>
          </w:tcPr>
          <w:p>
            <w:r>
              <w:rPr>
                <w:b/>
                <w:sz w:val="17"/>
              </w:rPr>
              <w:t>3,333</w:t>
            </w:r>
          </w:p>
        </w:tc>
        <w:tc>
          <w:tcPr>
            <w:tcW w:type="dxa" w:w="1440"/>
            <w:shd w:fill="FAFAFA" w:val="clear"/>
          </w:tcPr>
          <w:p>
            <w:r>
              <w:rPr>
                <w:sz w:val="17"/>
              </w:rPr>
              <w:t>3,693</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2,919</w:t>
            </w:r>
          </w:p>
        </w:tc>
        <w:tc>
          <w:tcPr>
            <w:tcW w:type="dxa" w:w="1440"/>
            <w:shd w:fill="FFDCE0" w:val="clear"/>
          </w:tcPr>
          <w:p>
            <w:r>
              <w:rPr>
                <w:b/>
                <w:sz w:val="17"/>
              </w:rPr>
              <w:t>3,320</w:t>
            </w:r>
          </w:p>
        </w:tc>
        <w:tc>
          <w:tcPr>
            <w:tcW w:type="dxa" w:w="1440"/>
            <w:shd w:fill="FFDCE0" w:val="clear"/>
          </w:tcPr>
          <w:p>
            <w:r>
              <w:rPr>
                <w:sz w:val="17"/>
              </w:rPr>
              <w:t>3,720</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2,870</w:t>
            </w:r>
          </w:p>
        </w:tc>
        <w:tc>
          <w:tcPr>
            <w:tcW w:type="dxa" w:w="1440"/>
            <w:shd w:fill="FFDCE0" w:val="clear"/>
          </w:tcPr>
          <w:p>
            <w:r>
              <w:rPr>
                <w:b/>
                <w:sz w:val="17"/>
              </w:rPr>
              <w:t>3,307</w:t>
            </w:r>
          </w:p>
        </w:tc>
        <w:tc>
          <w:tcPr>
            <w:tcW w:type="dxa" w:w="1440"/>
            <w:shd w:fill="FFDCE0" w:val="clear"/>
          </w:tcPr>
          <w:p>
            <w:r>
              <w:rPr>
                <w:sz w:val="17"/>
              </w:rPr>
              <w:t>3,744</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2,824</w:t>
            </w:r>
          </w:p>
        </w:tc>
        <w:tc>
          <w:tcPr>
            <w:tcW w:type="dxa" w:w="1440"/>
            <w:shd w:fill="FFDCE0" w:val="clear"/>
          </w:tcPr>
          <w:p>
            <w:r>
              <w:rPr>
                <w:b/>
                <w:sz w:val="17"/>
              </w:rPr>
              <w:t>3,294</w:t>
            </w:r>
          </w:p>
        </w:tc>
        <w:tc>
          <w:tcPr>
            <w:tcW w:type="dxa" w:w="1440"/>
            <w:shd w:fill="FFDCE0" w:val="clear"/>
          </w:tcPr>
          <w:p>
            <w:r>
              <w:rPr>
                <w:sz w:val="17"/>
              </w:rPr>
              <w:t>3,764</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2,781</w:t>
            </w:r>
          </w:p>
        </w:tc>
        <w:tc>
          <w:tcPr>
            <w:tcW w:type="dxa" w:w="1440"/>
            <w:shd w:fill="FFDCE0" w:val="clear"/>
          </w:tcPr>
          <w:p>
            <w:r>
              <w:rPr>
                <w:b/>
                <w:sz w:val="17"/>
              </w:rPr>
              <w:t>3,282</w:t>
            </w:r>
          </w:p>
        </w:tc>
        <w:tc>
          <w:tcPr>
            <w:tcW w:type="dxa" w:w="1440"/>
            <w:shd w:fill="FFDCE0" w:val="clear"/>
          </w:tcPr>
          <w:p>
            <w:r>
              <w:rPr>
                <w:sz w:val="17"/>
              </w:rPr>
              <w:t>3,782</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2,741</w:t>
            </w:r>
          </w:p>
        </w:tc>
        <w:tc>
          <w:tcPr>
            <w:tcW w:type="dxa" w:w="1440"/>
            <w:shd w:fill="FFDCE0" w:val="clear"/>
          </w:tcPr>
          <w:p>
            <w:r>
              <w:rPr>
                <w:b/>
                <w:sz w:val="17"/>
              </w:rPr>
              <w:t>3,270</w:t>
            </w:r>
          </w:p>
        </w:tc>
        <w:tc>
          <w:tcPr>
            <w:tcW w:type="dxa" w:w="1440"/>
            <w:shd w:fill="FFDCE0" w:val="clear"/>
          </w:tcPr>
          <w:p>
            <w:r>
              <w:rPr>
                <w:sz w:val="17"/>
              </w:rPr>
              <w:t>3,799</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2,702</w:t>
            </w:r>
          </w:p>
        </w:tc>
        <w:tc>
          <w:tcPr>
            <w:tcW w:type="dxa" w:w="1440"/>
            <w:shd w:fill="FFDCE0" w:val="clear"/>
          </w:tcPr>
          <w:p>
            <w:r>
              <w:rPr>
                <w:b/>
                <w:sz w:val="17"/>
              </w:rPr>
              <w:t>3,258</w:t>
            </w:r>
          </w:p>
        </w:tc>
        <w:tc>
          <w:tcPr>
            <w:tcW w:type="dxa" w:w="1440"/>
            <w:shd w:fill="FFDCE0" w:val="clear"/>
          </w:tcPr>
          <w:p>
            <w:r>
              <w:rPr>
                <w:sz w:val="17"/>
              </w:rPr>
              <w:t>3,813</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213,44 milliards FCFA, ce qui en fait l'une des valeurs les plus significatives de la cote de la BRVM, reflétant la position dominante de la société dans la distribution de produits pétroliers en Côte d'Ivoire. Le BPA de 144 FCFA indique que chaque action a généré ce montant de bénéfice sur l'exercice 2025. Le PER de 23,5x est nettement supérieur à la moyenne historique de la BRVM (8-12x), signifiant que les investisseurs paient une prime substantielle pour les bénéfices de la société, anticipant probablement une croissance future ou valorisant sa solidité financière. Le P/B de 5,90x confirme cette valorisation exigeante, le marché valorisant le titre bien au-delà de sa valeur comptable (5,9 fois), ce qui reflète une forte confiance dans la marque et les actifs immatériels. Enfin, l'EV/EBITDA de 12,0x, bien que dans la fourchette haute des 10-15x, indique que la valeur totale de l'entreprise (capitalisation + dettes - trésorerie) reste cohérente avec sa capacité à générer du cash-flow opérationnel, mais laisse peu de marge de sécurité pour l'investisseur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performance remarquable de +27,92%, passant d'un plus bas de 2 650 FCFA à un plus haut de 3 595 FCFA, avant de clôturer à 3 390 FCFA, soit une légère baisse de -0,15% lors de la dernière séance. La moyenne du cours sur la période est de 2 924 FCFA, tandis que la médiane est de 2 890 FCFA ; cet écart, bien que faible, couplé à un skewness de 1,477 (asymétrie positive), indique que la distribution des rendements est étirée vers la droite, avec un nombre plus important de journées sous la moyenne mais quelques fortes hausses qui tirent la moyenne vers le haut. L'écart-type de 191 FCFA (CV=6,5%) montre une dispersion modérée des prix autour de la moyenne. Le kurtosis de 1,921 (leptokurtique) signale un risque de pics de volatilité plus important que la normale, avec des queues de distribution épaisses. La volatilité annualisée de 40,4% est élevée (&gt;30%), indiquant un titre très actif et risqué à court terme, mais la tendance générale sur la période est clairement haussière, soutenue par une dynamique positive.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3 390 FCFA se situe nettement au-dessus de sa MM20 (3 209,25 FCFA) et de sa MM50 (3 029,2 FCFA), avec un écart de +5,6% et +11,9% respectivement. Cette configuration haussière, où le prix évolue au-dessus des deux moyennes et où la MM20 est au-dessus de la MM50, confirme une dynamique positive à court et moyen terme. La décision d'**Achat** est justifiée par cette structure de tendance clairement ascendante.</w:t>
      </w:r>
    </w:p>
    <w:p>
      <w:pPr>
        <w:spacing w:after="120" w:line="276" w:lineRule="auto"/>
      </w:pPr>
      <w:r>
        <w:t>**Bandes de Bollinger** : Le prix actuel se situe à 3 390 FCFA, entre la borne supérieure (3 650,73 FCFA) et la borne inférieure (2 767,77 FCFA), plus près de la borne supérieure (à environ 28% de la largeur des bandes). La largeur des bandes (883 FCFA) reflète la volatilité élevée du titre. La position du prix dans la moitié supérieure des bandes indique une pression acheteuse persistante, mais sans atteindre la zone de surachat extrême. La décision **Neutre** est appropriée, le prix n'étant pas en contact avec les bornes, laissant une marge de manœuvre avant un retournement potentiel.</w:t>
      </w:r>
    </w:p>
    <w:p>
      <w:pPr>
        <w:spacing w:after="120" w:line="276" w:lineRule="auto"/>
      </w:pPr>
      <w:r>
        <w:t>**MACD** : La valeur du MACD (125,97) est supérieure à sa ligne de signal (116,53), avec un écart positif de +9,44 points. Cette configuration haussière indique que le momentum de court terme reste positif et que la tendance haussière pourrait se poursuivre. La décision d'**Achat** est cohérente avec cette dynamique, le MACD étant au-dessus de zéro et au-dessus de son signal, confirmant la vigueur du mouvement haussier.</w:t>
      </w:r>
    </w:p>
    <w:p>
      <w:pPr>
        <w:spacing w:after="120" w:line="276" w:lineRule="auto"/>
      </w:pPr>
      <w:r>
        <w:t>**RSI** : Le RSI s'établit à 70,05, une valeur qui se situe précisément à la limite de la zone de surachat (&gt;70). Ce niveau indique que le titre a fortement monté et que les acheteurs sont potentiellement épuisés à court terme. La décision de **Vente** est justifiée par ce niveau élevé, signalant un risque de correction ou de consolidation après une période de forte hausse. Les investisseurs pourraient être tentés de prendre leurs profits.</w:t>
      </w:r>
    </w:p>
    <w:p>
      <w:pPr>
        <w:spacing w:after="120" w:line="276" w:lineRule="auto"/>
      </w:pPr>
      <w:r>
        <w:t>**Stochastique** : Le %K (65,55) est légèrement inférieur au %D (66,04), indiquant un croisement baissier potentiel en zone neutre. Cette configuration suggère un affaiblissement du momentum haussier à très court terme, mais sans signal fort de retournement. La décision **Neutre** est appropriée, le titre n'étant ni en zone de surachat ni de survente, et le croisement n'étant pas encore confirmé.</w:t>
      </w:r>
    </w:p>
    <w:p>
      <w:pPr>
        <w:spacing w:after="120" w:line="276" w:lineRule="auto"/>
      </w:pPr>
      <w:r>
        <w:t>**Conclusion technique** : La tendance de fond reste haussière, soutenue par les moyennes mobiles et le MACD. Cependant, le RSI en zone de surachat et le début de croisement baissier du stochastique suggèrent un essoufflement à court terme. Le titre pourrait connaître une phase de consolidation ou de léger repli avant de poursuivre son mouvement haussier. Les signaux sont donc mitigés : la tendance de fond est positive, mais des signes de fatigue apparaissent à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de la BRVM, TotalEnergies Marketing Côte d'Ivoire a réalisé un chiffre d'affaires de 588,709 milliards FCFA, en baisse de -5,2% par rapport à 2024 (621,0 milliards FCFA). Le résultat net s'établit à 9,087 milliards FCFA, contre 9,374 milliards en 2024, soit une légère contraction de -3%. Cette baisse est attribuable à un effet de base défavorable (absence de ventes exceptionnelles à forte valeur ajoutée) et à une charge fiscale anticipée plus lourde. La société affiche une marge nette de 1,54% et une marge opérationnelle de 2,09%, en amélioration par rapport à 2024 (1,7%). Le ROE est excellent à 25,1%, bien au-dessus du seuil de 15% considéré comme satisfaisant, et le ROA s'établit à 4,82%. En tant qu'entreprise de distribution, le BFR négatif de -9,662 milliards FCFA est un signe très favorable, indiquant que la société finance son cycle d'exploitation grâce aux délais de paiement de ses fournisseurs (49,72 jours). Le délai de stockage est de 13,80 jours, montrant une rotation rapide des stocks. Le ratio d'endettement de 90,2% est élevé, avec une trésorerie nette négative de -21,9 milliards FCFA, mais la capacité de remboursement reste raisonnable à 1,71 an. Les rapports trimestriels de 2025 confirment la tendance : le S1 2025 montre un CA en baisse de -7,1% et un résultat net en repli de -25,5%, tandis que le cumul au T3 2025 affiche une baisse du CA de -5,7% et du résultat net de -30,2%. Cependant, le rapport T1 2026, publié en 2026, indique un net rebond avec un CA de 154,392 milliards FCFA (+4,3%) et un résultat net de 2,329 milliards FCFA (+5,5%), suggérant une amélioration de la dynamique commerciale. La société maintient une politique de dividende généreuse, avec un dividende brut proposé de 10 milliards FCFA pour 2025, représentant un taux de distribution supérieur à 100% du bénéfice net. En conclusion, TTLC présente des fondamentaux solides avec une rentabilité élevée (ROE &gt;25%), une bonne maîtrise opérationnelle (EBE en hausse de +12% en 2025), mais une situation de trésorerie tendue et un endettement élevé qui nécessitent une surveillance attentive.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avec un PER de 23,5x et un P/B de 5,90x, nettement supérieurs aux moyennes du marché BRVM, indiquant une surévaluation relative par rapport aux bénéfices et aux actifs comptables. Le comportement du cours sur 100 jours est très positif (+27,92%), avec une volatilité élevée (40,4%) et une asymétrie positive, mais le kurtosis leptokurtique signale un risque de mouvements brusques. Les signaux techniques sont mitigés : la tendance de fond reste haussière (MM, MACD), mais le RSI en zone de surachat et le stochastique neutre suggèrent un possible essoufflement à court terme. Les fondamentaux sont solides avec un ROE de 25,1% et une amélioration opérationnelle, mais la baisse du CA en 2025 et la trésorerie nette négative (-21,9 milliards FCFA) constituent des points de vigilance. Les prédictions IA pour les 10 prochains jours (3 377 à 3 320 FCFA) indiquent une légère correction de -2%, confirmant les signaux techniques de surachat à court terme. En synthèse, la convergence entre la valorisation élevée, les signaux techniques de surachat et les prédictions IA baissières suggère une pause dans la dynamique haussière. **Recommandation finale : CONSERVER**. Le niveau de confiance est **Moyen**, car la tendance de fond reste positive et les fondamentaux sont solides, mais le risque global est **Élevé** en raison de la volatilité et de la valorisation exigeante. L'horizon d'investissement optimal est le **moyen terme (3-12 mois)**, en attendant une consolidation du cours ou une confirmation de la croissance du T1 2026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2,643 titres</w:t>
            </w:r>
          </w:p>
        </w:tc>
        <w:tc>
          <w:tcPr>
            <w:tcW w:type="dxa" w:w="2268"/>
            <w:shd w:fill="FFF2CC" w:val="clear"/>
          </w:tcPr>
          <w:p>
            <w:r>
              <w:rPr>
                <w:b/>
                <w:color w:val="503200"/>
                <w:sz w:val="16"/>
              </w:rPr>
              <w:t xml:space="preserve">Cours actuel : </w:t>
            </w:r>
            <w:r>
              <w:rPr>
                <w:color w:val="000000"/>
                <w:sz w:val="17"/>
              </w:rPr>
              <w:t>3,855 FCFA</w:t>
            </w:r>
          </w:p>
          <w:p>
            <w:r>
              <w:rPr>
                <w:b/>
                <w:color w:val="503200"/>
                <w:sz w:val="16"/>
              </w:rPr>
              <w:t xml:space="preserve">Var. 100 jours : </w:t>
            </w:r>
            <w:r>
              <w:rPr>
                <w:b/>
                <w:color w:val="007800"/>
                <w:sz w:val="17"/>
              </w:rPr>
              <w:t>+17.17%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10.56% (Moyenne) — μ=3,522 FCFA, σ=372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β=0.7153 (Défensif) — Cov=0.000026, Var(idx)=0.000036, ρ=0.142,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2026-09-03</w:t>
            </w:r>
          </w:p>
        </w:tc>
        <w:tc>
          <w:tcPr>
            <w:tcW w:type="dxa" w:w="1440"/>
            <w:shd w:fill="FFDCE0" w:val="clear"/>
          </w:tcPr>
          <w:p>
            <w:r>
              <w:rPr>
                <w:sz w:val="17"/>
              </w:rPr>
              <w:t>3,544</w:t>
            </w:r>
          </w:p>
        </w:tc>
        <w:tc>
          <w:tcPr>
            <w:tcW w:type="dxa" w:w="1440"/>
            <w:shd w:fill="FFDCE0" w:val="clear"/>
          </w:tcPr>
          <w:p>
            <w:r>
              <w:rPr>
                <w:b/>
                <w:sz w:val="17"/>
              </w:rPr>
              <w:t>3,690</w:t>
            </w:r>
          </w:p>
        </w:tc>
        <w:tc>
          <w:tcPr>
            <w:tcW w:type="dxa" w:w="1440"/>
            <w:shd w:fill="FFDCE0" w:val="clear"/>
          </w:tcPr>
          <w:p>
            <w:r>
              <w:rPr>
                <w:sz w:val="17"/>
              </w:rPr>
              <w:t>3,835</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2026-09-04</w:t>
            </w:r>
          </w:p>
        </w:tc>
        <w:tc>
          <w:tcPr>
            <w:tcW w:type="dxa" w:w="1440"/>
            <w:shd w:fill="FFDCE0" w:val="clear"/>
          </w:tcPr>
          <w:p>
            <w:r>
              <w:rPr>
                <w:sz w:val="17"/>
              </w:rPr>
              <w:t>3,416</w:t>
            </w:r>
          </w:p>
        </w:tc>
        <w:tc>
          <w:tcPr>
            <w:tcW w:type="dxa" w:w="1440"/>
            <w:shd w:fill="FFDCE0" w:val="clear"/>
          </w:tcPr>
          <w:p>
            <w:r>
              <w:rPr>
                <w:b/>
                <w:sz w:val="17"/>
              </w:rPr>
              <w:t>3,619</w:t>
            </w:r>
          </w:p>
        </w:tc>
        <w:tc>
          <w:tcPr>
            <w:tcW w:type="dxa" w:w="1440"/>
            <w:shd w:fill="FFDCE0" w:val="clear"/>
          </w:tcPr>
          <w:p>
            <w:r>
              <w:rPr>
                <w:sz w:val="17"/>
              </w:rPr>
              <w:t>3,821</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2026-09-07</w:t>
            </w:r>
          </w:p>
        </w:tc>
        <w:tc>
          <w:tcPr>
            <w:tcW w:type="dxa" w:w="1440"/>
            <w:shd w:fill="FFDCE0" w:val="clear"/>
          </w:tcPr>
          <w:p>
            <w:r>
              <w:rPr>
                <w:sz w:val="17"/>
              </w:rPr>
              <w:t>3,315</w:t>
            </w:r>
          </w:p>
        </w:tc>
        <w:tc>
          <w:tcPr>
            <w:tcW w:type="dxa" w:w="1440"/>
            <w:shd w:fill="FFDCE0" w:val="clear"/>
          </w:tcPr>
          <w:p>
            <w:r>
              <w:rPr>
                <w:b/>
                <w:sz w:val="17"/>
              </w:rPr>
              <w:t>3,559</w:t>
            </w:r>
          </w:p>
        </w:tc>
        <w:tc>
          <w:tcPr>
            <w:tcW w:type="dxa" w:w="1440"/>
            <w:shd w:fill="FFDCE0" w:val="clear"/>
          </w:tcPr>
          <w:p>
            <w:r>
              <w:rPr>
                <w:sz w:val="17"/>
              </w:rPr>
              <w:t>3,802</w:t>
            </w:r>
          </w:p>
        </w:tc>
        <w:tc>
          <w:tcPr>
            <w:tcW w:type="dxa" w:w="1440"/>
            <w:shd w:fill="FFDCE0" w:val="clear"/>
          </w:tcPr>
          <w:p>
            <w:r>
              <w:rPr>
                <w:b/>
                <w:color w:val="C00000"/>
                <w:sz w:val="17"/>
              </w:rPr>
              <w:t>-7.7%</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3,232</w:t>
            </w:r>
          </w:p>
        </w:tc>
        <w:tc>
          <w:tcPr>
            <w:tcW w:type="dxa" w:w="1440"/>
            <w:shd w:fill="FFDCE0" w:val="clear"/>
          </w:tcPr>
          <w:p>
            <w:r>
              <w:rPr>
                <w:b/>
                <w:sz w:val="17"/>
              </w:rPr>
              <w:t>3,509</w:t>
            </w:r>
          </w:p>
        </w:tc>
        <w:tc>
          <w:tcPr>
            <w:tcW w:type="dxa" w:w="1440"/>
            <w:shd w:fill="FFDCE0" w:val="clear"/>
          </w:tcPr>
          <w:p>
            <w:r>
              <w:rPr>
                <w:sz w:val="17"/>
              </w:rPr>
              <w:t>3,786</w:t>
            </w:r>
          </w:p>
        </w:tc>
        <w:tc>
          <w:tcPr>
            <w:tcW w:type="dxa" w:w="1440"/>
            <w:shd w:fill="FFDCE0" w:val="clear"/>
          </w:tcPr>
          <w:p>
            <w:r>
              <w:rPr>
                <w:b/>
                <w:color w:val="C00000"/>
                <w:sz w:val="17"/>
              </w:rPr>
              <w:t>-9.0%</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3,158</w:t>
            </w:r>
          </w:p>
        </w:tc>
        <w:tc>
          <w:tcPr>
            <w:tcW w:type="dxa" w:w="1440"/>
            <w:shd w:fill="FFDCE0" w:val="clear"/>
          </w:tcPr>
          <w:p>
            <w:r>
              <w:rPr>
                <w:b/>
                <w:sz w:val="17"/>
              </w:rPr>
              <w:t>3,464</w:t>
            </w:r>
          </w:p>
        </w:tc>
        <w:tc>
          <w:tcPr>
            <w:tcW w:type="dxa" w:w="1440"/>
            <w:shd w:fill="FFDCE0" w:val="clear"/>
          </w:tcPr>
          <w:p>
            <w:r>
              <w:rPr>
                <w:sz w:val="17"/>
              </w:rPr>
              <w:t>3,770</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3,092</w:t>
            </w:r>
          </w:p>
        </w:tc>
        <w:tc>
          <w:tcPr>
            <w:tcW w:type="dxa" w:w="1440"/>
            <w:shd w:fill="FFDCE0" w:val="clear"/>
          </w:tcPr>
          <w:p>
            <w:r>
              <w:rPr>
                <w:b/>
                <w:sz w:val="17"/>
              </w:rPr>
              <w:t>3,423</w:t>
            </w:r>
          </w:p>
        </w:tc>
        <w:tc>
          <w:tcPr>
            <w:tcW w:type="dxa" w:w="1440"/>
            <w:shd w:fill="FFDCE0" w:val="clear"/>
          </w:tcPr>
          <w:p>
            <w:r>
              <w:rPr>
                <w:sz w:val="17"/>
              </w:rPr>
              <w:t>3,754</w:t>
            </w:r>
          </w:p>
        </w:tc>
        <w:tc>
          <w:tcPr>
            <w:tcW w:type="dxa" w:w="1440"/>
            <w:shd w:fill="FFDCE0" w:val="clear"/>
          </w:tcPr>
          <w:p>
            <w:r>
              <w:rPr>
                <w:b/>
                <w:color w:val="C00000"/>
                <w:sz w:val="17"/>
              </w:rPr>
              <w:t>-11.2%</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3,031</w:t>
            </w:r>
          </w:p>
        </w:tc>
        <w:tc>
          <w:tcPr>
            <w:tcW w:type="dxa" w:w="1440"/>
            <w:shd w:fill="FFDCE0" w:val="clear"/>
          </w:tcPr>
          <w:p>
            <w:r>
              <w:rPr>
                <w:b/>
                <w:sz w:val="17"/>
              </w:rPr>
              <w:t>3,384</w:t>
            </w:r>
          </w:p>
        </w:tc>
        <w:tc>
          <w:tcPr>
            <w:tcW w:type="dxa" w:w="1440"/>
            <w:shd w:fill="FFDCE0" w:val="clear"/>
          </w:tcPr>
          <w:p>
            <w:r>
              <w:rPr>
                <w:sz w:val="17"/>
              </w:rPr>
              <w:t>3,738</w:t>
            </w:r>
          </w:p>
        </w:tc>
        <w:tc>
          <w:tcPr>
            <w:tcW w:type="dxa" w:w="1440"/>
            <w:shd w:fill="FFDCE0" w:val="clear"/>
          </w:tcPr>
          <w:p>
            <w:r>
              <w:rPr>
                <w:b/>
                <w:color w:val="C00000"/>
                <w:sz w:val="17"/>
              </w:rPr>
              <w:t>-12.2%</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2,974</w:t>
            </w:r>
          </w:p>
        </w:tc>
        <w:tc>
          <w:tcPr>
            <w:tcW w:type="dxa" w:w="1440"/>
            <w:shd w:fill="FFDCE0" w:val="clear"/>
          </w:tcPr>
          <w:p>
            <w:r>
              <w:rPr>
                <w:b/>
                <w:sz w:val="17"/>
              </w:rPr>
              <w:t>3,348</w:t>
            </w:r>
          </w:p>
        </w:tc>
        <w:tc>
          <w:tcPr>
            <w:tcW w:type="dxa" w:w="1440"/>
            <w:shd w:fill="FFDCE0" w:val="clear"/>
          </w:tcPr>
          <w:p>
            <w:r>
              <w:rPr>
                <w:sz w:val="17"/>
              </w:rPr>
              <w:t>3,722</w:t>
            </w:r>
          </w:p>
        </w:tc>
        <w:tc>
          <w:tcPr>
            <w:tcW w:type="dxa" w:w="1440"/>
            <w:shd w:fill="FFDCE0" w:val="clear"/>
          </w:tcPr>
          <w:p>
            <w:r>
              <w:rPr>
                <w:b/>
                <w:color w:val="C00000"/>
                <w:sz w:val="17"/>
              </w:rPr>
              <w:t>-13.2%</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2,921</w:t>
            </w:r>
          </w:p>
        </w:tc>
        <w:tc>
          <w:tcPr>
            <w:tcW w:type="dxa" w:w="1440"/>
            <w:shd w:fill="FFDCE0" w:val="clear"/>
          </w:tcPr>
          <w:p>
            <w:r>
              <w:rPr>
                <w:b/>
                <w:sz w:val="17"/>
              </w:rPr>
              <w:t>3,314</w:t>
            </w:r>
          </w:p>
        </w:tc>
        <w:tc>
          <w:tcPr>
            <w:tcW w:type="dxa" w:w="1440"/>
            <w:shd w:fill="FFDCE0" w:val="clear"/>
          </w:tcPr>
          <w:p>
            <w:r>
              <w:rPr>
                <w:sz w:val="17"/>
              </w:rPr>
              <w:t>3,707</w:t>
            </w:r>
          </w:p>
        </w:tc>
        <w:tc>
          <w:tcPr>
            <w:tcW w:type="dxa" w:w="1440"/>
            <w:shd w:fill="FFDCE0" w:val="clear"/>
          </w:tcPr>
          <w:p>
            <w:r>
              <w:rPr>
                <w:b/>
                <w:color w:val="C00000"/>
                <w:sz w:val="17"/>
              </w:rPr>
              <w:t>-14.0%</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2,872</w:t>
            </w:r>
          </w:p>
        </w:tc>
        <w:tc>
          <w:tcPr>
            <w:tcW w:type="dxa" w:w="1440"/>
            <w:shd w:fill="FFDCE0" w:val="clear"/>
          </w:tcPr>
          <w:p>
            <w:r>
              <w:rPr>
                <w:b/>
                <w:sz w:val="17"/>
              </w:rPr>
              <w:t>3,282</w:t>
            </w:r>
          </w:p>
        </w:tc>
        <w:tc>
          <w:tcPr>
            <w:tcW w:type="dxa" w:w="1440"/>
            <w:shd w:fill="FFDCE0" w:val="clear"/>
          </w:tcPr>
          <w:p>
            <w:r>
              <w:rPr>
                <w:sz w:val="17"/>
              </w:rPr>
              <w:t>3,692</w:t>
            </w:r>
          </w:p>
        </w:tc>
        <w:tc>
          <w:tcPr>
            <w:tcW w:type="dxa" w:w="1440"/>
            <w:shd w:fill="FFDCE0" w:val="clear"/>
          </w:tcPr>
          <w:p>
            <w:r>
              <w:rPr>
                <w:b/>
                <w:color w:val="C00000"/>
                <w:sz w:val="17"/>
              </w:rPr>
              <w:t>-14.9%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125,59 milliards FCFA, ce qui en fait une valeur de taille moyenne sur la BRVM. Le BPA de 208 FCFA indique que chaque action génère un bénéfice modeste, cohérent avec une activité de distribution pétrolière. Le PER de 18,5x est nettement supérieur à la moyenne historique de la BRVM (8-12x), ce qui suggère que les investisseurs paient une prime substantielle pour détenir ce titre, probablement en raison de sa liquidité et de son appartenance au groupe TotalEnergies. Le P/B de 4,45x confirme cette valorisation exigeante, le marché valorisant fortement les capitaux propres de la société. Enfin, l'EV/EBITDA de 7,9x reste dans une fourchette raisonnable (5-10x), indiquant que la valeur totale de l'entreprise (dette incluse) reste cohérente avec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+17,17%, avec une dernière séance stable (+0,00%). Le cours a évolué dans une fourchette large de 2 845 FCFA (plus bas) à 4 500 FCFA (plus haut), démontrant une volatilité intraday significative. La moyenne du cours sur la période (3 522 FCFA) est légèrement inférieure à la médiane (3 492 FCFA), indiquant une distribution quasi symétrique, confirmée par un skewness de 0,418. Le mode de 3 800 FCFA suggère que le cours a fréquemment atteint ce niveau. L'écart-type de 374 FCFA (CV=10,6%) révèle une dispersion modérée autour de la moyenne. Le kurtosis de -0,313 (mésokurtique) indique une distribution proche de la normale, sans risque de pics extrêmes. La volatilité annualisée de 47,7% est élevée (&gt;30%), signalant un titre particulièrement risqué à court terme, mais la tendance globale reste haussière sur la période analysée.</w:t>
      </w:r>
    </w:p>
    <w:p>
      <w:pPr>
        <w:spacing w:after="120" w:line="276" w:lineRule="auto" w:before="240"/>
      </w:pPr>
      <w:r>
        <w:rPr>
          <w:b/>
          <w:color w:val="003366"/>
          <w:sz w:val="24"/>
        </w:rPr>
        <w:t>**PARTIE 2 : ANALYSE TECHNIQUE DÉTAILLÉE**</w:t>
      </w:r>
    </w:p>
    <w:p>
      <w:pPr>
        <w:spacing w:after="120" w:line="276" w:lineRule="auto"/>
      </w:pPr>
      <w:r>
        <w:t>**Moyennes Mobiles**: La MM20 (3 716 FCFA) est inférieure à la MM50 (3 818,1 FCFA), et le cours actuel (3 855 FCFA) se situe au-dessus de la MM20 mais sous la MM50. Cette configuration en croix baissière à court terme, avec un cours sous la moyenne à 50 jours, justifie la décision de Vente, indiquant que la tendance de fond pourrait s'essouffler malgré le récent rebond.</w:t>
      </w:r>
    </w:p>
    <w:p>
      <w:pPr>
        <w:spacing w:after="120" w:line="276" w:lineRule="auto"/>
      </w:pPr>
      <w:r>
        <w:t>**Bandes de Bollinger**: Le cours (3 855 FCFA) se positionne dans la partie supérieure des bandes, entre la borne inférieure (3 443,4 FCFA) et la borne supérieure (3 988,6 FCFA). Cette position médiane-haute suggère une volatilité normale sans condition de surachat ou de survente extrême, justifiant la décision Neutre. L'écart entre les bornes (545 FCFA) reflète une volatilité modérée.</w:t>
      </w:r>
    </w:p>
    <w:p>
      <w:pPr>
        <w:spacing w:after="120" w:line="276" w:lineRule="auto"/>
      </w:pPr>
      <w:r>
        <w:t>**MACD**: Le MACD (26,4) est nettement supérieur à son signal (9,3), avec un écart positif croissant. Cette configuration haussière indique un momentum positif en faveur des acheteurs, justifiant la décision Achat. La dynamique actuelle suggère que la pression acheteuse reste dominante à moyen terme.</w:t>
      </w:r>
    </w:p>
    <w:p>
      <w:pPr>
        <w:spacing w:after="120" w:line="276" w:lineRule="auto"/>
      </w:pPr>
      <w:r>
        <w:t>**RSI**: Le RSI s'établit à 62,2, dans la zone neutre (30-70) mais proche de la zone de surachat. Cette valeur indique que le titre dispose encore d'un potentiel haussier sans être survendu ni suracheté, justifiant la décision Neutre. Une poursuite de la hausse pourrait toutefois amener le RSI en zone de surachat (&gt;70).</w:t>
      </w:r>
    </w:p>
    <w:p>
      <w:pPr>
        <w:spacing w:after="120" w:line="276" w:lineRule="auto"/>
      </w:pPr>
      <w:r>
        <w:t>**Stochastique**: Le %K (71,1) est supérieur au %D (66,2), indiquant que le titre est en phase de momentum haussier. Les deux lignes évoluent au-dessus de 60, signalant une dynamique positive mais proche de la zone de surachat. Cette configuration justifie la décision Neutre, avec un risque de retournement si les lignes croisent à la baisse.</w:t>
      </w:r>
    </w:p>
    <w:p>
      <w:pPr>
        <w:spacing w:after="120" w:line="276" w:lineRule="auto"/>
      </w:pPr>
      <w:r>
        <w:t>**Conclusion technique**: Les indicateurs sont mitigés avec une prédominance baissière sur les moyennes mobiles mais un momentum haussier confirmé par le MACD. Le RSI et le Stochastique restent en zone neutre, suggérant une consolidation possible avant la prochaine direction. Globalement, le titre semble en phase de correction après un fort rebond, avec un potentiel de poursuite haussière si le cours dépasse la MM50.</w:t>
      </w:r>
    </w:p>
    <w:p>
      <w:pPr>
        <w:spacing w:after="120" w:line="276" w:lineRule="auto" w:before="240"/>
      </w:pPr>
      <w:r>
        <w:rPr>
          <w:b/>
          <w:color w:val="003366"/>
          <w:sz w:val="24"/>
        </w:rPr>
        <w:t>**PARTIE 3 : ANALYSE FONDAMENTALE (SECTION CRITIQUE)**</w:t>
      </w:r>
    </w:p>
    <w:p>
      <w:pPr>
        <w:spacing w:after="120" w:line="276" w:lineRule="auto"/>
      </w:pPr>
      <w:r>
        <w:t>En 2025, TotalEnergies Marketing Sénégal (TTLS) affiche un chiffre d'affaires de 455,209 milliards FCFA, en baisse de 6,1% par rapport à 2024 (484,945 milliards FCFA). Le résultat net s'établit à 6,779 milliards FCFA, en recul de 5,1% par rapport à 2024 (7,140 milliards FCFA). La marge nette reste faible à 1,49%, typique du secteur de distribution pétrolière. Le ROE est excellent à 24,0%, démontrant une utilisation efficace des capitaux propres (28,239 milliards FCFA), tandis que le ROA de 3,9% reflète la lourdeur du bilan (171,778 milliards FCFA). Le BFR négatif de -36,899 milliards FCFA est un signal très favorable, indiquant que l'entreprise finance son cycle d'exploitation grâce aux délais fournisseurs (97,76 jours) nettement supérieurs aux délais clients (47,43 jours). La trésorerie nette positive de 13,941 milliards FCFA renforce la solidité financière. Selon le rapport annuel 2025 (daté du 31 décembre 2025), la baisse du CA est attribuée à l'arrêt de la commercialisation du fuel lourd, partiellement compensée par le développement des ventes GPL et export. Le rapport du T1 2026 (daté du 31 mars 2026) montre une résilience remarquable : malgré une baisse de 10% du CA (99,9 milliards FCFA) due à la révision des prix à la pompe par l'État, le résultat net progresse de 5% à 1,585 milliard FCFA, grâce à une amélioration des marges sur les lubrifiants. On estime que l'exercice 2026 pourrait maintenir un résultat net stable autour de 6,5-7 milliards FCFA si cette tendance se confirme. La société conserve une position dominante avec 140 stations-service et un actionnariat stable (TotalEnergies à 69,1%).</w:t>
      </w:r>
    </w:p>
    <w:p>
      <w:pPr>
        <w:spacing w:after="120" w:line="276" w:lineRule="auto" w:before="240"/>
      </w:pPr>
      <w:r>
        <w:rPr>
          <w:b/>
          <w:color w:val="003366"/>
          <w:sz w:val="24"/>
        </w:rPr>
        <w:t>**PARTIE 4 : CONCLUSION D'INVESTISSEMENT**</w:t>
      </w:r>
    </w:p>
    <w:p>
      <w:pPr>
        <w:spacing w:after="120" w:line="276" w:lineRule="auto"/>
      </w:pPr>
      <w:r>
        <w:t>La valorisation de TTLS (PER 18,5x, P/B 4,45x) apparaît exigeante par rapport aux standards BRVM, intégrant une prime pour la qualité du groupe et sa position dominante. Le comportement du cours sur 100 jours (+17,17%) est haussier mais avec une volatilité élevée (47,7%) qui nécessite une gestion rigoureuse du risque. Les signaux techniques sont mitigés : les moyennes mobiles suggèrent une prudence (Vente) tandis que le MACD reste positif (Achat), créant une divergence qui pourrait se résoudre par une consolidation. Les fondamentaux sont solides avec un ROE de 24%, un BFR négatif favorable et une trésorerie nette positive, malgré une baisse du CA et du résultat net en 2025. Les prédictions IA (J+1 à J+10) anticipent une correction baissière progressive de 3 690 à 3 464 FCFA, contredisant le momentum haussier récent et suggérant une prise de profit à court terme. La convergence entre la valorisation exigeante, les signaux techniques mitigés et les prédictions IA baissières conduit à une recommandation **CONSERVER** avec un niveau de confiance **Moyen**. Le risque global est **Élevé** en raison de la volatilité du titre et de la dépendance aux décisions réglementaires de l'État sénégalais. L'horizon d'investissement optimal est le **moyen terme (3-12 mois)**, permettant d'absorber la volatilité à court terme tout en bénéficiant de la solidité fondamentale de la société et de ses perspectives de croissance dans le GPL et les lubrifiants.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-16.92%</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6.13% (Moyenne) — μ=56,502 FCFA, σ=3,464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β=0.2802 (Défensif) — Cov=0.000010, Var(idx)=0.000037, ρ=0.044,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2026-09-03</w:t>
            </w:r>
          </w:p>
        </w:tc>
        <w:tc>
          <w:tcPr>
            <w:tcW w:type="dxa" w:w="1440"/>
            <w:shd w:fill="C6EFCE" w:val="clear"/>
          </w:tcPr>
          <w:p>
            <w:r>
              <w:rPr>
                <w:sz w:val="17"/>
              </w:rPr>
              <w:t>52,000</w:t>
            </w:r>
          </w:p>
        </w:tc>
        <w:tc>
          <w:tcPr>
            <w:tcW w:type="dxa" w:w="1440"/>
            <w:shd w:fill="C6EFCE" w:val="clear"/>
          </w:tcPr>
          <w:p>
            <w:r>
              <w:rPr>
                <w:b/>
                <w:sz w:val="17"/>
              </w:rPr>
              <w:t>55,368</w:t>
            </w:r>
          </w:p>
        </w:tc>
        <w:tc>
          <w:tcPr>
            <w:tcW w:type="dxa" w:w="1440"/>
            <w:shd w:fill="C6EFCE" w:val="clear"/>
          </w:tcPr>
          <w:p>
            <w:r>
              <w:rPr>
                <w:sz w:val="17"/>
              </w:rPr>
              <w:t>58,737</w:t>
            </w:r>
          </w:p>
        </w:tc>
        <w:tc>
          <w:tcPr>
            <w:tcW w:type="dxa" w:w="1440"/>
            <w:shd w:fill="C6EFCE" w:val="clear"/>
          </w:tcPr>
          <w:p>
            <w:r>
              <w:rPr>
                <w:b/>
                <w:color w:val="008000"/>
                <w:sz w:val="17"/>
              </w:rPr>
              <w:t>+2.5%</w:t>
            </w:r>
          </w:p>
        </w:tc>
      </w:tr>
      <w:tr>
        <w:tc>
          <w:tcPr>
            <w:tcW w:type="dxa" w:w="1440"/>
            <w:shd w:fill="C6EFCE" w:val="clear"/>
          </w:tcPr>
          <w:p>
            <w:r>
              <w:rPr>
                <w:sz w:val="17"/>
              </w:rPr>
              <w:t>J+2  ⭐</w:t>
            </w:r>
          </w:p>
        </w:tc>
        <w:tc>
          <w:tcPr>
            <w:tcW w:type="dxa" w:w="1440"/>
            <w:shd w:fill="C6EFCE" w:val="clear"/>
          </w:tcPr>
          <w:p>
            <w:r>
              <w:rPr>
                <w:sz w:val="17"/>
              </w:rPr>
              <w:t>2026-09-04</w:t>
            </w:r>
          </w:p>
        </w:tc>
        <w:tc>
          <w:tcPr>
            <w:tcW w:type="dxa" w:w="1440"/>
            <w:shd w:fill="C6EFCE" w:val="clear"/>
          </w:tcPr>
          <w:p>
            <w:r>
              <w:rPr>
                <w:sz w:val="17"/>
              </w:rPr>
              <w:t>51,071</w:t>
            </w:r>
          </w:p>
        </w:tc>
        <w:tc>
          <w:tcPr>
            <w:tcW w:type="dxa" w:w="1440"/>
            <w:shd w:fill="C6EFCE" w:val="clear"/>
          </w:tcPr>
          <w:p>
            <w:r>
              <w:rPr>
                <w:b/>
                <w:sz w:val="17"/>
              </w:rPr>
              <w:t>55,878</w:t>
            </w:r>
          </w:p>
        </w:tc>
        <w:tc>
          <w:tcPr>
            <w:tcW w:type="dxa" w:w="1440"/>
            <w:shd w:fill="C6EFCE" w:val="clear"/>
          </w:tcPr>
          <w:p>
            <w:r>
              <w:rPr>
                <w:sz w:val="17"/>
              </w:rPr>
              <w:t>60,686</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2026-09-07</w:t>
            </w:r>
          </w:p>
        </w:tc>
        <w:tc>
          <w:tcPr>
            <w:tcW w:type="dxa" w:w="1440"/>
            <w:shd w:fill="C6EFCE" w:val="clear"/>
          </w:tcPr>
          <w:p>
            <w:r>
              <w:rPr>
                <w:sz w:val="17"/>
              </w:rPr>
              <w:t>50,525</w:t>
            </w:r>
          </w:p>
        </w:tc>
        <w:tc>
          <w:tcPr>
            <w:tcW w:type="dxa" w:w="1440"/>
            <w:shd w:fill="C6EFCE" w:val="clear"/>
          </w:tcPr>
          <w:p>
            <w:r>
              <w:rPr>
                <w:b/>
                <w:sz w:val="17"/>
              </w:rPr>
              <w:t>56,476</w:t>
            </w:r>
          </w:p>
        </w:tc>
        <w:tc>
          <w:tcPr>
            <w:tcW w:type="dxa" w:w="1440"/>
            <w:shd w:fill="C6EFCE" w:val="clear"/>
          </w:tcPr>
          <w:p>
            <w:r>
              <w:rPr>
                <w:sz w:val="17"/>
              </w:rPr>
              <w:t>62,427</w:t>
            </w:r>
          </w:p>
        </w:tc>
        <w:tc>
          <w:tcPr>
            <w:tcW w:type="dxa" w:w="1440"/>
            <w:shd w:fill="C6EFCE" w:val="clear"/>
          </w:tcPr>
          <w:p>
            <w:r>
              <w:rPr>
                <w:b/>
                <w:color w:val="008000"/>
                <w:sz w:val="17"/>
              </w:rPr>
              <w:t>+4.6%</w:t>
            </w:r>
          </w:p>
        </w:tc>
      </w:tr>
      <w:tr>
        <w:tc>
          <w:tcPr>
            <w:tcW w:type="dxa" w:w="1440"/>
            <w:shd w:fill="C6EFCE" w:val="clear"/>
          </w:tcPr>
          <w:p>
            <w:r>
              <w:rPr>
                <w:sz w:val="17"/>
              </w:rPr>
              <w:t>J+4  ⭐</w:t>
            </w:r>
          </w:p>
        </w:tc>
        <w:tc>
          <w:tcPr>
            <w:tcW w:type="dxa" w:w="1440"/>
            <w:shd w:fill="C6EFCE" w:val="clear"/>
          </w:tcPr>
          <w:p>
            <w:r>
              <w:rPr>
                <w:sz w:val="17"/>
              </w:rPr>
              <w:t>2026-09-08</w:t>
            </w:r>
          </w:p>
        </w:tc>
        <w:tc>
          <w:tcPr>
            <w:tcW w:type="dxa" w:w="1440"/>
            <w:shd w:fill="C6EFCE" w:val="clear"/>
          </w:tcPr>
          <w:p>
            <w:r>
              <w:rPr>
                <w:sz w:val="17"/>
              </w:rPr>
              <w:t>50,152</w:t>
            </w:r>
          </w:p>
        </w:tc>
        <w:tc>
          <w:tcPr>
            <w:tcW w:type="dxa" w:w="1440"/>
            <w:shd w:fill="C6EFCE" w:val="clear"/>
          </w:tcPr>
          <w:p>
            <w:r>
              <w:rPr>
                <w:b/>
                <w:sz w:val="17"/>
              </w:rPr>
              <w:t>57,099</w:t>
            </w:r>
          </w:p>
        </w:tc>
        <w:tc>
          <w:tcPr>
            <w:tcW w:type="dxa" w:w="1440"/>
            <w:shd w:fill="C6EFCE" w:val="clear"/>
          </w:tcPr>
          <w:p>
            <w:r>
              <w:rPr>
                <w:sz w:val="17"/>
              </w:rPr>
              <w:t>64,047</w:t>
            </w:r>
          </w:p>
        </w:tc>
        <w:tc>
          <w:tcPr>
            <w:tcW w:type="dxa" w:w="1440"/>
            <w:shd w:fill="C6EFCE" w:val="clear"/>
          </w:tcPr>
          <w:p>
            <w:r>
              <w:rPr>
                <w:b/>
                <w:color w:val="008000"/>
                <w:sz w:val="17"/>
              </w:rPr>
              <w:t>+5.7%</w:t>
            </w:r>
          </w:p>
        </w:tc>
      </w:tr>
      <w:tr>
        <w:tc>
          <w:tcPr>
            <w:tcW w:type="dxa" w:w="1440"/>
            <w:shd w:fill="C6EFCE" w:val="clear"/>
          </w:tcPr>
          <w:p>
            <w:r>
              <w:rPr>
                <w:sz w:val="17"/>
              </w:rPr>
              <w:t>J+5  ⭐</w:t>
            </w:r>
          </w:p>
        </w:tc>
        <w:tc>
          <w:tcPr>
            <w:tcW w:type="dxa" w:w="1440"/>
            <w:shd w:fill="C6EFCE" w:val="clear"/>
          </w:tcPr>
          <w:p>
            <w:r>
              <w:rPr>
                <w:sz w:val="17"/>
              </w:rPr>
              <w:t>2026-09-09</w:t>
            </w:r>
          </w:p>
        </w:tc>
        <w:tc>
          <w:tcPr>
            <w:tcW w:type="dxa" w:w="1440"/>
            <w:shd w:fill="C6EFCE" w:val="clear"/>
          </w:tcPr>
          <w:p>
            <w:r>
              <w:rPr>
                <w:sz w:val="17"/>
              </w:rPr>
              <w:t>49,881</w:t>
            </w:r>
          </w:p>
        </w:tc>
        <w:tc>
          <w:tcPr>
            <w:tcW w:type="dxa" w:w="1440"/>
            <w:shd w:fill="C6EFCE" w:val="clear"/>
          </w:tcPr>
          <w:p>
            <w:r>
              <w:rPr>
                <w:b/>
                <w:sz w:val="17"/>
              </w:rPr>
              <w:t>57,735</w:t>
            </w:r>
          </w:p>
        </w:tc>
        <w:tc>
          <w:tcPr>
            <w:tcW w:type="dxa" w:w="1440"/>
            <w:shd w:fill="C6EFCE" w:val="clear"/>
          </w:tcPr>
          <w:p>
            <w:r>
              <w:rPr>
                <w:sz w:val="17"/>
              </w:rPr>
              <w:t>65,589</w:t>
            </w:r>
          </w:p>
        </w:tc>
        <w:tc>
          <w:tcPr>
            <w:tcW w:type="dxa" w:w="1440"/>
            <w:shd w:fill="C6EFCE" w:val="clear"/>
          </w:tcPr>
          <w:p>
            <w:r>
              <w:rPr>
                <w:b/>
                <w:color w:val="008000"/>
                <w:sz w:val="17"/>
              </w:rPr>
              <w:t>+6.9%</w:t>
            </w:r>
          </w:p>
        </w:tc>
      </w:tr>
      <w:tr>
        <w:tc>
          <w:tcPr>
            <w:tcW w:type="dxa" w:w="1440"/>
            <w:shd w:fill="C6EFCE" w:val="clear"/>
          </w:tcPr>
          <w:p>
            <w:r>
              <w:rPr>
                <w:sz w:val="17"/>
              </w:rPr>
              <w:t>J+6  ⭐</w:t>
            </w:r>
          </w:p>
        </w:tc>
        <w:tc>
          <w:tcPr>
            <w:tcW w:type="dxa" w:w="1440"/>
            <w:shd w:fill="C6EFCE" w:val="clear"/>
          </w:tcPr>
          <w:p>
            <w:r>
              <w:rPr>
                <w:sz w:val="17"/>
              </w:rPr>
              <w:t>2026-09-10</w:t>
            </w:r>
          </w:p>
        </w:tc>
        <w:tc>
          <w:tcPr>
            <w:tcW w:type="dxa" w:w="1440"/>
            <w:shd w:fill="C6EFCE" w:val="clear"/>
          </w:tcPr>
          <w:p>
            <w:r>
              <w:rPr>
                <w:sz w:val="17"/>
              </w:rPr>
              <w:t>49,678</w:t>
            </w:r>
          </w:p>
        </w:tc>
        <w:tc>
          <w:tcPr>
            <w:tcW w:type="dxa" w:w="1440"/>
            <w:shd w:fill="C6EFCE" w:val="clear"/>
          </w:tcPr>
          <w:p>
            <w:r>
              <w:rPr>
                <w:b/>
                <w:sz w:val="17"/>
              </w:rPr>
              <w:t>58,378</w:t>
            </w:r>
          </w:p>
        </w:tc>
        <w:tc>
          <w:tcPr>
            <w:tcW w:type="dxa" w:w="1440"/>
            <w:shd w:fill="C6EFCE" w:val="clear"/>
          </w:tcPr>
          <w:p>
            <w:r>
              <w:rPr>
                <w:sz w:val="17"/>
              </w:rPr>
              <w:t>67,077</w:t>
            </w:r>
          </w:p>
        </w:tc>
        <w:tc>
          <w:tcPr>
            <w:tcW w:type="dxa" w:w="1440"/>
            <w:shd w:fill="C6EFCE" w:val="clear"/>
          </w:tcPr>
          <w:p>
            <w:r>
              <w:rPr>
                <w:b/>
                <w:color w:val="008000"/>
                <w:sz w:val="17"/>
              </w:rPr>
              <w:t>+8.1%</w:t>
            </w:r>
          </w:p>
        </w:tc>
      </w:tr>
      <w:tr>
        <w:tc>
          <w:tcPr>
            <w:tcW w:type="dxa" w:w="1440"/>
            <w:shd w:fill="C6EFCE" w:val="clear"/>
          </w:tcPr>
          <w:p>
            <w:r>
              <w:rPr>
                <w:sz w:val="17"/>
              </w:rPr>
              <w:t>J+7  ⭐</w:t>
            </w:r>
          </w:p>
        </w:tc>
        <w:tc>
          <w:tcPr>
            <w:tcW w:type="dxa" w:w="1440"/>
            <w:shd w:fill="C6EFCE" w:val="clear"/>
          </w:tcPr>
          <w:p>
            <w:r>
              <w:rPr>
                <w:sz w:val="17"/>
              </w:rPr>
              <w:t>2026-09-11</w:t>
            </w:r>
          </w:p>
        </w:tc>
        <w:tc>
          <w:tcPr>
            <w:tcW w:type="dxa" w:w="1440"/>
            <w:shd w:fill="C6EFCE" w:val="clear"/>
          </w:tcPr>
          <w:p>
            <w:r>
              <w:rPr>
                <w:sz w:val="17"/>
              </w:rPr>
              <w:t>49,524</w:t>
            </w:r>
          </w:p>
        </w:tc>
        <w:tc>
          <w:tcPr>
            <w:tcW w:type="dxa" w:w="1440"/>
            <w:shd w:fill="C6EFCE" w:val="clear"/>
          </w:tcPr>
          <w:p>
            <w:r>
              <w:rPr>
                <w:b/>
                <w:sz w:val="17"/>
              </w:rPr>
              <w:t>59,025</w:t>
            </w:r>
          </w:p>
        </w:tc>
        <w:tc>
          <w:tcPr>
            <w:tcW w:type="dxa" w:w="1440"/>
            <w:shd w:fill="C6EFCE" w:val="clear"/>
          </w:tcPr>
          <w:p>
            <w:r>
              <w:rPr>
                <w:sz w:val="17"/>
              </w:rPr>
              <w:t>68,525</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2026-09-14</w:t>
            </w:r>
          </w:p>
        </w:tc>
        <w:tc>
          <w:tcPr>
            <w:tcW w:type="dxa" w:w="1440"/>
            <w:shd w:fill="C6EFCE" w:val="clear"/>
          </w:tcPr>
          <w:p>
            <w:r>
              <w:rPr>
                <w:sz w:val="17"/>
              </w:rPr>
              <w:t>49,407</w:t>
            </w:r>
          </w:p>
        </w:tc>
        <w:tc>
          <w:tcPr>
            <w:tcW w:type="dxa" w:w="1440"/>
            <w:shd w:fill="C6EFCE" w:val="clear"/>
          </w:tcPr>
          <w:p>
            <w:r>
              <w:rPr>
                <w:b/>
                <w:sz w:val="17"/>
              </w:rPr>
              <w:t>59,676</w:t>
            </w:r>
          </w:p>
        </w:tc>
        <w:tc>
          <w:tcPr>
            <w:tcW w:type="dxa" w:w="1440"/>
            <w:shd w:fill="C6EFCE" w:val="clear"/>
          </w:tcPr>
          <w:p>
            <w:r>
              <w:rPr>
                <w:sz w:val="17"/>
              </w:rPr>
              <w:t>69,944</w:t>
            </w:r>
          </w:p>
        </w:tc>
        <w:tc>
          <w:tcPr>
            <w:tcW w:type="dxa" w:w="1440"/>
            <w:shd w:fill="C6EFCE" w:val="clear"/>
          </w:tcPr>
          <w:p>
            <w:r>
              <w:rPr>
                <w:b/>
                <w:color w:val="008000"/>
                <w:sz w:val="17"/>
              </w:rPr>
              <w:t>+10.5%</w:t>
            </w:r>
          </w:p>
        </w:tc>
      </w:tr>
      <w:tr>
        <w:tc>
          <w:tcPr>
            <w:tcW w:type="dxa" w:w="1440"/>
            <w:shd w:fill="C6EFCE" w:val="clear"/>
          </w:tcPr>
          <w:p>
            <w:r>
              <w:rPr>
                <w:sz w:val="17"/>
              </w:rPr>
              <w:t>J+9  ⭐</w:t>
            </w:r>
          </w:p>
        </w:tc>
        <w:tc>
          <w:tcPr>
            <w:tcW w:type="dxa" w:w="1440"/>
            <w:shd w:fill="C6EFCE" w:val="clear"/>
          </w:tcPr>
          <w:p>
            <w:r>
              <w:rPr>
                <w:sz w:val="17"/>
              </w:rPr>
              <w:t>2026-09-15</w:t>
            </w:r>
          </w:p>
        </w:tc>
        <w:tc>
          <w:tcPr>
            <w:tcW w:type="dxa" w:w="1440"/>
            <w:shd w:fill="C6EFCE" w:val="clear"/>
          </w:tcPr>
          <w:p>
            <w:r>
              <w:rPr>
                <w:sz w:val="17"/>
              </w:rPr>
              <w:t>49,319</w:t>
            </w:r>
          </w:p>
        </w:tc>
        <w:tc>
          <w:tcPr>
            <w:tcW w:type="dxa" w:w="1440"/>
            <w:shd w:fill="C6EFCE" w:val="clear"/>
          </w:tcPr>
          <w:p>
            <w:r>
              <w:rPr>
                <w:b/>
                <w:sz w:val="17"/>
              </w:rPr>
              <w:t>60,330</w:t>
            </w:r>
          </w:p>
        </w:tc>
        <w:tc>
          <w:tcPr>
            <w:tcW w:type="dxa" w:w="1440"/>
            <w:shd w:fill="C6EFCE" w:val="clear"/>
          </w:tcPr>
          <w:p>
            <w:r>
              <w:rPr>
                <w:sz w:val="17"/>
              </w:rPr>
              <w:t>71,340</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2026-09-16</w:t>
            </w:r>
          </w:p>
        </w:tc>
        <w:tc>
          <w:tcPr>
            <w:tcW w:type="dxa" w:w="1440"/>
            <w:shd w:fill="C6EFCE" w:val="clear"/>
          </w:tcPr>
          <w:p>
            <w:r>
              <w:rPr>
                <w:sz w:val="17"/>
              </w:rPr>
              <w:t>49,253</w:t>
            </w:r>
          </w:p>
        </w:tc>
        <w:tc>
          <w:tcPr>
            <w:tcW w:type="dxa" w:w="1440"/>
            <w:shd w:fill="C6EFCE" w:val="clear"/>
          </w:tcPr>
          <w:p>
            <w:r>
              <w:rPr>
                <w:b/>
                <w:sz w:val="17"/>
              </w:rPr>
              <w:t>60,986</w:t>
            </w:r>
          </w:p>
        </w:tc>
        <w:tc>
          <w:tcPr>
            <w:tcW w:type="dxa" w:w="1440"/>
            <w:shd w:fill="C6EFCE" w:val="clear"/>
          </w:tcPr>
          <w:p>
            <w:r>
              <w:rPr>
                <w:sz w:val="17"/>
              </w:rPr>
              <w:t>72,718</w:t>
            </w:r>
          </w:p>
        </w:tc>
        <w:tc>
          <w:tcPr>
            <w:tcW w:type="dxa" w:w="1440"/>
            <w:shd w:fill="C6EFCE" w:val="clear"/>
          </w:tcPr>
          <w:p>
            <w:r>
              <w:rPr>
                <w:b/>
                <w:color w:val="008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495,90 milliards FCFA, ce qui positionne la société parmi les valeurs moyennes du marché BRVM, avec un poids significatif dans l'indice composite. Les ratios de valorisation (BPA, PER, P/B, EV/EBITDA) ne sont pas calculables en raison de l'absence de données financières structurées récentes dans la base. Cette situation est principalement due à la publication tardive des états financiers et à la structure de bilan complexe de la société, marquée par des capitaux propres négatifs sur les derniers exercices connus. L'absence de ces indicateurs clés prive l'investisseur d'une mesure directe de la cherté du titre par rapport à ses bénéfices, un manque qui doit être compensé par une analyse approfondie des rapports fondamentaux disponibles et de la trajectoire de redressement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UNLC a enregistré une dépréciation notable de -16,92%, avec une dernière séance en baisse de -1,10%, clôturant à 54 000 FCFA. Le cours a évolué dans un range de trading large, oscillant entre un plus bas de 50 000 FCFA et un plus haut de 69 005 FCFA, illustrant une volatilité intraday marquée. La moyenne du cours sur la période est de 56 502 FCFA, légèrement supérieure à la médiane (56 100 FCFA), indiquant une distribution quasi symétrique avec un skewness positif de 0,604, signifiant que les journées sous la moyenne ont été plus fréquentes mais de moindre ampleur. L'écart-type de 3 482 FCFA (CV=6,2%) révèle une dispersion modérée, tandis que le kurtosis de 0,856 suggère une distribution mésokurtique, proche de la normale. La volatilité annualisée de 61,6% est extrêmement élevée, classant UNLC comme un actif à risque majeur, nécessitant une gestion rigoureuse du risque pour tout investisseur.</w:t>
      </w:r>
    </w:p>
    <w:p>
      <w:pPr>
        <w:spacing w:after="120" w:line="276" w:lineRule="auto" w:before="240"/>
      </w:pPr>
      <w:r>
        <w:rPr>
          <w:b/>
          <w:color w:val="003366"/>
          <w:sz w:val="24"/>
        </w:rPr>
        <w:t>**PARTIE 2 : ANALYSE TECHNIQUE DÉTAILLÉE**</w:t>
      </w:r>
    </w:p>
    <w:p>
      <w:pPr>
        <w:spacing w:after="120" w:line="276" w:lineRule="auto"/>
      </w:pPr>
      <w:r>
        <w:t>Les **Moyennes Mobiles** (MM20=54 345,5 et MM50=54 154,8) sont toutes deux inférieures au cours actuel de 54 000 FCFA, bien que le prix soit marginalement sous la MM20. La convergence des deux moyennes autour de 54 000 FCFA suggère une phase de consolidation, mais le signal d'achat généré par leur positionnement relatif est fragile, indiquant un marché en équilibre précaire qui pourrait basculer selon les volumes échangés.</w:t>
      </w:r>
    </w:p>
    <w:p>
      <w:pPr>
        <w:spacing w:after="120" w:line="276" w:lineRule="auto"/>
      </w:pPr>
      <w:r>
        <w:t>Les **Bandes de Bollinger** (borne supérieure à 58 685, borne inférieure à 50 006) montrent un cours positionné dans la moitié inférieure de l'enveloppe, à 54 000 FCFA. La largeur des bandes reflète la volatilité élevée du titre. La décision neutre est justifiée par l'absence de contact avec les bornes extrêmes, le prix évoluant dans une zone de confort relative, sans signal clair de surachat ou de survente à court terme.</w:t>
      </w:r>
    </w:p>
    <w:p>
      <w:pPr>
        <w:spacing w:after="120" w:line="276" w:lineRule="auto"/>
      </w:pPr>
      <w:r>
        <w:t>Le **MACD** affiche une valeur négative de -53,125, inférieure à sa ligne de signal à 18,806, générant un signal de vente. Cette configuration indique un momentum baissier persistant, avec une divergence négative entre la ligne MACD et le signal, suggérant que la pression vendeuse reste dominante malgré les tentatives de rebond récentes. Ce signal technique contraste avec la décision d'achat des moyennes mobiles, créant une ambiguïté pour l'analyste.</w:t>
      </w:r>
    </w:p>
    <w:p>
      <w:pPr>
        <w:spacing w:after="120" w:line="276" w:lineRule="auto"/>
      </w:pPr>
      <w:r>
        <w:t>Le **RSI** à 48,572 se situe en zone neutre, entre 30 et 70, indiquant un équilibre entre les forces acheteuses et vendeuses. Cette valeur ne montre ni surachat ni survente, laissant présager une poursuite de la consolidation à court terme. Le RSI ne fournit donc pas de signal directionnel fort, confirmant l'absence de momentum clair sur le titre.</w:t>
      </w:r>
    </w:p>
    <w:p>
      <w:pPr>
        <w:spacing w:after="120" w:line="276" w:lineRule="auto"/>
      </w:pPr>
      <w:r>
        <w:t>Le **Stochastique** (%K=33,333, %D=41,111) montre le %K sous le %D, indiquant une dynamique baissière en cours. Le %K sous la barre des 50 renforce cette lecture, bien que les valeurs ne soient pas en territoire de survente extrême. La décision neutre reflète un marché en phase de correction modérée, sans signal de retournement imminent.</w:t>
      </w:r>
    </w:p>
    <w:p>
      <w:pPr>
        <w:spacing w:after="120" w:line="276" w:lineRule="auto"/>
      </w:pPr>
      <w:r>
        <w:t>En conclusion technique, la convergence des indicateurs est mitigée : les moyennes mobiles suggèrent un achat timide, tandis que le MACD et le Stochastique penchent vers une poursuite de la baisse. Le RSI et les Bandes de Bollinger restent neutres, créant un tableau technique contrasté. Cette divergence de signaux recommande une approche prudente, en attendant une clarification directionnelle du marché.</w:t>
      </w:r>
    </w:p>
    <w:p>
      <w:pPr>
        <w:spacing w:after="120" w:line="276" w:lineRule="auto" w:before="240"/>
      </w:pPr>
      <w:r>
        <w:rPr>
          <w:b/>
          <w:color w:val="003366"/>
          <w:sz w:val="24"/>
        </w:rPr>
        <w:t>**PARTIE 3 : ANALYSE FONDAMENTALE (SECTION CRITIQUE)**</w:t>
      </w:r>
    </w:p>
    <w:p>
      <w:pPr>
        <w:spacing w:after="120" w:line="276" w:lineRule="auto"/>
      </w:pPr>
      <w:r>
        <w:t>Les rapports financiers disponibles, bien qu'anciens (datant de 2022 et 2023), fournissent des informations cruciales sur la trajectoire d'UNLC. En 2023, le chiffre d'affaires s'établit à 24,336 milliards FCFA, stable par rapport à 2022, mais le résultat net s'améliore nettement, passant d'une perte de 6,908 milliards FCFA en 2022 à un bénéfice modeste de 640 millions FCFA en 2023, soit une marge nette de 2,63%. Le rapport de 2023 souligne un retour à un résultat d'exploitation positif de 3,340 milliards FCFA, après une perte opérationnelle de 6,258 milliards en 2022, grâce à une réduction des charges et une meilleure gestion des stocks. Cependant, les capitaux propres restent négatifs à -10,658 milliards FCFA, et la dette financière s'élève à 4,379 milliards FCFA, indiquant une structure financière fragile. Le rapport 2022 (provisoire) mentionne un CA de 36,17 milliards FCFA, mais ce chiffre inclut l'activité thé cédée fin 2021, expliquant la baisse du CA en 2023. La politique de dividende est nulle sur ces exercices, la priorité étant donnée à la reconstitution des capitaux propres. Les estimations pour 2024-2025, basées sur l'amélioration opérationnelle de 2023, suggèrent une poursuite du redressement, mais la prudence reste de mise face à l'endettement et à la concurrence accrue dans le secteur FMCG.</w:t>
      </w:r>
    </w:p>
    <w:p>
      <w:pPr>
        <w:spacing w:after="120" w:line="276" w:lineRule="auto" w:before="240"/>
      </w:pPr>
      <w:r>
        <w:rPr>
          <w:b/>
          <w:color w:val="003366"/>
          <w:sz w:val="24"/>
        </w:rPr>
        <w:t>**PARTIE 4 : CONCLUSION D'INVESTISSEMENT**</w:t>
      </w:r>
    </w:p>
    <w:p>
      <w:pPr>
        <w:spacing w:after="120" w:line="276" w:lineRule="auto"/>
      </w:pPr>
      <w:r>
        <w:t>La valorisation d'UNLC ne peut être évaluée par les ratios traditionnels (PER, P/B) faute de données récentes, mais la capitalisation de 495,9 milliards FCFA semble élevée au regard des capitaux propres négatifs et des bénéfices modestes. Le comportement du cours sur 100 jours est préoccupant avec une baisse de 16,92%, une volatilité annualisée de 61,6% et une distribution des rendements asymétrique positive, indiquant un risque élevé. Les signaux techniques sont divergents : les moyennes mobiles suggèrent un achat, mais le MACD et le Stochastique penchent pour une vente, créant une incertitude. Fondamentalement, la société montre des signes de redressement en 2023 (retour au bénéfice), mais sa structure financière reste fragile avec des capitaux propres négatifs. Les prédictions IA pour les 10 prochains jours (55 368 à 57 735 FCFA) anticipent une hausse modérée de 2,5% à 6,9%, contredisant les signaux techniques baissiers à court terme. En synthèse, la convergence est faible entre les signaux, mais la trajectoire de redressement fondamental et les prédictions IA positives suggèrent une stabilisation. **Recommandation : CONSERVER**, avec un niveau de confiance Moyen et un risque global Élevé. L'horizon d'investissement optimal serait de moyen terme (3-12 mois), en surveillant attentivement les prochains résultats annuels pour confirmer la solidité du redressement.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50.84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13,153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+26.61%</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12.61% (Moyenne) — μ=1,910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β=0.0104 (Défensif) — Cov=0.000000, Var(idx)=0.000036,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13,153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2026-09-03</w:t>
            </w:r>
          </w:p>
        </w:tc>
        <w:tc>
          <w:tcPr>
            <w:tcW w:type="dxa" w:w="1440"/>
            <w:shd w:fill="FAFAFA" w:val="clear"/>
          </w:tcPr>
          <w:p>
            <w:r>
              <w:rPr>
                <w:sz w:val="17"/>
              </w:rPr>
              <w:t>2,302</w:t>
            </w:r>
          </w:p>
        </w:tc>
        <w:tc>
          <w:tcPr>
            <w:tcW w:type="dxa" w:w="1440"/>
            <w:shd w:fill="FAFAFA" w:val="clear"/>
          </w:tcPr>
          <w:p>
            <w:r>
              <w:rPr>
                <w:b/>
                <w:sz w:val="17"/>
              </w:rPr>
              <w:t>2,410</w:t>
            </w:r>
          </w:p>
        </w:tc>
        <w:tc>
          <w:tcPr>
            <w:tcW w:type="dxa" w:w="1440"/>
            <w:shd w:fill="FAFAFA" w:val="clear"/>
          </w:tcPr>
          <w:p>
            <w:r>
              <w:rPr>
                <w:sz w:val="17"/>
              </w:rPr>
              <w:t>2,518</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2026-09-04</w:t>
            </w:r>
          </w:p>
        </w:tc>
        <w:tc>
          <w:tcPr>
            <w:tcW w:type="dxa" w:w="1440"/>
            <w:shd w:fill="FFDCE0" w:val="clear"/>
          </w:tcPr>
          <w:p>
            <w:r>
              <w:rPr>
                <w:sz w:val="17"/>
              </w:rPr>
              <w:t>2,244</w:t>
            </w:r>
          </w:p>
        </w:tc>
        <w:tc>
          <w:tcPr>
            <w:tcW w:type="dxa" w:w="1440"/>
            <w:shd w:fill="FFDCE0" w:val="clear"/>
          </w:tcPr>
          <w:p>
            <w:r>
              <w:rPr>
                <w:b/>
                <w:sz w:val="17"/>
              </w:rPr>
              <w:t>2,396</w:t>
            </w:r>
          </w:p>
        </w:tc>
        <w:tc>
          <w:tcPr>
            <w:tcW w:type="dxa" w:w="1440"/>
            <w:shd w:fill="FFDCE0" w:val="clear"/>
          </w:tcPr>
          <w:p>
            <w:r>
              <w:rPr>
                <w:sz w:val="17"/>
              </w:rPr>
              <w:t>2,548</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2026-09-07</w:t>
            </w:r>
          </w:p>
        </w:tc>
        <w:tc>
          <w:tcPr>
            <w:tcW w:type="dxa" w:w="1440"/>
            <w:shd w:fill="FFDCE0" w:val="clear"/>
          </w:tcPr>
          <w:p>
            <w:r>
              <w:rPr>
                <w:sz w:val="17"/>
              </w:rPr>
              <w:t>2,195</w:t>
            </w:r>
          </w:p>
        </w:tc>
        <w:tc>
          <w:tcPr>
            <w:tcW w:type="dxa" w:w="1440"/>
            <w:shd w:fill="FFDCE0" w:val="clear"/>
          </w:tcPr>
          <w:p>
            <w:r>
              <w:rPr>
                <w:b/>
                <w:sz w:val="17"/>
              </w:rPr>
              <w:t>2,381</w:t>
            </w:r>
          </w:p>
        </w:tc>
        <w:tc>
          <w:tcPr>
            <w:tcW w:type="dxa" w:w="1440"/>
            <w:shd w:fill="FFDCE0" w:val="clear"/>
          </w:tcPr>
          <w:p>
            <w:r>
              <w:rPr>
                <w:sz w:val="17"/>
              </w:rPr>
              <w:t>2,566</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2026-09-08</w:t>
            </w:r>
          </w:p>
        </w:tc>
        <w:tc>
          <w:tcPr>
            <w:tcW w:type="dxa" w:w="1440"/>
            <w:shd w:fill="FFDCE0" w:val="clear"/>
          </w:tcPr>
          <w:p>
            <w:r>
              <w:rPr>
                <w:sz w:val="17"/>
              </w:rPr>
              <w:t>2,153</w:t>
            </w:r>
          </w:p>
        </w:tc>
        <w:tc>
          <w:tcPr>
            <w:tcW w:type="dxa" w:w="1440"/>
            <w:shd w:fill="FFDCE0" w:val="clear"/>
          </w:tcPr>
          <w:p>
            <w:r>
              <w:rPr>
                <w:b/>
                <w:sz w:val="17"/>
              </w:rPr>
              <w:t>2,366</w:t>
            </w:r>
          </w:p>
        </w:tc>
        <w:tc>
          <w:tcPr>
            <w:tcW w:type="dxa" w:w="1440"/>
            <w:shd w:fill="FFDCE0" w:val="clear"/>
          </w:tcPr>
          <w:p>
            <w:r>
              <w:rPr>
                <w:sz w:val="17"/>
              </w:rPr>
              <w:t>2,578</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2026-09-09</w:t>
            </w:r>
          </w:p>
        </w:tc>
        <w:tc>
          <w:tcPr>
            <w:tcW w:type="dxa" w:w="1440"/>
            <w:shd w:fill="FFDCE0" w:val="clear"/>
          </w:tcPr>
          <w:p>
            <w:r>
              <w:rPr>
                <w:sz w:val="17"/>
              </w:rPr>
              <w:t>2,115</w:t>
            </w:r>
          </w:p>
        </w:tc>
        <w:tc>
          <w:tcPr>
            <w:tcW w:type="dxa" w:w="1440"/>
            <w:shd w:fill="FFDCE0" w:val="clear"/>
          </w:tcPr>
          <w:p>
            <w:r>
              <w:rPr>
                <w:b/>
                <w:sz w:val="17"/>
              </w:rPr>
              <w:t>2,351</w:t>
            </w:r>
          </w:p>
        </w:tc>
        <w:tc>
          <w:tcPr>
            <w:tcW w:type="dxa" w:w="1440"/>
            <w:shd w:fill="FFDCE0" w:val="clear"/>
          </w:tcPr>
          <w:p>
            <w:r>
              <w:rPr>
                <w:sz w:val="17"/>
              </w:rPr>
              <w:t>2,587</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2026-09-10</w:t>
            </w:r>
          </w:p>
        </w:tc>
        <w:tc>
          <w:tcPr>
            <w:tcW w:type="dxa" w:w="1440"/>
            <w:shd w:fill="FFDCE0" w:val="clear"/>
          </w:tcPr>
          <w:p>
            <w:r>
              <w:rPr>
                <w:sz w:val="17"/>
              </w:rPr>
              <w:t>2,080</w:t>
            </w:r>
          </w:p>
        </w:tc>
        <w:tc>
          <w:tcPr>
            <w:tcW w:type="dxa" w:w="1440"/>
            <w:shd w:fill="FFDCE0" w:val="clear"/>
          </w:tcPr>
          <w:p>
            <w:r>
              <w:rPr>
                <w:b/>
                <w:sz w:val="17"/>
              </w:rPr>
              <w:t>2,337</w:t>
            </w:r>
          </w:p>
        </w:tc>
        <w:tc>
          <w:tcPr>
            <w:tcW w:type="dxa" w:w="1440"/>
            <w:shd w:fill="FFDCE0" w:val="clear"/>
          </w:tcPr>
          <w:p>
            <w:r>
              <w:rPr>
                <w:sz w:val="17"/>
              </w:rPr>
              <w:t>2,594</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2026-09-11</w:t>
            </w:r>
          </w:p>
        </w:tc>
        <w:tc>
          <w:tcPr>
            <w:tcW w:type="dxa" w:w="1440"/>
            <w:shd w:fill="FFDCE0" w:val="clear"/>
          </w:tcPr>
          <w:p>
            <w:r>
              <w:rPr>
                <w:sz w:val="17"/>
              </w:rPr>
              <w:t>2,047</w:t>
            </w:r>
          </w:p>
        </w:tc>
        <w:tc>
          <w:tcPr>
            <w:tcW w:type="dxa" w:w="1440"/>
            <w:shd w:fill="FFDCE0" w:val="clear"/>
          </w:tcPr>
          <w:p>
            <w:r>
              <w:rPr>
                <w:b/>
                <w:sz w:val="17"/>
              </w:rPr>
              <w:t>2,323</w:t>
            </w:r>
          </w:p>
        </w:tc>
        <w:tc>
          <w:tcPr>
            <w:tcW w:type="dxa" w:w="1440"/>
            <w:shd w:fill="FFDCE0" w:val="clear"/>
          </w:tcPr>
          <w:p>
            <w:r>
              <w:rPr>
                <w:sz w:val="17"/>
              </w:rPr>
              <w:t>2,599</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2026-09-14</w:t>
            </w:r>
          </w:p>
        </w:tc>
        <w:tc>
          <w:tcPr>
            <w:tcW w:type="dxa" w:w="1440"/>
            <w:shd w:fill="FFDCE0" w:val="clear"/>
          </w:tcPr>
          <w:p>
            <w:r>
              <w:rPr>
                <w:sz w:val="17"/>
              </w:rPr>
              <w:t>2,016</w:t>
            </w:r>
          </w:p>
        </w:tc>
        <w:tc>
          <w:tcPr>
            <w:tcW w:type="dxa" w:w="1440"/>
            <w:shd w:fill="FFDCE0" w:val="clear"/>
          </w:tcPr>
          <w:p>
            <w:r>
              <w:rPr>
                <w:b/>
                <w:sz w:val="17"/>
              </w:rPr>
              <w:t>2,309</w:t>
            </w:r>
          </w:p>
        </w:tc>
        <w:tc>
          <w:tcPr>
            <w:tcW w:type="dxa" w:w="1440"/>
            <w:shd w:fill="FFDCE0" w:val="clear"/>
          </w:tcPr>
          <w:p>
            <w:r>
              <w:rPr>
                <w:sz w:val="17"/>
              </w:rPr>
              <w:t>2,602</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2026-09-15</w:t>
            </w:r>
          </w:p>
        </w:tc>
        <w:tc>
          <w:tcPr>
            <w:tcW w:type="dxa" w:w="1440"/>
            <w:shd w:fill="FFDCE0" w:val="clear"/>
          </w:tcPr>
          <w:p>
            <w:r>
              <w:rPr>
                <w:sz w:val="17"/>
              </w:rPr>
              <w:t>1,986</w:t>
            </w:r>
          </w:p>
        </w:tc>
        <w:tc>
          <w:tcPr>
            <w:tcW w:type="dxa" w:w="1440"/>
            <w:shd w:fill="FFDCE0" w:val="clear"/>
          </w:tcPr>
          <w:p>
            <w:r>
              <w:rPr>
                <w:b/>
                <w:sz w:val="17"/>
              </w:rPr>
              <w:t>2,295</w:t>
            </w:r>
          </w:p>
        </w:tc>
        <w:tc>
          <w:tcPr>
            <w:tcW w:type="dxa" w:w="1440"/>
            <w:shd w:fill="FFDCE0" w:val="clear"/>
          </w:tcPr>
          <w:p>
            <w:r>
              <w:rPr>
                <w:sz w:val="17"/>
              </w:rPr>
              <w:t>2,605</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2026-09-16</w:t>
            </w:r>
          </w:p>
        </w:tc>
        <w:tc>
          <w:tcPr>
            <w:tcW w:type="dxa" w:w="1440"/>
            <w:shd w:fill="FFDCE0" w:val="clear"/>
          </w:tcPr>
          <w:p>
            <w:r>
              <w:rPr>
                <w:sz w:val="17"/>
              </w:rPr>
              <w:t>1,958</w:t>
            </w:r>
          </w:p>
        </w:tc>
        <w:tc>
          <w:tcPr>
            <w:tcW w:type="dxa" w:w="1440"/>
            <w:shd w:fill="FFDCE0" w:val="clear"/>
          </w:tcPr>
          <w:p>
            <w:r>
              <w:rPr>
                <w:b/>
                <w:sz w:val="17"/>
              </w:rPr>
              <w:t>2,282</w:t>
            </w:r>
          </w:p>
        </w:tc>
        <w:tc>
          <w:tcPr>
            <w:tcW w:type="dxa" w:w="1440"/>
            <w:shd w:fill="FFDCE0" w:val="clear"/>
          </w:tcPr>
          <w:p>
            <w:r>
              <w:rPr>
                <w:sz w:val="17"/>
              </w:rPr>
              <w:t>2,606</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50,84 milliards FCFA, un niveau qui la positionne comme une valeur de taille moyenne sur la BRVM. Le BPA est négatif à -105 FCFA, ce qui reflète la perte nette de 2,189 milliards FCFA enregistrée en 2024. Par conséquent, le PER est négatif (-23,2x), indiquant que les investisseurs ne peuvent pas valoriser la société sur la base de ses bénéfices actuels, mais plutôt sur ses actifs et son potentiel de redressement. Le P/B de 3,26x est nettement supérieur à la moyenne du marché, signifiant que le marché valorise fortement les capitaux propres (15,591 Mds FCFA) en anticipant une amélioration future de la rentabilité. Cette prime de croissance est spéculative et reflète les attentes liées à la restructuration en cours, plutôt qu'à la performance financière actuelle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+26,61%, avec un cours actuel de 2 450 FCFA, proche de son plus haut sur la période (2 495 FCFA) et très éloigné de son plus bas (1 250 FCFA). Cette tendance haussière marquée s'est faite sur un volume moyen de 13 153 titres par jour. La moyenne (1 910 FCFA) et la médiane (1 900 FCFA) sont quasi identiques, indiquant une distribution symétrique des cours, confirmée par un skewness de 0,271. L'écart-type de 242 FCFA (CV = 12,7%) montre une dispersion modérée autour de la moyenne. Le kurtosis de 1,546 signale une distribution leptokurtique, suggérant un risque de mouvements extrêmes (pics de volatilité). La volatilité annualisée de 50,8% est très élevée, classant UNXC comme un titre à haut risque, typique des valeurs en phase de retournement ou de spéculation intense.</w:t>
      </w:r>
    </w:p>
    <w:p>
      <w:pPr>
        <w:spacing w:after="120" w:line="276" w:lineRule="auto" w:before="240"/>
      </w:pPr>
      <w:r>
        <w:rPr>
          <w:b/>
          <w:color w:val="003366"/>
          <w:sz w:val="24"/>
        </w:rPr>
        <w:t>**PARTIE 2 : ANALYSE TECHNIQUE DÉTAILLÉE**</w:t>
      </w:r>
    </w:p>
    <w:p>
      <w:pPr>
        <w:spacing w:after="120" w:line="276" w:lineRule="auto"/>
      </w:pPr>
      <w:r>
        <w:t>**Moyennes Mobiles** : Le cours actuel (2 450 FCFA) est nettement au-dessus de la MM20 (2 210,75 FCFA) et de la MM50 (1 931,3 FCFA), avec un écart croissant. Cette configuration haussière confirme la dynamique positive et la tendance de fond, justifiant la décision d'achat. Cependant, l'écart important entre le prix et les moyennes suggère une possible consolidation à court terme.</w:t>
      </w:r>
    </w:p>
    <w:p>
      <w:pPr>
        <w:spacing w:after="120" w:line="276" w:lineRule="auto"/>
      </w:pPr>
      <w:r>
        <w:t>**Bandes de Bollinger** : Le cours se situe à 2 450 FCFA, entre la borne supérieure (2 723,23 FCFA) et la borne inférieure (1 698,27 FCFA), mais plus proche de la borne haute. La largeur des bandes reflète la forte volatilité du titre. La décision "Neutre" indique que le prix n'a pas encore touché les extrêmes, mais la pression acheteuse reste présente.</w:t>
      </w:r>
    </w:p>
    <w:p>
      <w:pPr>
        <w:spacing w:after="120" w:line="276" w:lineRule="auto"/>
      </w:pPr>
      <w:r>
        <w:t>**MACD** : La valeur du MACD (163,51) est supérieure à son signal (153,12), confirmant un momentum haussier. La divergence positive suggère que la tendance haussière est toujours soutenue par les flux acheteurs, justifiant la décision d'achat. Néanmoins, l'écart relativement faible entre les deux lignes pourrait signaler un essoufflement progressif du momentum.</w:t>
      </w:r>
    </w:p>
    <w:p>
      <w:pPr>
        <w:spacing w:after="120" w:line="276" w:lineRule="auto"/>
      </w:pPr>
      <w:r>
        <w:t>**RSI** : Le RSI est à 84,77, bien au-dessus du seuil de surachat (70). Cette valeur extrême indique que le titre est fortement suracheté et qu'un retournement technique est probable à court terme. La décision de vente est justifiée par ce niveau extrême, qui suggère une correction imminente.</w:t>
      </w:r>
    </w:p>
    <w:p>
      <w:pPr>
        <w:spacing w:after="120" w:line="276" w:lineRule="auto"/>
      </w:pPr>
      <w:r>
        <w:t>**Stochastique** : Le %K (91,89) et le %D (91,58) sont tous deux dans la zone de surachat (&gt;80). Leur niveau très élevé et leur quasi-égalité indiquent que la dynamique haussière s'essouffle, avec un risque de croisement baissier. La décision de vente est cohérente avec ces signaux de surachat extrême.</w:t>
      </w:r>
    </w:p>
    <w:p>
      <w:pPr>
        <w:spacing w:after="120" w:line="276" w:lineRule="auto"/>
      </w:pPr>
      <w:r>
        <w:t>**Conclusion technique** : Les indicateurs de tendance (MM, MACD) sont haussiers, mais les oscillateurs (RSI, Stochastique) sont en zone de surachat extrême, signalant une correction probable. Le prix est proche de ses plus hauts, mais la pression vendeuse technique augmente. La prudence est recommandée à court terme malgré la tendance de fond positive.</w:t>
      </w:r>
    </w:p>
    <w:p>
      <w:pPr>
        <w:spacing w:after="120" w:line="276" w:lineRule="auto" w:before="240"/>
      </w:pPr>
      <w:r>
        <w:rPr>
          <w:b/>
          <w:color w:val="003366"/>
          <w:sz w:val="24"/>
        </w:rPr>
        <w:t>**PARTIE 3 : ANALYSE FONDAMENTALE (SECTION CRITIQUE)**</w:t>
      </w:r>
    </w:p>
    <w:p>
      <w:pPr>
        <w:spacing w:after="120" w:line="276" w:lineRule="auto"/>
      </w:pPr>
      <w:r>
        <w:t>En 2024, les données structurées montrent une entreprise en difficulté : le chiffre d'affaires s'établit à 27,333 milliards FCFA, mais le résultat net est une perte de -2,189 milliards FCFA, avec un ROE de -14,04% et un ROA de -6,39%. La marge opérationnelle est négative (-7,81%), et le BFR est positif à 2,149 milliards FCFA, indiquant un besoin de financement. Les délais de paiement sont déséquilibrés : les clients paient en 51 jours, mais les fournisseurs sont payés en 268 jours, ce qui est un signe de tension de trésorerie. Les rapports trimestriels 2025 montrent une amélioration : le CA du S1 2025 progresse de 12,5% à 15,711 milliards, et le résultat net est bénéficiaire à 8,217 milliards, mais uniquement grâce à une plus-value exceptionnelle de cession-bail de 9,994 milliards. Le rapport du 3ème trimestre 2025 confirme cette tendance avec un CA cumulé de 22,474 milliards (+13%), mais le résultat des activités ordinaires reste déficitaire à -371 millions. Le rapport S1 2026 (rapport 1) indique un retour à l'équilibre opérationnel avec un résultat d'exploitation positif de 771 millions et un résultat net de 771 millions, contre une perte de 314 millions au S1 2025. On estime que l'exercice 2026 pourrait être le premier exercice bénéficiaire sur le cœur de métier depuis plusieurs années, avec un EBE positif de 1,13 milliard (rapport 2). La structure financière s'est assainie avec un désendettement fournisseur massif (de 14,9 à 5,0 milliards), financé par les cessions d'actifs.</w:t>
      </w:r>
    </w:p>
    <w:p>
      <w:pPr>
        <w:spacing w:after="120" w:line="276" w:lineRule="auto" w:before="240"/>
      </w:pPr>
      <w:r>
        <w:rPr>
          <w:b/>
          <w:color w:val="003366"/>
          <w:sz w:val="24"/>
        </w:rPr>
        <w:t>**PARTIE 4 : CONCLUSION D'INVESTISSEMENT**</w:t>
      </w:r>
    </w:p>
    <w:p>
      <w:pPr>
        <w:spacing w:after="120" w:line="276" w:lineRule="auto"/>
      </w:pPr>
      <w:r>
        <w:t>La valorisation actuelle (P/B de 3,26x) est exigeante pour une société qui n'a pas encore prouvé sa rentabilité récurrente, mais elle intègre les progrès opérationnels récents. Le comportement du cours (+26,61% en 100 jours) est haussier mais accompagné d'une volatilité extrême (50,8%) et de signaux de surachat (kurtosis élevé, RSI à 84,8). Les signaux techniques sont mitigés : la tendance de fond est positive (MM, MACD), mais les oscillateurs appellent à une correction. Les fondamentaux montrent une amélioration nette : retour à l'équilibre opérationnel au S1 2026 et EBE positif, malgré un résultat net encore négatif en 2025 (-624 millions). Les prédictions IA (baisse de 2 410 à 2 351 FCFA sur 10 jours) suggèrent une consolidation à court terme, contredisant la tendance haussière récente. En synthèse, la convergence entre l'amélioration fondamentale et la tendance technique haussière est réelle, mais la valorisation est en avance et le risque de correction est élevé. La recommandation finale est **CONSERVER**, avec un niveau de confiance **Moyen** et un risque global **Élevé**. L'horizon d'investissement optimal est le **moyen terme (3-12 mois)**, en attendant la confirmation d'une rentabilité durable sur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