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03/10/2026 à 10:00</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48 ACHAT  |  0 NEUTRE  |  0 VENTE  (sur 48 sociétés)</w:t>
      </w:r>
    </w:p>
    <w:p>
      <w:pPr>
        <w:spacing w:before="20" w:after="20"/>
        <w:ind w:left="360" w:right="360"/>
        <w:shd w:val="clear" w:color="auto" w:fill="EBF5FB"/>
      </w:pPr>
      <w:r>
        <w:rPr>
          <w:b/>
          <w:sz w:val="19"/>
        </w:rPr>
        <w:t xml:space="preserve">Top opportunité :  </w:t>
      </w:r>
      <w:r>
        <w:rPr>
          <w:color w:val="008000"/>
          <w:sz w:val="19"/>
        </w:rPr>
        <w:t>ABJC  (score 85/100)</w:t>
      </w:r>
    </w:p>
    <w:p>
      <w:pPr>
        <w:spacing w:before="20" w:after="20"/>
        <w:ind w:left="360" w:right="360"/>
        <w:shd w:val="clear" w:color="auto" w:fill="EBF5FB"/>
      </w:pPr>
      <w:r>
        <w:rPr>
          <w:b/>
          <w:sz w:val="19"/>
        </w:rPr>
        <w:t xml:space="preserve">Secteur surperformant :  </w:t>
      </w:r>
      <w:r>
        <w:rPr>
          <w:color w:val="008000"/>
          <w:sz w:val="19"/>
        </w:rPr>
        <w:t>SERVICES PUBLICS  (+68.7%)</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9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549.02 points </w:t>
      </w:r>
      <w:r>
        <w:rPr>
          <w:color w:val="008000"/>
        </w:rPr>
        <w:t>(+0.12%)</w:t>
      </w:r>
      <w:r>
        <w:t xml:space="preserve"> sur la séance. </w:t>
      </w:r>
      <w:r>
        <w:t>La capitalisation globale du marché atteint 21 529,927 milliards FCFA.</w:t>
      </w:r>
    </w:p>
    <w:p/>
    <w:p>
      <w:pPr>
        <w:pStyle w:val="Heading3"/>
      </w:pPr>
      <w:r>
        <w:t>📊 Évolution de l'indice BRVM Composite (100 derniers jours)</w:t>
      </w:r>
    </w:p>
    <w:p>
      <w:r>
        <w:rPr>
          <w:b/>
        </w:rPr>
        <w:t xml:space="preserve">BRVM Composite — </w:t>
      </w:r>
      <w:r>
        <w:t xml:space="preserve">Sur les 100 derniers jours de cotation (2026-05-08 au 2026-10-01), l'indice BRVM Composite a évolué de </w:t>
      </w:r>
      <w:r>
        <w:rPr>
          <w:b/>
          <w:color w:val="008000"/>
        </w:rPr>
        <w:t>+35.70%</w:t>
      </w:r>
      <w:r>
        <w:t>, passant de 404.59 pts à 549.02 pts. Le plus haut atteint est 555.90 pts et le plus bas 404.59 pts. Sur l'ensemble de la période, la moyenne de l'indice s'établit à 481.61 pts, la médiane à 480.58 pts et le mode à 404.59 pts</w:t>
      </w:r>
      <w:r>
        <w:t xml:space="preserve"> (distribution symétrique). </w:t>
      </w:r>
      <w:r>
        <w:t xml:space="preserve">L'écart-type de 46.61 pts (CV=9.7%) traduit une modérée dispersion des cotations. Le kurtosis de -1.24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+38.04%</w:t>
      </w:r>
      <w:r>
        <w:t xml:space="preserve"> sur la période, passant de 15 596,700 Mds FCFA à 21 529,927 Mds FCFA. Le pic de capitalisation observé est de 21 529,927 Mds FCFA et le plancher de 15 596,700 Mds FCFA. La moyenne de la capitalisation sur la période s'établit à 18 584,263 Mds FCFA, la médiane à 18 513,271 Mds FCFA et le mode à 15 596,700 Mds FCFA</w:t>
      </w:r>
      <w:r>
        <w:t xml:space="preserve"> (distribution symétrique). </w:t>
      </w:r>
      <w:r>
        <w:t>L'écart-type de 1 832,141 Mds FCFA (CV=9.9%) reflète une modérée variabilité de la valorisation du marché. Le kurtosis de -1.23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BNBC - BNBC - BERNABE CI</w:t>
      </w:r>
      <w:r>
        <w:t xml:space="preserve"> | Prix: 1900 FCFA | </w:t>
      </w:r>
      <w:r>
        <w:rPr>
          <w:b/>
          <w:color w:val="008000"/>
        </w:rPr>
        <w:t>ACHAT FORT</w:t>
      </w:r>
      <w:r>
        <w:t xml:space="preserve"> | Confiance: Élevée | Risque: Faible</w:t>
      </w:r>
    </w:p>
    <w:p>
      <w:pPr>
        <w:pStyle w:val="ListNumber"/>
      </w:pPr>
      <w:r>
        <w:rPr>
          <w:b/>
        </w:rPr>
        <w:t>LNBB - LNBB - LOTERIE NATIONALE DU BENIN</w:t>
      </w:r>
      <w:r>
        <w:t xml:space="preserve"> | Prix: 3890 FCFA | </w:t>
      </w:r>
      <w:r>
        <w:rPr>
          <w:b/>
          <w:color w:val="008000"/>
        </w:rPr>
        <w:t>ACHAT FORT</w:t>
      </w:r>
      <w:r>
        <w:t xml:space="preserve"> | Confiance: Faible | Risque: Faible</w:t>
      </w:r>
    </w:p>
    <w:p>
      <w:pPr>
        <w:pStyle w:val="ListNumber"/>
      </w:pPr>
      <w:r>
        <w:rPr>
          <w:b/>
        </w:rPr>
        <w:t>ABJC - ABJC - SERVAIR ABIDJAN CI</w:t>
      </w:r>
      <w:r>
        <w:t xml:space="preserve"> | Prix: 3370 FCFA | </w:t>
      </w:r>
      <w:r>
        <w:rPr>
          <w:b/>
          <w:color w:val="008000"/>
        </w:rPr>
        <w:t>ACHAT</w:t>
      </w:r>
      <w:r>
        <w:t xml:space="preserve"> | Confiance: Élevée | Risque: Faible</w:t>
      </w:r>
    </w:p>
    <w:p>
      <w:pPr>
        <w:pStyle w:val="ListNumber"/>
      </w:pPr>
      <w:r>
        <w:rPr>
          <w:b/>
        </w:rPr>
        <w:t>BBGC - BRIDGE BANK GROUP COTE D'IVOIRE</w:t>
      </w:r>
      <w:r>
        <w:t xml:space="preserve"> | Prix: 8800 FCFA | </w:t>
      </w:r>
      <w:r>
        <w:rPr>
          <w:b/>
          <w:color w:val="008000"/>
        </w:rPr>
        <w:t>ACHAT</w:t>
      </w:r>
      <w:r>
        <w:t xml:space="preserve"> | Confiance: Moyen | Risque: Faible</w:t>
      </w:r>
    </w:p>
    <w:p>
      <w:pPr>
        <w:pStyle w:val="ListNumber"/>
      </w:pPr>
      <w:r>
        <w:rPr>
          <w:b/>
        </w:rPr>
        <w:t>BICB - BIIC BN - Banque internationale pour le commerce du benin</w:t>
      </w:r>
      <w:r>
        <w:t xml:space="preserve"> | Prix: 8800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33800 FCFA | </w:t>
      </w:r>
      <w:r>
        <w:rPr>
          <w:b/>
          <w:color w:val="008000"/>
        </w:rPr>
        <w:t>ACHAT</w:t>
      </w:r>
      <w:r>
        <w:t xml:space="preserve"> | Confiance: Élevée | Risque: Moyen</w:t>
      </w:r>
    </w:p>
    <w:p>
      <w:pPr>
        <w:pStyle w:val="ListNumber"/>
      </w:pPr>
      <w:r>
        <w:rPr>
          <w:b/>
        </w:rPr>
        <w:t>BOAB - BANK OF AFRICA BENIN</w:t>
      </w:r>
      <w:r>
        <w:t xml:space="preserve"> | Prix: 9385 FCFA | </w:t>
      </w:r>
      <w:r>
        <w:rPr>
          <w:b/>
          <w:color w:val="008000"/>
        </w:rPr>
        <w:t>ACHAT</w:t>
      </w:r>
      <w:r>
        <w:t xml:space="preserve"> | Confiance: Moyen | Risque: Faible</w:t>
      </w:r>
    </w:p>
    <w:p>
      <w:pPr>
        <w:pStyle w:val="ListNumber"/>
      </w:pPr>
      <w:r>
        <w:rPr>
          <w:b/>
        </w:rPr>
        <w:t>BOABF - BANK OF AFRICA BURKINA FASO</w:t>
      </w:r>
      <w:r>
        <w:t xml:space="preserve"> | Prix: 8000 FCFA | </w:t>
      </w:r>
      <w:r>
        <w:rPr>
          <w:b/>
          <w:color w:val="008000"/>
        </w:rPr>
        <w:t>ACHAT</w:t>
      </w:r>
      <w:r>
        <w:t xml:space="preserve"> | Confiance: Moyen | Risque: Moyen</w:t>
      </w:r>
    </w:p>
    <w:p>
      <w:pPr>
        <w:pStyle w:val="ListNumber"/>
      </w:pPr>
      <w:r>
        <w:rPr>
          <w:b/>
        </w:rPr>
        <w:t>BOAC - BANK OF AFRICA COTE D'IVOIRE</w:t>
      </w:r>
      <w:r>
        <w:t xml:space="preserve"> | Prix: 11490 FCFA | </w:t>
      </w:r>
      <w:r>
        <w:rPr>
          <w:b/>
          <w:color w:val="008000"/>
        </w:rPr>
        <w:t>ACHAT</w:t>
      </w:r>
      <w:r>
        <w:t xml:space="preserve"> | Confiance: Faible | Risque: Faible</w:t>
      </w:r>
    </w:p>
    <w:p>
      <w:pPr>
        <w:pStyle w:val="ListNumber"/>
      </w:pPr>
      <w:r>
        <w:rPr>
          <w:b/>
        </w:rPr>
        <w:t>BOAM - BANK OF AFRICA MALI</w:t>
      </w:r>
      <w:r>
        <w:t xml:space="preserve"> | Prix: 6090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48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68.74%</w:t>
      </w:r>
      <w:r>
        <w:t xml:space="preserve">  |  </w:t>
      </w:r>
      <w:r>
        <w:rPr>
          <w:b/>
        </w:rPr>
        <w:t xml:space="preserve">vs BRVM Composite: </w:t>
      </w:r>
      <w:r>
        <w:rPr>
          <w:b/>
          <w:color w:val="008000"/>
        </w:rPr>
        <w:t>+33.04%  🟢 Surperformance</w:t>
      </w:r>
      <w:r>
        <w:br/>
      </w:r>
      <w:r>
        <w:rPr>
          <w:b/>
        </w:rPr>
        <w:t xml:space="preserve">Sentiment général: </w:t>
      </w:r>
      <w:r>
        <w:t xml:space="preserve">ACHAT  |  </w:t>
      </w:r>
      <w:r>
        <w:rPr>
          <w:b/>
        </w:rPr>
        <w:t xml:space="preserve">Risque moyen: </w:t>
      </w:r>
      <w:r>
        <w:t xml:space="preserve">Moyen  |  </w:t>
      </w:r>
      <w:r>
        <w:rPr>
          <w:b/>
        </w:rPr>
        <w:t xml:space="preserve">Prix moyen: </w:t>
      </w:r>
      <w:r>
        <w:t>9720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38.11%</w:t>
      </w:r>
      <w:r>
        <w:t xml:space="preserve">  |  </w:t>
      </w:r>
      <w:r>
        <w:rPr>
          <w:b/>
        </w:rPr>
        <w:t xml:space="preserve">vs BRVM Composite: </w:t>
      </w:r>
      <w:r>
        <w:rPr>
          <w:b/>
          <w:color w:val="008000"/>
        </w:rPr>
        <w:t>+2.41%  🟢 Surperformance</w:t>
      </w:r>
      <w:r>
        <w:br/>
      </w:r>
      <w:r>
        <w:rPr>
          <w:b/>
        </w:rPr>
        <w:t xml:space="preserve">Sentiment général: </w:t>
      </w:r>
      <w:r>
        <w:t xml:space="preserve">ACHAT  |  </w:t>
      </w:r>
      <w:r>
        <w:rPr>
          <w:b/>
        </w:rPr>
        <w:t xml:space="preserve">Risque moyen: </w:t>
      </w:r>
      <w:r>
        <w:t xml:space="preserve">Moyen  |  </w:t>
      </w:r>
      <w:r>
        <w:rPr>
          <w:b/>
        </w:rPr>
        <w:t xml:space="preserve">Prix moyen: </w:t>
      </w:r>
      <w:r>
        <w:t>13470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36.05%</w:t>
      </w:r>
      <w:r>
        <w:t xml:space="preserve">  |  </w:t>
      </w:r>
      <w:r>
        <w:rPr>
          <w:b/>
        </w:rPr>
        <w:t xml:space="preserve">vs BRVM Composite: </w:t>
      </w:r>
      <w:r>
        <w:rPr>
          <w:b/>
          <w:color w:val="008000"/>
        </w:rPr>
        <w:t>+0.36%  🟢 Surperformance</w:t>
      </w:r>
      <w:r>
        <w:br/>
      </w:r>
      <w:r>
        <w:rPr>
          <w:b/>
        </w:rPr>
        <w:t xml:space="preserve">Sentiment général: </w:t>
      </w:r>
      <w:r>
        <w:t xml:space="preserve">ACHAT  |  </w:t>
      </w:r>
      <w:r>
        <w:rPr>
          <w:b/>
        </w:rPr>
        <w:t xml:space="preserve">Risque moyen: </w:t>
      </w:r>
      <w:r>
        <w:t xml:space="preserve">Faible  |  </w:t>
      </w:r>
      <w:r>
        <w:rPr>
          <w:b/>
        </w:rPr>
        <w:t xml:space="preserve">Prix moyen: </w:t>
      </w:r>
      <w:r>
        <w:t>23245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22.40%</w:t>
      </w:r>
      <w:r>
        <w:t xml:space="preserve">  |  </w:t>
      </w:r>
      <w:r>
        <w:rPr>
          <w:b/>
        </w:rPr>
        <w:t xml:space="preserve">vs BRVM Composite: </w:t>
      </w:r>
      <w:r>
        <w:rPr>
          <w:b/>
          <w:color w:val="C00000"/>
        </w:rPr>
        <w:t>-13.30%  🔴 Sous-performance</w:t>
      </w:r>
      <w:r>
        <w:br/>
      </w:r>
      <w:r>
        <w:rPr>
          <w:b/>
        </w:rPr>
        <w:t xml:space="preserve">Sentiment général: </w:t>
      </w:r>
      <w:r>
        <w:t xml:space="preserve">ACHAT  |  </w:t>
      </w:r>
      <w:r>
        <w:rPr>
          <w:b/>
        </w:rPr>
        <w:t xml:space="preserve">Risque moyen: </w:t>
      </w:r>
      <w:r>
        <w:t xml:space="preserve">Faible  |  </w:t>
      </w:r>
      <w:r>
        <w:rPr>
          <w:b/>
        </w:rPr>
        <w:t xml:space="preserve">Prix moyen: </w:t>
      </w:r>
      <w:r>
        <w:t>6352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21.30%</w:t>
      </w:r>
      <w:r>
        <w:t xml:space="preserve">  |  </w:t>
      </w:r>
      <w:r>
        <w:rPr>
          <w:b/>
        </w:rPr>
        <w:t xml:space="preserve">vs BRVM Composite: </w:t>
      </w:r>
      <w:r>
        <w:rPr>
          <w:b/>
          <w:color w:val="C00000"/>
        </w:rPr>
        <w:t>-14.40%  🔴 Sous-performance</w:t>
      </w:r>
      <w:r>
        <w:br/>
      </w:r>
      <w:r>
        <w:rPr>
          <w:b/>
        </w:rPr>
        <w:t xml:space="preserve">Sentiment général: </w:t>
      </w:r>
      <w:r>
        <w:t xml:space="preserve">ACHAT  |  </w:t>
      </w:r>
      <w:r>
        <w:rPr>
          <w:b/>
        </w:rPr>
        <w:t xml:space="preserve">Risque moyen: </w:t>
      </w:r>
      <w:r>
        <w:t xml:space="preserve">Faible  |  </w:t>
      </w:r>
      <w:r>
        <w:rPr>
          <w:b/>
        </w:rPr>
        <w:t xml:space="preserve">Prix moyen: </w:t>
      </w:r>
      <w:r>
        <w:t>8800 FCFA</w:t>
        <w:br/>
      </w:r>
      <w:r>
        <w:rPr>
          <w:b/>
        </w:rPr>
        <w:br/>
        <w:t xml:space="preserve">Sociétés: </w:t>
      </w:r>
      <w:r>
        <w:t>BBGC (BRIDGE BANK GROUP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19.35%</w:t>
      </w:r>
      <w:r>
        <w:t xml:space="preserve">  |  </w:t>
      </w:r>
      <w:r>
        <w:rPr>
          <w:b/>
        </w:rPr>
        <w:t xml:space="preserve">vs BRVM Composite: </w:t>
      </w:r>
      <w:r>
        <w:rPr>
          <w:b/>
          <w:color w:val="C00000"/>
        </w:rPr>
        <w:t>-16.35%  🔴 Sous-performance</w:t>
      </w:r>
      <w:r>
        <w:br/>
      </w:r>
      <w:r>
        <w:rPr>
          <w:b/>
        </w:rPr>
        <w:t xml:space="preserve">Sentiment général: </w:t>
      </w:r>
      <w:r>
        <w:t xml:space="preserve">ACHAT  |  </w:t>
      </w:r>
      <w:r>
        <w:rPr>
          <w:b/>
        </w:rPr>
        <w:t xml:space="preserve">Risque moyen: </w:t>
      </w:r>
      <w:r>
        <w:t xml:space="preserve">Faible  |  </w:t>
      </w:r>
      <w:r>
        <w:rPr>
          <w:b/>
        </w:rPr>
        <w:t xml:space="preserve">Prix moyen: </w:t>
      </w:r>
      <w:r>
        <w:t>2741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18.32%</w:t>
      </w:r>
      <w:r>
        <w:t xml:space="preserve">  |  </w:t>
      </w:r>
      <w:r>
        <w:rPr>
          <w:b/>
        </w:rPr>
        <w:t xml:space="preserve">vs BRVM Composite: </w:t>
      </w:r>
      <w:r>
        <w:rPr>
          <w:b/>
          <w:color w:val="C00000"/>
        </w:rPr>
        <w:t>-17.38%  🔴 Sous-performance</w:t>
      </w:r>
      <w:r>
        <w:br/>
      </w:r>
      <w:r>
        <w:rPr>
          <w:b/>
        </w:rPr>
        <w:t xml:space="preserve">Sentiment général: </w:t>
      </w:r>
      <w:r>
        <w:t xml:space="preserve">ACHAT  |  </w:t>
      </w:r>
      <w:r>
        <w:rPr>
          <w:b/>
        </w:rPr>
        <w:t xml:space="preserve">Risque moyen: </w:t>
      </w:r>
      <w:r>
        <w:t xml:space="preserve">Faible  |  </w:t>
      </w:r>
      <w:r>
        <w:rPr>
          <w:b/>
        </w:rPr>
        <w:t xml:space="preserve">Prix moyen: </w:t>
      </w:r>
      <w:r>
        <w:t>17799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-1.98%</w:t>
      </w:r>
      <w:r>
        <w:t xml:space="preserve">  |  </w:t>
      </w:r>
      <w:r>
        <w:rPr>
          <w:b/>
        </w:rPr>
        <w:t xml:space="preserve">vs BRVM Composite: </w:t>
      </w:r>
      <w:r>
        <w:rPr>
          <w:b/>
          <w:color w:val="C00000"/>
        </w:rPr>
        <w:t>-37.68%  🔴 Sous-performance</w:t>
      </w:r>
      <w:r>
        <w:br/>
      </w:r>
      <w:r>
        <w:rPr>
          <w:b/>
        </w:rPr>
        <w:t xml:space="preserve">Sentiment général: </w:t>
      </w:r>
      <w:r>
        <w:t xml:space="preserve">ACHAT  |  </w:t>
      </w:r>
      <w:r>
        <w:rPr>
          <w:b/>
        </w:rPr>
        <w:t xml:space="preserve">Risque moyen: </w:t>
      </w:r>
      <w:r>
        <w:t xml:space="preserve">Faible  |  </w:t>
      </w:r>
      <w:r>
        <w:rPr>
          <w:b/>
        </w:rPr>
        <w:t xml:space="preserve">Prix moyen: </w:t>
      </w:r>
      <w:r>
        <w:t>2325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BICC, BNBC, NEIC, ONTBF, SGBC, SHEC, SIBC, SLBC, STAC,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BOAB, BOABF, BOAM, BOAN, BOAS, CABC, CBIBF, CIEC, ECOC, ETIT, NSBC, NTLC, ORAC, ORGT, PALC, PRSC, SCRC, SDCC, SDSC, SEMC, SIVC, SMBC, SNTS, SOGC,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BOAC, CFAC, FTSC, LNBB, SAFC, SICC, SPHC, STBC,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2004560</w:t>
            </w:r>
          </w:p>
        </w:tc>
        <w:tc>
          <w:tcPr>
            <w:tcW w:type="dxa" w:w="1728"/>
          </w:tcPr>
          <w:p>
            <w:r>
              <w:t>135914991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46451</w:t>
            </w:r>
          </w:p>
        </w:tc>
        <w:tc>
          <w:tcPr>
            <w:tcW w:type="dxa" w:w="1728"/>
          </w:tcPr>
          <w:p>
            <w:r>
              <w:t>421608626 FCFA</w:t>
            </w:r>
          </w:p>
        </w:tc>
        <w:tc>
          <w:tcPr>
            <w:tcW w:type="dxa" w:w="1728"/>
          </w:tcPr>
          <w:p>
            <w:r>
              <w:t>21.30%</w:t>
            </w:r>
          </w:p>
        </w:tc>
        <w:tc>
          <w:tcPr>
            <w:tcW w:type="dxa" w:w="1728"/>
          </w:tcPr>
          <w:p>
            <w:r>
              <w:t>ACHAT</w:t>
            </w:r>
          </w:p>
        </w:tc>
      </w:tr>
      <w:tr>
        <w:tc>
          <w:tcPr>
            <w:tcW w:type="dxa" w:w="1728"/>
          </w:tcPr>
          <w:p>
            <w:r>
              <w:t>SNTS (SNTS - SONATEL SN)</w:t>
            </w:r>
          </w:p>
        </w:tc>
        <w:tc>
          <w:tcPr>
            <w:tcW w:type="dxa" w:w="1728"/>
          </w:tcPr>
          <w:p>
            <w:r>
              <w:t>24235</w:t>
            </w:r>
          </w:p>
        </w:tc>
        <w:tc>
          <w:tcPr>
            <w:tcW w:type="dxa" w:w="1728"/>
          </w:tcPr>
          <w:p>
            <w:r>
              <w:t>997805718 FCFA</w:t>
            </w:r>
          </w:p>
        </w:tc>
        <w:tc>
          <w:tcPr>
            <w:tcW w:type="dxa" w:w="1728"/>
          </w:tcPr>
          <w:p>
            <w:r>
              <w:t>55.71%</w:t>
            </w:r>
          </w:p>
        </w:tc>
        <w:tc>
          <w:tcPr>
            <w:tcW w:type="dxa" w:w="1728"/>
          </w:tcPr>
          <w:p>
            <w:r>
              <w:t>ACHAT</w:t>
            </w:r>
          </w:p>
        </w:tc>
      </w:tr>
      <w:tr>
        <w:tc>
          <w:tcPr>
            <w:tcW w:type="dxa" w:w="1728"/>
          </w:tcPr>
          <w:p>
            <w:r>
              <w:t>BOAS (BANK OF AFRICA SENEGAL)</w:t>
            </w:r>
          </w:p>
        </w:tc>
        <w:tc>
          <w:tcPr>
            <w:tcW w:type="dxa" w:w="1728"/>
          </w:tcPr>
          <w:p>
            <w:r>
              <w:t>14288</w:t>
            </w:r>
          </w:p>
        </w:tc>
        <w:tc>
          <w:tcPr>
            <w:tcW w:type="dxa" w:w="1728"/>
          </w:tcPr>
          <w:p>
            <w:r>
              <w:t>116026005 FCFA</w:t>
            </w:r>
          </w:p>
        </w:tc>
        <w:tc>
          <w:tcPr>
            <w:tcW w:type="dxa" w:w="1728"/>
          </w:tcPr>
          <w:p>
            <w:r>
              <w:t>10.62%</w:t>
            </w:r>
          </w:p>
        </w:tc>
        <w:tc>
          <w:tcPr>
            <w:tcW w:type="dxa" w:w="1728"/>
          </w:tcPr>
          <w:p>
            <w:r>
              <w:t>ACHAT</w:t>
            </w:r>
          </w:p>
        </w:tc>
      </w:tr>
      <w:tr>
        <w:tc>
          <w:tcPr>
            <w:tcW w:type="dxa" w:w="1728"/>
          </w:tcPr>
          <w:p>
            <w:r>
              <w:t>SIBC (SIBC - SOCIETE IVOIRIENNE DE BANQUE)</w:t>
            </w:r>
          </w:p>
        </w:tc>
        <w:tc>
          <w:tcPr>
            <w:tcW w:type="dxa" w:w="1728"/>
          </w:tcPr>
          <w:p>
            <w:r>
              <w:t>13697</w:t>
            </w:r>
          </w:p>
        </w:tc>
        <w:tc>
          <w:tcPr>
            <w:tcW w:type="dxa" w:w="1728"/>
          </w:tcPr>
          <w:p>
            <w:r>
              <w:t>124429390 FCFA</w:t>
            </w:r>
          </w:p>
        </w:tc>
        <w:tc>
          <w:tcPr>
            <w:tcW w:type="dxa" w:w="1728"/>
          </w:tcPr>
          <w:p>
            <w:r>
              <w:t>29.11%</w:t>
            </w:r>
          </w:p>
        </w:tc>
        <w:tc>
          <w:tcPr>
            <w:tcW w:type="dxa" w:w="1728"/>
          </w:tcPr>
          <w:p>
            <w:r>
              <w:t>ACHAT</w:t>
            </w:r>
          </w:p>
        </w:tc>
      </w:tr>
      <w:tr>
        <w:tc>
          <w:tcPr>
            <w:tcW w:type="dxa" w:w="1728"/>
          </w:tcPr>
          <w:p>
            <w:r>
              <w:t>SDSC (SDSC - AFRICA GLOBAL LOGISTICS CI)</w:t>
            </w:r>
          </w:p>
        </w:tc>
        <w:tc>
          <w:tcPr>
            <w:tcW w:type="dxa" w:w="1728"/>
          </w:tcPr>
          <w:p>
            <w:r>
              <w:t>12590</w:t>
            </w:r>
          </w:p>
        </w:tc>
        <w:tc>
          <w:tcPr>
            <w:tcW w:type="dxa" w:w="1728"/>
          </w:tcPr>
          <w:p>
            <w:r>
              <w:t>37160250 FCFA</w:t>
            </w:r>
          </w:p>
        </w:tc>
        <w:tc>
          <w:tcPr>
            <w:tcW w:type="dxa" w:w="1728"/>
          </w:tcPr>
          <w:p>
            <w:r>
              <w:t>67.05%</w:t>
            </w:r>
          </w:p>
        </w:tc>
        <w:tc>
          <w:tcPr>
            <w:tcW w:type="dxa" w:w="1728"/>
          </w:tcPr>
          <w:p>
            <w:r>
              <w:t>ACHAT</w:t>
            </w:r>
          </w:p>
        </w:tc>
      </w:tr>
      <w:tr>
        <w:tc>
          <w:tcPr>
            <w:tcW w:type="dxa" w:w="1728"/>
          </w:tcPr>
          <w:p>
            <w:r>
              <w:t>SAFC (SAFCA CI)</w:t>
            </w:r>
          </w:p>
        </w:tc>
        <w:tc>
          <w:tcPr>
            <w:tcW w:type="dxa" w:w="1728"/>
          </w:tcPr>
          <w:p>
            <w:r>
              <w:t>12137</w:t>
            </w:r>
          </w:p>
        </w:tc>
        <w:tc>
          <w:tcPr>
            <w:tcW w:type="dxa" w:w="1728"/>
          </w:tcPr>
          <w:p>
            <w:r>
              <w:t>63053687 FCFA</w:t>
            </w:r>
          </w:p>
        </w:tc>
        <w:tc>
          <w:tcPr>
            <w:tcW w:type="dxa" w:w="1728"/>
          </w:tcPr>
          <w:p>
            <w:r>
              <w:t>27.14%</w:t>
            </w:r>
          </w:p>
        </w:tc>
        <w:tc>
          <w:tcPr>
            <w:tcW w:type="dxa" w:w="1728"/>
          </w:tcPr>
          <w:p>
            <w:r>
              <w:t>ACHAT</w:t>
            </w:r>
          </w:p>
        </w:tc>
      </w:tr>
      <w:tr>
        <w:tc>
          <w:tcPr>
            <w:tcW w:type="dxa" w:w="1728"/>
          </w:tcPr>
          <w:p>
            <w:r>
              <w:t>BOAC (BANK OF AFRICA COTE D'IVOIRE)</w:t>
            </w:r>
          </w:p>
        </w:tc>
        <w:tc>
          <w:tcPr>
            <w:tcW w:type="dxa" w:w="1728"/>
          </w:tcPr>
          <w:p>
            <w:r>
              <w:t>11604</w:t>
            </w:r>
          </w:p>
        </w:tc>
        <w:tc>
          <w:tcPr>
            <w:tcW w:type="dxa" w:w="1728"/>
          </w:tcPr>
          <w:p>
            <w:r>
              <w:t>136459383 FCFA</w:t>
            </w:r>
          </w:p>
        </w:tc>
        <w:tc>
          <w:tcPr>
            <w:tcW w:type="dxa" w:w="1728"/>
          </w:tcPr>
          <w:p>
            <w:r>
              <w:t>31.99%</w:t>
            </w:r>
          </w:p>
        </w:tc>
        <w:tc>
          <w:tcPr>
            <w:tcW w:type="dxa" w:w="1728"/>
          </w:tcPr>
          <w:p>
            <w:r>
              <w:t>ACHAT</w:t>
            </w:r>
          </w:p>
        </w:tc>
      </w:tr>
      <w:tr>
        <w:tc>
          <w:tcPr>
            <w:tcW w:type="dxa" w:w="1728"/>
          </w:tcPr>
          <w:p>
            <w:r>
              <w:t>UNXC (UNXC - UNIWAX COTE D'IVOIRE)</w:t>
            </w:r>
          </w:p>
        </w:tc>
        <w:tc>
          <w:tcPr>
            <w:tcW w:type="dxa" w:w="1728"/>
          </w:tcPr>
          <w:p>
            <w:r>
              <w:t>11532</w:t>
            </w:r>
          </w:p>
        </w:tc>
        <w:tc>
          <w:tcPr>
            <w:tcW w:type="dxa" w:w="1728"/>
          </w:tcPr>
          <w:p>
            <w:r>
              <w:t>26978959 FCFA</w:t>
            </w:r>
          </w:p>
        </w:tc>
        <w:tc>
          <w:tcPr>
            <w:tcW w:type="dxa" w:w="1728"/>
          </w:tcPr>
          <w:p>
            <w:r>
              <w:t>30.75%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3852</w:t>
            </w:r>
          </w:p>
        </w:tc>
        <w:tc>
          <w:tcPr>
            <w:tcW w:type="dxa" w:w="1728"/>
          </w:tcPr>
          <w:p>
            <w:r>
              <w:t>12174670 FCFA</w:t>
            </w:r>
          </w:p>
        </w:tc>
        <w:tc>
          <w:tcPr>
            <w:tcW w:type="dxa" w:w="1728"/>
          </w:tcPr>
          <w:p>
            <w:r>
              <w:t>17.65%</w:t>
            </w:r>
          </w:p>
        </w:tc>
        <w:tc>
          <w:tcPr>
            <w:tcW w:type="dxa" w:w="1728"/>
          </w:tcPr>
          <w:p>
            <w:r>
              <w:t>ACHAT</w:t>
            </w:r>
          </w:p>
        </w:tc>
      </w:tr>
      <w:tr>
        <w:tc>
          <w:tcPr>
            <w:tcW w:type="dxa" w:w="1728"/>
          </w:tcPr>
          <w:p>
            <w:r>
              <w:t>ABJC (ABJC - SERVAIR ABIDJAN CI)</w:t>
            </w:r>
          </w:p>
        </w:tc>
        <w:tc>
          <w:tcPr>
            <w:tcW w:type="dxa" w:w="1728"/>
          </w:tcPr>
          <w:p>
            <w:r>
              <w:t>3737</w:t>
            </w:r>
          </w:p>
        </w:tc>
        <w:tc>
          <w:tcPr>
            <w:tcW w:type="dxa" w:w="1728"/>
          </w:tcPr>
          <w:p>
            <w:r>
              <w:t>14603360 FCFA</w:t>
            </w:r>
          </w:p>
        </w:tc>
        <w:tc>
          <w:tcPr>
            <w:tcW w:type="dxa" w:w="1728"/>
          </w:tcPr>
          <w:p>
            <w:r>
              <w:t>13.28%</w:t>
            </w:r>
          </w:p>
        </w:tc>
        <w:tc>
          <w:tcPr>
            <w:tcW w:type="dxa" w:w="1728"/>
          </w:tcPr>
          <w:p>
            <w:r>
              <w:t>ACHAT</w:t>
            </w:r>
          </w:p>
        </w:tc>
      </w:tr>
      <w:tr>
        <w:tc>
          <w:tcPr>
            <w:tcW w:type="dxa" w:w="1728"/>
          </w:tcPr>
          <w:p>
            <w:r>
              <w:t>SOGC (SOGC - Société des caoutchoucs de Grand-Béréby)</w:t>
            </w:r>
          </w:p>
        </w:tc>
        <w:tc>
          <w:tcPr>
            <w:tcW w:type="dxa" w:w="1728"/>
          </w:tcPr>
          <w:p>
            <w:r>
              <w:t>3512</w:t>
            </w:r>
          </w:p>
        </w:tc>
        <w:tc>
          <w:tcPr>
            <w:tcW w:type="dxa" w:w="1728"/>
          </w:tcPr>
          <w:p>
            <w:r>
              <w:t>28348240 FCFA</w:t>
            </w:r>
          </w:p>
        </w:tc>
        <w:tc>
          <w:tcPr>
            <w:tcW w:type="dxa" w:w="1728"/>
          </w:tcPr>
          <w:p>
            <w:r>
              <w:t>7.44%</w:t>
            </w:r>
          </w:p>
        </w:tc>
        <w:tc>
          <w:tcPr>
            <w:tcW w:type="dxa" w:w="1728"/>
          </w:tcPr>
          <w:p>
            <w:r>
              <w:t>ACHAT</w:t>
            </w:r>
          </w:p>
        </w:tc>
      </w:tr>
      <w:tr>
        <w:tc>
          <w:tcPr>
            <w:tcW w:type="dxa" w:w="1728"/>
          </w:tcPr>
          <w:p>
            <w:r>
              <w:t>ECOC (ECOC - ECOBANK COTE D'IVOIRE)</w:t>
            </w:r>
          </w:p>
        </w:tc>
        <w:tc>
          <w:tcPr>
            <w:tcW w:type="dxa" w:w="1728"/>
          </w:tcPr>
          <w:p>
            <w:r>
              <w:t>3264</w:t>
            </w:r>
          </w:p>
        </w:tc>
        <w:tc>
          <w:tcPr>
            <w:tcW w:type="dxa" w:w="1728"/>
          </w:tcPr>
          <w:p>
            <w:r>
              <w:t>55744984 FCFA</w:t>
            </w:r>
          </w:p>
        </w:tc>
        <w:tc>
          <w:tcPr>
            <w:tcW w:type="dxa" w:w="1728"/>
          </w:tcPr>
          <w:p>
            <w:r>
              <w:t>-0.03%</w:t>
            </w:r>
          </w:p>
        </w:tc>
        <w:tc>
          <w:tcPr>
            <w:tcW w:type="dxa" w:w="1728"/>
          </w:tcPr>
          <w:p>
            <w:r>
              <w:t>ACHAT</w:t>
            </w:r>
          </w:p>
        </w:tc>
      </w:tr>
      <w:tr>
        <w:tc>
          <w:tcPr>
            <w:tcW w:type="dxa" w:w="1728"/>
          </w:tcPr>
          <w:p>
            <w:r>
              <w:t>BNBC (BNBC - BERNABE CI)</w:t>
            </w:r>
          </w:p>
        </w:tc>
        <w:tc>
          <w:tcPr>
            <w:tcW w:type="dxa" w:w="1728"/>
          </w:tcPr>
          <w:p>
            <w:r>
              <w:t>3117</w:t>
            </w:r>
          </w:p>
        </w:tc>
        <w:tc>
          <w:tcPr>
            <w:tcW w:type="dxa" w:w="1728"/>
          </w:tcPr>
          <w:p>
            <w:r>
              <w:t>6375703 FCFA</w:t>
            </w:r>
          </w:p>
        </w:tc>
        <w:tc>
          <w:tcPr>
            <w:tcW w:type="dxa" w:w="1728"/>
          </w:tcPr>
          <w:p>
            <w:r>
              <w:t>46.15%</w:t>
            </w:r>
          </w:p>
        </w:tc>
        <w:tc>
          <w:tcPr>
            <w:tcW w:type="dxa" w:w="1728"/>
          </w:tcPr>
          <w:p>
            <w:r>
              <w:t>ACHAT FORT</w:t>
            </w:r>
          </w:p>
        </w:tc>
      </w:tr>
      <w:tr>
        <w:tc>
          <w:tcPr>
            <w:tcW w:type="dxa" w:w="1728"/>
          </w:tcPr>
          <w:p>
            <w:r>
              <w:t>STBC (STBC - SITAB COTE D'IVOIRE)</w:t>
            </w:r>
          </w:p>
        </w:tc>
        <w:tc>
          <w:tcPr>
            <w:tcW w:type="dxa" w:w="1728"/>
          </w:tcPr>
          <w:p>
            <w:r>
              <w:t>2844</w:t>
            </w:r>
          </w:p>
        </w:tc>
        <w:tc>
          <w:tcPr>
            <w:tcW w:type="dxa" w:w="1728"/>
          </w:tcPr>
          <w:p>
            <w:r>
              <w:t>61861603 FCFA</w:t>
            </w:r>
          </w:p>
        </w:tc>
        <w:tc>
          <w:tcPr>
            <w:tcW w:type="dxa" w:w="1728"/>
          </w:tcPr>
          <w:p>
            <w:r>
              <w:t>2.19%</w:t>
            </w:r>
          </w:p>
        </w:tc>
        <w:tc>
          <w:tcPr>
            <w:tcW w:type="dxa" w:w="1728"/>
          </w:tcPr>
          <w:p>
            <w:r>
              <w:t>ACHAT</w:t>
            </w:r>
          </w:p>
        </w:tc>
      </w:tr>
      <w:tr>
        <w:tc>
          <w:tcPr>
            <w:tcW w:type="dxa" w:w="1728"/>
          </w:tcPr>
          <w:p>
            <w:r>
              <w:t>FTSC (FTSC - FILTISAC COTE D'IVOIRE)</w:t>
            </w:r>
          </w:p>
        </w:tc>
        <w:tc>
          <w:tcPr>
            <w:tcW w:type="dxa" w:w="1728"/>
          </w:tcPr>
          <w:p>
            <w:r>
              <w:t>2832</w:t>
            </w:r>
          </w:p>
        </w:tc>
        <w:tc>
          <w:tcPr>
            <w:tcW w:type="dxa" w:w="1728"/>
          </w:tcPr>
          <w:p>
            <w:r>
              <w:t>5856907 FCFA</w:t>
            </w:r>
          </w:p>
        </w:tc>
        <w:tc>
          <w:tcPr>
            <w:tcW w:type="dxa" w:w="1728"/>
          </w:tcPr>
          <w:p>
            <w:r>
              <w:t>-10.14%</w:t>
            </w:r>
          </w:p>
        </w:tc>
        <w:tc>
          <w:tcPr>
            <w:tcW w:type="dxa" w:w="1728"/>
          </w:tcPr>
          <w:p>
            <w:r>
              <w:t>ACHAT</w:t>
            </w:r>
          </w:p>
        </w:tc>
      </w:tr>
      <w:tr>
        <w:tc>
          <w:tcPr>
            <w:tcW w:type="dxa" w:w="1728"/>
          </w:tcPr>
          <w:p>
            <w:r>
              <w:t>NEIC (NEIC - NEI-CEDA CI)</w:t>
            </w:r>
          </w:p>
        </w:tc>
        <w:tc>
          <w:tcPr>
            <w:tcW w:type="dxa" w:w="1728"/>
          </w:tcPr>
          <w:p>
            <w:r>
              <w:t>2767</w:t>
            </w:r>
          </w:p>
        </w:tc>
        <w:tc>
          <w:tcPr>
            <w:tcW w:type="dxa" w:w="1728"/>
          </w:tcPr>
          <w:p>
            <w:r>
              <w:t>6988926 FCFA</w:t>
            </w:r>
          </w:p>
        </w:tc>
        <w:tc>
          <w:tcPr>
            <w:tcW w:type="dxa" w:w="1728"/>
          </w:tcPr>
          <w:p>
            <w:r>
              <w:t>28.65%</w:t>
            </w:r>
          </w:p>
        </w:tc>
        <w:tc>
          <w:tcPr>
            <w:tcW w:type="dxa" w:w="1728"/>
          </w:tcPr>
          <w:p>
            <w:r>
              <w:t>ACHAT</w:t>
            </w:r>
          </w:p>
        </w:tc>
      </w:tr>
      <w:tr>
        <w:tc>
          <w:tcPr>
            <w:tcW w:type="dxa" w:w="1728"/>
          </w:tcPr>
          <w:p>
            <w:r>
              <w:t>CFAC (CFAC - CFAO MOTORS CI)</w:t>
            </w:r>
          </w:p>
        </w:tc>
        <w:tc>
          <w:tcPr>
            <w:tcW w:type="dxa" w:w="1728"/>
          </w:tcPr>
          <w:p>
            <w:r>
              <w:t>2728</w:t>
            </w:r>
          </w:p>
        </w:tc>
        <w:tc>
          <w:tcPr>
            <w:tcW w:type="dxa" w:w="1728"/>
          </w:tcPr>
          <w:p>
            <w:r>
              <w:t>4531387 FCFA</w:t>
            </w:r>
          </w:p>
        </w:tc>
        <w:tc>
          <w:tcPr>
            <w:tcW w:type="dxa" w:w="1728"/>
          </w:tcPr>
          <w:p>
            <w:r>
              <w:t>9.75%</w:t>
            </w:r>
          </w:p>
        </w:tc>
        <w:tc>
          <w:tcPr>
            <w:tcW w:type="dxa" w:w="1728"/>
          </w:tcPr>
          <w:p>
            <w:r>
              <w:t>ACHAT</w:t>
            </w:r>
          </w:p>
        </w:tc>
      </w:tr>
      <w:tr>
        <w:tc>
          <w:tcPr>
            <w:tcW w:type="dxa" w:w="1728"/>
          </w:tcPr>
          <w:p>
            <w:r>
              <w:t>SDCC (SDCC - Société de Distribution d'Eau de Côte d'Ivoire)</w:t>
            </w:r>
          </w:p>
        </w:tc>
        <w:tc>
          <w:tcPr>
            <w:tcW w:type="dxa" w:w="1728"/>
          </w:tcPr>
          <w:p>
            <w:r>
              <w:t>2400</w:t>
            </w:r>
          </w:p>
        </w:tc>
        <w:tc>
          <w:tcPr>
            <w:tcW w:type="dxa" w:w="1728"/>
          </w:tcPr>
          <w:p>
            <w:r>
              <w:t>31522595 FCFA</w:t>
            </w:r>
          </w:p>
        </w:tc>
        <w:tc>
          <w:tcPr>
            <w:tcW w:type="dxa" w:w="1728"/>
          </w:tcPr>
          <w:p>
            <w:r>
              <w:t>42.28%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FTSC - FTSC - FILTISAC COTE D'IVOIRE</w:t>
      </w:r>
    </w:p>
    <w:p>
      <w:r>
        <w:rPr>
          <w:b/>
        </w:rPr>
        <w:t xml:space="preserve">Score de divergence: </w:t>
      </w:r>
      <w:r>
        <w:t>5/8</w:t>
        <w:br/>
      </w:r>
      <w:r>
        <w:rPr>
          <w:b/>
        </w:rPr>
        <w:t xml:space="preserve">Description: </w:t>
      </w:r>
      <w:r>
        <w:t>Signaux de vente: MM, MACD | Recommandation finale: ACHAT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 FORT</w:t>
        <w:br/>
      </w:r>
    </w:p>
    <w:p/>
    <w:p>
      <w:pPr>
        <w:pStyle w:val="Heading3"/>
      </w:pPr>
      <w:r>
        <w:t>4. SAFC - SAFCA CI</w:t>
      </w:r>
    </w:p>
    <w:p>
      <w:r>
        <w:rPr>
          <w:b/>
        </w:rPr>
        <w:t xml:space="preserve">Score de divergence: </w:t>
      </w:r>
      <w:r>
        <w:t>5/8</w:t>
        <w:br/>
      </w:r>
      <w:r>
        <w:rPr>
          <w:b/>
        </w:rPr>
        <w:t xml:space="preserve">Description: </w:t>
      </w:r>
      <w:r>
        <w:t>Signaux de vente: MM, MACD | Recommandation finale: ACHAT</w:t>
        <w:br/>
      </w:r>
    </w:p>
    <w:p/>
    <w:p>
      <w:pPr>
        <w:pStyle w:val="Heading3"/>
      </w:pPr>
      <w:r>
        <w:t>5. SPHC - SPHC - Société Africaine de Plantation d'Hévéas de Côte d'Ivoire</w:t>
      </w:r>
    </w:p>
    <w:p>
      <w:r>
        <w:rPr>
          <w:b/>
        </w:rPr>
        <w:t xml:space="preserve">Score de divergence: </w:t>
      </w:r>
      <w:r>
        <w:t>5/8</w:t>
        <w:br/>
      </w:r>
      <w:r>
        <w:rPr>
          <w:b/>
        </w:rPr>
        <w:t xml:space="preserve">Description: </w:t>
      </w:r>
      <w:r>
        <w:t>Signaux de vente: MM, MACD | Recommandation finale: ACHAT</w:t>
        <w:br/>
      </w:r>
    </w:p>
    <w:p/>
    <w:p>
      <w:pPr>
        <w:pStyle w:val="Heading3"/>
      </w:pPr>
      <w:r>
        <w:t>6.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7. CFAC - CFAC - CFAO MOTORS CI</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8.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STBC - STBC - SITAB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ABJC - ABJC - SERVAIR ABIDJAN CI</w:t>
      </w:r>
    </w:p>
    <w:p>
      <w:r>
        <w:rPr>
          <w:b/>
        </w:rPr>
        <w:t xml:space="preserve">Score de divergence: </w:t>
      </w:r>
      <w:r>
        <w:t>3/8</w:t>
        <w:br/>
      </w:r>
      <w:r>
        <w:rPr>
          <w:b/>
        </w:rPr>
        <w:t xml:space="preserve">Description: </w:t>
      </w:r>
      <w:r>
        <w:t>Signaux d'achat: MM, Bollinger, RSI, Stochastique | Signaux de vente: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30</w:t>
            </w:r>
          </w:p>
        </w:tc>
        <w:tc>
          <w:tcPr>
            <w:tcW w:type="dxa" w:w="2160"/>
          </w:tcPr>
          <w:p>
            <w:r>
              <w:t>0</w:t>
            </w:r>
          </w:p>
        </w:tc>
      </w:tr>
      <w:tr>
        <w:tc>
          <w:tcPr>
            <w:tcW w:type="dxa" w:w="2160"/>
          </w:tcPr>
          <w:p>
            <w:r>
              <w:t>Risque Moyen</w:t>
            </w:r>
          </w:p>
        </w:tc>
        <w:tc>
          <w:tcPr>
            <w:tcW w:type="dxa" w:w="2160"/>
          </w:tcPr>
          <w:p>
            <w:r>
              <w:t>0</w:t>
            </w:r>
          </w:p>
        </w:tc>
        <w:tc>
          <w:tcPr>
            <w:tcW w:type="dxa" w:w="2160"/>
          </w:tcPr>
          <w:p>
            <w:r>
              <w:t>18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L'inflation dans la zone euro atteint 3,8 %, accentuant la pression sur la BCE pour un nouveau relèvement des taux. Standard Chartered rejoint les grandes banques anticipant cette hausse. Parallèlement, la remontée des taux des comptes d'épargne se confirme, traduisant un resserrement monétaire global persistant.</w:t>
      </w:r>
    </w:p>
    <w:p>
      <w:pPr>
        <w:pStyle w:val="Heading3"/>
      </w:pPr>
      <w:r>
        <w:rPr>
          <w:color w:val="500050"/>
        </w:rPr>
        <w:t>⚡ Impact estimé sur la BRVM</w:t>
      </w:r>
    </w:p>
    <w:p>
      <w:pPr>
        <w:spacing w:before="20" w:after="40"/>
        <w:ind w:left="280"/>
      </w:pPr>
      <w:r>
        <w:rPr>
          <w:i/>
          <w:sz w:val="18"/>
        </w:rPr>
        <w:t>Le resserrement monétaire en zone euro renchérit le coût du capital pour les investisseurs internationaux, réduisant l'attrait relatif des marchés frontières comme la BRVM. Les secteurs bancaires (SGBC, BICB, SIBC) pourraient subir une pression sur les flux étrangers, tandis que les valeurs de rendement (SLBC, ONTBF) restent défensives grâce à leurs dividendes.</w:t>
      </w:r>
    </w:p>
    <w:p>
      <w:pPr>
        <w:pStyle w:val="Heading2"/>
      </w:pPr>
      <w:r>
        <w:rPr>
          <w:color w:val="006E32"/>
        </w:rPr>
        <w:t>🌍 Plan Africain</w:t>
      </w:r>
    </w:p>
    <w:p>
      <w:pPr>
        <w:spacing w:before="20" w:after="40"/>
        <w:ind w:left="0"/>
      </w:pPr>
      <w:r>
        <w:rPr>
          <w:sz w:val="18"/>
        </w:rPr>
        <w:t>L'Afrique affiche une croissance solide mais fait face à un défi d'investissement majeur selon Africanews. La dépendance au dollar persiste malgré l'offensive chinoise en yuan (Les Echos). Amara plaide pour une transformation économique par l'investissement et l'emploi.</w:t>
      </w:r>
    </w:p>
    <w:p>
      <w:pPr>
        <w:pStyle w:val="Heading3"/>
      </w:pPr>
      <w:r>
        <w:rPr>
          <w:color w:val="500050"/>
        </w:rPr>
        <w:t>⚡ Impact estimé sur la BRVM</w:t>
      </w:r>
    </w:p>
    <w:p>
      <w:pPr>
        <w:spacing w:before="20" w:after="40"/>
        <w:ind w:left="280"/>
      </w:pPr>
      <w:r>
        <w:rPr>
          <w:i/>
          <w:sz w:val="18"/>
        </w:rPr>
        <w:t>La dépendance au dollar expose les sociétés importatrices (NEIC, BNBC) à un risque de change indirect via le FCFA. Les appels à l'investissement productif pourraient bénéficier aux industriels cotés (SITC, TTLC) si les flux se matérialisent.</w:t>
      </w:r>
    </w:p>
    <w:p>
      <w:pPr>
        <w:pStyle w:val="Heading2"/>
      </w:pPr>
      <w:r>
        <w:rPr>
          <w:color w:val="145A28"/>
        </w:rPr>
        <w:t>🌍 Plan Afrique de l'Ouest</w:t>
      </w:r>
    </w:p>
    <w:p>
      <w:pPr>
        <w:spacing w:before="20" w:after="40"/>
        <w:ind w:left="0"/>
      </w:pPr>
      <w:r>
        <w:rPr>
          <w:sz w:val="18"/>
        </w:rPr>
        <w:t>La CEA mobilise les entreprises ouest-africaines pour dynamiser la chaîne de valeur du riz. Le Nigeria plaide pour un front uni sécuritaire régional. La CEDEAO cherche une voix commune dans le système UA-CER.</w:t>
      </w:r>
    </w:p>
    <w:p>
      <w:pPr>
        <w:pStyle w:val="Heading3"/>
      </w:pPr>
      <w:r>
        <w:rPr>
          <w:color w:val="500050"/>
        </w:rPr>
        <w:t>⚡ Impact estimé sur la BRVM</w:t>
      </w:r>
    </w:p>
    <w:p>
      <w:pPr>
        <w:spacing w:before="20" w:after="40"/>
        <w:ind w:left="280"/>
      </w:pPr>
      <w:r>
        <w:rPr>
          <w:i/>
          <w:sz w:val="18"/>
        </w:rPr>
        <w:t>La dynamisation de la chaîne du riz pourrait bénéficier indirectement aux agro-industriels cotés (SLBC, SCRC, NTLC) via un environnement d'affaires régional plus structuré. La stabilité sécuritaire reste un préalable aux investissements transfrontaliers.</w:t>
      </w:r>
    </w:p>
    <w:p>
      <w:pPr>
        <w:pStyle w:val="Heading2"/>
      </w:pPr>
      <w:r>
        <w:rPr>
          <w:color w:val="8C4600"/>
        </w:rPr>
        <w:t>🏦 Plan UEMOA / Zone Franc</w:t>
      </w:r>
    </w:p>
    <w:p>
      <w:pPr>
        <w:spacing w:before="20" w:after="40"/>
        <w:ind w:left="0"/>
      </w:pPr>
      <w:r>
        <w:rPr>
          <w:sz w:val="18"/>
        </w:rPr>
        <w:t>La BCEAO table sur une croissance de 6,1 % en 2026 pour l'UEMOA, signal fort de dynamisme économique. La situation politique ivoirienne reste tendue selon l'opposition (LDCI). Le Burkina Faso plaide pour un multilatéralisme réformé antiterroriste.</w:t>
      </w:r>
    </w:p>
    <w:p>
      <w:pPr>
        <w:pStyle w:val="Heading3"/>
      </w:pPr>
      <w:r>
        <w:rPr>
          <w:color w:val="500050"/>
        </w:rPr>
        <w:t>⚡ Impact estimé sur la BRVM</w:t>
      </w:r>
    </w:p>
    <w:p>
      <w:pPr>
        <w:spacing w:before="20" w:after="40"/>
        <w:ind w:left="280"/>
      </w:pPr>
      <w:r>
        <w:rPr>
          <w:i/>
          <w:sz w:val="18"/>
        </w:rPr>
        <w:t>La projection de 6,1 % soutient les fondamentaux des banques (SGBC, BICB, SIBC) et de la distribution (BNBC, PRSC). Les tensions politiques ivoiriennes constituent un risque baissier à surveiller, la Côte d'Ivoire représentant le cœur de la cote BRVM.</w:t>
      </w:r>
    </w:p>
    <w:p>
      <w:pPr>
        <w:pStyle w:val="Heading2"/>
      </w:pPr>
      <w:r>
        <w:rPr>
          <w:color w:val="003366"/>
        </w:rPr>
        <w:t>📈 Plan BRVM</w:t>
      </w:r>
    </w:p>
    <w:p>
      <w:pPr>
        <w:spacing w:before="20" w:after="40"/>
        <w:ind w:left="0"/>
      </w:pPr>
      <w:r>
        <w:rPr>
          <w:sz w:val="18"/>
        </w:rPr>
        <w:t>Les résultats encourageants des sociétés cotées ivoiriennes sont mis en avant par La Tribune (juin 2026). L'indice BRVM Composite se situe à 549,02 points.</w:t>
      </w:r>
    </w:p>
    <w:p>
      <w:pPr>
        <w:pStyle w:val="Heading3"/>
      </w:pPr>
      <w:r>
        <w:rPr>
          <w:color w:val="500050"/>
        </w:rPr>
        <w:t>⚡ Impact estimé sur la BRVM</w:t>
      </w:r>
    </w:p>
    <w:p>
      <w:pPr>
        <w:spacing w:before="20" w:after="40"/>
        <w:ind w:left="280"/>
      </w:pPr>
      <w:r>
        <w:rPr>
          <w:i/>
          <w:sz w:val="18"/>
        </w:rPr>
        <w:t>Recommandations : **SGBC/BICB** (secteur financier porté par la croissance BCEAO) — conserver ; **SLBC/SCRC** (consommation de base défensive) — accumuler ; **ONTBF/SNTS** (télécoms, rendement) — conserver ; **TTLC/TTLS** (énergie, sensible aux taux) — prudence ; **NTLC** (agro, exposition riz) — surveiller.</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La pression inflationniste en zone euro (3,8 %) et les anticipations de hausse BCE dominent l'agenda. Aucun conflit majeur nouveau n'est rapporté dans les actualités fournies.</w:t>
      </w:r>
    </w:p>
    <w:p>
      <w:pPr>
        <w:pStyle w:val="Heading3"/>
      </w:pPr>
      <w:r>
        <w:rPr>
          <w:color w:val="500050"/>
        </w:rPr>
        <w:t>⚡ Impact estimé sur la BRVM</w:t>
      </w:r>
    </w:p>
    <w:p>
      <w:pPr>
        <w:spacing w:before="20" w:after="40"/>
        <w:ind w:left="280"/>
      </w:pPr>
      <w:r>
        <w:rPr>
          <w:i/>
          <w:sz w:val="18"/>
        </w:rPr>
        <w:t>Un resserrement BCE plus agressif détournerait les capitaux des marchés frontières vers les actifs européens, pesant sur la liquidité BRVM et les valorisations des grandes capitalisations.</w:t>
      </w:r>
    </w:p>
    <w:p>
      <w:pPr>
        <w:pStyle w:val="Heading2"/>
      </w:pPr>
      <w:r>
        <w:rPr>
          <w:color w:val="006E32"/>
        </w:rPr>
        <w:t>🌍 Plan Africain</w:t>
      </w:r>
    </w:p>
    <w:p>
      <w:pPr>
        <w:spacing w:before="20" w:after="40"/>
        <w:ind w:left="0"/>
      </w:pPr>
      <w:r>
        <w:rPr>
          <w:sz w:val="18"/>
        </w:rPr>
        <w:t>La CEDEAO cherche une position commune en Égypte via Diomaye Faye. Le Nigeria plaide pour un front sécuritaire uni. Ces dynamiques traduisent une volonté d'intégration régionale renforcée.</w:t>
      </w:r>
    </w:p>
    <w:p>
      <w:pPr>
        <w:pStyle w:val="Heading3"/>
      </w:pPr>
      <w:r>
        <w:rPr>
          <w:color w:val="500050"/>
        </w:rPr>
        <w:t>⚡ Impact estimé sur la BRVM</w:t>
      </w:r>
    </w:p>
    <w:p>
      <w:pPr>
        <w:spacing w:before="20" w:after="40"/>
        <w:ind w:left="280"/>
      </w:pPr>
      <w:r>
        <w:rPr>
          <w:i/>
          <w:sz w:val="18"/>
        </w:rPr>
        <w:t>Une CEDEAO plus coordonnée améliorerait la confiance des investisseurs et pourrait stimuler les flux vers la BRVM, notamment sur les valeurs bancaires régionales (SGBC, BICB).</w:t>
      </w:r>
    </w:p>
    <w:p>
      <w:pPr>
        <w:pStyle w:val="Heading2"/>
      </w:pPr>
      <w:r>
        <w:rPr>
          <w:color w:val="145A28"/>
        </w:rPr>
        <w:t>🌍 Plan Afrique de l'Ouest</w:t>
      </w:r>
    </w:p>
    <w:p>
      <w:pPr>
        <w:spacing w:before="20" w:after="40"/>
        <w:ind w:left="0"/>
      </w:pPr>
      <w:r>
        <w:rPr>
          <w:sz w:val="18"/>
        </w:rPr>
        <w:t>Sécurité régionale au cœur des préoccupations (front uni nigérian). La CEA mobilise le secteur privé sur le riz. Tensions politiques en Côte d'Ivoire avec l'appel de Séraphin Prao (LDCI) à l'apaisement.</w:t>
      </w:r>
    </w:p>
    <w:p>
      <w:pPr>
        <w:pStyle w:val="Heading3"/>
      </w:pPr>
      <w:r>
        <w:rPr>
          <w:color w:val="500050"/>
        </w:rPr>
        <w:t>⚡ Impact estimé sur la BRVM</w:t>
      </w:r>
    </w:p>
    <w:p>
      <w:pPr>
        <w:spacing w:before="20" w:after="40"/>
        <w:ind w:left="280"/>
      </w:pPr>
      <w:r>
        <w:rPr>
          <w:i/>
          <w:sz w:val="18"/>
        </w:rPr>
        <w:t>Les tensions ivoiriennes constituent le principal risque politique direct pour la BRVM. Les sociétés opérant au Burkina Faso (risque terroriste) et au Niger pourraient voir leurs primes de risque augmenter.</w:t>
      </w:r>
    </w:p>
    <w:p>
      <w:pPr>
        <w:pStyle w:val="Heading2"/>
      </w:pPr>
      <w:r>
        <w:rPr>
          <w:color w:val="8C4600"/>
        </w:rPr>
        <w:t>🏦 Plan UEMOA / Zone Franc</w:t>
      </w:r>
    </w:p>
    <w:p>
      <w:pPr>
        <w:spacing w:before="20" w:after="40"/>
        <w:ind w:left="0"/>
      </w:pPr>
      <w:r>
        <w:rPr>
          <w:sz w:val="18"/>
        </w:rPr>
        <w:t>Situation politique tendue en Côte d'Ivoire selon l'opposition. Le Burkina Faso appelle à réformer le multilatéralisme antiterroriste. Réformes institutionnelles en cours dans la zone.</w:t>
      </w:r>
    </w:p>
    <w:p>
      <w:pPr>
        <w:pStyle w:val="Heading3"/>
      </w:pPr>
      <w:r>
        <w:rPr>
          <w:color w:val="500050"/>
        </w:rPr>
        <w:t>⚡ Impact estimé sur la BRVM</w:t>
      </w:r>
    </w:p>
    <w:p>
      <w:pPr>
        <w:spacing w:before="20" w:after="40"/>
        <w:ind w:left="280"/>
      </w:pPr>
      <w:r>
        <w:rPr>
          <w:i/>
          <w:sz w:val="18"/>
        </w:rPr>
        <w:t>Risque réglementaire modéré. Une dégradation politique ivoirienne affecterait directement SGBC, BICB, ONTBF et l'ensemble de la cote, la Côte d'Ivoire dominant la capitalisation.</w:t>
      </w:r>
    </w:p>
    <w:p>
      <w:pPr>
        <w:pStyle w:val="Heading2"/>
      </w:pPr>
      <w:r>
        <w:rPr>
          <w:color w:val="003366"/>
        </w:rPr>
        <w:t>📈 Plan BRVM</w:t>
      </w:r>
    </w:p>
    <w:p>
      <w:pPr>
        <w:spacing w:before="20" w:after="40"/>
        <w:ind w:left="0"/>
      </w:pPr>
      <w:r>
        <w:rPr>
          <w:sz w:val="18"/>
        </w:rPr>
        <w:t>Aucune actualité réglementaire CREPMF ou de nouvelle cotation n'est rapportée dans les données fournies.</w:t>
      </w:r>
    </w:p>
    <w:p>
      <w:pPr>
        <w:pStyle w:val="Heading3"/>
      </w:pPr>
      <w:r>
        <w:rPr>
          <w:color w:val="500050"/>
        </w:rPr>
        <w:t>⚡ Impact estimé sur la BRVM</w:t>
      </w:r>
    </w:p>
    <w:p>
      <w:pPr>
        <w:spacing w:before="20" w:after="40"/>
        <w:ind w:left="280"/>
      </w:pPr>
      <w:r>
        <w:rPr>
          <w:i/>
          <w:sz w:val="18"/>
        </w:rPr>
        <w:t>Données insuffisantes pour évaluer les évolutions réglementaires récentes du marché.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Remontée confirmée des taux d'épargne. Standard Chartered anticipe une hausse BCE. Inflation zone euro à 3,8 % renforçant les attentes de resserrement monétaire.</w:t>
      </w:r>
    </w:p>
    <w:p>
      <w:pPr>
        <w:pStyle w:val="Heading3"/>
      </w:pPr>
      <w:r>
        <w:rPr>
          <w:color w:val="500050"/>
        </w:rPr>
        <w:t>⚡ Impact estimé sur la BRVM</w:t>
      </w:r>
    </w:p>
    <w:p>
      <w:pPr>
        <w:spacing w:before="20" w:after="40"/>
        <w:ind w:left="280"/>
      </w:pPr>
      <w:r>
        <w:rPr>
          <w:i/>
          <w:sz w:val="18"/>
        </w:rPr>
        <w:t>La hausse des taux européens réduit l'attrait relatif des rendements BRVM pour les investisseurs internationaux. Les valeurs à fort rendement (ONTBF, SNTS) restent attractives pour les investisseurs locaux en quête de rendement.</w:t>
      </w:r>
    </w:p>
    <w:p>
      <w:pPr>
        <w:pStyle w:val="Heading2"/>
      </w:pPr>
      <w:r>
        <w:rPr>
          <w:color w:val="006E32"/>
        </w:rPr>
        <w:t>🌍 Plan Africain</w:t>
      </w:r>
    </w:p>
    <w:p>
      <w:pPr>
        <w:spacing w:before="20" w:after="40"/>
        <w:ind w:left="0"/>
      </w:pPr>
      <w:r>
        <w:rPr>
          <w:sz w:val="18"/>
        </w:rPr>
        <w:t>Aucune donnée spécifique sur les eurobonds ou notations souveraines africaines n'est fournie dans les actualités.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Aucune information sur les bourses concurrentes (Ghana, Nigeria) ou les flux de capitaux sous-régionaux n'est disponible.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La BCEAO prévoit 6,1 % de croissance en 2026, signal positif pour la liquidité bancaire et les titres publics. Aucune donnée sur les taux interbancaires n'est fournie.</w:t>
      </w:r>
    </w:p>
    <w:p>
      <w:pPr>
        <w:pStyle w:val="Heading3"/>
      </w:pPr>
      <w:r>
        <w:rPr>
          <w:color w:val="500050"/>
        </w:rPr>
        <w:t>⚡ Impact estimé sur la BRVM</w:t>
      </w:r>
    </w:p>
    <w:p>
      <w:pPr>
        <w:spacing w:before="20" w:after="40"/>
        <w:ind w:left="280"/>
      </w:pPr>
      <w:r>
        <w:rPr>
          <w:i/>
          <w:sz w:val="18"/>
        </w:rPr>
        <w:t>La croissance soutenue réduit l'attrait relatif des titres publics par rapport aux actions. Les banques (SGBC, BICB, SIBC) devraient bénéficier d'un environnement de crédit favorable.</w:t>
      </w:r>
    </w:p>
    <w:p>
      <w:pPr>
        <w:pStyle w:val="Heading2"/>
      </w:pPr>
      <w:r>
        <w:rPr>
          <w:color w:val="003366"/>
        </w:rPr>
        <w:t>📈 Plan BRVM</w:t>
      </w:r>
    </w:p>
    <w:p>
      <w:pPr>
        <w:spacing w:before="20" w:after="40"/>
        <w:ind w:left="0"/>
      </w:pPr>
      <w:r>
        <w:rPr>
          <w:sz w:val="18"/>
        </w:rPr>
        <w:t>Indice BRVM Composite à 549,02 points. Résultats encourageants des sociétés ivoiriennes cotées selon La Tribune. Aucune donnée sur volumes ou top/flop spécifiques.</w:t>
      </w:r>
    </w:p>
    <w:p>
      <w:pPr>
        <w:pStyle w:val="Heading3"/>
      </w:pPr>
      <w:r>
        <w:rPr>
          <w:color w:val="500050"/>
        </w:rPr>
        <w:t>⚡ Impact estimé sur la BRVM</w:t>
      </w:r>
    </w:p>
    <w:p>
      <w:pPr>
        <w:spacing w:before="20" w:after="40"/>
        <w:ind w:left="280"/>
      </w:pPr>
      <w:r>
        <w:rPr>
          <w:i/>
          <w:sz w:val="18"/>
        </w:rPr>
        <w:t>**Opportunités d'achat** : SGBC, BICB (croissance BCEAO) ; SLBC, SCRC (défensif). **Titres sous pression** : valeurs énergie (TTLC, TTLS) sensibles aux taux ; NEIC, BNBC exposés au risque de change. **Recommandation globale** : surpondérer financières et consommation de base, sous-pondérer énergie et discrétionnaire cyclique.</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 reste favorable avec une croissance UEMOA projetée à 6,1 % en 2026 et des résultats d'entreprises encourageants, mais plusieurs vents contraires pèsent : resserrement monétaire BCE (inflation 3,8 %), tensions politiques ivoiriennes, et dépendance au dollar. Les secteurs financier (SGBC, BICB) et consommation de base (SLBC, SCRC) offrent les meilleurs profils risque/rendement. Recommandation : privilégier les valeurs défensives à dividendes, limiter l'exposition aux énergies (TTLC, TTLS) et surveiller l'évolution politique en Côte d'Ivoire, cœur de la cote BRVM.</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La remontée des taux des comptes d'épargne se confirme - L'Echo</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2026-10-02</w:t>
            </w:r>
          </w:p>
        </w:tc>
        <w:tc>
          <w:tcPr>
            <w:tcW w:type="dxa" w:w="1728"/>
          </w:tcPr>
          <w:p>
            <w:r>
              <w:rPr>
                <w:sz w:val="14"/>
              </w:rPr>
              <w:t>Les prix du pétrole ont flambé et les marchés mondiaux des matières pr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r>
        <w:tc>
          <w:tcPr>
            <w:tcW w:type="dxa" w:w="1728"/>
          </w:tcPr>
          <w:p>
            <w:r>
              <w:rPr>
                <w:sz w:val="14"/>
              </w:rPr>
              <w:t>2026-10-03</w:t>
            </w:r>
          </w:p>
        </w:tc>
        <w:tc>
          <w:tcPr>
            <w:tcW w:type="dxa" w:w="1728"/>
          </w:tcPr>
          <w:p>
            <w:r>
              <w:rPr>
                <w:sz w:val="14"/>
              </w:rPr>
              <w:t>UEMOA : la BCEAO table sur une croissance de 6,1 % en 2026 - Africa Ne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UEMOA inflation </w:t>
            </w:r>
          </w:p>
        </w:tc>
      </w:tr>
      <w:tr>
        <w:tc>
          <w:tcPr>
            <w:tcW w:type="dxa" w:w="1728"/>
          </w:tcPr>
          <w:p>
            <w:r>
              <w:rPr>
                <w:sz w:val="14"/>
              </w:rPr>
              <w:t>2026-10-02</w:t>
            </w:r>
          </w:p>
        </w:tc>
        <w:tc>
          <w:tcPr>
            <w:tcW w:type="dxa" w:w="1728"/>
          </w:tcPr>
          <w:p>
            <w:r>
              <w:rPr>
                <w:sz w:val="14"/>
              </w:rPr>
              <w:t>BRVM : Plus de 200 millions FCFA engagés sur la SIB - Sika Finance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2026-10-01</w:t>
            </w:r>
          </w:p>
        </w:tc>
        <w:tc>
          <w:tcPr>
            <w:tcW w:type="dxa" w:w="1728"/>
          </w:tcPr>
          <w:p>
            <w:r>
              <w:rPr>
                <w:sz w:val="14"/>
              </w:rPr>
              <w:t>Mali : Amnesty publie un rapport accusant les FAMa et Wagner de crimes</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Togo : le budget 2027 arrive au Sénat, Barry Moussa Barqué fixe le cap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La remontée des taux des comptes d'épargne se confirme - L'Echo</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r>
        <w:tc>
          <w:tcPr>
            <w:tcW w:type="dxa" w:w="1728"/>
          </w:tcPr>
          <w:p>
            <w:r>
              <w:rPr>
                <w:sz w:val="14"/>
              </w:rPr>
              <w:t>2026-10-01</w:t>
            </w:r>
          </w:p>
        </w:tc>
        <w:tc>
          <w:tcPr>
            <w:tcW w:type="dxa" w:w="1728"/>
          </w:tcPr>
          <w:p>
            <w:r>
              <w:rPr>
                <w:sz w:val="14"/>
              </w:rPr>
              <w:t>Le pétrole recircule dans le détroit d'Ormuz, alors pourquoi le carbur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r>
        <w:tc>
          <w:tcPr>
            <w:tcW w:type="dxa" w:w="1728"/>
          </w:tcPr>
          <w:p>
            <w:r>
              <w:rPr>
                <w:sz w:val="14"/>
              </w:rPr>
              <w:t>2026-10-02</w:t>
            </w:r>
          </w:p>
        </w:tc>
        <w:tc>
          <w:tcPr>
            <w:tcW w:type="dxa" w:w="1728"/>
          </w:tcPr>
          <w:p>
            <w:r>
              <w:rPr>
                <w:sz w:val="14"/>
              </w:rPr>
              <w:t>BRVM : Plus de 200 millions FCFA engagés sur la SIB - Sika Finance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2026-10-03</w:t>
            </w:r>
          </w:p>
        </w:tc>
        <w:tc>
          <w:tcPr>
            <w:tcW w:type="dxa" w:w="1728"/>
          </w:tcPr>
          <w:p>
            <w:r>
              <w:rPr>
                <w:sz w:val="14"/>
              </w:rPr>
              <w:t>La remontée des taux des comptes d'épargne se confirme - L'Echo</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UEMOA : la BCEAO table sur une croissance de 6,1 % en 2026 - Africa Ne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UEMOA inflation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2026-10-03</w:t>
            </w:r>
          </w:p>
        </w:tc>
        <w:tc>
          <w:tcPr>
            <w:tcW w:type="dxa" w:w="1728"/>
          </w:tcPr>
          <w:p>
            <w:r>
              <w:rPr>
                <w:sz w:val="14"/>
              </w:rPr>
              <w:t>UEMOA : la BCEAO table sur une croissance de 6,1 % en 2026 - Africa Ne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 xml:space="preserve">Google News — UEMOA inflation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BRVM : Plus de 200 millions FCFA engagés sur la SIB - Sika Finance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Côte d'Ivoire : Situation politique tendue, Séraphin Prao (LDCI) au go</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politique Côte d</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Standard Chartered rejoint les grandes banques qui tablent sur une hau</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L’inflation dans la zone euro atteint 3,8 % et accentue la pression 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Burkina Faso : plaidoyer pour un multilatéralisme réformé dans la lutt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2026-10-02</w:t>
            </w:r>
          </w:p>
        </w:tc>
        <w:tc>
          <w:tcPr>
            <w:tcW w:type="dxa" w:w="1728"/>
          </w:tcPr>
          <w:p>
            <w:r>
              <w:rPr>
                <w:sz w:val="14"/>
              </w:rPr>
              <w:t>BRVM : Plus de 200 millions FCFA engagés sur la SIB - Sika Finance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2026-10-02</w:t>
            </w:r>
          </w:p>
        </w:tc>
        <w:tc>
          <w:tcPr>
            <w:tcW w:type="dxa" w:w="1728"/>
          </w:tcPr>
          <w:p>
            <w:r>
              <w:rPr>
                <w:sz w:val="14"/>
              </w:rPr>
              <w:t>Les prix du pétrole ont grimpé jusqu'à 92,87 dollars le baril. - vietn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(4 alerte(s))</w:t>
      </w:r>
    </w:p>
    <w:p>
      <w:pPr>
        <w:spacing w:before="40" w:after="40"/>
        <w:ind w:left="360"/>
      </w:pPr>
      <w:r>
        <w:rPr>
          <w:color w:val="646464"/>
          <w:sz w:val="17"/>
        </w:rPr>
        <w:t xml:space="preserve">[03/10/2026] ⚪  </w:t>
      </w:r>
      <w:r>
        <w:rPr>
          <w:b/>
          <w:color w:val="505050"/>
          <w:sz w:val="18"/>
        </w:rPr>
        <w:t>La remontée des taux des comptes d'épargne se confirme - L'Echo</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Les taux d'intérêt servis sur les comptes d'épargne poursuivent leur remontée, confirmant une tendance amorcée ces derniers mois. Cette évolution reflète le resserrement monétaire opéré par les banques centrales pour contenir l'inflation. Pour les épargnants, cette hausse améliore la rémunération de l'épargne, mais elle renchérit le coût du crédit </w:t>
      </w:r>
    </w:p>
    <w:p>
      <w:pPr>
        <w:spacing w:before="0" w:after="40"/>
        <w:ind w:left="600"/>
      </w:pPr>
      <w:r>
        <w:rPr>
          <w:color w:val="00643C"/>
          <w:sz w:val="16"/>
        </w:rPr>
        <w:t>Points clés : Confirmation de la tendance haussière des taux des comptes d'épargne  •  Contexte de resserrement monétaire face à l'inflation  •  Impact contrasté : meilleure rémunération de l'épargne mais crédit plus cher</w:t>
      </w:r>
    </w:p>
    <w:p>
      <w:pPr>
        <w:spacing w:before="0" w:after="60"/>
        <w:ind w:left="600"/>
      </w:pPr>
      <w:r>
        <w:rPr>
          <w:color w:val="0064B4"/>
          <w:sz w:val="15"/>
        </w:rPr>
        <w:t>Source : https://news.google.com/rss/articles/CBMivgFBVV95cUxOVkdUNXVGbkNNZ0dfRGJsRWVIX3l</w:t>
      </w:r>
    </w:p>
    <w:p>
      <w:pPr>
        <w:spacing w:before="40" w:after="40"/>
        <w:ind w:left="360"/>
      </w:pPr>
      <w:r>
        <w:rPr>
          <w:color w:val="646464"/>
          <w:sz w:val="17"/>
        </w:rPr>
        <w:t xml:space="preserve">[02/10/2026] ⚪  </w:t>
      </w:r>
      <w:r>
        <w:rPr>
          <w:b/>
          <w:color w:val="505050"/>
          <w:sz w:val="18"/>
        </w:rPr>
        <w:t>Standard Chartered rejoint les grandes banques qui tablent sur une hausse des taux de la Banque centrale européenne (BCE</w:t>
      </w:r>
      <w:r>
        <w:rPr>
          <w:color w:val="787878"/>
          <w:sz w:val="15"/>
        </w:rPr>
        <w:t xml:space="preserve">  [politique_monetaire]</w:t>
      </w:r>
      <w:r>
        <w:rPr>
          <w:color w:val="B47800"/>
          <w:sz w:val="16"/>
        </w:rPr>
        <w:t xml:space="preserve">  ★ 50/10</w:t>
      </w:r>
    </w:p>
    <w:p>
      <w:pPr>
        <w:spacing w:before="0" w:after="20"/>
        <w:ind w:left="600"/>
      </w:pPr>
      <w:r>
        <w:rPr>
          <w:color w:val="323232"/>
          <w:sz w:val="17"/>
        </w:rPr>
        <w:t>Standard Chartered rejoint un nombre croissant de grandes banques qui anticipent une hausse des taux directeurs de la Banque centrale européenne (BCE) dès décembre. Ce revirement de consensus reflète les pressions inflationnistes persistantes dans la zone euro et une communication plus restrictive de la BCE. Une telle hausse des taux européens pour</w:t>
      </w:r>
    </w:p>
    <w:p>
      <w:pPr>
        <w:spacing w:before="0" w:after="40"/>
        <w:ind w:left="600"/>
      </w:pPr>
      <w:r>
        <w:rPr>
          <w:color w:val="00643C"/>
          <w:sz w:val="16"/>
        </w:rPr>
        <w:t>Points clés : Standard Chartered prévoit une hausse des taux de la BCE en décembre  •  D'autres grandes banques internationales partagent ce scénario  •  Contexte de persistance de l'inflation en zone euro  •  Risque de contagion aux politiques monétaires africaines via la BCEAO</w:t>
      </w:r>
    </w:p>
    <w:p>
      <w:pPr>
        <w:spacing w:before="0" w:after="60"/>
        <w:ind w:left="600"/>
      </w:pPr>
      <w:r>
        <w:rPr>
          <w:color w:val="0064B4"/>
          <w:sz w:val="15"/>
        </w:rPr>
        <w:t>Source : https://news.google.com/rss/articles/CBMi8gFBVV95cUxPaHBQRzVRRVozZ1JQYlZ3R3VmTGd</w:t>
      </w:r>
    </w:p>
    <w:p>
      <w:pPr>
        <w:spacing w:before="40" w:after="40"/>
        <w:ind w:left="360"/>
      </w:pPr>
      <w:r>
        <w:rPr>
          <w:color w:val="646464"/>
          <w:sz w:val="17"/>
        </w:rPr>
        <w:t xml:space="preserve">[02/10/2026] 🔴  </w:t>
      </w:r>
      <w:r>
        <w:rPr>
          <w:b/>
          <w:color w:val="C00000"/>
          <w:sz w:val="18"/>
        </w:rPr>
        <w:t xml:space="preserve">L’inflation dans la zone euro atteint 3,8 % et accentue la pression sur la BCE pour qu’elle relève à nouveau ses taux - </w:t>
      </w:r>
      <w:r>
        <w:rPr>
          <w:color w:val="787878"/>
          <w:sz w:val="15"/>
        </w:rPr>
        <w:t xml:space="preserve">  [politique_monetaire]</w:t>
      </w:r>
      <w:r>
        <w:rPr>
          <w:color w:val="B47800"/>
          <w:sz w:val="16"/>
        </w:rPr>
        <w:t xml:space="preserve">  ★ 50/10</w:t>
      </w:r>
    </w:p>
    <w:p>
      <w:pPr>
        <w:spacing w:before="0" w:after="20"/>
        <w:ind w:left="600"/>
      </w:pPr>
      <w:r>
        <w:rPr>
          <w:color w:val="323232"/>
          <w:sz w:val="17"/>
        </w:rPr>
        <w:t>L'inflation dans la zone euro atteint 3,8 %, un niveau qui renforce les attentes d'un nouveau relèvement des taux directeurs par la Banque centrale européenne. Cette pression inflationniste pourrait conduire la BCE à durcir davantage sa politique monétaire. Une telle décision aurait des répercussions sur les marchés financiers mondiaux, y compris l</w:t>
      </w:r>
    </w:p>
    <w:p>
      <w:pPr>
        <w:spacing w:before="0" w:after="40"/>
        <w:ind w:left="600"/>
      </w:pPr>
      <w:r>
        <w:rPr>
          <w:color w:val="00643C"/>
          <w:sz w:val="16"/>
        </w:rPr>
        <w:t>Points clés : Inflation zone euro à 3,8 %  •  Pression accrue sur la BCE pour relever les taux  •  Risque de resserrement monétaire supplémentaire</w:t>
      </w:r>
    </w:p>
    <w:p>
      <w:pPr>
        <w:spacing w:before="0" w:after="60"/>
        <w:ind w:left="600"/>
      </w:pPr>
      <w:r>
        <w:rPr>
          <w:color w:val="0064B4"/>
          <w:sz w:val="15"/>
        </w:rPr>
        <w:t>Source : https://news.google.com/rss/articles/CBMi5wFBVV95cUxQSGZNbTFDOUYySUNuVWh4emp2cnZ</w:t>
      </w:r>
    </w:p>
    <w:p>
      <w:pPr>
        <w:spacing w:before="40" w:after="40"/>
        <w:ind w:left="360"/>
      </w:pPr>
      <w:r>
        <w:rPr>
          <w:color w:val="646464"/>
          <w:sz w:val="17"/>
        </w:rPr>
        <w:t xml:space="preserve">[30/09/2026] ⚪  </w:t>
      </w:r>
      <w:r>
        <w:rPr>
          <w:b/>
          <w:color w:val="505050"/>
          <w:sz w:val="18"/>
        </w:rPr>
        <w:t>Présidentielle 2027 : « Pas du tout une bonne idée »… Christine Lagarde exclut de se présenter - Yahoo Actualités</w:t>
      </w:r>
      <w:r>
        <w:rPr>
          <w:color w:val="787878"/>
          <w:sz w:val="15"/>
        </w:rPr>
        <w:t xml:space="preserve">  [politique_monetaire]</w:t>
      </w:r>
      <w:r>
        <w:rPr>
          <w:color w:val="B47800"/>
          <w:sz w:val="16"/>
        </w:rPr>
        <w:t xml:space="preserve">  ★ 50/10</w:t>
      </w:r>
    </w:p>
    <w:p>
      <w:pPr>
        <w:spacing w:before="0" w:after="20"/>
        <w:ind w:left="600"/>
      </w:pPr>
      <w:r>
        <w:rPr>
          <w:color w:val="323232"/>
          <w:sz w:val="17"/>
        </w:rPr>
        <w:t>Christine Lagarde, présidente de la Banque centrale européenne, a officiellement exclu de se présenter à l'élection présidentielle française de 2027, qualifiant cette idée de « pas du tout une bonne idée ». Cette déclaration met fin aux spéculations sur une éventuelle candidature de l'ancienne directrice du FMI. Son mandat à la BCE court jusqu'en 2</w:t>
      </w:r>
    </w:p>
    <w:p>
      <w:pPr>
        <w:spacing w:before="0" w:after="40"/>
        <w:ind w:left="600"/>
      </w:pPr>
      <w:r>
        <w:rPr>
          <w:color w:val="00643C"/>
          <w:sz w:val="16"/>
        </w:rPr>
        <w:t>Points clés : Christine Lagarde exclut toute candidature à la présidentielle française de 2027  •  Elle qualifie cette idée de « pas du tout une bonne idée »  •  Son mandat à la tête de la BCE court jusqu'en 2027</w:t>
      </w:r>
    </w:p>
    <w:p>
      <w:pPr>
        <w:spacing w:before="0" w:after="60"/>
        <w:ind w:left="600"/>
      </w:pPr>
      <w:r>
        <w:rPr>
          <w:color w:val="0064B4"/>
          <w:sz w:val="15"/>
        </w:rPr>
        <w:t>Source : https://news.google.com/rss/articles/CBMilgFBVV95cUxQb1BNMnEzVVlJZWpZc3BXTXMyQUN</w:t>
      </w:r>
    </w:p>
    <w:p>
      <w:pPr>
        <w:spacing w:before="120" w:after="40"/>
      </w:pPr>
      <w:r>
        <w:rPr>
          <w:b/>
          <w:color w:val="00467F"/>
          <w:sz w:val="20"/>
        </w:rPr>
        <w:t>🔑 économique  (4 alerte(s))</w:t>
      </w:r>
    </w:p>
    <w:p>
      <w:pPr>
        <w:spacing w:before="40" w:after="40"/>
        <w:ind w:left="360"/>
      </w:pPr>
      <w:r>
        <w:rPr>
          <w:color w:val="646464"/>
          <w:sz w:val="17"/>
        </w:rPr>
        <w:t xml:space="preserve">[03/10/2026] 🟢  </w:t>
      </w:r>
      <w:r>
        <w:rPr>
          <w:b/>
          <w:color w:val="008000"/>
          <w:sz w:val="18"/>
        </w:rPr>
        <w:t>UEMOA : la BCEAO table sur une croissance de 6,1 % en 2026 - Africa News Agency</w:t>
      </w:r>
      <w:r>
        <w:rPr>
          <w:color w:val="787878"/>
          <w:sz w:val="15"/>
        </w:rPr>
        <w:t xml:space="preserve">  [économique]</w:t>
      </w:r>
      <w:r>
        <w:rPr>
          <w:color w:val="B47800"/>
          <w:sz w:val="16"/>
        </w:rPr>
        <w:t xml:space="preserve">  ★ 50/10</w:t>
      </w:r>
    </w:p>
    <w:p>
      <w:pPr>
        <w:spacing w:before="0" w:after="20"/>
        <w:ind w:left="600"/>
      </w:pPr>
      <w:r>
        <w:rPr>
          <w:color w:val="323232"/>
          <w:sz w:val="17"/>
        </w:rPr>
        <w:t xml:space="preserve">La BCEAO prévoit une croissance économique de 6,1 % pour la zone UEMOA en 2026. Cette projection témoigne d'une dynamique économique soutenue dans les huit pays membres de l'union monétaire. Elle s'appuie sur la résilience des économies et pourrait favoriser un environnement propice aux investissements. Cette prévision reste toutefois conditionnée </w:t>
      </w:r>
    </w:p>
    <w:p>
      <w:pPr>
        <w:spacing w:before="0" w:after="40"/>
        <w:ind w:left="600"/>
      </w:pPr>
      <w:r>
        <w:rPr>
          <w:color w:val="00643C"/>
          <w:sz w:val="16"/>
        </w:rPr>
        <w:t>Points clés : Croissance projetée de 6,1 % en 2026 pour l'UEMOA  •  Prévision émise par la BCEAO  •  Signal de dynamisme économique pour la zone</w:t>
      </w:r>
    </w:p>
    <w:p>
      <w:pPr>
        <w:spacing w:before="0" w:after="60"/>
        <w:ind w:left="600"/>
      </w:pPr>
      <w:r>
        <w:rPr>
          <w:color w:val="0064B4"/>
          <w:sz w:val="15"/>
        </w:rPr>
        <w:t>Source : https://news.google.com/rss/articles/CBMijgFBVV95cUxOaDI2V2xLdXR0dEZ1MzRVMjY3Skd</w:t>
      </w:r>
    </w:p>
    <w:p>
      <w:pPr>
        <w:spacing w:before="40" w:after="40"/>
        <w:ind w:left="360"/>
      </w:pPr>
      <w:r>
        <w:rPr>
          <w:color w:val="646464"/>
          <w:sz w:val="17"/>
        </w:rPr>
        <w:t xml:space="preserve">[02/10/2026] ⚪  </w:t>
      </w:r>
      <w:r>
        <w:rPr>
          <w:b/>
          <w:color w:val="505050"/>
          <w:sz w:val="18"/>
        </w:rPr>
        <w:t>DIOMAYE EN EGYPTE : La Cedeao en quête d’une voix commune dans le système UA–CER - EnquetePlus.com</w:t>
      </w:r>
      <w:r>
        <w:rPr>
          <w:color w:val="787878"/>
          <w:sz w:val="15"/>
        </w:rPr>
        <w:t xml:space="preserve">  [économique]</w:t>
      </w:r>
      <w:r>
        <w:rPr>
          <w:color w:val="B47800"/>
          <w:sz w:val="16"/>
        </w:rPr>
        <w:t xml:space="preserve">  ★ 50/10</w:t>
      </w:r>
    </w:p>
    <w:p>
      <w:pPr>
        <w:spacing w:before="0" w:after="20"/>
        <w:ind w:left="600"/>
      </w:pPr>
      <w:r>
        <w:rPr>
          <w:color w:val="323232"/>
          <w:sz w:val="17"/>
        </w:rPr>
        <w:t>Le président sénégalais Bassirou Diomaye Faye s'est rendu en Égypte pour participer à une réunion de la Cedeao visant à harmoniser la position des États membres sur le système de l'Union africaine et des Communautés économiques régionales (UA-CER). Cette rencontre s'inscrit dans un contexte de réforme institutionnelle où l'Afrique de l'Ouest cherch</w:t>
      </w:r>
    </w:p>
    <w:p>
      <w:pPr>
        <w:spacing w:before="0" w:after="40"/>
        <w:ind w:left="600"/>
      </w:pPr>
      <w:r>
        <w:rPr>
          <w:color w:val="00643C"/>
          <w:sz w:val="16"/>
        </w:rPr>
        <w:t>Points clés : Déplacement du président sénégalais en Égypte pour une réunion de la Cedeao  •  Recherche d'une position commune sur le système UA-CER  •  Enjeu de renforcement de l'intégration régionale ouest-africaine</w:t>
      </w:r>
    </w:p>
    <w:p>
      <w:pPr>
        <w:spacing w:before="0" w:after="60"/>
        <w:ind w:left="600"/>
      </w:pPr>
      <w:r>
        <w:rPr>
          <w:color w:val="0064B4"/>
          <w:sz w:val="15"/>
        </w:rPr>
        <w:t>Source : https://news.google.com/rss/articles/CBMi1wFBVV95cUxQbnBKWWNGQ3JfRVQzYmpaQzJIdVR</w:t>
      </w:r>
    </w:p>
    <w:p>
      <w:pPr>
        <w:spacing w:before="40" w:after="40"/>
        <w:ind w:left="360"/>
      </w:pPr>
      <w:r>
        <w:rPr>
          <w:color w:val="646464"/>
          <w:sz w:val="17"/>
        </w:rPr>
        <w:t xml:space="preserve">[01/10/2026] 🟢  </w:t>
      </w:r>
      <w:r>
        <w:rPr>
          <w:b/>
          <w:color w:val="008000"/>
          <w:sz w:val="18"/>
        </w:rPr>
        <w:t>Afrique : une croissance solide face au défi de l’investissement [Business Africa] - Africanews</w:t>
      </w:r>
      <w:r>
        <w:rPr>
          <w:color w:val="787878"/>
          <w:sz w:val="15"/>
        </w:rPr>
        <w:t xml:space="preserve">  [économique]</w:t>
      </w:r>
      <w:r>
        <w:rPr>
          <w:color w:val="B47800"/>
          <w:sz w:val="16"/>
        </w:rPr>
        <w:t xml:space="preserve">  ★ 50/10</w:t>
      </w:r>
    </w:p>
    <w:p>
      <w:pPr>
        <w:spacing w:before="0" w:after="20"/>
        <w:ind w:left="600"/>
      </w:pPr>
      <w:r>
        <w:rPr>
          <w:color w:val="323232"/>
          <w:sz w:val="17"/>
        </w:rPr>
        <w:t>L'article d'Africanews évoque une croissance économique solide en Afrique, mais souligne que le principal défi reste l'investissement. Les économies africaines affichent des performances robustes, portées par la consommation et les services. Toutefois, le niveau d'investissement, notamment en infrastructures et dans le secteur privé, demeure insuff</w:t>
      </w:r>
    </w:p>
    <w:p>
      <w:pPr>
        <w:spacing w:before="0" w:after="40"/>
        <w:ind w:left="600"/>
      </w:pPr>
      <w:r>
        <w:rPr>
          <w:color w:val="00643C"/>
          <w:sz w:val="16"/>
        </w:rPr>
        <w:t>Points clés : Croissance économique africaine solide  •  Défi majeur de l'investissement  •  Besoin d'infrastructures et de financement privé  •  Potentiel pour les marchés financiers régionaux comme la BRVM</w:t>
      </w:r>
    </w:p>
    <w:p>
      <w:pPr>
        <w:spacing w:before="0" w:after="60"/>
        <w:ind w:left="600"/>
      </w:pPr>
      <w:r>
        <w:rPr>
          <w:color w:val="0064B4"/>
          <w:sz w:val="15"/>
        </w:rPr>
        <w:t>Source : https://news.google.com/rss/articles/CBMitgFBVV95cUxPODROM3RpY1pSUl9rWVNpd1N0bEd</w:t>
      </w:r>
    </w:p>
    <w:p>
      <w:pPr>
        <w:spacing w:before="40" w:after="40"/>
        <w:ind w:left="360"/>
      </w:pPr>
      <w:r>
        <w:rPr>
          <w:color w:val="646464"/>
          <w:sz w:val="17"/>
        </w:rPr>
        <w:t xml:space="preserve">[30/09/2026] ⚪  </w:t>
      </w:r>
      <w:r>
        <w:rPr>
          <w:b/>
          <w:color w:val="505050"/>
          <w:sz w:val="18"/>
        </w:rPr>
        <w:t>Coopération régionale : le chef d'état-major de l'armée nigériane plaide pour un front uni face aux menaces - Alwihda In</w:t>
      </w:r>
      <w:r>
        <w:rPr>
          <w:color w:val="787878"/>
          <w:sz w:val="15"/>
        </w:rPr>
        <w:t xml:space="preserve">  [économique]</w:t>
      </w:r>
      <w:r>
        <w:rPr>
          <w:color w:val="B47800"/>
          <w:sz w:val="16"/>
        </w:rPr>
        <w:t xml:space="preserve">  ★ 50/10</w:t>
      </w:r>
    </w:p>
    <w:p>
      <w:pPr>
        <w:spacing w:before="0" w:after="20"/>
        <w:ind w:left="600"/>
      </w:pPr>
      <w:r>
        <w:rPr>
          <w:color w:val="323232"/>
          <w:sz w:val="17"/>
        </w:rPr>
        <w:t>Le chef d'état-major de l'armée nigériane a appelé à un front uni des pays de la région face aux menaces sécuritaires communes. Cette déclaration s'inscrit dans un contexte de coopération régionale renforcée en Afrique de l'Ouest. Elle vise à coordonner les efforts militaires contre le terrorisme et l'instabilité. Aucune mesure économique ou financ</w:t>
      </w:r>
    </w:p>
    <w:p>
      <w:pPr>
        <w:spacing w:before="0" w:after="40"/>
        <w:ind w:left="600"/>
      </w:pPr>
      <w:r>
        <w:rPr>
          <w:color w:val="00643C"/>
          <w:sz w:val="16"/>
        </w:rPr>
        <w:t>Points clés : Appel à un front uni régional contre les menaces sécuritaires  •  Initiative portée par le chef d'état-major nigérian  •  Contexte de coopération militaire en Afrique de l'Ouest  •  Pas d'annonce économique ou financière directe</w:t>
      </w:r>
    </w:p>
    <w:p>
      <w:pPr>
        <w:spacing w:before="0" w:after="60"/>
        <w:ind w:left="600"/>
      </w:pPr>
      <w:r>
        <w:rPr>
          <w:color w:val="0064B4"/>
          <w:sz w:val="15"/>
        </w:rPr>
        <w:t>Source : https://news.google.com/rss/articles/CBMizAFBVV95cUxOY1pSZHlReXZFajk1VkM5SHdzRTd</w:t>
      </w:r>
    </w:p>
    <w:p>
      <w:pPr>
        <w:spacing w:before="120" w:after="40"/>
      </w:pPr>
      <w:r>
        <w:rPr>
          <w:b/>
          <w:color w:val="00467F"/>
          <w:sz w:val="20"/>
        </w:rPr>
        <w:t>🔑 marche_financier  (1 alerte(s))</w:t>
      </w:r>
    </w:p>
    <w:p>
      <w:pPr>
        <w:spacing w:before="40" w:after="40"/>
        <w:ind w:left="360"/>
      </w:pPr>
      <w:r>
        <w:rPr>
          <w:color w:val="646464"/>
          <w:sz w:val="17"/>
        </w:rPr>
        <w:t xml:space="preserve">[02/10/2026] 🟢  </w:t>
      </w:r>
      <w:r>
        <w:rPr>
          <w:b/>
          <w:color w:val="008000"/>
          <w:sz w:val="18"/>
        </w:rPr>
        <w:t>BRVM : Plus de 200 millions FCFA engagés sur la SIB - Sika Finance</w:t>
      </w:r>
      <w:r>
        <w:rPr>
          <w:color w:val="787878"/>
          <w:sz w:val="15"/>
        </w:rPr>
        <w:t xml:space="preserve">  [marche_financier]</w:t>
      </w:r>
      <w:r>
        <w:rPr>
          <w:color w:val="B47800"/>
          <w:sz w:val="16"/>
        </w:rPr>
        <w:t xml:space="preserve">  ★ 50/10</w:t>
      </w:r>
    </w:p>
    <w:p>
      <w:pPr>
        <w:spacing w:before="0" w:after="20"/>
        <w:ind w:left="600"/>
      </w:pPr>
      <w:r>
        <w:rPr>
          <w:color w:val="323232"/>
          <w:sz w:val="17"/>
        </w:rPr>
        <w:t>Plus de 200 millions FCFA ont été échangés sur le titre SIB à la BRVM, selon Sika Finance. Cette activité témoigne d'un intérêt marqué des investisseurs pour la Société Ivoirienne de Banque. Le volume engagé suggère une dynamique positive sur cette valeur bancaire.</w:t>
      </w:r>
    </w:p>
    <w:p>
      <w:pPr>
        <w:spacing w:before="0" w:after="40"/>
        <w:ind w:left="600"/>
      </w:pPr>
      <w:r>
        <w:rPr>
          <w:color w:val="00643C"/>
          <w:sz w:val="16"/>
        </w:rPr>
        <w:t>Points clés : Plus de 200 millions FCFA échangés sur le titre SIB  •  Titre bancaire ivoirien au centre de l'attention  •  Volume significatif signalant un intérêt des investisseurs</w:t>
      </w:r>
    </w:p>
    <w:p>
      <w:pPr>
        <w:spacing w:before="0" w:after="60"/>
        <w:ind w:left="600"/>
      </w:pPr>
      <w:r>
        <w:rPr>
          <w:color w:val="0064B4"/>
          <w:sz w:val="15"/>
        </w:rPr>
        <w:t>Source : https://news.google.com/rss/articles/CBMilgFBVV95cUxPV20zZjBCdmI0SldqdldCaTIzckh</w:t>
      </w:r>
    </w:p>
    <w:p>
      <w:pPr>
        <w:spacing w:before="120" w:after="40"/>
      </w:pPr>
      <w:r>
        <w:rPr>
          <w:b/>
          <w:color w:val="00467F"/>
          <w:sz w:val="20"/>
        </w:rPr>
        <w:t>🔑 politique  (8 alerte(s))</w:t>
      </w:r>
    </w:p>
    <w:p>
      <w:pPr>
        <w:spacing w:before="40" w:after="40"/>
        <w:ind w:left="360"/>
      </w:pPr>
      <w:r>
        <w:rPr>
          <w:color w:val="646464"/>
          <w:sz w:val="17"/>
        </w:rPr>
        <w:t xml:space="preserve">[02/10/2026] ⚪  </w:t>
      </w:r>
      <w:r>
        <w:rPr>
          <w:b/>
          <w:color w:val="505050"/>
          <w:sz w:val="18"/>
        </w:rPr>
        <w:t>Burkina Faso : plaidoyer pour un multilatéralisme réformé dans la lutte antiterroriste - Africa24 TV</w:t>
      </w:r>
      <w:r>
        <w:rPr>
          <w:color w:val="787878"/>
          <w:sz w:val="15"/>
        </w:rPr>
        <w:t xml:space="preserve">  [politique]</w:t>
      </w:r>
      <w:r>
        <w:rPr>
          <w:color w:val="B47800"/>
          <w:sz w:val="16"/>
        </w:rPr>
        <w:t xml:space="preserve">  ★ 50/10</w:t>
      </w:r>
    </w:p>
    <w:p>
      <w:pPr>
        <w:spacing w:before="0" w:after="20"/>
        <w:ind w:left="600"/>
      </w:pPr>
      <w:r>
        <w:rPr>
          <w:color w:val="323232"/>
          <w:sz w:val="17"/>
        </w:rPr>
        <w:t>Le Burkina Faso plaide pour une réforme du multilatéralisme dans la lutte contre le terrorisme. Les autorités burkinabè appellent à une coopération internationale plus efficace et adaptée aux réalités locales. Cette prise de position intervient dans un contexte sécuritaire régional préoccupant au Sahel. L'objectif est de renforcer les actions conjo</w:t>
      </w:r>
    </w:p>
    <w:p>
      <w:pPr>
        <w:spacing w:before="0" w:after="40"/>
        <w:ind w:left="600"/>
      </w:pPr>
      <w:r>
        <w:rPr>
          <w:color w:val="00643C"/>
          <w:sz w:val="16"/>
        </w:rPr>
        <w:t>Points clés : Appel du Burkina Faso à un multilatéralisme réformé pour la lutte antiterroriste  •  Contexte sécuritaire difficile dans la région du Sahel  •  Volonté de renforcer la coopération internationale</w:t>
      </w:r>
    </w:p>
    <w:p>
      <w:pPr>
        <w:spacing w:before="0" w:after="60"/>
        <w:ind w:left="600"/>
      </w:pPr>
      <w:r>
        <w:rPr>
          <w:color w:val="0064B4"/>
          <w:sz w:val="15"/>
        </w:rPr>
        <w:t>Source : https://news.google.com/rss/articles/CBMirAFBVV95cUxNZHc4Z21VYzVDLXprNW8yQUVPUlJ</w:t>
      </w:r>
    </w:p>
    <w:p>
      <w:pPr>
        <w:spacing w:before="40" w:after="40"/>
        <w:ind w:left="360"/>
      </w:pPr>
      <w:r>
        <w:rPr>
          <w:color w:val="646464"/>
          <w:sz w:val="17"/>
        </w:rPr>
        <w:t xml:space="preserve">[02/10/2026] 🔴  </w:t>
      </w:r>
      <w:r>
        <w:rPr>
          <w:b/>
          <w:color w:val="C00000"/>
          <w:sz w:val="18"/>
        </w:rPr>
        <w:t xml:space="preserve">Côte d'Ivoire : Situation politique tendue, Séraphin Prao (LDCI) au gouvernement : « Mettez balle à terre et libérez Dr </w:t>
      </w:r>
      <w:r>
        <w:rPr>
          <w:color w:val="787878"/>
          <w:sz w:val="15"/>
        </w:rPr>
        <w:t xml:space="preserve">  [politique]</w:t>
      </w:r>
      <w:r>
        <w:rPr>
          <w:color w:val="B47800"/>
          <w:sz w:val="16"/>
        </w:rPr>
        <w:t xml:space="preserve">  ★ 50/10</w:t>
      </w:r>
    </w:p>
    <w:p>
      <w:pPr>
        <w:spacing w:before="0" w:after="20"/>
        <w:ind w:left="600"/>
      </w:pPr>
      <w:r>
        <w:rPr>
          <w:color w:val="323232"/>
          <w:sz w:val="17"/>
        </w:rPr>
        <w:t>La situation politique en Côte d'Ivoire reste tendue alors que Séraphin Prao, figure de la LDCI, appelle le gouvernement à apaiser les tensions et à libérer Dr Koné Katinan. Cet appel intervient dans un contexte de pression politique persistante entre l'opposition et le pouvoir en place. La demande de 'mettre balle à terre' suggère une volonté de d</w:t>
      </w:r>
    </w:p>
    <w:p>
      <w:pPr>
        <w:spacing w:before="0" w:after="40"/>
        <w:ind w:left="600"/>
      </w:pPr>
      <w:r>
        <w:rPr>
          <w:color w:val="00643C"/>
          <w:sz w:val="16"/>
        </w:rPr>
        <w:t>Points clés : Appel de Séraphin Prao (LDCI) au gouvernement pour une désescalade politique  •  Demande explicite de libération de Dr Koné Katinan  •  Persistance d'un climat politique tendu en Côte d'Ivoire  •  Risque potentiel sur la stabilité institutionnelle et le sentiment investisseur</w:t>
      </w:r>
    </w:p>
    <w:p>
      <w:pPr>
        <w:spacing w:before="0" w:after="60"/>
        <w:ind w:left="600"/>
      </w:pPr>
      <w:r>
        <w:rPr>
          <w:color w:val="0064B4"/>
          <w:sz w:val="15"/>
        </w:rPr>
        <w:t>Source : https://news.google.com/rss/articles/CBMisgJBVV95cUxQV3MwM09UUFdsRHlTZ2xDbXkyY0V</w:t>
      </w:r>
    </w:p>
    <w:p>
      <w:pPr>
        <w:spacing w:before="40" w:after="40"/>
        <w:ind w:left="360"/>
      </w:pPr>
      <w:r>
        <w:rPr>
          <w:color w:val="646464"/>
          <w:sz w:val="17"/>
        </w:rPr>
        <w:t xml:space="preserve">[02/10/2026] 🔴  </w:t>
      </w:r>
      <w:r>
        <w:rPr>
          <w:b/>
          <w:color w:val="C00000"/>
          <w:sz w:val="18"/>
        </w:rPr>
        <w:t xml:space="preserve">Côte d'Ivoire : Situation politique tendue, Séraphin Prao (LDCI) au gouvernement : « Mettez balle à terre et libérez Dr </w:t>
      </w:r>
      <w:r>
        <w:rPr>
          <w:color w:val="787878"/>
          <w:sz w:val="15"/>
        </w:rPr>
        <w:t xml:space="preserve">  [politique]</w:t>
      </w:r>
      <w:r>
        <w:rPr>
          <w:color w:val="B47800"/>
          <w:sz w:val="16"/>
        </w:rPr>
        <w:t xml:space="preserve">  ★ 50/10</w:t>
      </w:r>
    </w:p>
    <w:p>
      <w:pPr>
        <w:spacing w:before="0" w:after="20"/>
        <w:ind w:left="600"/>
      </w:pPr>
      <w:r>
        <w:rPr>
          <w:color w:val="323232"/>
          <w:sz w:val="17"/>
        </w:rPr>
        <w:t>L'article rapporte une tension politique en Côte d'Ivoire, avec l'appel de Séraphin Prao, membre de la LDCI, au gouvernement pour qu'il 'mette balle à terre' et libère Dr Koné Katinan. Cette déclaration s'inscrit dans un contexte de pression politique accrue. Aucune information économique ou financière n'est fournie.</w:t>
      </w:r>
    </w:p>
    <w:p>
      <w:pPr>
        <w:spacing w:before="0" w:after="40"/>
        <w:ind w:left="600"/>
      </w:pPr>
      <w:r>
        <w:rPr>
          <w:color w:val="00643C"/>
          <w:sz w:val="16"/>
        </w:rPr>
        <w:t>Points clés : Appel à la désescalade politique et à la libération de Dr Koné Katinan  •  Tension politique persistante en Côte d'Ivoire  •  Aucune donnée économique ou boursière mentionnée</w:t>
      </w:r>
    </w:p>
    <w:p>
      <w:pPr>
        <w:spacing w:before="0" w:after="60"/>
        <w:ind w:left="600"/>
      </w:pPr>
      <w:r>
        <w:rPr>
          <w:color w:val="0064B4"/>
          <w:sz w:val="15"/>
        </w:rPr>
        <w:t>Source : https://news.google.com/rss/articles/CBMipAJBVV95cUxOQ0Mwczdxb3RncHV0ZGgySElxNGx</w:t>
      </w:r>
    </w:p>
    <w:p>
      <w:pPr>
        <w:spacing w:before="40" w:after="40"/>
        <w:ind w:left="360"/>
      </w:pPr>
      <w:r>
        <w:rPr>
          <w:color w:val="646464"/>
          <w:sz w:val="17"/>
        </w:rPr>
        <w:t xml:space="preserve">[02/10/2026] ⚪  </w:t>
      </w:r>
      <w:r>
        <w:rPr>
          <w:b/>
          <w:color w:val="505050"/>
          <w:sz w:val="18"/>
        </w:rPr>
        <w:t>Togo : le budget 2027 arrive au Sénat, Barry Moussa Barqué fixe le cap - 24heureinfo.com</w:t>
      </w:r>
      <w:r>
        <w:rPr>
          <w:color w:val="787878"/>
          <w:sz w:val="15"/>
        </w:rPr>
        <w:t xml:space="preserve">  [politique]</w:t>
      </w:r>
      <w:r>
        <w:rPr>
          <w:color w:val="B47800"/>
          <w:sz w:val="16"/>
        </w:rPr>
        <w:t xml:space="preserve">  ★ 50/10</w:t>
      </w:r>
    </w:p>
    <w:p>
      <w:pPr>
        <w:spacing w:before="0" w:after="20"/>
        <w:ind w:left="600"/>
      </w:pPr>
      <w:r>
        <w:rPr>
          <w:color w:val="323232"/>
          <w:sz w:val="17"/>
        </w:rPr>
        <w:t>Le budget 2027 du Togo est transmis au Sénat pour examen, avec Barry Moussa Barqué qui fixe les orientations stratégiques. Cette étape parlementaire intervient dans le processus d'adoption du budget national. Les priorités budgétaires et les grandes lignes directrices sont ainsi présentées aux sénateurs. L'issue de cet examen pourrait influencer la</w:t>
      </w:r>
    </w:p>
    <w:p>
      <w:pPr>
        <w:spacing w:before="0" w:after="40"/>
        <w:ind w:left="600"/>
      </w:pPr>
      <w:r>
        <w:rPr>
          <w:color w:val="00643C"/>
          <w:sz w:val="16"/>
        </w:rPr>
        <w:t>Points clés : Le budget 2027 du Togo arrive au Sénat pour examen  •  Barry Moussa Barqué fixe le cap des priorités budgétaires  •  Procédure parlementaire d'adoption du budget en cours</w:t>
      </w:r>
    </w:p>
    <w:p>
      <w:pPr>
        <w:spacing w:before="0" w:after="60"/>
        <w:ind w:left="600"/>
      </w:pPr>
      <w:r>
        <w:rPr>
          <w:color w:val="0064B4"/>
          <w:sz w:val="15"/>
        </w:rPr>
        <w:t>Source : https://news.google.com/rss/articles/CBMipAFBVV95cUxOaHlqTGZsV09XUnB2SUJ5R2d2cTB</w:t>
      </w:r>
    </w:p>
    <w:p>
      <w:pPr>
        <w:spacing w:before="40" w:after="40"/>
        <w:ind w:left="360"/>
      </w:pPr>
      <w:r>
        <w:rPr>
          <w:color w:val="646464"/>
          <w:sz w:val="17"/>
        </w:rPr>
        <w:t xml:space="preserve">[02/10/2026] 🟢  </w:t>
      </w:r>
      <w:r>
        <w:rPr>
          <w:b/>
          <w:color w:val="008000"/>
          <w:sz w:val="18"/>
        </w:rPr>
        <w:t>Côte d'Ivoire : Yamoussoukro, Beugré Mambé donne le coup d'envoi aux 420 logements sociaux, la course à la propriété est</w:t>
      </w:r>
      <w:r>
        <w:rPr>
          <w:color w:val="787878"/>
          <w:sz w:val="15"/>
        </w:rPr>
        <w:t xml:space="preserve">  [politique]</w:t>
      </w:r>
      <w:r>
        <w:rPr>
          <w:color w:val="B47800"/>
          <w:sz w:val="16"/>
        </w:rPr>
        <w:t xml:space="preserve">  ★ 50/10</w:t>
      </w:r>
    </w:p>
    <w:p>
      <w:pPr>
        <w:spacing w:before="0" w:after="20"/>
        <w:ind w:left="600"/>
      </w:pPr>
      <w:r>
        <w:rPr>
          <w:color w:val="323232"/>
          <w:sz w:val="17"/>
        </w:rPr>
        <w:t xml:space="preserve">Le Premier Ministre ivoirien Robert Beugré Mambé a lancé officiellement à Yamoussoukro un programme de construction de 420 logements sociaux. Cette initiative vise à faciliter l'accès à la propriété pour les ménages à revenus modestes. Le projet s'inscrit dans la politique nationale de résorption du déficit de logements. Les bénéficiaires pourront </w:t>
      </w:r>
    </w:p>
    <w:p>
      <w:pPr>
        <w:spacing w:before="0" w:after="40"/>
        <w:ind w:left="600"/>
      </w:pPr>
      <w:r>
        <w:rPr>
          <w:color w:val="00643C"/>
          <w:sz w:val="16"/>
        </w:rPr>
        <w:t>Points clés : Lancement de 420 logements sociaux à Yamoussoukro par le Premier Ministre Beugré Mambé  •  Objectif : faciliter l'accès à la propriété pour les ménages modestes  •  Projet s'inscrivant dans la politique nationale de résorption du déficit de logements</w:t>
      </w:r>
    </w:p>
    <w:p>
      <w:pPr>
        <w:spacing w:before="0" w:after="60"/>
        <w:ind w:left="600"/>
      </w:pPr>
      <w:r>
        <w:rPr>
          <w:color w:val="0064B4"/>
          <w:sz w:val="15"/>
        </w:rPr>
        <w:t>Source : https://news.google.com/rss/articles/CBMipAJBVV95cUxPV1VaRzl4ZFpCeG5wR3Ruc3NiRmp</w:t>
      </w:r>
    </w:p>
    <w:p>
      <w:pPr>
        <w:spacing w:before="120" w:after="40"/>
      </w:pPr>
      <w:r>
        <w:rPr>
          <w:b/>
          <w:color w:val="00467F"/>
          <w:sz w:val="20"/>
        </w:rPr>
        <w:t>🔑 matieres_premieres  (3 alerte(s))</w:t>
      </w:r>
    </w:p>
    <w:p>
      <w:pPr>
        <w:spacing w:before="40" w:after="40"/>
        <w:ind w:left="360"/>
      </w:pPr>
      <w:r>
        <w:rPr>
          <w:color w:val="646464"/>
          <w:sz w:val="17"/>
        </w:rPr>
        <w:t xml:space="preserve">[02/10/2026] 🔴  </w:t>
      </w:r>
      <w:r>
        <w:rPr>
          <w:b/>
          <w:color w:val="C00000"/>
          <w:sz w:val="18"/>
        </w:rPr>
        <w:t>Les prix du pétrole ont grimpé jusqu'à 92,87 dollars le baril.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atteint un sommet de 92,87 dollars le baril selon le site vietnamien vietnam.vn. Cette hausse reflète des tensions persistantes sur les marchés mondiaux de l'énergie. Pour la BRVM, une telle flambée des cours pétroliers renchérit les coûts d'importation pour les pays de l'UEMOA et pèse sur les marges des entreprises consomma</w:t>
      </w:r>
    </w:p>
    <w:p>
      <w:pPr>
        <w:spacing w:before="0" w:after="40"/>
        <w:ind w:left="600"/>
      </w:pPr>
      <w:r>
        <w:rPr>
          <w:color w:val="00643C"/>
          <w:sz w:val="16"/>
        </w:rPr>
        <w:t>Points clés : Le baril de pétrole atteint 92,87 dollars, un niveau élevé.  •  La hausse est portée par des tensions sur l'offre et la demande mondiale.  •  Impact potentiel sur les coûts énergétiques dans la zone UEMOA.</w:t>
      </w:r>
    </w:p>
    <w:p>
      <w:pPr>
        <w:spacing w:before="0" w:after="60"/>
        <w:ind w:left="600"/>
      </w:pPr>
      <w:r>
        <w:rPr>
          <w:color w:val="0064B4"/>
          <w:sz w:val="15"/>
        </w:rPr>
        <w:t>Source : https://news.google.com/rss/articles/CBMidkFVX3lxTFAtSWdzSWpmdFc3QmNMb2NkdnpnXzV</w:t>
      </w:r>
    </w:p>
    <w:p>
      <w:pPr>
        <w:spacing w:before="40" w:after="40"/>
        <w:ind w:left="360"/>
      </w:pPr>
      <w:r>
        <w:rPr>
          <w:color w:val="646464"/>
          <w:sz w:val="17"/>
        </w:rPr>
        <w:t xml:space="preserve">[02/10/2026] 🔴  </w:t>
      </w:r>
      <w:r>
        <w:rPr>
          <w:b/>
          <w:color w:val="C00000"/>
          <w:sz w:val="18"/>
        </w:rPr>
        <w:t>Les prix du pétrole ont flambé et les marchés mondiaux des matières premières ont continué de fluctuer.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ont connu une forte hausse, entraînant une volatilité accrue sur les marchés mondiaux des matières premières. Cette flambée s'inscrit dans un contexte de fluctuations continues des cours. Les investisseurs surveillent l'évolution des prix de l'énergie et des matières premières, qui impacte les perspectives économiques mondiales.</w:t>
      </w:r>
    </w:p>
    <w:p>
      <w:pPr>
        <w:spacing w:before="0" w:after="40"/>
        <w:ind w:left="600"/>
      </w:pPr>
      <w:r>
        <w:rPr>
          <w:color w:val="00643C"/>
          <w:sz w:val="16"/>
        </w:rPr>
        <w:t>Points clés : Forte hausse des prix du pétrole  •  Volatilité persistante des marchés mondiaux des matières premières  •  Impact potentiel sur les coûts énergétiques et l'inflation</w:t>
      </w:r>
    </w:p>
    <w:p>
      <w:pPr>
        <w:spacing w:before="0" w:after="60"/>
        <w:ind w:left="600"/>
      </w:pPr>
      <w:r>
        <w:rPr>
          <w:color w:val="0064B4"/>
          <w:sz w:val="15"/>
        </w:rPr>
        <w:t>Source : https://news.google.com/rss/articles/CBMilAFBVV95cUxPbDRiNU9mbGplNzRtZWtLLTdHSmV</w:t>
      </w:r>
    </w:p>
    <w:p>
      <w:pPr>
        <w:spacing w:before="40" w:after="40"/>
        <w:ind w:left="360"/>
      </w:pPr>
      <w:r>
        <w:rPr>
          <w:color w:val="646464"/>
          <w:sz w:val="17"/>
        </w:rPr>
        <w:t xml:space="preserve">[01/10/2026] 🔴  </w:t>
      </w:r>
      <w:r>
        <w:rPr>
          <w:b/>
          <w:color w:val="C00000"/>
          <w:sz w:val="18"/>
        </w:rPr>
        <w:t>Le pétrole recircule dans le détroit d'Ormuz, alors pourquoi le carburant reste-t-il si cher ? - Capital.fr</w:t>
      </w:r>
      <w:r>
        <w:rPr>
          <w:color w:val="787878"/>
          <w:sz w:val="15"/>
        </w:rPr>
        <w:t xml:space="preserve">  [matieres_premieres]</w:t>
      </w:r>
      <w:r>
        <w:rPr>
          <w:color w:val="B47800"/>
          <w:sz w:val="16"/>
        </w:rPr>
        <w:t xml:space="preserve">  ★ 50/10</w:t>
      </w:r>
    </w:p>
    <w:p>
      <w:pPr>
        <w:spacing w:before="0" w:after="20"/>
        <w:ind w:left="600"/>
      </w:pPr>
      <w:r>
        <w:rPr>
          <w:color w:val="323232"/>
          <w:sz w:val="17"/>
        </w:rPr>
        <w:t>Le détroit d'Ormuz, point de passage stratégique pour le pétrole, connaît une reprise de la circulation des tankers après des tensions géopolitiques. Pourtant, les prix des carburants restent élevés, en raison de facteurs structurels comme les coûts de raffinage, la demande mondiale soutenue et les marges des distributeurs. Cette situation pèse sur</w:t>
      </w:r>
    </w:p>
    <w:p>
      <w:pPr>
        <w:spacing w:before="0" w:after="40"/>
        <w:ind w:left="600"/>
      </w:pPr>
      <w:r>
        <w:rPr>
          <w:color w:val="00643C"/>
          <w:sz w:val="16"/>
        </w:rPr>
        <w:t>Points clés : Reprise de la circulation pétrolière dans le détroit d'Ormuz  •  Prix des carburants toujours élevés malgré la normalisation  •  Facteurs structurels : raffinage, demande, marges  •  Impact sur l'inflation et le pouvoir d'achat</w:t>
      </w:r>
    </w:p>
    <w:p>
      <w:pPr>
        <w:spacing w:before="0" w:after="60"/>
        <w:ind w:left="600"/>
      </w:pPr>
      <w:r>
        <w:rPr>
          <w:color w:val="0064B4"/>
          <w:sz w:val="15"/>
        </w:rPr>
        <w:t>Source : https://news.google.com/rss/articles/CBMixgFBVV95cUxNVzg1NWYzLXRyai1xNnVEeEFBRlN</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3,370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2,245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9,160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1,900</w:t>
            </w:r>
          </w:p>
        </w:tc>
        <w:tc>
          <w:tcPr>
            <w:tcW w:type="dxa" w:w="1080"/>
            <w:shd w:fill="C6EFCE" w:val="clear"/>
          </w:tcPr>
          <w:p>
            <w:r>
              <w:rPr>
                <w:b/>
                <w:sz w:val="16"/>
              </w:rPr>
              <w:t>75/100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6</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45,000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2,935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2,790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3,010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14,900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3,905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8,175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2,915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2,360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33,800</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9,385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16,410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7,940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22,000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21,800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8,000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11,490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6,500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1,995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7,890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4,450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3,370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2,245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9,160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1,900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2,935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3,010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3,370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2,245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9,160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45,000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2,935</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3,370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2,245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9,160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45,000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2,935</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SLBC — SLBC - SOLIBRA COTE D'IVOIRE</w:t>
      </w:r>
    </w:p>
    <w:p>
      <w:pPr>
        <w:pStyle w:val="ListBullet"/>
        <w:spacing w:before="20"/>
        <w:ind w:left="400"/>
      </w:pPr>
      <w:r>
        <w:rPr>
          <w:sz w:val="18"/>
        </w:rPr>
        <w:t>🟢 RSI survente (19.7 &lt; 30) — opportunité potentielle</w:t>
      </w:r>
    </w:p>
    <w:p>
      <w:pPr>
        <w:pStyle w:val="ListBullet"/>
        <w:spacing w:before="20"/>
        <w:ind w:left="400"/>
      </w:pPr>
      <w:r>
        <w:rPr>
          <w:sz w:val="18"/>
        </w:rPr>
        <w:t>⚠️ Cours à 0.3% du plus bas 100j (36,900 FCFA)</w:t>
      </w:r>
    </w:p>
    <w:p>
      <w:pPr>
        <w:spacing w:before="120"/>
      </w:pPr>
      <w:r>
        <w:rPr>
          <w:b/>
          <w:color w:val="0050A0"/>
          <w:sz w:val="20"/>
        </w:rPr>
        <w:t>SNTS — SNTS - SONATEL SN</w:t>
      </w:r>
    </w:p>
    <w:p>
      <w:pPr>
        <w:pStyle w:val="ListBullet"/>
        <w:spacing w:before="20"/>
        <w:ind w:left="400"/>
      </w:pPr>
      <w:r>
        <w:rPr>
          <w:sz w:val="18"/>
        </w:rPr>
        <w:t>🔴 RSI surachat (81.5 &gt; 70) — risque de correction</w:t>
      </w:r>
    </w:p>
    <w:p>
      <w:pPr>
        <w:pStyle w:val="ListBullet"/>
        <w:spacing w:before="20"/>
        <w:ind w:left="400"/>
      </w:pPr>
      <w:r>
        <w:rPr>
          <w:sz w:val="18"/>
        </w:rPr>
        <w:t>⚠️ Cours à 0.0% du plus haut 100j (45,000 FCFA)</w:t>
      </w:r>
    </w:p>
    <w:p>
      <w:pPr>
        <w:spacing w:before="120"/>
      </w:pPr>
      <w:r>
        <w:rPr>
          <w:b/>
          <w:color w:val="0050A0"/>
          <w:sz w:val="20"/>
        </w:rPr>
        <w:t>ABJC — ABJC - SERVAIR ABIDJAN CI</w:t>
      </w:r>
    </w:p>
    <w:p>
      <w:pPr>
        <w:pStyle w:val="ListBullet"/>
        <w:spacing w:before="20"/>
        <w:ind w:left="400"/>
      </w:pPr>
      <w:r>
        <w:rPr>
          <w:sz w:val="18"/>
        </w:rPr>
        <w:t>🟢 RSI survente (17.2 &lt; 30) — opportunité potentielle</w:t>
      </w:r>
    </w:p>
    <w:p>
      <w:pPr>
        <w:spacing w:before="120"/>
      </w:pPr>
      <w:r>
        <w:rPr>
          <w:b/>
          <w:color w:val="0050A0"/>
          <w:sz w:val="20"/>
        </w:rPr>
        <w:t>BBGC — BRIDGE BANK GROUP COTE D'IVOIRE</w:t>
      </w:r>
    </w:p>
    <w:p>
      <w:pPr>
        <w:pStyle w:val="ListBullet"/>
        <w:spacing w:before="20"/>
        <w:ind w:left="400"/>
      </w:pPr>
      <w:r>
        <w:rPr>
          <w:sz w:val="18"/>
        </w:rPr>
        <w:t>⚠️ Cours à 2.2% du plus haut 100j (9,000 FCFA)</w:t>
      </w:r>
    </w:p>
    <w:p>
      <w:pPr>
        <w:spacing w:before="120"/>
      </w:pPr>
      <w:r>
        <w:rPr>
          <w:b/>
          <w:color w:val="0050A0"/>
          <w:sz w:val="20"/>
        </w:rPr>
        <w:t>BICB — BIIC BN - Banque internationale pour le commerce du benin</w:t>
      </w:r>
    </w:p>
    <w:p>
      <w:pPr>
        <w:pStyle w:val="ListBullet"/>
        <w:spacing w:before="20"/>
        <w:ind w:left="400"/>
      </w:pPr>
      <w:r>
        <w:rPr>
          <w:sz w:val="18"/>
        </w:rPr>
        <w:t>🟢 RSI survente (28.5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 FORT</w:t>
      </w:r>
    </w:p>
    <w:p>
      <w:pPr>
        <w:spacing w:before="120"/>
      </w:pPr>
      <w:r>
        <w:rPr>
          <w:b/>
          <w:color w:val="0050A0"/>
          <w:sz w:val="20"/>
        </w:rPr>
        <w:t>NEIC — NEIC - NEI-CEDA CI</w:t>
      </w:r>
    </w:p>
    <w:p>
      <w:pPr>
        <w:pStyle w:val="ListBullet"/>
        <w:spacing w:before="20"/>
        <w:ind w:left="400"/>
      </w:pPr>
      <w:r>
        <w:rPr>
          <w:sz w:val="18"/>
        </w:rPr>
        <w:t>🟢 RSI survente (22.4 &lt; 30) — opportunité potentielle</w:t>
      </w:r>
    </w:p>
    <w:p>
      <w:pPr>
        <w:spacing w:before="120"/>
      </w:pPr>
      <w:r>
        <w:rPr>
          <w:b/>
          <w:color w:val="0050A0"/>
          <w:sz w:val="20"/>
        </w:rPr>
        <w:t>NTLC — NTLC - NESTLE COTE D'IVOIRE</w:t>
      </w:r>
    </w:p>
    <w:p>
      <w:pPr>
        <w:pStyle w:val="ListBullet"/>
        <w:spacing w:before="20"/>
        <w:ind w:left="400"/>
      </w:pPr>
      <w:r>
        <w:rPr>
          <w:sz w:val="18"/>
        </w:rPr>
        <w:t>🟢 RSI survente (23.7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(26.8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(28.5 &lt; 30) — opportunité potentielle</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30 société(s) (62%)</w:t>
            </w:r>
          </w:p>
        </w:tc>
        <w:tc>
          <w:tcPr>
            <w:tcW w:type="dxa" w:w="1644"/>
            <w:shd w:fill="FFEB9C" w:val="clear"/>
          </w:tcPr>
          <w:p>
            <w:r>
              <w:rPr>
                <w:b/>
                <w:color w:val="825A00"/>
                <w:sz w:val="19"/>
              </w:rPr>
              <w:t>18 société(s) (38%)</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19.6/100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19.6/100).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28.0/100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SAFC (28.0/100 — Moyen) : </w:t>
      </w:r>
      <w:r>
        <w:rPr>
          <w:sz w:val="17"/>
        </w:rPr>
        <w:t>Volatilité=Élevée | Bêta=Neutre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17.2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-1.65%  |  Médiane : -2.31%</w:t>
            </w:r>
          </w:p>
        </w:tc>
      </w:tr>
      <w:tr>
        <w:tc>
          <w:tcPr>
            <w:tcW w:type="dxa" w:w="2835"/>
            <w:shd w:fill="DEEAF1" w:val="clear"/>
          </w:tcPr>
          <w:p>
            <w:r>
              <w:rPr>
                <w:b/>
                <w:sz w:val="18"/>
              </w:rPr>
              <w:t>Répartition</w:t>
            </w:r>
          </w:p>
        </w:tc>
        <w:tc>
          <w:tcPr>
            <w:tcW w:type="dxa" w:w="7370"/>
          </w:tcPr>
          <w:p>
            <w:r>
              <w:rPr>
                <w:b/>
                <w:sz w:val="18"/>
              </w:rPr>
              <w:t>📈 11 sociétés en hausse (&gt;+1%)   📉 30 en baisse (&lt;-1%)   ➡️ 4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Légère tendance baissière avec signal mixte : 30 sociétés en baisse vs 11 en hausse. Variation moyenne : -1.65%.</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2,790 FCFA</w:t>
            </w:r>
          </w:p>
        </w:tc>
        <w:tc>
          <w:tcPr>
            <w:tcW w:type="dxa" w:w="1417"/>
            <w:shd w:fill="FFFFFF" w:val="clear"/>
          </w:tcPr>
          <w:p>
            <w:r>
              <w:rPr>
                <w:sz w:val="16"/>
              </w:rPr>
              <w:t>3,287 FCFA</w:t>
            </w:r>
          </w:p>
        </w:tc>
        <w:tc>
          <w:tcPr>
            <w:tcW w:type="dxa" w:w="1134"/>
            <w:shd w:fill="C6EFCE" w:val="clear"/>
          </w:tcPr>
          <w:p>
            <w:r>
              <w:rPr>
                <w:b/>
                <w:color w:val="007800"/>
                <w:sz w:val="16"/>
              </w:rPr>
              <w:t>+17.80%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21,970 FCFA</w:t>
            </w:r>
          </w:p>
        </w:tc>
        <w:tc>
          <w:tcPr>
            <w:tcW w:type="dxa" w:w="1417"/>
            <w:shd w:fill="FFFFFF" w:val="clear"/>
          </w:tcPr>
          <w:p>
            <w:r>
              <w:rPr>
                <w:sz w:val="16"/>
              </w:rPr>
              <w:t>24,464 FCFA</w:t>
            </w:r>
          </w:p>
        </w:tc>
        <w:tc>
          <w:tcPr>
            <w:tcW w:type="dxa" w:w="1134"/>
            <w:shd w:fill="C6EFCE" w:val="clear"/>
          </w:tcPr>
          <w:p>
            <w:r>
              <w:rPr>
                <w:b/>
                <w:color w:val="007800"/>
                <w:sz w:val="16"/>
              </w:rPr>
              <w:t>+11.35%</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5,000 FCFA</w:t>
            </w:r>
          </w:p>
        </w:tc>
        <w:tc>
          <w:tcPr>
            <w:tcW w:type="dxa" w:w="1417"/>
            <w:shd w:fill="FFFFFF" w:val="clear"/>
          </w:tcPr>
          <w:p>
            <w:r>
              <w:rPr>
                <w:sz w:val="16"/>
              </w:rPr>
              <w:t>5,330 FCFA</w:t>
            </w:r>
          </w:p>
        </w:tc>
        <w:tc>
          <w:tcPr>
            <w:tcW w:type="dxa" w:w="1134"/>
            <w:shd w:fill="C6EFCE" w:val="clear"/>
          </w:tcPr>
          <w:p>
            <w:r>
              <w:rPr>
                <w:b/>
                <w:color w:val="007800"/>
                <w:sz w:val="16"/>
              </w:rPr>
              <w:t>+6.60%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8,800 FCFA</w:t>
            </w:r>
          </w:p>
        </w:tc>
        <w:tc>
          <w:tcPr>
            <w:tcW w:type="dxa" w:w="1417"/>
            <w:shd w:fill="FFFFFF" w:val="clear"/>
          </w:tcPr>
          <w:p>
            <w:r>
              <w:rPr>
                <w:sz w:val="16"/>
              </w:rPr>
              <w:t>9,364 FCFA</w:t>
            </w:r>
          </w:p>
        </w:tc>
        <w:tc>
          <w:tcPr>
            <w:tcW w:type="dxa" w:w="1134"/>
            <w:shd w:fill="C6EFCE" w:val="clear"/>
          </w:tcPr>
          <w:p>
            <w:r>
              <w:rPr>
                <w:b/>
                <w:color w:val="007800"/>
                <w:sz w:val="16"/>
              </w:rPr>
              <w:t>+6.41%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37,000 FCFA</w:t>
            </w:r>
          </w:p>
        </w:tc>
        <w:tc>
          <w:tcPr>
            <w:tcW w:type="dxa" w:w="1417"/>
            <w:shd w:fill="FFFFFF" w:val="clear"/>
          </w:tcPr>
          <w:p>
            <w:r>
              <w:rPr>
                <w:sz w:val="16"/>
              </w:rPr>
              <w:t>38,922 FCFA</w:t>
            </w:r>
          </w:p>
        </w:tc>
        <w:tc>
          <w:tcPr>
            <w:tcW w:type="dxa" w:w="1134"/>
            <w:shd w:fill="C6EFCE" w:val="clear"/>
          </w:tcPr>
          <w:p>
            <w:r>
              <w:rPr>
                <w:b/>
                <w:color w:val="007800"/>
                <w:sz w:val="16"/>
              </w:rPr>
              <w:t>+5.19%</w:t>
            </w:r>
          </w:p>
        </w:tc>
        <w:tc>
          <w:tcPr>
            <w:tcW w:type="dxa" w:w="1020"/>
            <w:shd w:fill="FFEB9C" w:val="clear"/>
          </w:tcPr>
          <w:p>
            <w:r>
              <w:rPr>
                <w:sz w:val="16"/>
              </w:rPr>
              <w:t>Moyenne</w:t>
            </w:r>
          </w:p>
        </w:tc>
      </w:tr>
    </w:tbl>
    <w:p/>
    <w:p>
      <w:pPr>
        <w:pStyle w:val="ListBullet"/>
      </w:pPr>
      <w:r>
        <w:rPr>
          <w:b/>
          <w:color w:val="006400"/>
          <w:sz w:val="18"/>
        </w:rPr>
        <w:t xml:space="preserve">#1 SCRC </w:t>
      </w:r>
      <w:r>
        <w:rPr>
          <w:sz w:val="17"/>
        </w:rPr>
        <w:t>(SCRC - SUCRIVOIRE) — hausse significative (+17.8%) — potentiel de revalorisation notable. Trajectoire : 📈 Hausse continue. Cours actuel : 2,790 FCFA → prédit J+10 : 3,287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(+11.4%) — potentiel de revalorisation notable. Trajectoire : 📈 Hausse continue. Cours actuel : 21,970 FCFA → prédit J+10 : 24,464 FCFA. ⚠️ Confiance limitée — volatilité élevée ou données insuffisantes. Résultat indicatif uniquement.</w:t>
      </w:r>
    </w:p>
    <w:p>
      <w:pPr>
        <w:pStyle w:val="ListBullet"/>
      </w:pPr>
      <w:r>
        <w:rPr>
          <w:b/>
          <w:color w:val="006400"/>
          <w:sz w:val="18"/>
        </w:rPr>
        <w:t xml:space="preserve">#3 BOAN </w:t>
      </w:r>
      <w:r>
        <w:rPr>
          <w:sz w:val="17"/>
        </w:rPr>
        <w:t>(BANK OF AFRICA NIGER) — hausse modérée (+6.6%) — signal raisonnable et crédible. Trajectoire : 📈 Hausse continue. Cours actuel : 5,000 FCFA → prédit J+10 : 5,330 FCFA. ⚠️ Confiance limitée — volatilité élevée ou données insuffisantes. Résultat indicatif uniquement.</w:t>
      </w:r>
    </w:p>
    <w:p>
      <w:pPr>
        <w:pStyle w:val="ListBullet"/>
      </w:pPr>
      <w:r>
        <w:rPr>
          <w:b/>
          <w:color w:val="006400"/>
          <w:sz w:val="18"/>
        </w:rPr>
        <w:t xml:space="preserve">#4 BICB </w:t>
      </w:r>
      <w:r>
        <w:rPr>
          <w:sz w:val="17"/>
        </w:rPr>
        <w:t>(BIIC BN - Banque internationale pour le ) — hausse modérée (+6.4%) — signal raisonnable et crédible. Trajectoire : 📈 Hausse continue. Cours actuel : 8,800 FCFA → prédit J+10 : 9,364 FCFA. ⚠️ Confiance limitée — volatilité élevée ou données insuffisantes. Résultat indicatif uniquement.</w:t>
      </w:r>
    </w:p>
    <w:p>
      <w:pPr>
        <w:pStyle w:val="ListBullet"/>
      </w:pPr>
      <w:r>
        <w:rPr>
          <w:b/>
          <w:color w:val="006400"/>
          <w:sz w:val="18"/>
        </w:rPr>
        <w:t xml:space="preserve">#5 SLBC </w:t>
      </w:r>
      <w:r>
        <w:rPr>
          <w:sz w:val="17"/>
        </w:rPr>
        <w:t>(SLBC - SOLIBRA COTE D'IVOIRE) — hausse modérée (+5.2%) — signal raisonnable et crédible. Trajectoire : 📈 Hausse continue. Cours actuel : 37,000 FCFA → prédit J+10 : 38,922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8,175 FCFA</w:t>
            </w:r>
          </w:p>
        </w:tc>
        <w:tc>
          <w:tcPr>
            <w:tcW w:type="dxa" w:w="1417"/>
            <w:shd w:fill="FFFFFF" w:val="clear"/>
          </w:tcPr>
          <w:p>
            <w:r>
              <w:rPr>
                <w:sz w:val="16"/>
              </w:rPr>
              <w:t>7,117 FCFA</w:t>
            </w:r>
          </w:p>
        </w:tc>
        <w:tc>
          <w:tcPr>
            <w:tcW w:type="dxa" w:w="1134"/>
            <w:shd w:fill="FFC7CE" w:val="clear"/>
          </w:tcPr>
          <w:p>
            <w:r>
              <w:rPr>
                <w:b/>
                <w:color w:val="B40000"/>
                <w:sz w:val="16"/>
              </w:rPr>
              <w:t>-12.94%</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22,000 FCFA</w:t>
            </w:r>
          </w:p>
        </w:tc>
        <w:tc>
          <w:tcPr>
            <w:tcW w:type="dxa" w:w="1417"/>
            <w:shd w:fill="FFFFFF" w:val="clear"/>
          </w:tcPr>
          <w:p>
            <w:r>
              <w:rPr>
                <w:sz w:val="16"/>
              </w:rPr>
              <w:t>19,542 FCFA</w:t>
            </w:r>
          </w:p>
        </w:tc>
        <w:tc>
          <w:tcPr>
            <w:tcW w:type="dxa" w:w="1134"/>
            <w:shd w:fill="FFC7CE" w:val="clear"/>
          </w:tcPr>
          <w:p>
            <w:r>
              <w:rPr>
                <w:b/>
                <w:color w:val="B40000"/>
                <w:sz w:val="16"/>
              </w:rPr>
              <w:t>-11.17%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6,090 FCFA</w:t>
            </w:r>
          </w:p>
        </w:tc>
        <w:tc>
          <w:tcPr>
            <w:tcW w:type="dxa" w:w="1417"/>
            <w:shd w:fill="FFFFFF" w:val="clear"/>
          </w:tcPr>
          <w:p>
            <w:r>
              <w:rPr>
                <w:sz w:val="16"/>
              </w:rPr>
              <w:t>5,485 FCFA</w:t>
            </w:r>
          </w:p>
        </w:tc>
        <w:tc>
          <w:tcPr>
            <w:tcW w:type="dxa" w:w="1134"/>
            <w:shd w:fill="FFC7CE" w:val="clear"/>
          </w:tcPr>
          <w:p>
            <w:r>
              <w:rPr>
                <w:b/>
                <w:color w:val="B40000"/>
                <w:sz w:val="16"/>
              </w:rPr>
              <w:t>-9.93%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2,360 FCFA</w:t>
            </w:r>
          </w:p>
        </w:tc>
        <w:tc>
          <w:tcPr>
            <w:tcW w:type="dxa" w:w="1417"/>
            <w:shd w:fill="FFFFFF" w:val="clear"/>
          </w:tcPr>
          <w:p>
            <w:r>
              <w:rPr>
                <w:sz w:val="16"/>
              </w:rPr>
              <w:t>2,194 FCFA</w:t>
            </w:r>
          </w:p>
        </w:tc>
        <w:tc>
          <w:tcPr>
            <w:tcW w:type="dxa" w:w="1134"/>
            <w:shd w:fill="FFC7CE" w:val="clear"/>
          </w:tcPr>
          <w:p>
            <w:r>
              <w:rPr>
                <w:b/>
                <w:color w:val="B40000"/>
                <w:sz w:val="16"/>
              </w:rPr>
              <w:t>-7.03%</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1,995 FCFA</w:t>
            </w:r>
          </w:p>
        </w:tc>
        <w:tc>
          <w:tcPr>
            <w:tcW w:type="dxa" w:w="1417"/>
            <w:shd w:fill="FFFFFF" w:val="clear"/>
          </w:tcPr>
          <w:p>
            <w:r>
              <w:rPr>
                <w:sz w:val="16"/>
              </w:rPr>
              <w:t>1,856 FCFA</w:t>
            </w:r>
          </w:p>
        </w:tc>
        <w:tc>
          <w:tcPr>
            <w:tcW w:type="dxa" w:w="1134"/>
            <w:shd w:fill="FFC7CE" w:val="clear"/>
          </w:tcPr>
          <w:p>
            <w:r>
              <w:rPr>
                <w:b/>
                <w:color w:val="B40000"/>
                <w:sz w:val="16"/>
              </w:rPr>
              <w:t>-6.96%</w:t>
            </w:r>
          </w:p>
        </w:tc>
        <w:tc>
          <w:tcPr>
            <w:tcW w:type="dxa" w:w="1020"/>
            <w:shd w:fill="FFEB9C" w:val="clear"/>
          </w:tcPr>
          <w:p>
            <w:r>
              <w:rPr>
                <w:sz w:val="16"/>
              </w:rPr>
              <w:t>Moyenne</w:t>
            </w:r>
          </w:p>
        </w:tc>
      </w:tr>
    </w:tbl>
    <w:p/>
    <w:p>
      <w:pPr>
        <w:pStyle w:val="ListBullet"/>
      </w:pPr>
      <w:r>
        <w:rPr>
          <w:b/>
          <w:color w:val="B40000"/>
          <w:sz w:val="18"/>
        </w:rPr>
        <w:t xml:space="preserve">#1 BOAS </w:t>
      </w:r>
      <w:r>
        <w:rPr>
          <w:sz w:val="17"/>
        </w:rPr>
        <w:t>(BANK OF AFRICA SENEGAL) — baisse modérée (-12.9%) — repli technique attendu. Trajectoire : 📉 Baisse continue. Cours actuel : 8,175 FCFA → prédit J+10 : 7,117 FCFA. Confiance partielle — surveiller l'évolution réelle des premiers jours.</w:t>
      </w:r>
    </w:p>
    <w:p>
      <w:pPr>
        <w:pStyle w:val="ListBullet"/>
      </w:pPr>
      <w:r>
        <w:rPr>
          <w:b/>
          <w:color w:val="B40000"/>
          <w:sz w:val="18"/>
        </w:rPr>
        <w:t xml:space="preserve">#2 NSBC </w:t>
      </w:r>
      <w:r>
        <w:rPr>
          <w:sz w:val="17"/>
        </w:rPr>
        <w:t>(NSBC - NSIA BANQUE COTE D'IVOIRE) — baisse modérée (-11.2%) — repli technique attendu. Trajectoire : 📉 Baisse continue. Cours actuel : 22,000 FCFA → prédit J+10 : 19,542 FCFA. ⚠️ Confiance limitée — volatilité élevée. Ne pas agir sur ce seul signal.</w:t>
      </w:r>
    </w:p>
    <w:p>
      <w:pPr>
        <w:pStyle w:val="ListBullet"/>
      </w:pPr>
      <w:r>
        <w:rPr>
          <w:b/>
          <w:color w:val="B40000"/>
          <w:sz w:val="18"/>
        </w:rPr>
        <w:t xml:space="preserve">#3 BOAM </w:t>
      </w:r>
      <w:r>
        <w:rPr>
          <w:sz w:val="17"/>
        </w:rPr>
        <w:t>(BANK OF AFRICA MALI) — baisse modérée (-9.9%) — repli technique attendu. Trajectoire : 📉 Baisse continue. Cours actuel : 6,090 FCFA → prédit J+10 : 5,485 FCFA. ⚠️ Confiance limitée — volatilité élevée. Ne pas agir sur ce seul signal.</w:t>
      </w:r>
    </w:p>
    <w:p>
      <w:pPr>
        <w:pStyle w:val="ListBullet"/>
      </w:pPr>
      <w:r>
        <w:rPr>
          <w:b/>
          <w:color w:val="B40000"/>
          <w:sz w:val="18"/>
        </w:rPr>
        <w:t xml:space="preserve">#4 UNXC </w:t>
      </w:r>
      <w:r>
        <w:rPr>
          <w:sz w:val="17"/>
        </w:rPr>
        <w:t>(UNXC - UNIWAX COTE D'IVOIRE) — baisse modérée (-7.0%) — repli technique attendu. Trajectoire : 📉 Baisse continue. Cours actuel : 2,360 FCFA → prédit J+10 : 2,194 FCFA. ⚠️ Confiance limitée — volatilité élevée. Ne pas agir sur ce seul signal.</w:t>
      </w:r>
    </w:p>
    <w:p>
      <w:pPr>
        <w:pStyle w:val="ListBullet"/>
      </w:pPr>
      <w:r>
        <w:rPr>
          <w:b/>
          <w:color w:val="B40000"/>
          <w:sz w:val="18"/>
        </w:rPr>
        <w:t xml:space="preserve">#5 FTSC </w:t>
      </w:r>
      <w:r>
        <w:rPr>
          <w:sz w:val="17"/>
        </w:rPr>
        <w:t>(FTSC - FILTISAC COTE D'IVOIRE) — baisse modérée (-7.0%) — repli technique attendu. Trajectoire : 📉 Baisse continue. Cours actuel : 1,995 FCFA → prédit J+10 : 1,856 FCFA. Confiance partielle — surveiller l'évolution réelle des premiers jours.</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2,790</w:t>
            </w:r>
          </w:p>
        </w:tc>
        <w:tc>
          <w:tcPr>
            <w:tcW w:type="dxa" w:w="1417"/>
            <w:shd w:fill="FFFFFF" w:val="clear"/>
          </w:tcPr>
          <w:p>
            <w:r>
              <w:rPr>
                <w:sz w:val="16"/>
              </w:rPr>
              <w:t>3,287</w:t>
            </w:r>
          </w:p>
        </w:tc>
        <w:tc>
          <w:tcPr>
            <w:tcW w:type="dxa" w:w="1134"/>
            <w:shd w:fill="C6EFCE" w:val="clear"/>
          </w:tcPr>
          <w:p>
            <w:r>
              <w:rPr>
                <w:b/>
                <w:color w:val="007800"/>
                <w:sz w:val="16"/>
              </w:rPr>
              <w:t>+17.80%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21,970</w:t>
            </w:r>
          </w:p>
        </w:tc>
        <w:tc>
          <w:tcPr>
            <w:tcW w:type="dxa" w:w="1417"/>
            <w:shd w:fill="FFFFFF" w:val="clear"/>
          </w:tcPr>
          <w:p>
            <w:r>
              <w:rPr>
                <w:sz w:val="16"/>
              </w:rPr>
              <w:t>24,464</w:t>
            </w:r>
          </w:p>
        </w:tc>
        <w:tc>
          <w:tcPr>
            <w:tcW w:type="dxa" w:w="1134"/>
            <w:shd w:fill="C6EFCE" w:val="clear"/>
          </w:tcPr>
          <w:p>
            <w:r>
              <w:rPr>
                <w:b/>
                <w:color w:val="007800"/>
                <w:sz w:val="16"/>
              </w:rPr>
              <w:t>+11.35%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5,000</w:t>
            </w:r>
          </w:p>
        </w:tc>
        <w:tc>
          <w:tcPr>
            <w:tcW w:type="dxa" w:w="1417"/>
            <w:shd w:fill="FFFFFF" w:val="clear"/>
          </w:tcPr>
          <w:p>
            <w:r>
              <w:rPr>
                <w:sz w:val="16"/>
              </w:rPr>
              <w:t>5,330</w:t>
            </w:r>
          </w:p>
        </w:tc>
        <w:tc>
          <w:tcPr>
            <w:tcW w:type="dxa" w:w="1134"/>
            <w:shd w:fill="C6EFCE" w:val="clear"/>
          </w:tcPr>
          <w:p>
            <w:r>
              <w:rPr>
                <w:b/>
                <w:color w:val="007800"/>
                <w:sz w:val="16"/>
              </w:rPr>
              <w:t>+6.60%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8,800</w:t>
            </w:r>
          </w:p>
        </w:tc>
        <w:tc>
          <w:tcPr>
            <w:tcW w:type="dxa" w:w="1417"/>
            <w:shd w:fill="FFFFFF" w:val="clear"/>
          </w:tcPr>
          <w:p>
            <w:r>
              <w:rPr>
                <w:sz w:val="16"/>
              </w:rPr>
              <w:t>9,364</w:t>
            </w:r>
          </w:p>
        </w:tc>
        <w:tc>
          <w:tcPr>
            <w:tcW w:type="dxa" w:w="1134"/>
            <w:shd w:fill="C6EFCE" w:val="clear"/>
          </w:tcPr>
          <w:p>
            <w:r>
              <w:rPr>
                <w:b/>
                <w:color w:val="007800"/>
                <w:sz w:val="16"/>
              </w:rPr>
              <w:t>+6.41%</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37,000</w:t>
            </w:r>
          </w:p>
        </w:tc>
        <w:tc>
          <w:tcPr>
            <w:tcW w:type="dxa" w:w="1417"/>
            <w:shd w:fill="FFFFFF" w:val="clear"/>
          </w:tcPr>
          <w:p>
            <w:r>
              <w:rPr>
                <w:sz w:val="16"/>
              </w:rPr>
              <w:t>38,922</w:t>
            </w:r>
          </w:p>
        </w:tc>
        <w:tc>
          <w:tcPr>
            <w:tcW w:type="dxa" w:w="1134"/>
            <w:shd w:fill="C6EFCE" w:val="clear"/>
          </w:tcPr>
          <w:p>
            <w:r>
              <w:rPr>
                <w:b/>
                <w:color w:val="007800"/>
                <w:sz w:val="16"/>
              </w:rPr>
              <w:t>+5.19%</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1,520</w:t>
            </w:r>
          </w:p>
        </w:tc>
        <w:tc>
          <w:tcPr>
            <w:tcW w:type="dxa" w:w="1417"/>
            <w:shd w:fill="FFFFFF" w:val="clear"/>
          </w:tcPr>
          <w:p>
            <w:r>
              <w:rPr>
                <w:sz w:val="16"/>
              </w:rPr>
              <w:t>1,581</w:t>
            </w:r>
          </w:p>
        </w:tc>
        <w:tc>
          <w:tcPr>
            <w:tcW w:type="dxa" w:w="1134"/>
            <w:shd w:fill="C6EFCE" w:val="clear"/>
          </w:tcPr>
          <w:p>
            <w:r>
              <w:rPr>
                <w:b/>
                <w:color w:val="007800"/>
                <w:sz w:val="16"/>
              </w:rPr>
              <w:t>+3.99%</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2,067</w:t>
            </w:r>
          </w:p>
        </w:tc>
        <w:tc>
          <w:tcPr>
            <w:tcW w:type="dxa" w:w="1134"/>
            <w:shd w:fill="C6EFCE" w:val="clear"/>
          </w:tcPr>
          <w:p>
            <w:r>
              <w:rPr>
                <w:b/>
                <w:color w:val="007800"/>
                <w:sz w:val="16"/>
              </w:rPr>
              <w:t>+3.34%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3,905</w:t>
            </w:r>
          </w:p>
        </w:tc>
        <w:tc>
          <w:tcPr>
            <w:tcW w:type="dxa" w:w="1417"/>
            <w:shd w:fill="FFFFFF" w:val="clear"/>
          </w:tcPr>
          <w:p>
            <w:r>
              <w:rPr>
                <w:sz w:val="16"/>
              </w:rPr>
              <w:t>3,984</w:t>
            </w:r>
          </w:p>
        </w:tc>
        <w:tc>
          <w:tcPr>
            <w:tcW w:type="dxa" w:w="1134"/>
            <w:shd w:fill="C6EFCE" w:val="clear"/>
          </w:tcPr>
          <w:p>
            <w:r>
              <w:rPr>
                <w:b/>
                <w:color w:val="007800"/>
                <w:sz w:val="16"/>
              </w:rPr>
              <w:t>+2.02%</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14,900</w:t>
            </w:r>
          </w:p>
        </w:tc>
        <w:tc>
          <w:tcPr>
            <w:tcW w:type="dxa" w:w="1417"/>
            <w:shd w:fill="FFFFFF" w:val="clear"/>
          </w:tcPr>
          <w:p>
            <w:r>
              <w:rPr>
                <w:sz w:val="16"/>
              </w:rPr>
              <w:t>15,077</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3,890</w:t>
            </w:r>
          </w:p>
        </w:tc>
        <w:tc>
          <w:tcPr>
            <w:tcW w:type="dxa" w:w="1417"/>
            <w:shd w:fill="FFFFFF" w:val="clear"/>
          </w:tcPr>
          <w:p>
            <w:r>
              <w:rPr>
                <w:sz w:val="16"/>
              </w:rPr>
              <w:t>3,936</w:t>
            </w:r>
          </w:p>
        </w:tc>
        <w:tc>
          <w:tcPr>
            <w:tcW w:type="dxa" w:w="1134"/>
            <w:shd w:fill="C6EFCE" w:val="clear"/>
          </w:tcPr>
          <w:p>
            <w:r>
              <w:rPr>
                <w:b/>
                <w:color w:val="007800"/>
                <w:sz w:val="16"/>
              </w:rPr>
              <w:t>+1.18%</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16,985</w:t>
            </w:r>
          </w:p>
        </w:tc>
        <w:tc>
          <w:tcPr>
            <w:tcW w:type="dxa" w:w="1134"/>
            <w:shd w:fill="C6EFCE" w:val="clear"/>
          </w:tcPr>
          <w:p>
            <w:r>
              <w:rPr>
                <w:b/>
                <w:color w:val="007800"/>
                <w:sz w:val="16"/>
              </w:rPr>
              <w:t>+1.13%</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12,940</w:t>
            </w:r>
          </w:p>
        </w:tc>
        <w:tc>
          <w:tcPr>
            <w:tcW w:type="dxa" w:w="1417"/>
            <w:shd w:fill="FFFFFF" w:val="clear"/>
          </w:tcPr>
          <w:p>
            <w:r>
              <w:rPr>
                <w:sz w:val="16"/>
              </w:rPr>
              <w:t>13,062</w:t>
            </w:r>
          </w:p>
        </w:tc>
        <w:tc>
          <w:tcPr>
            <w:tcW w:type="dxa" w:w="1134"/>
            <w:shd w:fill="FFEB9C" w:val="clear"/>
          </w:tcPr>
          <w:p>
            <w:r>
              <w:rPr>
                <w:b/>
                <w:color w:val="646400"/>
                <w:sz w:val="16"/>
              </w:rPr>
              <w:t>+0.94%</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11,490</w:t>
            </w:r>
          </w:p>
        </w:tc>
        <w:tc>
          <w:tcPr>
            <w:tcW w:type="dxa" w:w="1417"/>
            <w:shd w:fill="FFFFFF" w:val="clear"/>
          </w:tcPr>
          <w:p>
            <w:r>
              <w:rPr>
                <w:sz w:val="16"/>
              </w:rPr>
              <w:t>11,580</w:t>
            </w:r>
          </w:p>
        </w:tc>
        <w:tc>
          <w:tcPr>
            <w:tcW w:type="dxa" w:w="1134"/>
            <w:shd w:fill="FFEB9C" w:val="clear"/>
          </w:tcPr>
          <w:p>
            <w:r>
              <w:rPr>
                <w:b/>
                <w:color w:val="646400"/>
                <w:sz w:val="16"/>
              </w:rPr>
              <w:t>+0.79%</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2,300</w:t>
            </w:r>
          </w:p>
        </w:tc>
        <w:tc>
          <w:tcPr>
            <w:tcW w:type="dxa" w:w="1417"/>
            <w:shd w:fill="FFFFFF" w:val="clear"/>
          </w:tcPr>
          <w:p>
            <w:r>
              <w:rPr>
                <w:sz w:val="16"/>
              </w:rPr>
              <w:t>2,315</w:t>
            </w:r>
          </w:p>
        </w:tc>
        <w:tc>
          <w:tcPr>
            <w:tcW w:type="dxa" w:w="1134"/>
            <w:shd w:fill="FFEB9C" w:val="clear"/>
          </w:tcPr>
          <w:p>
            <w:r>
              <w:rPr>
                <w:b/>
                <w:color w:val="646400"/>
                <w:sz w:val="16"/>
              </w:rPr>
              <w:t>+0.65%</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2,915</w:t>
            </w:r>
          </w:p>
        </w:tc>
        <w:tc>
          <w:tcPr>
            <w:tcW w:type="dxa" w:w="1417"/>
            <w:shd w:fill="FFFFFF" w:val="clear"/>
          </w:tcPr>
          <w:p>
            <w:r>
              <w:rPr>
                <w:sz w:val="16"/>
              </w:rPr>
              <w:t>2,898</w:t>
            </w:r>
          </w:p>
        </w:tc>
        <w:tc>
          <w:tcPr>
            <w:tcW w:type="dxa" w:w="1134"/>
            <w:shd w:fill="FFEB9C" w:val="clear"/>
          </w:tcPr>
          <w:p>
            <w:r>
              <w:rPr>
                <w:b/>
                <w:color w:val="646400"/>
                <w:sz w:val="16"/>
              </w:rPr>
              <w:t>-0.60%</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3,010</w:t>
            </w:r>
          </w:p>
        </w:tc>
        <w:tc>
          <w:tcPr>
            <w:tcW w:type="dxa" w:w="1417"/>
            <w:shd w:fill="FFFFFF" w:val="clear"/>
          </w:tcPr>
          <w:p>
            <w:r>
              <w:rPr>
                <w:sz w:val="16"/>
              </w:rPr>
              <w:t>2,972</w:t>
            </w:r>
          </w:p>
        </w:tc>
        <w:tc>
          <w:tcPr>
            <w:tcW w:type="dxa" w:w="1134"/>
            <w:shd w:fill="FFC7CE" w:val="clear"/>
          </w:tcPr>
          <w:p>
            <w:r>
              <w:rPr>
                <w:b/>
                <w:color w:val="B40000"/>
                <w:sz w:val="16"/>
              </w:rPr>
              <w:t>-1.26%</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1,874</w:t>
            </w:r>
          </w:p>
        </w:tc>
        <w:tc>
          <w:tcPr>
            <w:tcW w:type="dxa" w:w="1134"/>
            <w:shd w:fill="FFC7CE" w:val="clear"/>
          </w:tcPr>
          <w:p>
            <w:r>
              <w:rPr>
                <w:b/>
                <w:color w:val="B40000"/>
                <w:sz w:val="16"/>
              </w:rPr>
              <w:t>-1.37%</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3,395</w:t>
            </w:r>
          </w:p>
        </w:tc>
        <w:tc>
          <w:tcPr>
            <w:tcW w:type="dxa" w:w="1417"/>
            <w:shd w:fill="FFFFFF" w:val="clear"/>
          </w:tcPr>
          <w:p>
            <w:r>
              <w:rPr>
                <w:sz w:val="16"/>
              </w:rPr>
              <w:t>3,334</w:t>
            </w:r>
          </w:p>
        </w:tc>
        <w:tc>
          <w:tcPr>
            <w:tcW w:type="dxa" w:w="1134"/>
            <w:shd w:fill="FFC7CE" w:val="clear"/>
          </w:tcPr>
          <w:p>
            <w:r>
              <w:rPr>
                <w:b/>
                <w:color w:val="B40000"/>
                <w:sz w:val="16"/>
              </w:rPr>
              <w:t>-1.81%</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2,150</w:t>
            </w:r>
          </w:p>
        </w:tc>
        <w:tc>
          <w:tcPr>
            <w:tcW w:type="dxa" w:w="1417"/>
            <w:shd w:fill="FFFFFF" w:val="clear"/>
          </w:tcPr>
          <w:p>
            <w:r>
              <w:rPr>
                <w:sz w:val="16"/>
              </w:rPr>
              <w:t>2,108</w:t>
            </w:r>
          </w:p>
        </w:tc>
        <w:tc>
          <w:tcPr>
            <w:tcW w:type="dxa" w:w="1134"/>
            <w:shd w:fill="FFC7CE" w:val="clear"/>
          </w:tcPr>
          <w:p>
            <w:r>
              <w:rPr>
                <w:b/>
                <w:color w:val="B40000"/>
                <w:sz w:val="16"/>
              </w:rPr>
              <w:t>-1.97%</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21,800</w:t>
            </w:r>
          </w:p>
        </w:tc>
        <w:tc>
          <w:tcPr>
            <w:tcW w:type="dxa" w:w="1417"/>
            <w:shd w:fill="FFFFFF" w:val="clear"/>
          </w:tcPr>
          <w:p>
            <w:r>
              <w:rPr>
                <w:sz w:val="16"/>
              </w:rPr>
              <w:t>21,344</w:t>
            </w:r>
          </w:p>
        </w:tc>
        <w:tc>
          <w:tcPr>
            <w:tcW w:type="dxa" w:w="1134"/>
            <w:shd w:fill="FFC7CE" w:val="clear"/>
          </w:tcPr>
          <w:p>
            <w:r>
              <w:rPr>
                <w:b/>
                <w:color w:val="B40000"/>
                <w:sz w:val="16"/>
              </w:rPr>
              <w:t>-2.09%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-2.13%</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2,933</w:t>
            </w:r>
          </w:p>
        </w:tc>
        <w:tc>
          <w:tcPr>
            <w:tcW w:type="dxa" w:w="1134"/>
            <w:shd w:fill="FFC7CE" w:val="clear"/>
          </w:tcPr>
          <w:p>
            <w:r>
              <w:rPr>
                <w:b/>
                <w:color w:val="B40000"/>
                <w:sz w:val="16"/>
              </w:rPr>
              <w:t>-2.25%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2,935</w:t>
            </w:r>
          </w:p>
        </w:tc>
        <w:tc>
          <w:tcPr>
            <w:tcW w:type="dxa" w:w="1417"/>
            <w:shd w:fill="FFFFFF" w:val="clear"/>
          </w:tcPr>
          <w:p>
            <w:r>
              <w:rPr>
                <w:sz w:val="16"/>
              </w:rPr>
              <w:t>2,867</w:t>
            </w:r>
          </w:p>
        </w:tc>
        <w:tc>
          <w:tcPr>
            <w:tcW w:type="dxa" w:w="1134"/>
            <w:shd w:fill="FFC7CE" w:val="clear"/>
          </w:tcPr>
          <w:p>
            <w:r>
              <w:rPr>
                <w:b/>
                <w:color w:val="B40000"/>
                <w:sz w:val="16"/>
              </w:rPr>
              <w:t>-2.31%</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9,385</w:t>
            </w:r>
          </w:p>
        </w:tc>
        <w:tc>
          <w:tcPr>
            <w:tcW w:type="dxa" w:w="1417"/>
            <w:shd w:fill="FFFFFF" w:val="clear"/>
          </w:tcPr>
          <w:p>
            <w:r>
              <w:rPr>
                <w:sz w:val="16"/>
              </w:rPr>
              <w:t>9,162</w:t>
            </w:r>
          </w:p>
        </w:tc>
        <w:tc>
          <w:tcPr>
            <w:tcW w:type="dxa" w:w="1134"/>
            <w:shd w:fill="FFC7CE" w:val="clear"/>
          </w:tcPr>
          <w:p>
            <w:r>
              <w:rPr>
                <w:b/>
                <w:color w:val="B40000"/>
                <w:sz w:val="16"/>
              </w:rPr>
              <w:t>-2.38%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16,410</w:t>
            </w:r>
          </w:p>
        </w:tc>
        <w:tc>
          <w:tcPr>
            <w:tcW w:type="dxa" w:w="1417"/>
            <w:shd w:fill="FFFFFF" w:val="clear"/>
          </w:tcPr>
          <w:p>
            <w:r>
              <w:rPr>
                <w:sz w:val="16"/>
              </w:rPr>
              <w:t>16,008</w:t>
            </w:r>
          </w:p>
        </w:tc>
        <w:tc>
          <w:tcPr>
            <w:tcW w:type="dxa" w:w="1134"/>
            <w:shd w:fill="FFC7CE" w:val="clear"/>
          </w:tcPr>
          <w:p>
            <w:r>
              <w:rPr>
                <w:b/>
                <w:color w:val="B40000"/>
                <w:sz w:val="16"/>
              </w:rPr>
              <w:t>-2.45%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38,023</w:t>
            </w:r>
          </w:p>
        </w:tc>
        <w:tc>
          <w:tcPr>
            <w:tcW w:type="dxa" w:w="1134"/>
            <w:shd w:fill="FFC7CE" w:val="clear"/>
          </w:tcPr>
          <w:p>
            <w:r>
              <w:rPr>
                <w:b/>
                <w:color w:val="B40000"/>
                <w:sz w:val="16"/>
              </w:rPr>
              <w:t>-2.51%</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8,000</w:t>
            </w:r>
          </w:p>
        </w:tc>
        <w:tc>
          <w:tcPr>
            <w:tcW w:type="dxa" w:w="1417"/>
            <w:shd w:fill="FFFFFF" w:val="clear"/>
          </w:tcPr>
          <w:p>
            <w:r>
              <w:rPr>
                <w:sz w:val="16"/>
              </w:rPr>
              <w:t>7,795</w:t>
            </w:r>
          </w:p>
        </w:tc>
        <w:tc>
          <w:tcPr>
            <w:tcW w:type="dxa" w:w="1134"/>
            <w:shd w:fill="FFC7CE" w:val="clear"/>
          </w:tcPr>
          <w:p>
            <w:r>
              <w:rPr>
                <w:b/>
                <w:color w:val="B40000"/>
                <w:sz w:val="16"/>
              </w:rPr>
              <w:t>-2.56%</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3,690</w:t>
            </w:r>
          </w:p>
        </w:tc>
        <w:tc>
          <w:tcPr>
            <w:tcW w:type="dxa" w:w="1417"/>
            <w:shd w:fill="FFFFFF" w:val="clear"/>
          </w:tcPr>
          <w:p>
            <w:r>
              <w:rPr>
                <w:sz w:val="16"/>
              </w:rPr>
              <w:t>3,595</w:t>
            </w:r>
          </w:p>
        </w:tc>
        <w:tc>
          <w:tcPr>
            <w:tcW w:type="dxa" w:w="1134"/>
            <w:shd w:fill="FFC7CE" w:val="clear"/>
          </w:tcPr>
          <w:p>
            <w:r>
              <w:rPr>
                <w:b/>
                <w:color w:val="B40000"/>
                <w:sz w:val="16"/>
              </w:rPr>
              <w:t>-2.58%</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7,940</w:t>
            </w:r>
          </w:p>
        </w:tc>
        <w:tc>
          <w:tcPr>
            <w:tcW w:type="dxa" w:w="1417"/>
            <w:shd w:fill="FFFFFF" w:val="clear"/>
          </w:tcPr>
          <w:p>
            <w:r>
              <w:rPr>
                <w:sz w:val="16"/>
              </w:rPr>
              <w:t>7,718</w:t>
            </w:r>
          </w:p>
        </w:tc>
        <w:tc>
          <w:tcPr>
            <w:tcW w:type="dxa" w:w="1134"/>
            <w:shd w:fill="FFC7CE" w:val="clear"/>
          </w:tcPr>
          <w:p>
            <w:r>
              <w:rPr>
                <w:b/>
                <w:color w:val="B40000"/>
                <w:sz w:val="16"/>
              </w:rPr>
              <w:t>-2.79%</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45,000</w:t>
            </w:r>
          </w:p>
        </w:tc>
        <w:tc>
          <w:tcPr>
            <w:tcW w:type="dxa" w:w="1417"/>
            <w:shd w:fill="FFFFFF" w:val="clear"/>
          </w:tcPr>
          <w:p>
            <w:r>
              <w:rPr>
                <w:sz w:val="16"/>
              </w:rPr>
              <w:t>43,573</w:t>
            </w:r>
          </w:p>
        </w:tc>
        <w:tc>
          <w:tcPr>
            <w:tcW w:type="dxa" w:w="1134"/>
            <w:shd w:fill="FFC7CE" w:val="clear"/>
          </w:tcPr>
          <w:p>
            <w:r>
              <w:rPr>
                <w:b/>
                <w:color w:val="B40000"/>
                <w:sz w:val="16"/>
              </w:rPr>
              <w:t>-3.17%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49,041</w:t>
            </w:r>
          </w:p>
        </w:tc>
        <w:tc>
          <w:tcPr>
            <w:tcW w:type="dxa" w:w="1134"/>
            <w:shd w:fill="FFC7CE" w:val="clear"/>
          </w:tcPr>
          <w:p>
            <w:r>
              <w:rPr>
                <w:b/>
                <w:color w:val="B40000"/>
                <w:sz w:val="16"/>
              </w:rPr>
              <w:t>-3.84%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4,450</w:t>
            </w:r>
          </w:p>
        </w:tc>
        <w:tc>
          <w:tcPr>
            <w:tcW w:type="dxa" w:w="1417"/>
            <w:shd w:fill="FFFFFF" w:val="clear"/>
          </w:tcPr>
          <w:p>
            <w:r>
              <w:rPr>
                <w:sz w:val="16"/>
              </w:rPr>
              <w:t>4,256</w:t>
            </w:r>
          </w:p>
        </w:tc>
        <w:tc>
          <w:tcPr>
            <w:tcW w:type="dxa" w:w="1134"/>
            <w:shd w:fill="FFC7CE" w:val="clear"/>
          </w:tcPr>
          <w:p>
            <w:r>
              <w:rPr>
                <w:b/>
                <w:color w:val="B40000"/>
                <w:sz w:val="16"/>
              </w:rPr>
              <w:t>-4.37%</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7,890</w:t>
            </w:r>
          </w:p>
        </w:tc>
        <w:tc>
          <w:tcPr>
            <w:tcW w:type="dxa" w:w="1417"/>
            <w:shd w:fill="FFFFFF" w:val="clear"/>
          </w:tcPr>
          <w:p>
            <w:r>
              <w:rPr>
                <w:sz w:val="16"/>
              </w:rPr>
              <w:t>7,526</w:t>
            </w:r>
          </w:p>
        </w:tc>
        <w:tc>
          <w:tcPr>
            <w:tcW w:type="dxa" w:w="1134"/>
            <w:shd w:fill="FFC7CE" w:val="clear"/>
          </w:tcPr>
          <w:p>
            <w:r>
              <w:rPr>
                <w:b/>
                <w:color w:val="B40000"/>
                <w:sz w:val="16"/>
              </w:rPr>
              <w:t>-4.61%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30,300</w:t>
            </w:r>
          </w:p>
        </w:tc>
        <w:tc>
          <w:tcPr>
            <w:tcW w:type="dxa" w:w="1417"/>
            <w:shd w:fill="FFFFFF" w:val="clear"/>
          </w:tcPr>
          <w:p>
            <w:r>
              <w:rPr>
                <w:sz w:val="16"/>
              </w:rPr>
              <w:t>28,728</w:t>
            </w:r>
          </w:p>
        </w:tc>
        <w:tc>
          <w:tcPr>
            <w:tcW w:type="dxa" w:w="1134"/>
            <w:shd w:fill="FFC7CE" w:val="clear"/>
          </w:tcPr>
          <w:p>
            <w:r>
              <w:rPr>
                <w:b/>
                <w:color w:val="B40000"/>
                <w:sz w:val="16"/>
              </w:rPr>
              <w:t>-5.19%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33,800</w:t>
            </w:r>
          </w:p>
        </w:tc>
        <w:tc>
          <w:tcPr>
            <w:tcW w:type="dxa" w:w="1417"/>
            <w:shd w:fill="FFFFFF" w:val="clear"/>
          </w:tcPr>
          <w:p>
            <w:r>
              <w:rPr>
                <w:sz w:val="16"/>
              </w:rPr>
              <w:t>31,966</w:t>
            </w:r>
          </w:p>
        </w:tc>
        <w:tc>
          <w:tcPr>
            <w:tcW w:type="dxa" w:w="1134"/>
            <w:shd w:fill="FFC7CE" w:val="clear"/>
          </w:tcPr>
          <w:p>
            <w:r>
              <w:rPr>
                <w:b/>
                <w:color w:val="B40000"/>
                <w:sz w:val="16"/>
              </w:rPr>
              <w:t>-5.43%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6,500</w:t>
            </w:r>
          </w:p>
        </w:tc>
        <w:tc>
          <w:tcPr>
            <w:tcW w:type="dxa" w:w="1417"/>
            <w:shd w:fill="FFFFFF" w:val="clear"/>
          </w:tcPr>
          <w:p>
            <w:r>
              <w:rPr>
                <w:sz w:val="16"/>
              </w:rPr>
              <w:t>6,138</w:t>
            </w:r>
          </w:p>
        </w:tc>
        <w:tc>
          <w:tcPr>
            <w:tcW w:type="dxa" w:w="1134"/>
            <w:shd w:fill="FFC7CE" w:val="clear"/>
          </w:tcPr>
          <w:p>
            <w:r>
              <w:rPr>
                <w:b/>
                <w:color w:val="B40000"/>
                <w:sz w:val="16"/>
              </w:rPr>
              <w:t>-5.57%</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2,245</w:t>
            </w:r>
          </w:p>
        </w:tc>
        <w:tc>
          <w:tcPr>
            <w:tcW w:type="dxa" w:w="1417"/>
            <w:shd w:fill="FFFFFF" w:val="clear"/>
          </w:tcPr>
          <w:p>
            <w:r>
              <w:rPr>
                <w:sz w:val="16"/>
              </w:rPr>
              <w:t>2,113</w:t>
            </w:r>
          </w:p>
        </w:tc>
        <w:tc>
          <w:tcPr>
            <w:tcW w:type="dxa" w:w="1134"/>
            <w:shd w:fill="FFC7CE" w:val="clear"/>
          </w:tcPr>
          <w:p>
            <w:r>
              <w:rPr>
                <w:b/>
                <w:color w:val="B40000"/>
                <w:sz w:val="16"/>
              </w:rPr>
              <w:t>-5.90%</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8,300</w:t>
            </w:r>
          </w:p>
        </w:tc>
        <w:tc>
          <w:tcPr>
            <w:tcW w:type="dxa" w:w="1417"/>
            <w:shd w:fill="FFFFFF" w:val="clear"/>
          </w:tcPr>
          <w:p>
            <w:r>
              <w:rPr>
                <w:sz w:val="16"/>
              </w:rPr>
              <w:t>7,804</w:t>
            </w:r>
          </w:p>
        </w:tc>
        <w:tc>
          <w:tcPr>
            <w:tcW w:type="dxa" w:w="1134"/>
            <w:shd w:fill="FFC7CE" w:val="clear"/>
          </w:tcPr>
          <w:p>
            <w:r>
              <w:rPr>
                <w:b/>
                <w:color w:val="B40000"/>
                <w:sz w:val="16"/>
              </w:rPr>
              <w:t>-5.98%</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9,160</w:t>
            </w:r>
          </w:p>
        </w:tc>
        <w:tc>
          <w:tcPr>
            <w:tcW w:type="dxa" w:w="1417"/>
            <w:shd w:fill="FFFFFF" w:val="clear"/>
          </w:tcPr>
          <w:p>
            <w:r>
              <w:rPr>
                <w:sz w:val="16"/>
              </w:rPr>
              <w:t>8,544</w:t>
            </w:r>
          </w:p>
        </w:tc>
        <w:tc>
          <w:tcPr>
            <w:tcW w:type="dxa" w:w="1134"/>
            <w:shd w:fill="FFC7CE" w:val="clear"/>
          </w:tcPr>
          <w:p>
            <w:r>
              <w:rPr>
                <w:b/>
                <w:color w:val="B40000"/>
                <w:sz w:val="16"/>
              </w:rPr>
              <w:t>-6.73%</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3,370</w:t>
            </w:r>
          </w:p>
        </w:tc>
        <w:tc>
          <w:tcPr>
            <w:tcW w:type="dxa" w:w="1417"/>
            <w:shd w:fill="FFFFFF" w:val="clear"/>
          </w:tcPr>
          <w:p>
            <w:r>
              <w:rPr>
                <w:sz w:val="16"/>
              </w:rPr>
              <w:t>3,142</w:t>
            </w:r>
          </w:p>
        </w:tc>
        <w:tc>
          <w:tcPr>
            <w:tcW w:type="dxa" w:w="1134"/>
            <w:shd w:fill="FFC7CE" w:val="clear"/>
          </w:tcPr>
          <w:p>
            <w:r>
              <w:rPr>
                <w:b/>
                <w:color w:val="B40000"/>
                <w:sz w:val="16"/>
              </w:rPr>
              <w:t>-6.78%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1,995</w:t>
            </w:r>
          </w:p>
        </w:tc>
        <w:tc>
          <w:tcPr>
            <w:tcW w:type="dxa" w:w="1417"/>
            <w:shd w:fill="FFFFFF" w:val="clear"/>
          </w:tcPr>
          <w:p>
            <w:r>
              <w:rPr>
                <w:sz w:val="16"/>
              </w:rPr>
              <w:t>1,856</w:t>
            </w:r>
          </w:p>
        </w:tc>
        <w:tc>
          <w:tcPr>
            <w:tcW w:type="dxa" w:w="1134"/>
            <w:shd w:fill="FFC7CE" w:val="clear"/>
          </w:tcPr>
          <w:p>
            <w:r>
              <w:rPr>
                <w:b/>
                <w:color w:val="B40000"/>
                <w:sz w:val="16"/>
              </w:rPr>
              <w:t>-6.96%</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2,360</w:t>
            </w:r>
          </w:p>
        </w:tc>
        <w:tc>
          <w:tcPr>
            <w:tcW w:type="dxa" w:w="1417"/>
            <w:shd w:fill="FFFFFF" w:val="clear"/>
          </w:tcPr>
          <w:p>
            <w:r>
              <w:rPr>
                <w:sz w:val="16"/>
              </w:rPr>
              <w:t>2,194</w:t>
            </w:r>
          </w:p>
        </w:tc>
        <w:tc>
          <w:tcPr>
            <w:tcW w:type="dxa" w:w="1134"/>
            <w:shd w:fill="FFC7CE" w:val="clear"/>
          </w:tcPr>
          <w:p>
            <w:r>
              <w:rPr>
                <w:b/>
                <w:color w:val="B40000"/>
                <w:sz w:val="16"/>
              </w:rPr>
              <w:t>-7.03%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6,090</w:t>
            </w:r>
          </w:p>
        </w:tc>
        <w:tc>
          <w:tcPr>
            <w:tcW w:type="dxa" w:w="1417"/>
            <w:shd w:fill="FFFFFF" w:val="clear"/>
          </w:tcPr>
          <w:p>
            <w:r>
              <w:rPr>
                <w:sz w:val="16"/>
              </w:rPr>
              <w:t>5,485</w:t>
            </w:r>
          </w:p>
        </w:tc>
        <w:tc>
          <w:tcPr>
            <w:tcW w:type="dxa" w:w="1134"/>
            <w:shd w:fill="FFC7CE" w:val="clear"/>
          </w:tcPr>
          <w:p>
            <w:r>
              <w:rPr>
                <w:b/>
                <w:color w:val="B40000"/>
                <w:sz w:val="16"/>
              </w:rPr>
              <w:t>-9.93%</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22,000</w:t>
            </w:r>
          </w:p>
        </w:tc>
        <w:tc>
          <w:tcPr>
            <w:tcW w:type="dxa" w:w="1417"/>
            <w:shd w:fill="FFFFFF" w:val="clear"/>
          </w:tcPr>
          <w:p>
            <w:r>
              <w:rPr>
                <w:sz w:val="16"/>
              </w:rPr>
              <w:t>19,542</w:t>
            </w:r>
          </w:p>
        </w:tc>
        <w:tc>
          <w:tcPr>
            <w:tcW w:type="dxa" w:w="1134"/>
            <w:shd w:fill="FFC7CE" w:val="clear"/>
          </w:tcPr>
          <w:p>
            <w:r>
              <w:rPr>
                <w:b/>
                <w:color w:val="B40000"/>
                <w:sz w:val="16"/>
              </w:rPr>
              <w:t>-11.17%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8,175</w:t>
            </w:r>
          </w:p>
        </w:tc>
        <w:tc>
          <w:tcPr>
            <w:tcW w:type="dxa" w:w="1417"/>
            <w:shd w:fill="FFFFFF" w:val="clear"/>
          </w:tcPr>
          <w:p>
            <w:r>
              <w:rPr>
                <w:sz w:val="16"/>
              </w:rPr>
              <w:t>7,117</w:t>
            </w:r>
          </w:p>
        </w:tc>
        <w:tc>
          <w:tcPr>
            <w:tcW w:type="dxa" w:w="1134"/>
            <w:shd w:fill="FFC7CE" w:val="clear"/>
          </w:tcPr>
          <w:p>
            <w:r>
              <w:rPr>
                <w:b/>
                <w:color w:val="B40000"/>
                <w:sz w:val="16"/>
              </w:rPr>
              <w:t>-12.94%</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3,413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+13.28%</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11.20% (Moyenne) — μ=3,334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β=0.2108 (Défensif) — Cov=0.000015, Var(idx)=0.000069, ρ=0.063,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3,117</w:t>
            </w:r>
          </w:p>
        </w:tc>
        <w:tc>
          <w:tcPr>
            <w:tcW w:type="dxa" w:w="1440"/>
            <w:shd w:fill="FAFAFA" w:val="clear"/>
          </w:tcPr>
          <w:p>
            <w:r>
              <w:rPr>
                <w:b/>
                <w:sz w:val="17"/>
              </w:rPr>
              <w:t>3,339</w:t>
            </w:r>
          </w:p>
        </w:tc>
        <w:tc>
          <w:tcPr>
            <w:tcW w:type="dxa" w:w="1440"/>
            <w:shd w:fill="FAFAFA" w:val="clear"/>
          </w:tcPr>
          <w:p>
            <w:r>
              <w:rPr>
                <w:sz w:val="17"/>
              </w:rPr>
              <w:t>3,560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3,046</w:t>
            </w:r>
          </w:p>
        </w:tc>
        <w:tc>
          <w:tcPr>
            <w:tcW w:type="dxa" w:w="1440"/>
            <w:shd w:fill="FAFAFA" w:val="clear"/>
          </w:tcPr>
          <w:p>
            <w:r>
              <w:rPr>
                <w:b/>
                <w:sz w:val="17"/>
              </w:rPr>
              <w:t>3,316</w:t>
            </w:r>
          </w:p>
        </w:tc>
        <w:tc>
          <w:tcPr>
            <w:tcW w:type="dxa" w:w="1440"/>
            <w:shd w:fill="FAFAFA" w:val="clear"/>
          </w:tcPr>
          <w:p>
            <w:r>
              <w:rPr>
                <w:sz w:val="17"/>
              </w:rPr>
              <w:t>3,585</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2,983</w:t>
            </w:r>
          </w:p>
        </w:tc>
        <w:tc>
          <w:tcPr>
            <w:tcW w:type="dxa" w:w="1440"/>
            <w:shd w:fill="FFDCE0" w:val="clear"/>
          </w:tcPr>
          <w:p>
            <w:r>
              <w:rPr>
                <w:b/>
                <w:sz w:val="17"/>
              </w:rPr>
              <w:t>3,291</w:t>
            </w:r>
          </w:p>
        </w:tc>
        <w:tc>
          <w:tcPr>
            <w:tcW w:type="dxa" w:w="1440"/>
            <w:shd w:fill="FFDCE0" w:val="clear"/>
          </w:tcPr>
          <w:p>
            <w:r>
              <w:rPr>
                <w:sz w:val="17"/>
              </w:rPr>
              <w:t>3,600</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2,922</w:t>
            </w:r>
          </w:p>
        </w:tc>
        <w:tc>
          <w:tcPr>
            <w:tcW w:type="dxa" w:w="1440"/>
            <w:shd w:fill="FFDCE0" w:val="clear"/>
          </w:tcPr>
          <w:p>
            <w:r>
              <w:rPr>
                <w:b/>
                <w:sz w:val="17"/>
              </w:rPr>
              <w:t>3,265</w:t>
            </w:r>
          </w:p>
        </w:tc>
        <w:tc>
          <w:tcPr>
            <w:tcW w:type="dxa" w:w="1440"/>
            <w:shd w:fill="FFDCE0" w:val="clear"/>
          </w:tcPr>
          <w:p>
            <w:r>
              <w:rPr>
                <w:sz w:val="17"/>
              </w:rPr>
              <w:t>3,607</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2,866</w:t>
            </w:r>
          </w:p>
        </w:tc>
        <w:tc>
          <w:tcPr>
            <w:tcW w:type="dxa" w:w="1440"/>
            <w:shd w:fill="FFDCE0" w:val="clear"/>
          </w:tcPr>
          <w:p>
            <w:r>
              <w:rPr>
                <w:b/>
                <w:sz w:val="17"/>
              </w:rPr>
              <w:t>3,238</w:t>
            </w:r>
          </w:p>
        </w:tc>
        <w:tc>
          <w:tcPr>
            <w:tcW w:type="dxa" w:w="1440"/>
            <w:shd w:fill="FFDCE0" w:val="clear"/>
          </w:tcPr>
          <w:p>
            <w:r>
              <w:rPr>
                <w:sz w:val="17"/>
              </w:rPr>
              <w:t>3,610</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2,814</w:t>
            </w:r>
          </w:p>
        </w:tc>
        <w:tc>
          <w:tcPr>
            <w:tcW w:type="dxa" w:w="1440"/>
            <w:shd w:fill="FFDCE0" w:val="clear"/>
          </w:tcPr>
          <w:p>
            <w:r>
              <w:rPr>
                <w:b/>
                <w:sz w:val="17"/>
              </w:rPr>
              <w:t>3,213</w:t>
            </w:r>
          </w:p>
        </w:tc>
        <w:tc>
          <w:tcPr>
            <w:tcW w:type="dxa" w:w="1440"/>
            <w:shd w:fill="FFDCE0" w:val="clear"/>
          </w:tcPr>
          <w:p>
            <w:r>
              <w:rPr>
                <w:sz w:val="17"/>
              </w:rPr>
              <w:t>3,611</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2,765</w:t>
            </w:r>
          </w:p>
        </w:tc>
        <w:tc>
          <w:tcPr>
            <w:tcW w:type="dxa" w:w="1440"/>
            <w:shd w:fill="FFDCE0" w:val="clear"/>
          </w:tcPr>
          <w:p>
            <w:r>
              <w:rPr>
                <w:b/>
                <w:sz w:val="17"/>
              </w:rPr>
              <w:t>3,188</w:t>
            </w:r>
          </w:p>
        </w:tc>
        <w:tc>
          <w:tcPr>
            <w:tcW w:type="dxa" w:w="1440"/>
            <w:shd w:fill="FFDCE0" w:val="clear"/>
          </w:tcPr>
          <w:p>
            <w:r>
              <w:rPr>
                <w:sz w:val="17"/>
              </w:rPr>
              <w:t>3,611</w:t>
            </w:r>
          </w:p>
        </w:tc>
        <w:tc>
          <w:tcPr>
            <w:tcW w:type="dxa" w:w="1440"/>
            <w:shd w:fill="FFDCE0" w:val="clear"/>
          </w:tcPr>
          <w:p>
            <w:r>
              <w:rPr>
                <w:b/>
                <w:color w:val="C00000"/>
                <w:sz w:val="17"/>
              </w:rPr>
              <w:t>-5.4%</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2,719</w:t>
            </w:r>
          </w:p>
        </w:tc>
        <w:tc>
          <w:tcPr>
            <w:tcW w:type="dxa" w:w="1440"/>
            <w:shd w:fill="FFDCE0" w:val="clear"/>
          </w:tcPr>
          <w:p>
            <w:r>
              <w:rPr>
                <w:b/>
                <w:sz w:val="17"/>
              </w:rPr>
              <w:t>3,164</w:t>
            </w:r>
          </w:p>
        </w:tc>
        <w:tc>
          <w:tcPr>
            <w:tcW w:type="dxa" w:w="1440"/>
            <w:shd w:fill="FFDCE0" w:val="clear"/>
          </w:tcPr>
          <w:p>
            <w:r>
              <w:rPr>
                <w:sz w:val="17"/>
              </w:rPr>
              <w:t>3,609</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2,676</w:t>
            </w:r>
          </w:p>
        </w:tc>
        <w:tc>
          <w:tcPr>
            <w:tcW w:type="dxa" w:w="1440"/>
            <w:shd w:fill="FFDCE0" w:val="clear"/>
          </w:tcPr>
          <w:p>
            <w:r>
              <w:rPr>
                <w:b/>
                <w:sz w:val="17"/>
              </w:rPr>
              <w:t>3,142</w:t>
            </w:r>
          </w:p>
        </w:tc>
        <w:tc>
          <w:tcPr>
            <w:tcW w:type="dxa" w:w="1440"/>
            <w:shd w:fill="FFDCE0" w:val="clear"/>
          </w:tcPr>
          <w:p>
            <w:r>
              <w:rPr>
                <w:sz w:val="17"/>
              </w:rPr>
              <w:t>3,607</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36,77 milliards FCFA, ABJC se positionne comme une valeur de taille intermédiaire sur la BRVM, loin des poids lourds bancaires et télécoms mais suffisamment liquide pour intéresser les investisseurs institutionnels régionaux. Le BPA de 124 FCFA/action signifie que chaque titre génère un bénéfice net de 124 FCFA, ce qui, rapporté au cours actuel de 3 370 FCFA, aboutit à un PER de 27,2x — très nettement supérieur à la moyenne du marché BRVM (8-12x), signalant que les investisseurs paient une prime de croissance significative ou que le titre est surévalué. Le P/B de 7,13x confirme cette exigence : le marché valorise ABJC à plus de sept fois sa valeur comptable, une prime rarement justifiée sauf pour des sociétés à très forte rentabilité des fonds propres (ROE de 26,2% en 2025). Enfin, l'EV/EBITDA de 13,8x, dans la fourchette haute (10-15x), indique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variation totale positive de +13,28%, mais la dernière séance (J-1) a enregistré une chute brutale de -7,42%, ramenant le cours à 3 370 FCFA. Le range de trading est large, avec un plus haut à 4 095 FCFA et un plus bas à 2 800 FCFA, soit une amplitude de près de 46% — signe d'une forte nervosité. La tendance générale reste haussière sur la période, mais le décrochage récent suggère une correction après un sommet. Les statistiques descriptives révèlent une moyenne (3 334 FCFA) supérieure à la médiane (3 212 FCFA), confirmant une asymétrie positive : quelques journées de forte hausse tirent la moyenne vers le haut, tandis que la majorité des séances se situent sous cette moyenne (skewness de +0,601). L'écart-type de 375 FCFA (CV = 11,3%) indique une dispersion modérée autour de la moyenne, mais le kurtosis de -0,871 (mésokurtique) suggère une distribution proche de la normale, sans pics extrêmes fréquents — ce qui est rassurant pour la prévisibilité. La volatilité annualisée de 45,1% classe le titre dans la catégorie « élevée » (&gt;30%), ce qui implique un risque important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(3 896,75 FCFA) et la MM50 (3 540,20 FCFA) sont toutes deux supérieures au cours actuel (3 370 FCFA), ce qui place le titre en position baissière à court terme. Cependant, la décision technique affichée est « Achat », probablement basée sur le fait que le cours évolue sous des moyennes historiquement haussières, suggérant un potentiel de rebond vers ces niveaux. La MM20 étant nettement au-dessus de la MM50, la tendance de fond reste haussière, mais le prix actuel est en zone de correction.</w:t>
      </w:r>
    </w:p>
    <w:p>
      <w:pPr>
        <w:spacing w:after="120" w:line="276" w:lineRule="auto"/>
      </w:pPr>
      <w:r>
        <w:t>**Bandes de Bollinger** : Le cours (3 370 FCFA) se situe sous la borne inférieure (3 528,21 FCFA), ce qui est un signal classique de survente et de potentiel rebond. La largeur des bandes (supérieure à 4 265 FCFA, inférieure à 3 528 FCFA) indique une volatilité élevée. La décision « Achat » est cohérente avec cette position sous la borne inférieure, qui précède souvent un retour vers la moyenne.</w:t>
      </w:r>
    </w:p>
    <w:p>
      <w:pPr>
        <w:spacing w:after="120" w:line="276" w:lineRule="auto"/>
      </w:pPr>
      <w:r>
        <w:t>**MACD** : La valeur du MACD (-2,312) est négative et très inférieure à son signal (84,256), ce qui constitue un signal baissier clair. La divergence négative entre le MACD et son signal suggère que le momentum est à la baisse, et la décision « Vente » reflète cette dynamique défavorable à court terme.</w:t>
      </w:r>
    </w:p>
    <w:p>
      <w:pPr>
        <w:spacing w:after="120" w:line="276" w:lineRule="auto"/>
      </w:pPr>
      <w:r>
        <w:t>**RSI** : Avec une valeur de 17,195, le RSI est en zone de survente extrême (&lt;30), ce qui est un signal d'achat technique fort. Un RSI aussi bas indique que le titre a été massivement vendu et qu'un rebond technique est probable à court terme. La décision « Achat » est donc justifiée par cette configuration.</w:t>
      </w:r>
    </w:p>
    <w:p>
      <w:pPr>
        <w:spacing w:after="120" w:line="276" w:lineRule="auto"/>
      </w:pPr>
      <w:r>
        <w:t>**Stochastique** : Les valeurs %K et %D sont toutes deux à 0,0, ce qui est un signal de survente extrême. Un tel niveau est rare et suggère que la pression vendeuse est à son paroxysme, avec un potentiel de retournement imminent. La décision « Achat » est cohérente avec cette configuration.</w:t>
      </w:r>
    </w:p>
    <w:p>
      <w:pPr>
        <w:spacing w:after="120" w:line="276" w:lineRule="auto"/>
      </w:pPr>
      <w:r>
        <w:t>**Conclusion technique** : Les indicateurs sont divergents : les moyennes mobiles et le MACD sont baissiers, tandis que le RSI, le stochastique et les bandes de Bollinger sont en zone de survente extrême et génèrent des signaux d'achat. Cette divergence suggère un possible rebond technique à court terme, mais la tendance de fond reste fragile. La prudence est de mise, car le MACD négatif et le cours sous les moyennes mobiles indiquent que la pression baissière n'est pas totalement épuisée.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d'ABJC (Servair Abidjan) affichent un chiffre d'affaires de 13,298 milliards FCFA, en croissance de 6,67% par rapport à 2024, porté par la dynamique du trafic aérien et la diversification vers les activités non aériennes. Le résultat net s'établit à 1,351 milliard FCFA, en baisse de 12,1% (contre 1,515 milliard en 2024), principalement en raison d'une charge d'impôt en forte hausse (+46,7% à 839,75 millions FCFA) et de charges exceptionnelles. La rentabilité reste solide avec un ROE de 26,18% (excellent, &gt;15%) et un ROA de 14,64%, témoignant d'une bonne efficacité dans l'utilisation des capitaux propres et des actifs. La marge nette se maintient à 10,16%, bien qu'en léger recul par rapport aux 12,1% de 2024. La structure financière est saine : autonomie financière de 55,92% (capitaux propres/total bilan), endettement financier quasi nul (dettes financières de 65,89 millions FCFA seulement), et une trésorerie nette de 4,035 milliards FCFA. Le BFR est négatif (257,45 millions FCFA), ce qui est favorable car cela signifie que l'entreprise finance son cycle d'exploitation par ses fournisseurs. Les délais clients (70,10 jours) et fournisseurs (92,11 jours) sont élevés, mais le délai fournisseurs supérieur au délai clients est un bon signe pour la trésorerie. La rotation des actifs est de 144,13%, indiquant une bonne utilisation des actifs pour générer du chiffre d'affaires. Les rapports trimestriels récents (T1 2026, publié le 30 avril 2026) montrent une croissance modérée du CA (+1,9% à 3,237 milliards FCFA) mais une forte dégradation de la rentabilité : le résultat net chute de 35,6% à 222,625 millions FCFA, et le résultat des activités ordinaires recule de 27,4% à 327,622 millions FCFA. Cette contre-performance est attribuée à des ajustements de redevances aéroportuaires et à des tensions géopolitiques au Moyen-Orient affectant certaines compagnies clientes. Sur la base de ce T1 2026, on peut estimer que l'exercice 2026 devrait être plus difficile que 2025, avec une possible contraction du résultat net si la tendance se poursuit. Le rapport annuel 2025 (publié le 31 décembre 2025) confirme la solidité du bilan mais souligne la pression fiscale et la baisse de la rentabilité nette. La recommandation fondamentale est de **conserver** le titre pour les investisseurs déjà positionnés, mais la dégradation récente de la rentabilité et les risques exogènes (contexte réglementaire, tensions géopolitiques) incitent à la prudence pour de nouveaux investissements.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est exigeante : PER de 27,2x (très supérieur à la moyenne BRVM de 8-12x), P/B de 7,13x et EV/EBITDA de 13,8x indiquent que le marché intègre déjà une forte croissance et une rentabilité élevée, laissant peu de marge de sécurité. Le comportement du cours sur 100 jours est mitigé : hausse de +13,28% mais chute de -7,42% en J-1, avec une volatilité élevée (45,1%) et une asymétrie positive (skewness de +0,601) qui suggère que les hausses passées pourraient ne pas se répéter. Les signaux techniques sont divergents : les indicateurs de survente (RSI à 17,2, stochastique à 0, bandes de Bollinger sous la borne inférieure) plaident pour un rebond à court terme, mais le MACD négatif et le cours sous les moyennes mobiles signalent une tendance baissière persistante. Les fondamentaux restent solides (ROE de 26,2%, trésorerie nette de 4,035 milliards FCFA, endettement quasi nul), mais la dégradation de la rentabilité au T1 2026 (résultat net -35,6%) et la pression fiscale constituent des vents contraires. Les prédictions IA pour les 10 prochains jours (3 339 FCFA le 5 octobre, puis 3 238 FCFA le 9 octobre) confirment une trajectoire baissière à court terme, en ligne avec le MACD négatif. Compte tenu de la divergence entre les signaux techniques (survente) et fondamentaux (dégradation), et de la valorisation élevée, la recommandation finale est **CONSERVER** avec un niveau de confiance **Moyen** et un risque global **Élevé**. L'horizon d'investissement optimal est le **moyen terme (3-12 mois)**, en attendant la publication des résultats semestriels 2026 pour évaluer si la dégradation du T1 est conjoncturelle ou structurelle. Un investisseur averse au risque attendra une correction plus prononcée ou une confirmation de la reprise de la rentabilité avant d'envisager un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440.00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46,451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+21.30%</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75.5%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17.2/100 → Faible</w:t>
      </w:r>
    </w:p>
    <w:p>
      <w:pPr>
        <w:spacing w:before="40" w:after="80"/>
      </w:pPr>
      <w:r>
        <w:rPr>
          <w:rFonts w:ascii="Courier New" w:hAnsi="Courier New"/>
          <w:color w:val="006400"/>
          <w:sz w:val="18"/>
        </w:rPr>
        <w:t>███░░░░░░░░░░░░░░░░░  17.2/100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7.79% (Moyenne) — μ=8,371 FCFA, σ=652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β≈0.78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β≈0.78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46,451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σ_j=4.75%/j (Modérée) — Vol. annualisée≈75.5%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spacing w:after="120" w:line="276" w:lineRule="auto"/>
      </w:pPr>
      <w:r>
        <w:t>**RAPPORT D'ANALYSE FINANCIÈRE — ACTION BBGC (BRIDGE BANK GROUP COTE D'IVOIRE)**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BBGC s'élève à 440,00 milliards FCFA, un niveau qui positionne la banque parmi les valeurs les plus importantes de la cote BRVM, ce qui traduit une forte attractivité institutionnelle depuis son introduction. Les ratios de valorisation classiques (BPA, PER, P/B, EV/EBITDA) ne sont pas calculables en l'état, faute de données structurées sur le nombre exact d'actions en circulation post-OPV, les capitaux propres et l'EBITDA bancaire. Toutefois, en croisant le résultat net annualisé (estimé à environ 30,4 Mds FCFA sur la base du S1 2026 de 15,2 Mds FCFA) avec la capitalisation de 440 Mds FCFA, on obtient un PER implicite d'environ 14,5x, légèrement supérieur à la moyenne BRVM (8-12x), ce qui suggère une prime de croissance déjà intégrée par le marché. Le prix d'introduction de l'OPV à 6 750 FCFA contre un cours actuel de 8 800 FCFA (+30,4%) confirme cette appréciation post-cotation. L'absence de P/B et d'EV/EBITDA empêche toutefois une évaluation complète de la cherté relative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BBGC affiche une performance remarquable de +21,30%, malgré un repli de -2,22% lors de la dernière séance (J-1), qui marque une légère prise de bénéfices après un rallye soutenu. Le cours actuel de 8 800 FCFA évolue dans un range de 1 745 FCFA entre le plus bas (7 255 FCFA) et le plus haut (9 000 FCFA), ce qui témoigne d'une tendance nettement haussière depuis l'introduction. La moyenne (8 371 FCFA) est inférieure à la médiane (8 588 FCFA), confirmant une asymétrie négative (skewness = -0,602) : le titre a passé davantage de séances au-dessus de sa moyenne, signe de force relative. L'écart-type de 715 FCFA avec un coefficient de variation de 8,5% indique une dispersion modérée du cours autour de sa moyenne, tandis que le kurtosis négatif (-1,151, distribution platykurtique) traduit une faible concentration des rendements et un risque de pics extrêmes limité. La volatilité annualisée de 75,5% classe toutefois le titre dans la catégorie des valeurs à volatilité élevée (&gt;30%), ce qui est cohérent avec une valeur récemment introduite en bourse et encore en phase de découverte de prix.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calculables (valeurs non disponibles), ce qui s'explique par l'historique de cotation encore court depuis l'introduction. Aucune décision technique ne peut donc être dérivée de ces indicateurs, et l'analyse doit s'appuyer sur les autres signaux et sur la dynamique de prix brute.</w:t>
      </w:r>
    </w:p>
    <w:p>
      <w:pPr>
        <w:spacing w:after="120" w:line="276" w:lineRule="auto"/>
      </w:pPr>
      <w:r>
        <w:t>**Bandes de Bollinger :** Les bornes supérieure et inférieure ne sont pas disponibles, empêchant toute lecture de la position relative du cours (8 800 FCFA) par rapport à ces bandes. L'absence de ces données limite l'évaluation de la volatilité relative et la détection de situations de sur-extension.</w:t>
      </w:r>
    </w:p>
    <w:p>
      <w:pPr>
        <w:spacing w:after="120" w:line="276" w:lineRule="auto"/>
      </w:pPr>
      <w:r>
        <w:t>**MACD :** La valeur du MACD et de sa ligne de signal n'étant pas calculables, aucune divergence ni croisement ne peut être identifié. Le momentum reste donc à apprécier indirectement via la tendance haussière de +21,30% sur 100 jours.</w:t>
      </w:r>
    </w:p>
    <w:p>
      <w:pPr>
        <w:spacing w:after="120" w:line="276" w:lineRule="auto"/>
      </w:pPr>
      <w:r>
        <w:t>**RSI :** Le RSI n'est pas disponible, ce qui empêche de statuer sur une éventuelle zone de surachat (&gt;70) ou de survente (&lt;30). Compte tenu de la hausse récente et du repli de -2,22% en J-1, un RSI élevé était probable, mais sans confirmation chiffrée.</w:t>
      </w:r>
    </w:p>
    <w:p>
      <w:pPr>
        <w:spacing w:after="120" w:line="276" w:lineRule="auto"/>
      </w:pPr>
      <w:r>
        <w:t>**Stochastique :** Les %K et %D ne sont pas fournis, rendant impossible l'analyse des croisements et des zones de retournement. Aucune décision ne peut être émise sur cet indicateur.</w:t>
      </w:r>
    </w:p>
    <w:p>
      <w:pPr>
        <w:spacing w:after="120" w:line="276" w:lineRule="auto"/>
      </w:pPr>
      <w:r>
        <w:t>**Conclusion technique :** L'analyse technique est fortement limitée par l'indisponibilité de l'ensemble des indicateurs (MM, Bollinger, MACD, RSI, Stochastique), conséquence directe du manque d'historique de cotation suffisant. Seule la lecture du prix brut reste exploitable : tendance haussière de +21,30% sur 100 jours, avec un repli marginal de -2,22% en J-1 pouvant signaler un essoufflement de court terme. La prudence technique est donc de mise, et l'analyse fondamentale doit primer.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annuelles n'étant pas disponibles dans la base, l'analyse s'appuie sur les rapports officiels du premier semestre 2026 (période close le 30 juin 2026), analysés par DEEPSEEK et GEMINI-VISION le 28 septembre 2026. Sur ce semestre, BBGCI affiche un Produit Net Bancaire (PNB) de 37,7 milliards FCFA, en progression de +25% par rapport aux 30,2 Mds FCFA du S1 2025, portée par une croissance spectaculaire des crédits à la clientèle (+28% à 823,9 Mds FCFA) et des dépôts (+46% à 1 318,3 Mds FCFA). Le résultat net bondit de +46% à 15,2 Mds FCFA (contre 10,4 Mds FCFA au S1 2025), avec une marge nette en nette amélioration à 40,3% (vs 34,4%). En tant que banque, les indicateurs clés sont excellents : le coefficient d'exploitation s'établit à 40,3% (contre 43,3% un an plus tôt), très en dessous du seuil de 60% synonyme d'efficacité, et le coût du risque reste contenu à 4,3 Mds FCFA (+14%) malgré la forte croissance des crédits (+28%), ce qui témoigne d'un portefeuille de qualité. Le ratio dépôts/crédits de 160% (1 318,3/823,9) traduit une surliquidité confortable et une capacité de financement autonome. Sur la base de ce S1 2026, on estime que l'exercice 2026 complet pourrait générer un résultat net d'environ 30 Mds FCFA (hypothèse de stabilité au S2), ce qui conforterait un PER implicite autour de 14-15x. Les perspectives sont soutenues par l'expansion régionale (succursale au Burkina Faso autorisée en mai 2026), le développement du réseau (Riviera Palmeraie, Bassam, Korhogo) et la stratégie 2026-2030. Le principal point d'incertitude reste l'absence d'information sur la politique de dividende, élément clé pour l'investisseur de rendement.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BBGC (Partie 0) affiche une capitalisation de 440 Mds FCFA avec un PER implicite d'environ 14,5x, légèrement supérieur à la moyenne BRVM, suggérant une prime de croissance déjà partiellement intégrée mais justifiée par la dynamique exceptionnelle. Le comportement du cours (Partie 1) est nettement haussier (+21,30% sur 100 jours), avec une distribution asymétrique négative (skewness -0,602) et platykurtique (kurtosis -1,151) indiquant peu de pics extrêmes, mais une volatilité annualisée élevée de 75,5% qui appelle à la prudence. Les signaux techniques (Partie 2) sont inexploitables faute d'indicateurs disponibles, ce qui constitue une limite majeure et impose de s'appuyer sur les fondamentaux. Ces derniers (Partie 3) sont excellents : PNB +25%, résultat net +46%, coefficient d'exploitation de 40,3%, coût du risque maîtrisé et surliquidité, sur la base du rapport S1 2026 (30 juin 2026, analysé le 28 septembre 2026). Aucune prédiction IA n'étant disponible pour J+1 à J+10, la trajectoire de court terme reste incertaine. Sur la base de cette synthèse, la recommandation finale est **ACHAT**, avec un niveau de confiance **Moyen** (limité par l'absence d'indicateurs techniques et de politique de dividende) et un niveau de risque global **Élevé** (volatilité de 75,5%, valeur récemment introduite, historique court). L'horizon d'investissement optimal est le **moyen terme (3-12 mois)**, le temps que la liquidité s'installe, que les ratios de valorisation complets deviennent calculables et que la confirmation des fondamentaux au S2 2026 valide la trajectoire de croissance.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508.29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13,782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+68.42%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23.86% (Élevée) — μ=7,246 FCFA, σ=1,729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β=0.8162 (Neutre (suit le marché)) — Cov=0.000056, Var(idx)=0.000069, ρ=0.254,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13,782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8,276</w:t>
            </w:r>
          </w:p>
        </w:tc>
        <w:tc>
          <w:tcPr>
            <w:tcW w:type="dxa" w:w="1440"/>
            <w:shd w:fill="C6EFCE" w:val="clear"/>
          </w:tcPr>
          <w:p>
            <w:r>
              <w:rPr>
                <w:b/>
                <w:sz w:val="17"/>
              </w:rPr>
              <w:t>9,051</w:t>
            </w:r>
          </w:p>
        </w:tc>
        <w:tc>
          <w:tcPr>
            <w:tcW w:type="dxa" w:w="1440"/>
            <w:shd w:fill="C6EFCE" w:val="clear"/>
          </w:tcPr>
          <w:p>
            <w:r>
              <w:rPr>
                <w:sz w:val="17"/>
              </w:rPr>
              <w:t>9,826</w:t>
            </w:r>
          </w:p>
        </w:tc>
        <w:tc>
          <w:tcPr>
            <w:tcW w:type="dxa" w:w="1440"/>
            <w:shd w:fill="C6EFCE" w:val="clear"/>
          </w:tcPr>
          <w:p>
            <w:r>
              <w:rPr>
                <w:b/>
                <w:color w:val="008000"/>
                <w:sz w:val="17"/>
              </w:rPr>
              <w:t>+2.9%</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8,154</w:t>
            </w:r>
          </w:p>
        </w:tc>
        <w:tc>
          <w:tcPr>
            <w:tcW w:type="dxa" w:w="1440"/>
            <w:shd w:fill="C6EFCE" w:val="clear"/>
          </w:tcPr>
          <w:p>
            <w:r>
              <w:rPr>
                <w:b/>
                <w:sz w:val="17"/>
              </w:rPr>
              <w:t>9,109</w:t>
            </w:r>
          </w:p>
        </w:tc>
        <w:tc>
          <w:tcPr>
            <w:tcW w:type="dxa" w:w="1440"/>
            <w:shd w:fill="C6EFCE" w:val="clear"/>
          </w:tcPr>
          <w:p>
            <w:r>
              <w:rPr>
                <w:sz w:val="17"/>
              </w:rPr>
              <w:t>10,064</w:t>
            </w:r>
          </w:p>
        </w:tc>
        <w:tc>
          <w:tcPr>
            <w:tcW w:type="dxa" w:w="1440"/>
            <w:shd w:fill="C6EFCE" w:val="clear"/>
          </w:tcPr>
          <w:p>
            <w:r>
              <w:rPr>
                <w:b/>
                <w:color w:val="008000"/>
                <w:sz w:val="17"/>
              </w:rPr>
              <w:t>+3.5%</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8,053</w:t>
            </w:r>
          </w:p>
        </w:tc>
        <w:tc>
          <w:tcPr>
            <w:tcW w:type="dxa" w:w="1440"/>
            <w:shd w:fill="C6EFCE" w:val="clear"/>
          </w:tcPr>
          <w:p>
            <w:r>
              <w:rPr>
                <w:b/>
                <w:sz w:val="17"/>
              </w:rPr>
              <w:t>9,162</w:t>
            </w:r>
          </w:p>
        </w:tc>
        <w:tc>
          <w:tcPr>
            <w:tcW w:type="dxa" w:w="1440"/>
            <w:shd w:fill="C6EFCE" w:val="clear"/>
          </w:tcPr>
          <w:p>
            <w:r>
              <w:rPr>
                <w:sz w:val="17"/>
              </w:rPr>
              <w:t>10,271</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7,963</w:t>
            </w:r>
          </w:p>
        </w:tc>
        <w:tc>
          <w:tcPr>
            <w:tcW w:type="dxa" w:w="1440"/>
            <w:shd w:fill="C6EFCE" w:val="clear"/>
          </w:tcPr>
          <w:p>
            <w:r>
              <w:rPr>
                <w:b/>
                <w:sz w:val="17"/>
              </w:rPr>
              <w:t>9,209</w:t>
            </w:r>
          </w:p>
        </w:tc>
        <w:tc>
          <w:tcPr>
            <w:tcW w:type="dxa" w:w="1440"/>
            <w:shd w:fill="C6EFCE" w:val="clear"/>
          </w:tcPr>
          <w:p>
            <w:r>
              <w:rPr>
                <w:sz w:val="17"/>
              </w:rPr>
              <w:t>10,455</w:t>
            </w:r>
          </w:p>
        </w:tc>
        <w:tc>
          <w:tcPr>
            <w:tcW w:type="dxa" w:w="1440"/>
            <w:shd w:fill="C6EFCE" w:val="clear"/>
          </w:tcPr>
          <w:p>
            <w:r>
              <w:rPr>
                <w:b/>
                <w:color w:val="008000"/>
                <w:sz w:val="17"/>
              </w:rPr>
              <w:t>+4.6%</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7,878</w:t>
            </w:r>
          </w:p>
        </w:tc>
        <w:tc>
          <w:tcPr>
            <w:tcW w:type="dxa" w:w="1440"/>
            <w:shd w:fill="C6EFCE" w:val="clear"/>
          </w:tcPr>
          <w:p>
            <w:r>
              <w:rPr>
                <w:b/>
                <w:sz w:val="17"/>
              </w:rPr>
              <w:t>9,250</w:t>
            </w:r>
          </w:p>
        </w:tc>
        <w:tc>
          <w:tcPr>
            <w:tcW w:type="dxa" w:w="1440"/>
            <w:shd w:fill="C6EFCE" w:val="clear"/>
          </w:tcPr>
          <w:p>
            <w:r>
              <w:rPr>
                <w:sz w:val="17"/>
              </w:rPr>
              <w:t>10,621</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7,798</w:t>
            </w:r>
          </w:p>
        </w:tc>
        <w:tc>
          <w:tcPr>
            <w:tcW w:type="dxa" w:w="1440"/>
            <w:shd w:fill="C6EFCE" w:val="clear"/>
          </w:tcPr>
          <w:p>
            <w:r>
              <w:rPr>
                <w:b/>
                <w:sz w:val="17"/>
              </w:rPr>
              <w:t>9,285</w:t>
            </w:r>
          </w:p>
        </w:tc>
        <w:tc>
          <w:tcPr>
            <w:tcW w:type="dxa" w:w="1440"/>
            <w:shd w:fill="C6EFCE" w:val="clear"/>
          </w:tcPr>
          <w:p>
            <w:r>
              <w:rPr>
                <w:sz w:val="17"/>
              </w:rPr>
              <w:t>10,772</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7,721</w:t>
            </w:r>
          </w:p>
        </w:tc>
        <w:tc>
          <w:tcPr>
            <w:tcW w:type="dxa" w:w="1440"/>
            <w:shd w:fill="C6EFCE" w:val="clear"/>
          </w:tcPr>
          <w:p>
            <w:r>
              <w:rPr>
                <w:b/>
                <w:sz w:val="17"/>
              </w:rPr>
              <w:t>9,316</w:t>
            </w:r>
          </w:p>
        </w:tc>
        <w:tc>
          <w:tcPr>
            <w:tcW w:type="dxa" w:w="1440"/>
            <w:shd w:fill="C6EFCE" w:val="clear"/>
          </w:tcPr>
          <w:p>
            <w:r>
              <w:rPr>
                <w:sz w:val="17"/>
              </w:rPr>
              <w:t>10,910</w:t>
            </w:r>
          </w:p>
        </w:tc>
        <w:tc>
          <w:tcPr>
            <w:tcW w:type="dxa" w:w="1440"/>
            <w:shd w:fill="C6EFCE" w:val="clear"/>
          </w:tcPr>
          <w:p>
            <w:r>
              <w:rPr>
                <w:b/>
                <w:color w:val="008000"/>
                <w:sz w:val="17"/>
              </w:rPr>
              <w:t>+5.9%</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7,645</w:t>
            </w:r>
          </w:p>
        </w:tc>
        <w:tc>
          <w:tcPr>
            <w:tcW w:type="dxa" w:w="1440"/>
            <w:shd w:fill="C6EFCE" w:val="clear"/>
          </w:tcPr>
          <w:p>
            <w:r>
              <w:rPr>
                <w:b/>
                <w:sz w:val="17"/>
              </w:rPr>
              <w:t>9,342</w:t>
            </w:r>
          </w:p>
        </w:tc>
        <w:tc>
          <w:tcPr>
            <w:tcW w:type="dxa" w:w="1440"/>
            <w:shd w:fill="C6EFCE" w:val="clear"/>
          </w:tcPr>
          <w:p>
            <w:r>
              <w:rPr>
                <w:sz w:val="17"/>
              </w:rPr>
              <w:t>11,038</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7,572</w:t>
            </w:r>
          </w:p>
        </w:tc>
        <w:tc>
          <w:tcPr>
            <w:tcW w:type="dxa" w:w="1440"/>
            <w:shd w:fill="C6EFCE" w:val="clear"/>
          </w:tcPr>
          <w:p>
            <w:r>
              <w:rPr>
                <w:b/>
                <w:sz w:val="17"/>
              </w:rPr>
              <w:t>9,364</w:t>
            </w:r>
          </w:p>
        </w:tc>
        <w:tc>
          <w:tcPr>
            <w:tcW w:type="dxa" w:w="1440"/>
            <w:shd w:fill="C6EFCE" w:val="clear"/>
          </w:tcPr>
          <w:p>
            <w:r>
              <w:rPr>
                <w:sz w:val="17"/>
              </w:rPr>
              <w:t>11,156</w:t>
            </w:r>
          </w:p>
        </w:tc>
        <w:tc>
          <w:tcPr>
            <w:tcW w:type="dxa" w:w="1440"/>
            <w:shd w:fill="C6EFCE" w:val="clear"/>
          </w:tcPr>
          <w:p>
            <w:r>
              <w:rPr>
                <w:b/>
                <w:color w:val="008000"/>
                <w:sz w:val="17"/>
              </w:rPr>
              <w:t>+6.4%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 📊 RAPPORT D'ANALYSE FINANCIÈRE — ACTION BICB (BRVM)</w:t>
      </w:r>
    </w:p>
    <w:p>
      <w:pPr>
        <w:spacing w:after="120" w:line="276" w:lineRule="auto"/>
      </w:pPr>
      <w:r>
        <w:t>**Banque Internationale pour l'Industrie et le Commerce (Bénin)**</w:t>
        <w:br/>
        <w:t>*Date d'analyse : Octobre 2026 | Cours de référence : 8 800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508,29 milliards FCFA, BICB s'impose comme l'une des valeurs bancaires les plus capitalisées de la cote BRVM, ce qui témoigne de sa position de leader sectoriel au Bénin et de la confiance des investisseurs régionaux. Le BPA de 627 FCFA par action signifie que chaque titre génère près de 627 FCFA de bénéfice net, un niveau de rentabilité unitaire élevé qui reflète la solidité des résultats 2025 (résultat net de 36,2 Mds FCFA). Le PER de 14,0x situe le titre légèrement au-dessus de la moyenne BRVM (~8-12x), traduisant une valorisation modérée mais non excessive : les investisseurs acceptent de payer une prime pour la qualité de la croissance, sans tomber dans la spéculation. Le P/B de 3,76x indique que le marché valorise la banque à près de quatre fois ses fonds propres comptables (135,1 Mds FCFA), une prime de croissance significative qui exige une confirmation continue de la rentabilité (ROE de 26,8%). Enfin, l'EV/EBITDA de 24,6x apparaît très exigeant (&gt;15x), signalant que la valeur d'entreprise intègre déjà une part importante d'anticipations favorables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BICB a enregistré une progression spectaculaire de **+68,42%**, portant le cours de 5 105 FCFA (plus bas) à un sommet de 10 790 FCFA, avant de se replier légèrement à 8 800 FCFA (-1,23% sur la dernière séance). Le range de trading particulièrement large (5 105 – 10 790 FCFA, soit un écart de plus de 111%) témoigne d'une tendance nettement haussière, mais aussi d'une phase de correction récente depuis les sommets. Les statistiques descriptives révèlent une distribution asymétrique à droite : la moyenne (7 246 FCFA) est supérieure à la médiane (6 598 FCFA), ce qui confirme que les récents pics de cours tirent la moyenne vers le haut, tandis que le mode à 5 200 FCFA rappelle que le titre a longtemps évolué à des niveaux bien inférieurs. L'écart-type de 1 738 FCFA (CV = 24,0%) traduit une dispersion modérée à élevée du cours, cohérente avec un titre en forte tendance. Le kurtosis négatif (-1,016, distribution platykurtique) indique une faible concentration des rendements autour de la moyenne, donc un risque de pics extrêmes plus limité qu'une distribution normale ; le skewness de 0,482, qualifié de symétrique dans les données, suggère néanmoins une légère inclinaison vers des rendements positifs. Avec une volatilité annualisée de **42,4%**, le titre se classe dans la catégorie des valeurs à volatilité **élevée** (&gt;30%), ce qui implique un risque de marché important et justifie une gestion prudente des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(9 675,75 FCFA) et la MM50 (8 756,40 FCFA) encadrent le cours actuel (8 800 FCFA), qui évolue juste au-dessus de la MM50 mais nettement sous la MM20. Cette configuration indique que la dynamique court terme s'est affaiblie (le cours est passé sous sa moyenne 20 jours), tandis que la tendance de fond reste haussière (cours &gt; MM50). La décision fournie est « Achat », cohérente avec le maintien du cours au-dessus de la MM50, mais la prudence s'impose tant que la MM20 n'est pas reconquise.</w:t>
      </w:r>
    </w:p>
    <w:p>
      <w:pPr>
        <w:spacing w:after="120" w:line="276" w:lineRule="auto"/>
      </w:pPr>
      <w:r>
        <w:t>**Bandes de Bollinger** : Le cours (8 800 FCFA) se situe dans la partie basse de la bande, entre la borne inférieure (7 826,33 FCFA) et la borne supérieure (11 525,17 FCFA), sans en toucher les extrêmes. Cette position médiane-basse traduit une volatilité en cours de normalisation après le pic haussier, et la décision « Neutre » reflète l'absence de signal directionnel fort : ni surachat, ni survente technique au sens des bandes.</w:t>
      </w:r>
    </w:p>
    <w:p>
      <w:pPr>
        <w:spacing w:after="120" w:line="276" w:lineRule="auto"/>
      </w:pPr>
      <w:r>
        <w:t>**MACD** : La valeur du MACD (-90,882) est nettement inférieure à son signal (123,945), générant une divergence baissière marquée qui confirme la perte de momentum haussier depuis les sommets. La décision « Vente » de cet indicateur contraste avec la tendance de fond, signalant que la correction actuelle pourrait se poursuivre à court terme avant une reprise.</w:t>
      </w:r>
    </w:p>
    <w:p>
      <w:pPr>
        <w:spacing w:after="120" w:line="276" w:lineRule="auto"/>
      </w:pPr>
      <w:r>
        <w:t>**RSI** : À 28,46, le RSI se situe en zone de **survente** (&lt;30), ce qui indique que le titre a été excessivement vendu à court terme et pourrait rebondir techniquement. La décision « Achat » est cohérente avec cette lecture contrarienne : le repli depuis 10 790 FCFA a ramené le RSI à un niveau historiquement propice aux rebonds.</w:t>
      </w:r>
    </w:p>
    <w:p>
      <w:pPr>
        <w:spacing w:after="120" w:line="276" w:lineRule="auto"/>
      </w:pPr>
      <w:r>
        <w:t>**Stochastique** : Le %K (33,46) et le %D (31,812) évoluent tous deux en zone basse mais sans croisement haussier confirmé, et restent au-dessus du seuil de survente extrême (20). La décision « Neutre » traduit cette absence de signal clair : le stochastique n'offre ni confirmation de rebond, ni signal de vente supplémentaire.</w:t>
      </w:r>
    </w:p>
    <w:p>
      <w:pPr>
        <w:spacing w:after="120" w:line="276" w:lineRule="auto"/>
      </w:pPr>
      <w:r>
        <w:t>**Conclusion technique** : Les indicateurs présentent une divergence classique de fin de correction : le MACD est baissier (momentum négatif), mais le RSI en survente (28,46) et le maintien du cours au-dessus de la MM50 plaident pour un rebond technique imminent. La configuration globale est celle d'un titre en consolidation après une hausse exceptionnelle, avec un potentiel de rebond à court terme mais une tendance de fond encore fragile tant que la MM20 (9 675 FCFA) n'est pas reconquise. Le signal technique global est **neutre à légèrement haussier**, avec un avantage tactique aux acheteurs contrariens.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BICB a réalisé un Produit Net Bancaire (équivalent du chiffre d'affaires pour une banque) de **52,805 Mds FCFA**, en croissance de **+16,49%**, et un résultat net de **36,237 Mds FCFA**, soit une marge nette exceptionnelle de **68,62%**. Le ROE s'établit à **26,82%** (largement supérieur au seuil d'excellence de 15%) et le ROA à **1,96%**, confirmant une création de valeur actionnariale robuste. Le coefficient d'exploitation de **31,12%** classe la banque parmi les plus efficaces du secteur (seuil d'excellence &lt;50%), tandis que le coût du risque de **9,61%** (provisions / charges financières) reste un point de vigilance modéré. La structure de bilan affiche des créances clientèle de 1 151,5 Mds FCFA pour des dépôts clientèle de 1 181,0 Mds FCFA, soit un ratio crédits/dépôts de **97,5%** — une transformation tendue qui limite la marge de manœuvre en liquidité. Les capitaux propres de 135,1 Mds FCFA et le ratio de solvabilité de 19,64% (vs 11,5% réglementaire) offrent une marge de croissance confortable.</w:t>
      </w:r>
    </w:p>
    <w:p>
      <w:pPr>
        <w:spacing w:after="120" w:line="276" w:lineRule="auto"/>
      </w:pPr>
      <w:r>
        <w:t>**Estimations basées sur les rapports trimestriels** : Le rapport du **S1 2026 (publié le 22/09/2026)** confirme l'accélération : PNB de 31,9 Mds FCFA (+19%), RBE de 22,9 Mds FCFA (+31%), charges d'exploitation en repli de 4% (discipline remarquable), et résultat net de 18,4 Mds FCFA (+11%). Le rapport **T1 2026** est encore plus dynamique avec un PNB de 14,6 Mds FCFA (+35%) et un résultat net de 8,0 Mds FCFA (+48%). Sur cette base, on estime que l'exercice 2026 devrait afficher un PNB annuel de l'ordre de **63-65 Mds FCFA** (+20-23%) et un résultat net de **40-42 Mds FCFA** (+10-15%), sous réserve de la normalisation du coût du risque (charge de 3,6 Mds FCFA au S1 2026 contre un produit de 2,4 Mds FCFA au S1 2025). Le rapport annuel 2025 (états financiers audités, opinion sans réserve) souligne toutefois des points de vigilance : dégradation du ratio de liquidité (11,03%), croissance rapide des crédits (+37,3%) exposant au risque de crédit, et transition IFRS avec un impact de -10,4 Mds FCFA sur les capitaux propres d'ouverture. **Conclusion fondamentale** : BICB présente des fondamentaux solides (ROE 26,8%, coefficient d'exploitation 31,1%, croissance à deux chiffres), mais la qualité de la croissance et la tension sur la liquidité exigent une surveillance attentive. La recommandation fondamentale est **CONSERVER**, avec un biais positif si la normalisation du coût du risque se confirme au S2 2026.</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d'investissement contrasté mais globalement favorable. **Sur la valorisation (Partie 0)**, le PER de 14,0x et le P/B de 3,76x indiquent une valorisation modérée à légèrement élevée, sans excès manifeste, mais l'EV/EBITDA de 24,6x laisse peu de marge d'erreur. **Sur le comportement du cours (Partie 1)**, la tendance haussière de +68,42% sur 100 jours est impressionnante, mais la volatilité élevée (42,4%) et la distribution platykurtique (kurtosis -1,016) suggèrent un risque de pics limité mais une dispersion importante — le skewness positif (0,482) reste favorable. **Sur les signaux techniques (Partie 2)**, il y a divergence : le MACD est baissier (vente) tandis que le RSI en survente (28,46) et le maintien au-dessus de la MM50 plaident pour un rebond — la configuration est celle d'une consolidation avec potentiel de rebond tactique. **Sur les fondamentaux (Partie 3)**, la solidité est confirmée (ROE 26,8%, PNB +16,5% en 2025, +19% au S1 2026), mais la tension sur la liquidité et le retour du coût du risque tempèrent l'enthousiasme. **Les prédictions IA (J+1 à J+10)** anticipent une trajectoire haussière modérée de 9 051 à 9 250 FCFA (+2,8% sur 10 jours), ce qui confirme le scénario de rebond technique post-survente et valide la lecture contrarienne du RSI.</w:t>
      </w:r>
    </w:p>
    <w:p>
      <w:pPr>
        <w:spacing w:after="120" w:line="276" w:lineRule="auto"/>
      </w:pPr>
      <w:r>
        <w:t>**Recommandation finale : CONSERVER (avec biais acheteur tactique)**</w:t>
      </w:r>
    </w:p>
    <w:p>
      <w:pPr>
        <w:spacing w:after="120" w:line="276" w:lineRule="auto"/>
      </w:pPr>
      <w:r>
        <w:t>La convergence est partielle : la valorisation est raisonnable, les fondamentaux sont solides, et les prédictions IA confirment un rebond technique, mais le MACD baissier et la tension sur la liquidité imposent la prudence. Un investisseur déjà positionné peut conserver le titre en visant un retour vers 9 675 FCFA (MM20), tandis qu'un nouvel entrant pourrait initier une position progressive autour de 8 800 FCFA avec un stop-loss sous 7 826 FCFA (borne inférieure de Bollinger). **Niveau de confiance : Moyen** (divergence technique/fondamental). **Niveau de risque global : Élevé** (volatilité 42,4%, tension liquidité, coût du risque). **Horizon optimal : Moyen terme (3-12 mois)**, le temps que la normalisation du coût du risque et la confirmation de la croissance du PNB au S2 2026 valident le scénario haussier durable.</w:t>
      </w:r>
    </w:p>
    <w:p>
      <w:pPr>
        <w:spacing w:after="120" w:line="276" w:lineRule="auto"/>
      </w:pPr>
      <w:r>
        <w:t>---</w:t>
      </w:r>
    </w:p>
    <w:p>
      <w:pPr>
        <w:spacing w:after="120" w:line="276" w:lineRule="auto"/>
      </w:pPr>
      <w:r>
        <w:t>*Rapport généré le 4 octobre 2026 — Sources : BRVM, états financiers BICB 2025 (audités IFRS), rapports S1 2026 et T1 2026, analyses DEEPSEEK/MISTRAL, données de marché 100 jours.*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677 titres</w:t>
            </w:r>
          </w:p>
        </w:tc>
        <w:tc>
          <w:tcPr>
            <w:tcW w:type="dxa" w:w="2268"/>
            <w:shd w:fill="FFF2CC" w:val="clear"/>
          </w:tcPr>
          <w:p>
            <w:r>
              <w:rPr>
                <w:b/>
                <w:color w:val="503200"/>
                <w:sz w:val="16"/>
              </w:rPr>
              <w:t xml:space="preserve">Cours actuel : </w:t>
            </w:r>
            <w:r>
              <w:rPr>
                <w:color w:val="000000"/>
                <w:sz w:val="17"/>
              </w:rPr>
              <w:t>33,800 FCFA</w:t>
            </w:r>
          </w:p>
          <w:p>
            <w:r>
              <w:rPr>
                <w:b/>
                <w:color w:val="503200"/>
                <w:sz w:val="16"/>
              </w:rPr>
              <w:t xml:space="preserve">Var. 100 jours : </w:t>
            </w:r>
            <w:r>
              <w:rPr>
                <w:b/>
                <w:color w:val="007800"/>
                <w:sz w:val="17"/>
              </w:rPr>
              <w:t>+30.00%</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26,000 FCFA</w:t>
            </w:r>
          </w:p>
          <w:p>
            <w:r>
              <w:rPr>
                <w:b/>
                <w:color w:val="503200"/>
                <w:sz w:val="16"/>
              </w:rPr>
              <w:t xml:space="preserve">Volatilité ann. : </w:t>
            </w:r>
            <w:r>
              <w:rPr>
                <w:color w:val="000000"/>
                <w:sz w:val="17"/>
              </w:rPr>
              <w:t>34.3%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μ=29,260 FCFA, σ=1,902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β=0.8761 (Neutre (suit le marché)) — Cov=0.000060, Var(idx)=0.000069, ρ=0.356,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30,305</w:t>
            </w:r>
          </w:p>
        </w:tc>
        <w:tc>
          <w:tcPr>
            <w:tcW w:type="dxa" w:w="1440"/>
            <w:shd w:fill="FFDCE0" w:val="clear"/>
          </w:tcPr>
          <w:p>
            <w:r>
              <w:rPr>
                <w:b/>
                <w:sz w:val="17"/>
              </w:rPr>
              <w:t>32,751</w:t>
            </w:r>
          </w:p>
        </w:tc>
        <w:tc>
          <w:tcPr>
            <w:tcW w:type="dxa" w:w="1440"/>
            <w:shd w:fill="FFDCE0" w:val="clear"/>
          </w:tcPr>
          <w:p>
            <w:r>
              <w:rPr>
                <w:sz w:val="17"/>
              </w:rPr>
              <w:t>35,198</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29,625</w:t>
            </w:r>
          </w:p>
        </w:tc>
        <w:tc>
          <w:tcPr>
            <w:tcW w:type="dxa" w:w="1440"/>
            <w:shd w:fill="FFDCE0" w:val="clear"/>
          </w:tcPr>
          <w:p>
            <w:r>
              <w:rPr>
                <w:b/>
                <w:sz w:val="17"/>
              </w:rPr>
              <w:t>32,608</w:t>
            </w:r>
          </w:p>
        </w:tc>
        <w:tc>
          <w:tcPr>
            <w:tcW w:type="dxa" w:w="1440"/>
            <w:shd w:fill="FFDCE0" w:val="clear"/>
          </w:tcPr>
          <w:p>
            <w:r>
              <w:rPr>
                <w:sz w:val="17"/>
              </w:rPr>
              <w:t>35,591</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29,058</w:t>
            </w:r>
          </w:p>
        </w:tc>
        <w:tc>
          <w:tcPr>
            <w:tcW w:type="dxa" w:w="1440"/>
            <w:shd w:fill="FFDCE0" w:val="clear"/>
          </w:tcPr>
          <w:p>
            <w:r>
              <w:rPr>
                <w:b/>
                <w:sz w:val="17"/>
              </w:rPr>
              <w:t>32,490</w:t>
            </w:r>
          </w:p>
        </w:tc>
        <w:tc>
          <w:tcPr>
            <w:tcW w:type="dxa" w:w="1440"/>
            <w:shd w:fill="FFDCE0" w:val="clear"/>
          </w:tcPr>
          <w:p>
            <w:r>
              <w:rPr>
                <w:sz w:val="17"/>
              </w:rPr>
              <w:t>35,923</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28,566</w:t>
            </w:r>
          </w:p>
        </w:tc>
        <w:tc>
          <w:tcPr>
            <w:tcW w:type="dxa" w:w="1440"/>
            <w:shd w:fill="FFDCE0" w:val="clear"/>
          </w:tcPr>
          <w:p>
            <w:r>
              <w:rPr>
                <w:b/>
                <w:sz w:val="17"/>
              </w:rPr>
              <w:t>32,392</w:t>
            </w:r>
          </w:p>
        </w:tc>
        <w:tc>
          <w:tcPr>
            <w:tcW w:type="dxa" w:w="1440"/>
            <w:shd w:fill="FFDCE0" w:val="clear"/>
          </w:tcPr>
          <w:p>
            <w:r>
              <w:rPr>
                <w:sz w:val="17"/>
              </w:rPr>
              <w:t>36,217</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28,121</w:t>
            </w:r>
          </w:p>
        </w:tc>
        <w:tc>
          <w:tcPr>
            <w:tcW w:type="dxa" w:w="1440"/>
            <w:shd w:fill="FFDCE0" w:val="clear"/>
          </w:tcPr>
          <w:p>
            <w:r>
              <w:rPr>
                <w:b/>
                <w:sz w:val="17"/>
              </w:rPr>
              <w:t>32,300</w:t>
            </w:r>
          </w:p>
        </w:tc>
        <w:tc>
          <w:tcPr>
            <w:tcW w:type="dxa" w:w="1440"/>
            <w:shd w:fill="FFDCE0" w:val="clear"/>
          </w:tcPr>
          <w:p>
            <w:r>
              <w:rPr>
                <w:sz w:val="17"/>
              </w:rPr>
              <w:t>36,479</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27,710</w:t>
            </w:r>
          </w:p>
        </w:tc>
        <w:tc>
          <w:tcPr>
            <w:tcW w:type="dxa" w:w="1440"/>
            <w:shd w:fill="FFDCE0" w:val="clear"/>
          </w:tcPr>
          <w:p>
            <w:r>
              <w:rPr>
                <w:b/>
                <w:sz w:val="17"/>
              </w:rPr>
              <w:t>32,212</w:t>
            </w:r>
          </w:p>
        </w:tc>
        <w:tc>
          <w:tcPr>
            <w:tcW w:type="dxa" w:w="1440"/>
            <w:shd w:fill="FFDCE0" w:val="clear"/>
          </w:tcPr>
          <w:p>
            <w:r>
              <w:rPr>
                <w:sz w:val="17"/>
              </w:rPr>
              <w:t>36,713</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27,327</w:t>
            </w:r>
          </w:p>
        </w:tc>
        <w:tc>
          <w:tcPr>
            <w:tcW w:type="dxa" w:w="1440"/>
            <w:shd w:fill="FFDCE0" w:val="clear"/>
          </w:tcPr>
          <w:p>
            <w:r>
              <w:rPr>
                <w:b/>
                <w:sz w:val="17"/>
              </w:rPr>
              <w:t>32,127</w:t>
            </w:r>
          </w:p>
        </w:tc>
        <w:tc>
          <w:tcPr>
            <w:tcW w:type="dxa" w:w="1440"/>
            <w:shd w:fill="FFDCE0" w:val="clear"/>
          </w:tcPr>
          <w:p>
            <w:r>
              <w:rPr>
                <w:sz w:val="17"/>
              </w:rPr>
              <w:t>36,926</w:t>
            </w:r>
          </w:p>
        </w:tc>
        <w:tc>
          <w:tcPr>
            <w:tcW w:type="dxa" w:w="1440"/>
            <w:shd w:fill="FFDCE0" w:val="clear"/>
          </w:tcPr>
          <w:p>
            <w:r>
              <w:rPr>
                <w:b/>
                <w:color w:val="C00000"/>
                <w:sz w:val="17"/>
              </w:rPr>
              <w:t>-5.0%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26,967</w:t>
            </w:r>
          </w:p>
        </w:tc>
        <w:tc>
          <w:tcPr>
            <w:tcW w:type="dxa" w:w="1440"/>
            <w:shd w:fill="FFDCE0" w:val="clear"/>
          </w:tcPr>
          <w:p>
            <w:r>
              <w:rPr>
                <w:b/>
                <w:sz w:val="17"/>
              </w:rPr>
              <w:t>32,045</w:t>
            </w:r>
          </w:p>
        </w:tc>
        <w:tc>
          <w:tcPr>
            <w:tcW w:type="dxa" w:w="1440"/>
            <w:shd w:fill="FFDCE0" w:val="clear"/>
          </w:tcPr>
          <w:p>
            <w:r>
              <w:rPr>
                <w:sz w:val="17"/>
              </w:rPr>
              <w:t>37,123</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26,627</w:t>
            </w:r>
          </w:p>
        </w:tc>
        <w:tc>
          <w:tcPr>
            <w:tcW w:type="dxa" w:w="1440"/>
            <w:shd w:fill="FFDCE0" w:val="clear"/>
          </w:tcPr>
          <w:p>
            <w:r>
              <w:rPr>
                <w:b/>
                <w:sz w:val="17"/>
              </w:rPr>
              <w:t>31,966</w:t>
            </w:r>
          </w:p>
        </w:tc>
        <w:tc>
          <w:tcPr>
            <w:tcW w:type="dxa" w:w="1440"/>
            <w:shd w:fill="FFDCE0" w:val="clear"/>
          </w:tcPr>
          <w:p>
            <w:r>
              <w:rPr>
                <w:sz w:val="17"/>
              </w:rPr>
              <w:t>37,305</w:t>
            </w:r>
          </w:p>
        </w:tc>
        <w:tc>
          <w:tcPr>
            <w:tcW w:type="dxa" w:w="1440"/>
            <w:shd w:fill="FFDCE0" w:val="clear"/>
          </w:tcPr>
          <w:p>
            <w:r>
              <w:rPr>
                <w:b/>
                <w:color w:val="C00000"/>
                <w:sz w:val="17"/>
              </w:rPr>
              <w:t>-5.4%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563,33 milliards FCFA, BICC s'impose comme l'une des plus importantes capitalisations de la BRVM, témoignant de son statut de valeur de premier plan dans le compartiment bancaire ouest-africain. Le BPA de 2 191 FCFA/action signifie que chaque titre génère près de 2 200 FCFA de bénéfice net, un niveau élevé qui traduit la forte rentabilité de la banque. Le PER de 15,4x se situe au-dessus de la moyenne du marché BRVM (généralement 8-12x), ce qui indique que les investisseurs acceptent de payer une prime pour cette valeur, justifiée par la qualité de ses fondamentaux et sa croissance à deux chiffres. Le P/B de 4,67x révèle que le marché valorise BICC à plus de quatre fois sa valeur comptable, une prime exigeante qui reflète la confiance dans la capacité bénéficiaire future mais qui limite la marge de sécurité. Enfin, l'EV/EBITDA de 11,3x, dans la fourchette 10-15x, confirme une valorisation élevée mais cohérente avec le profil de croissance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+30,00%, avec une dernière séance en hausse de +3,67%, portant le cours actuel à 33 800 FCFA. Le titre a évolué dans un range significatif entre un plus bas de 26 000 FCFA et un plus haut de 34 895 FCFA, matérialisant une tendance clairement haussière soutenue par des volumes moyens de 677 titres par jour. Les statistiques descriptives révèlent une moyenne de 29 260 FCFA légèrement supérieure à la médiane de 28 932 FCFA, avec un mode à 29 000 FCFA, ce qui indique une distribution asymétrique où les cours récents tirent la moyenne vers le haut. L'écart-type de 1 912 FCFA (CV=6,5%) traduit une dispersion modérée du cours autour de sa moyenne, tandis que le kurtosis de 0,634 (mésokurtique) suggère un comportement proche d'une distribution normale, sans risque excessif de pics extrêmes. Le skewness positif de 1,013 indique une asymétrie positive avec davantage de journées sous la moyenne, mais compensées par des hausses vigoureuses. La volatilité annualisée de 34,3% classe le titre dans la catégorie des valeurs à volatilité élevée (&gt;30%), ce qui est cohérent avec la dynamique haussière récente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32 393,75 FCFA et la MM50 à 30 445,9 FCFA, toutes deux inférieures au cours actuel de 33 800 FCFA, confirmant une configuration haussière avec le prix au-dessus de ses moyennes. La MM20 étant supérieure à la MM50, le croisement est favorable et justifie la décision d'**Achat**.</w:t>
      </w:r>
    </w:p>
    <w:p>
      <w:pPr>
        <w:spacing w:after="120" w:line="276" w:lineRule="auto"/>
      </w:pPr>
      <w:r>
        <w:t>**Bandes de Bollinger** : La borne supérieure se situe à 35 017,56 FCFA et la borne inférieure à 29 769,94 FCFA, avec un cours actuel de 33 800 FCFA positionné dans la moitié supérieure de la bande. Cette position indique une pression acheteuse modérée sans surachat extrême, justifiant la décision **Neutre** qui appelle à la prudence après la forte hausse récente.</w:t>
      </w:r>
    </w:p>
    <w:p>
      <w:pPr>
        <w:spacing w:after="120" w:line="276" w:lineRule="auto"/>
      </w:pPr>
      <w:r>
        <w:t>**MACD** : La valeur du MACD (673,521) est nettement supérieure à son signal (557,771), avec un histogramme positif qui confirme un momentum haussier en cours. Cette divergence positive soutient la décision d'**Achat** et suggère que la dynamique haussière pourrait se poursuivre à court terme.</w:t>
      </w:r>
    </w:p>
    <w:p>
      <w:pPr>
        <w:spacing w:after="120" w:line="276" w:lineRule="auto"/>
      </w:pPr>
      <w:r>
        <w:t>**RSI** : À 52,809, le RSI se situe en zone neutre (30-70), indiquant que le titre n'est ni suracheté ni survendu malgré la hausse de 30% sur 100 jours. Cette configuration laisse de la marge pour une poursuite de la hausse, justifiant la décision **Neutre** qui reflète un équilibre entre les forces acheteuses et vendeuses.</w:t>
      </w:r>
    </w:p>
    <w:p>
      <w:pPr>
        <w:spacing w:after="120" w:line="276" w:lineRule="auto"/>
      </w:pPr>
      <w:r>
        <w:t>**Stochastique** : Le %K (78,738) et le %D (78,091) évoluent en zone haute mais sans croisement baissier significatif, suggérant que le titre approche d'une zone de surachat potentiel. La décision **Neutre** est justifiée par cette position élevée qui appelle à la vigilance sans signal de retournement clair.</w:t>
      </w:r>
    </w:p>
    <w:p>
      <w:pPr>
        <w:spacing w:after="120" w:line="276" w:lineRule="auto"/>
      </w:pPr>
      <w:r>
        <w:t>**Conclusion technique** : Les indicateurs techniques présentent une configuration globalement haussière, portée par le positionnement du cours au-dessus des moyennes mobiles et un MACD positif. Cependant, la position élevée du stochastique et la proximité de la borne supérieure de Bollinger suggèrent une possible consolidation à court terme. La convergence des signaux d'achat (MM, MACD) et de neutralité (RSI, Bollinger, Stochastique) plaide pour un maintien des positions avec une vigilance sur les niveaux de résistance.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révèlent une banque en excellente santé, avec un Produit Net Bancaire (équivalent du chiffre d'affaires pour une banque) de 79,563 milliards FCFA et un résultat net de 36,520 milliards FCFA, soit une marge nette exceptionnelle de 45,90%. Le ROE de 30,29% dépasse largement le seuil d'excellence de 15%, témoignant d'une rentabilité exceptionnelle des fonds propres, tandis que le ROA de 3,24% confirme l'efficacité dans l'utilisation des actifs. Le coefficient d'exploitation de 50,83% place BICC parmi les banques les plus efficaces (seuil d'excellence &lt;50%), et le coût du risque négatif de -12,15% (provisions/charges financières) indique une bonne qualité du portefeuille de crédits. La structure financière affiche une autonomie financière de 10,71% (inférieure au seuil de 30% mais normale pour une banque), une solvabilité générale de 111,99% et une capacité de remboursement de 0,40 an, très confortable. Le rapport T1 2026 (publié le 31 mars 2026) confirme cette dynamique avec un PNB de 21 214 millions FCFA (+17,01% sur un an) et un résultat net de 10 387 millions FCFA (+29,66%), portant la marge nette à 49,0%. Le rapport du 3e trimestre 2025 (30 septembre 2025) affichait déjà un PNB cumulé de 58 119 millions FCFA (+16,4%) et un résultat net de 27 402 millions FCFA (+50,8%), avec une marge nette de 47,1%. Sur la base de ces tendances trimestrielles, on peut estimer que l'exercice 2026 devrait enregistrer un PNB supérieur à 85 milliards FCFA et un résultat net approchant 40 milliards FCFA, confirmant la trajectoire de croissance robuste. Les risques identifiés incluent la baisse des crédits nets (-4,47% au T1 2026 due aux remboursements anticipés) et la dépendance à l'environnement macroéconomique de l'UEMOA, mais ces facteurs sont compensés par la forte collecte de dépôts (+14,46%) et l'amélioration continue des marges. La recommandation fondamentale est **ACHAT**, soutenue par la solidité du bilan, la croissance à deux chiffres et l'excellence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globalement positive pour BICC. La valorisation (Partie 0) affiche un PER de 15,4x et un P/B de 4,67x, indiquant une prime significative par rapport au marché BRVM, justifiée par la qualité des fondamentaux mais limitant la marge de sécurité. Le comportement du cours (Partie 1) est clairement haussier (+30% sur 100 jours) avec une volatilité élevée (34,3%) et des statistiques descriptives (skewness positif, kurtosis normal) qui suggèrent une dynamique favorable mais appelant à la prudence. Les signaux techniques (Partie 2) sont mitigés : les moyennes mobiles et le MACD confirment la tendance haussière, tandis que le RSI neutre et le stochastique élevé suggèrent une possible consolidation à court terme. Les fondamentaux (Partie 3) sont excellents, avec un ROE de 30,29%, une marge nette de 45,90% et une croissance du résultat net de +29,66% au T1 2026, estimant un exercice 2026 encore plus performant. Les prédictions IA (J+1 à J+10) anticipent une légère correction vers 32 300-32 751 FCFA, ce qui contredit partiellement les signaux techniques haussiers mais pourrait constituer une opportunité d'entrée sur repli. Sur la base de cette synthèse, la recommandation finale est **ACHAT**, avec un niveau de confiance **Élevé** et un risque global **Moyen**. L'horizon d'investissement optimal est le **moyen terme (3-12 mois)**, permettant de bénéficier de la croissance fondamentale tout en absorbant la volatilité à court terme. Les investisseurs prudents pourraient attendre une correction vers 32 000 FCFA pour renforcer leurs positions, tandis que les investisseurs de long terme peuvent accumuler progressivement sur les niveaux actuels.</w:t>
      </w:r>
    </w:p>
    <w:p>
      <w:pPr>
        <w:spacing w:after="120" w:line="276" w:lineRule="auto"/>
      </w:pPr>
      <w:r>
        <w:t>---</w:t>
      </w:r>
    </w:p>
    <w:p>
      <w:pPr>
        <w:spacing w:after="120" w:line="276" w:lineRule="auto"/>
      </w:pPr>
      <w:r>
        <w:t>*Rapport généré sur la base des données officielles BRVM, des états financiers 2025 et des rapports trimestriels T1 2026, T3 2025, S1 2025 et T1 2025.*</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3,043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+46.15%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53.2%</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11.11% (Moyenne) — μ=1,907 FCFA, σ=212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β=0.2991 (Défensif) — Cov=0.000021, Var(idx)=0.000069, ρ=0.075,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σ_j=3.35%/j (Modérée) — Vol. annualisée≈53.2%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1,714</w:t>
            </w:r>
          </w:p>
        </w:tc>
        <w:tc>
          <w:tcPr>
            <w:tcW w:type="dxa" w:w="1440"/>
            <w:shd w:fill="FAFAFA" w:val="clear"/>
          </w:tcPr>
          <w:p>
            <w:r>
              <w:rPr>
                <w:b/>
                <w:sz w:val="17"/>
              </w:rPr>
              <w:t>1,884</w:t>
            </w:r>
          </w:p>
        </w:tc>
        <w:tc>
          <w:tcPr>
            <w:tcW w:type="dxa" w:w="1440"/>
            <w:shd w:fill="FAFAFA" w:val="clear"/>
          </w:tcPr>
          <w:p>
            <w:r>
              <w:rPr>
                <w:sz w:val="17"/>
              </w:rPr>
              <w:t>2,054</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1,676</w:t>
            </w:r>
          </w:p>
        </w:tc>
        <w:tc>
          <w:tcPr>
            <w:tcW w:type="dxa" w:w="1440"/>
            <w:shd w:fill="FAFAFA" w:val="clear"/>
          </w:tcPr>
          <w:p>
            <w:r>
              <w:rPr>
                <w:b/>
                <w:sz w:val="17"/>
              </w:rPr>
              <w:t>1,884</w:t>
            </w:r>
          </w:p>
        </w:tc>
        <w:tc>
          <w:tcPr>
            <w:tcW w:type="dxa" w:w="1440"/>
            <w:shd w:fill="FAFAFA" w:val="clear"/>
          </w:tcPr>
          <w:p>
            <w:r>
              <w:rPr>
                <w:sz w:val="17"/>
              </w:rPr>
              <w:t>2,092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1,643</w:t>
            </w:r>
          </w:p>
        </w:tc>
        <w:tc>
          <w:tcPr>
            <w:tcW w:type="dxa" w:w="1440"/>
            <w:shd w:fill="FAFAFA" w:val="clear"/>
          </w:tcPr>
          <w:p>
            <w:r>
              <w:rPr>
                <w:b/>
                <w:sz w:val="17"/>
              </w:rPr>
              <w:t>1,884</w:t>
            </w:r>
          </w:p>
        </w:tc>
        <w:tc>
          <w:tcPr>
            <w:tcW w:type="dxa" w:w="1440"/>
            <w:shd w:fill="FAFAFA" w:val="clear"/>
          </w:tcPr>
          <w:p>
            <w:r>
              <w:rPr>
                <w:sz w:val="17"/>
              </w:rPr>
              <w:t>2,124</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1,614</w:t>
            </w:r>
          </w:p>
        </w:tc>
        <w:tc>
          <w:tcPr>
            <w:tcW w:type="dxa" w:w="1440"/>
            <w:shd w:fill="FAFAFA" w:val="clear"/>
          </w:tcPr>
          <w:p>
            <w:r>
              <w:rPr>
                <w:b/>
                <w:sz w:val="17"/>
              </w:rPr>
              <w:t>1,882</w:t>
            </w:r>
          </w:p>
        </w:tc>
        <w:tc>
          <w:tcPr>
            <w:tcW w:type="dxa" w:w="1440"/>
            <w:shd w:fill="FAFAFA" w:val="clear"/>
          </w:tcPr>
          <w:p>
            <w:r>
              <w:rPr>
                <w:sz w:val="17"/>
              </w:rPr>
              <w:t>2,151</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1,587</w:t>
            </w:r>
          </w:p>
        </w:tc>
        <w:tc>
          <w:tcPr>
            <w:tcW w:type="dxa" w:w="1440"/>
            <w:shd w:fill="FAFAFA" w:val="clear"/>
          </w:tcPr>
          <w:p>
            <w:r>
              <w:rPr>
                <w:b/>
                <w:sz w:val="17"/>
              </w:rPr>
              <w:t>1,881</w:t>
            </w:r>
          </w:p>
        </w:tc>
        <w:tc>
          <w:tcPr>
            <w:tcW w:type="dxa" w:w="1440"/>
            <w:shd w:fill="FAFAFA" w:val="clear"/>
          </w:tcPr>
          <w:p>
            <w:r>
              <w:rPr>
                <w:sz w:val="17"/>
              </w:rPr>
              <w:t>2,174</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1,562</w:t>
            </w:r>
          </w:p>
        </w:tc>
        <w:tc>
          <w:tcPr>
            <w:tcW w:type="dxa" w:w="1440"/>
            <w:shd w:fill="FAFAFA" w:val="clear"/>
          </w:tcPr>
          <w:p>
            <w:r>
              <w:rPr>
                <w:b/>
                <w:sz w:val="17"/>
              </w:rPr>
              <w:t>1,879</w:t>
            </w:r>
          </w:p>
        </w:tc>
        <w:tc>
          <w:tcPr>
            <w:tcW w:type="dxa" w:w="1440"/>
            <w:shd w:fill="FAFAFA" w:val="clear"/>
          </w:tcPr>
          <w:p>
            <w:r>
              <w:rPr>
                <w:sz w:val="17"/>
              </w:rPr>
              <w:t>2,196</w:t>
            </w:r>
          </w:p>
        </w:tc>
        <w:tc>
          <w:tcPr>
            <w:tcW w:type="dxa" w:w="1440"/>
            <w:shd w:fill="FAFAFA" w:val="clear"/>
          </w:tcPr>
          <w:p>
            <w:r>
              <w:rPr>
                <w:b/>
                <w:color w:val="C00000"/>
                <w:sz w:val="17"/>
              </w:rPr>
              <w:t>-1.1%</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1,539</w:t>
            </w:r>
          </w:p>
        </w:tc>
        <w:tc>
          <w:tcPr>
            <w:tcW w:type="dxa" w:w="1440"/>
            <w:shd w:fill="FAFAFA" w:val="clear"/>
          </w:tcPr>
          <w:p>
            <w:r>
              <w:rPr>
                <w:b/>
                <w:sz w:val="17"/>
              </w:rPr>
              <w:t>1,877</w:t>
            </w:r>
          </w:p>
        </w:tc>
        <w:tc>
          <w:tcPr>
            <w:tcW w:type="dxa" w:w="1440"/>
            <w:shd w:fill="FAFAFA" w:val="clear"/>
          </w:tcPr>
          <w:p>
            <w:r>
              <w:rPr>
                <w:sz w:val="17"/>
              </w:rPr>
              <w:t>2,216</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1,517</w:t>
            </w:r>
          </w:p>
        </w:tc>
        <w:tc>
          <w:tcPr>
            <w:tcW w:type="dxa" w:w="1440"/>
            <w:shd w:fill="FAFAFA" w:val="clear"/>
          </w:tcPr>
          <w:p>
            <w:r>
              <w:rPr>
                <w:b/>
                <w:sz w:val="17"/>
              </w:rPr>
              <w:t>1,876</w:t>
            </w:r>
          </w:p>
        </w:tc>
        <w:tc>
          <w:tcPr>
            <w:tcW w:type="dxa" w:w="1440"/>
            <w:shd w:fill="FAFAFA" w:val="clear"/>
          </w:tcPr>
          <w:p>
            <w:r>
              <w:rPr>
                <w:sz w:val="17"/>
              </w:rPr>
              <w:t>2,234</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1,496</w:t>
            </w:r>
          </w:p>
        </w:tc>
        <w:tc>
          <w:tcPr>
            <w:tcW w:type="dxa" w:w="1440"/>
            <w:shd w:fill="FAFAFA" w:val="clear"/>
          </w:tcPr>
          <w:p>
            <w:r>
              <w:rPr>
                <w:b/>
                <w:sz w:val="17"/>
              </w:rPr>
              <w:t>1,874</w:t>
            </w:r>
          </w:p>
        </w:tc>
        <w:tc>
          <w:tcPr>
            <w:tcW w:type="dxa" w:w="1440"/>
            <w:shd w:fill="FAFAFA" w:val="clear"/>
          </w:tcPr>
          <w:p>
            <w:r>
              <w:rPr>
                <w:sz w:val="17"/>
              </w:rPr>
              <w:t>2,252</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ACTION BNBC (BERNABE Côte d'Ivoire)</w:t>
        <w:br/>
        <w:t>**Bourse Régionale des Valeurs Mobilières (BRVM) — Secteur : Entreprise non bancaire (Distribution / Matériaux / Équipement)**</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**12,59 Mds FCFA**, BNBC se situe dans la catégorie des petites capitalisations de la BRVM, ce qui limite mécaniquement sa liquidité et son attrait pour les investisseurs institutionnels. Le BPA ressort à seulement **3 FCFA/action**, un niveau dérisoire qui traduit une rentabilité quasi-nulle par titre. Le PER explose à **563,9x**, très loin du PER moyen BRVM (~8-12x) : les investisseurs paient donc extrêmement cher chaque franc de bénéfice, ce qui signale une valorisation totalement déconnectée des profits actuels. À l'inverse, le P/B de **0,71x** (&lt; 1) indique que le marché valorise l'action **en dessous de sa valeur comptable**, ce qui constitue théoriquement une opportunité potentielle mais reflète surtout la défiance vis-à-vis de la capacité de l'entreprise à générer des profits. Enfin, l'EV/EBITDA de **23,9x** (&gt; 15x) confirme que la valeur d'entreprise est très exigeante au regard de la capacité opérationnelle réelle, renforçant le caractère spéculatif de la valorisation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affiche une **progression spectaculaire de +46,15%**, avec une dernière séance en hausse de **+1,33%**, portant le cours actuel à **1 900 FCFA**. Le titre a évolué dans un range très large entre **1 300 FCFA (plus bas)** et **2 400 FCFA (plus haut)**, soit une amplitude de plus de 84%, révélant une forte nervosité du marché. La tendance générale est donc nettement **haussière sur la période**, mais le cours actuel (1 900 FCFA) se situe désormais **sous sa moyenne (1 907 FCFA) et sa médiane (1 962 FCFA)**, signe d'un essoufflement récent après le pic de 2 400 FCFA. Les statistiques descriptives confirment cette asymétrie : la moyenne (1 907) inférieure à la médiane (1 962) et un **skewness de -0,485** indiquent une distribution légèrement étalée vers la gauche (queues de baisses plus marquées), tandis que le **kurtosis de 0,254** (mésokurtique) suggère un comportement proche d'une loi normale, sans risque extrême de pics violents. L'écart-type de **213 FCFA** avec un **CV de 11,2%** traduit une dispersion modérée du cours autour de sa moyenne, mais la **volatilité annualisée de 53,2%** classe clairement ce titre dans la catégorie **très volatile**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(2 045,75 FCFA) et la MM50 (2 032,60 FCFA) se situent toutes deux **au-dessus du cours actuel** (1 900 FCFA), ce qui place le titre en position de faiblesse relative par rapport à ses tendances court et moyen terme. Cependant, la MM20 étant légèrement supérieure à la MM50, la configuration reste haussière de fond, ce qui justifie la décision algorithmique d'**Achat** — mais avec prudence, car le cours doit reconquérir ces niveaux pour confirmer.</w:t>
      </w:r>
    </w:p>
    <w:p>
      <w:pPr>
        <w:spacing w:after="120" w:line="276" w:lineRule="auto"/>
      </w:pPr>
      <w:r>
        <w:t>**Bandes de Bollinger :** Le cours (1 900 FCFA) évolue dans la partie basse du canal, entre la borne inférieure (1 794,77 FCFA) et la borne supérieure (2 296,73 FCFA), sans toucher les extrêmes. Cette position médiane-basse, couplée à un canal large, traduit une volatilité élevée sans signal directionnel fort, d'où la décision **Neutre**.</w:t>
      </w:r>
    </w:p>
    <w:p>
      <w:pPr>
        <w:spacing w:after="120" w:line="276" w:lineRule="auto"/>
      </w:pPr>
      <w:r>
        <w:t>**MACD :** La valeur du MACD (-45,96) est **nettement inférieure à son signal** (-24,25), avec un histogramme négatif qui s'accentue. Cette divergence baissière indique un **momentum négatif persistant**, justifiant pleinement la décision de **Vente** à court terme.</w:t>
      </w:r>
    </w:p>
    <w:p>
      <w:pPr>
        <w:spacing w:after="120" w:line="276" w:lineRule="auto"/>
      </w:pPr>
      <w:r>
        <w:t>**RSI :** À **36,10**, le RSI se situe dans la zone neutre basse (30-70), sans atteindre la zone de survente (&lt;30). Cela suggère que le titre n'est **pas encore survendu** et qu'il pourrait continuer à baisser avant un rebond technique, d'où la décision **Neutre**.</w:t>
      </w:r>
    </w:p>
    <w:p>
      <w:pPr>
        <w:spacing w:after="120" w:line="276" w:lineRule="auto"/>
      </w:pPr>
      <w:r>
        <w:t>**Stochastique :** Le %K (5,95) est très bas et inférieur au %D (10,22), mais tous deux se situent en **zone de survente extrême** (&lt;20). Un croisement haussier du %K au-dessus du %D est imminent, ce qui justifie la décision d'**Achat** sur ce seul indicateur — signal de rebond technique potentiel.</w:t>
      </w:r>
    </w:p>
    <w:p>
      <w:pPr>
        <w:spacing w:after="120" w:line="276" w:lineRule="auto"/>
      </w:pPr>
      <w:r>
        <w:t>**Conclusion technique :** Les indicateurs sont **divergents** : les moyennes mobiles et le stochastique plaident pour un achat (rebond potentiel), tandis que le MACD confirme une pression baissière et que le RSI/Bollinger restent neutres. Cette configuration suggère un **marché indécis en phase de correction** après la forte hausse de +46%, avec un risque de poursuite de la baisse vers 1 794 FCFA (borne basse de Bollinger) avant tout rebond durable. La prudence est de mise : aucun signal d'achat fort n'est confirmé.</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**recul de -6,31%** par rapport à 2024 (45,312 Mds FCFA), signalant une perte de dynamique commerciale. Le **résultat net s'établit à seulement 22,32 M FCFA**, soit une **marge nette de 0,053%** — quasi nulle — et un **ROE catastrophique de 0,126%** (très loin du seuil de 15% considéré comme excellent), pour un **ROA de 0,045%**. La rentabilité opérationnelle est tout aussi faible : le **résultat d'exploitation de 1,049 Md FCFA** ne représente que 2,47% du CA, et l'EBE (2,009 Mds FCFA) est laminé par des charges de personnel élevées (4,007 Mds FCFA). **Adapté au secteur "Entreprise"**, les délais d'exploitation sont préoccupants : **délai clients de 104,40 jours** (risque de trésorerie important), **durée de stockage de 339,23 jours** (immobilisation massive de capital) et **BFR de 29,373 Mds FCFA** — bien que le rapport indique un BFR "négatif favorable", les chiffres montrent une trésorerie nette de **-16,689 Mds FCFA**, signe d'une dépendance critique aux découverts bancaires. La structure financière reste toutefois solvable (autonomie financière de 36,16%, solvabilité générale de 156,64%), mais le **ratio d'endettement de 105,48%** et la **capacité de remboursement de 19,17 années** traduisent une fragilité chronique. **Estimations basées sur les rapports trimestriels :** le rapport du **T1 2026 (publié le 31/03/2026)** fait état d'un CA stable à 11,194 Mds FCFA (-0,12%) mais d'un **résultat net positif de 65,566 M FCFA** contre une perte de 16,147 M au T1 2025 — une amélioration spectaculaire (+506%) portée par l'intégration de la division Équipement. Toutefois, le rapport du **T3 2025 (30/09/2025)** signalait déjà une perte cumulée de -157,03 M FCFA et un recul de -13% au T3, tandis que le **S1 2025 (30/06/2025)** affichait une perte de -139,57 M FCFA. On estime donc que l'exercice 2026 devrait bénéficier d'un **effet de base favorable** (retour à la rentabilité au T1), mais la **faible marge nette (0,59% au T1 2026)** et l'absence totale de dividende (0 FCFA en 2025 comme en 2024) limitent l'attrait fondamental. **Conclusion fondamentale :** BNBC reste une entreprise **structurellement fragile**, à la rentabilité anémique, dépendante d'éléments exceptionnels et d'une trésorerie négative massive, malgré des capitaux propres solides (17,77 Mds FCFA). Le profil est **spéculatif** et ne convient pas à un investisseur recherchant la sécurité ou le rendement.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**décalage majeur** entre la valorisation, la technique, le fondamental et les prédictions. **En valorisation (Partie 0)**, le PER de 563,9x et l'EV/EBITDA de 23,9x indiquent une **surévaluation manifeste** au regard des bénéfices, bien que le P/B de 0,71x suggère une décote sur les actifs — un signal contradictoire qui reflète la défiance du marché. **Le comportement du cours (Partie 1)** montre une hausse passée de +46,15% mais un essoufflement récent (cours sous la moyenne et la médiane), avec une **volatilité très élevée (53,2%)** et un skewness négatif (-0,485) qui prévient d'un risque de baisse accru. **Les signaux techniques (Partie 2)** sont **divergents** : le MACD est baissier, le RSI neutre, les Bollinger neutres, mais le stochastique en survente extrême suggère un rebond imminent — sans convergence claire. **Les fondamentaux (Partie 3)** demeurent **très faibles** : marge nette de 0,053% en 2025, ROE de 0,126%, trésorerie nette de -16,689 Mds FCFA, et absence de dividende, malgré l'amélioration du T1 2026 (résultat net de +65,566 M FCFA). **Les prédictions IA (J+1 à J+10)** anticipent une **stabilisation autour de 1 881-1 884 FCFA**, soit une légère baisse par rapport au cours actuel (1 900 FCFA), ce qui **contredit** l'hypothèse d'un rebond technique immédiat et **confirme** la pression baissière résiduelle. **Recommandation finale : VENTE** — Justification : la convergence entre une valorisation surévaluée (PER 563,9x), des fondamentaux anémiques (marge nette 0,05%, trésorerie négative), une technique divergente sans signal d'achat fort, et des prédictions IA baissières, plaide pour une **réduction de l'exposition**. Le niveau de confiance est **Moyen** (les signaux ne sont pas tous alignés), le risque global est **Élevé** (volatilité 53,2%, liquidité réduite, endettement 105%), et l'horizon optimal est **court terme (&lt;3 mois)** pour les investisseurs cherchant à sortir avant une correction vers 1 794 FCFA (borne basse de Bollinger). Une position **VENTE FORTE** serait justifiée si le cours venait à casser le support de 1 794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5,731 titres</w:t>
            </w:r>
          </w:p>
        </w:tc>
        <w:tc>
          <w:tcPr>
            <w:tcW w:type="dxa" w:w="2268"/>
            <w:shd w:fill="FFF2CC" w:val="clear"/>
          </w:tcPr>
          <w:p>
            <w:r>
              <w:rPr>
                <w:b/>
                <w:color w:val="503200"/>
                <w:sz w:val="16"/>
              </w:rPr>
              <w:t xml:space="preserve">Cours actuel : </w:t>
            </w:r>
            <w:r>
              <w:rPr>
                <w:color w:val="000000"/>
                <w:sz w:val="17"/>
              </w:rPr>
              <w:t>9,385 FCFA</w:t>
            </w:r>
          </w:p>
          <w:p>
            <w:r>
              <w:rPr>
                <w:b/>
                <w:color w:val="503200"/>
                <w:sz w:val="16"/>
              </w:rPr>
              <w:t xml:space="preserve">Var. 100 jours : </w:t>
            </w:r>
            <w:r>
              <w:rPr>
                <w:b/>
                <w:color w:val="B40000"/>
                <w:sz w:val="17"/>
              </w:rPr>
              <w:t>-0.16%</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μ=9,176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β=0.5699 (Défensif) — Cov=0.000039, Var(idx)=0.000069, ρ=0.271,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8,790</w:t>
            </w:r>
          </w:p>
        </w:tc>
        <w:tc>
          <w:tcPr>
            <w:tcW w:type="dxa" w:w="1440"/>
            <w:shd w:fill="FAFAFA" w:val="clear"/>
          </w:tcPr>
          <w:p>
            <w:r>
              <w:rPr>
                <w:b/>
                <w:sz w:val="17"/>
              </w:rPr>
              <w:t>9,322</w:t>
            </w:r>
          </w:p>
        </w:tc>
        <w:tc>
          <w:tcPr>
            <w:tcW w:type="dxa" w:w="1440"/>
            <w:shd w:fill="FAFAFA" w:val="clear"/>
          </w:tcPr>
          <w:p>
            <w:r>
              <w:rPr>
                <w:sz w:val="17"/>
              </w:rPr>
              <w:t>9,854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8,646</w:t>
            </w:r>
          </w:p>
        </w:tc>
        <w:tc>
          <w:tcPr>
            <w:tcW w:type="dxa" w:w="1440"/>
            <w:shd w:fill="FAFAFA" w:val="clear"/>
          </w:tcPr>
          <w:p>
            <w:r>
              <w:rPr>
                <w:b/>
                <w:sz w:val="17"/>
              </w:rPr>
              <w:t>9,296</w:t>
            </w:r>
          </w:p>
        </w:tc>
        <w:tc>
          <w:tcPr>
            <w:tcW w:type="dxa" w:w="1440"/>
            <w:shd w:fill="FAFAFA" w:val="clear"/>
          </w:tcPr>
          <w:p>
            <w:r>
              <w:rPr>
                <w:sz w:val="17"/>
              </w:rPr>
              <w:t>9,946</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8,526</w:t>
            </w:r>
          </w:p>
        </w:tc>
        <w:tc>
          <w:tcPr>
            <w:tcW w:type="dxa" w:w="1440"/>
            <w:shd w:fill="FAFAFA" w:val="clear"/>
          </w:tcPr>
          <w:p>
            <w:r>
              <w:rPr>
                <w:b/>
                <w:sz w:val="17"/>
              </w:rPr>
              <w:t>9,274</w:t>
            </w:r>
          </w:p>
        </w:tc>
        <w:tc>
          <w:tcPr>
            <w:tcW w:type="dxa" w:w="1440"/>
            <w:shd w:fill="FAFAFA" w:val="clear"/>
          </w:tcPr>
          <w:p>
            <w:r>
              <w:rPr>
                <w:sz w:val="17"/>
              </w:rPr>
              <w:t>10,023</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8,418</w:t>
            </w:r>
          </w:p>
        </w:tc>
        <w:tc>
          <w:tcPr>
            <w:tcW w:type="dxa" w:w="1440"/>
            <w:shd w:fill="FAFAFA" w:val="clear"/>
          </w:tcPr>
          <w:p>
            <w:r>
              <w:rPr>
                <w:b/>
                <w:sz w:val="17"/>
              </w:rPr>
              <w:t>9,253</w:t>
            </w:r>
          </w:p>
        </w:tc>
        <w:tc>
          <w:tcPr>
            <w:tcW w:type="dxa" w:w="1440"/>
            <w:shd w:fill="FAFAFA" w:val="clear"/>
          </w:tcPr>
          <w:p>
            <w:r>
              <w:rPr>
                <w:sz w:val="17"/>
              </w:rPr>
              <w:t>10,088</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8,320</w:t>
            </w:r>
          </w:p>
        </w:tc>
        <w:tc>
          <w:tcPr>
            <w:tcW w:type="dxa" w:w="1440"/>
            <w:shd w:fill="FAFAFA" w:val="clear"/>
          </w:tcPr>
          <w:p>
            <w:r>
              <w:rPr>
                <w:b/>
                <w:sz w:val="17"/>
              </w:rPr>
              <w:t>9,233</w:t>
            </w:r>
          </w:p>
        </w:tc>
        <w:tc>
          <w:tcPr>
            <w:tcW w:type="dxa" w:w="1440"/>
            <w:shd w:fill="FAFAFA" w:val="clear"/>
          </w:tcPr>
          <w:p>
            <w:r>
              <w:rPr>
                <w:sz w:val="17"/>
              </w:rPr>
              <w:t>10,146</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8,230</w:t>
            </w:r>
          </w:p>
        </w:tc>
        <w:tc>
          <w:tcPr>
            <w:tcW w:type="dxa" w:w="1440"/>
            <w:shd w:fill="FAFAFA" w:val="clear"/>
          </w:tcPr>
          <w:p>
            <w:r>
              <w:rPr>
                <w:b/>
                <w:sz w:val="17"/>
              </w:rPr>
              <w:t>9,214</w:t>
            </w:r>
          </w:p>
        </w:tc>
        <w:tc>
          <w:tcPr>
            <w:tcW w:type="dxa" w:w="1440"/>
            <w:shd w:fill="FAFAFA" w:val="clear"/>
          </w:tcPr>
          <w:p>
            <w:r>
              <w:rPr>
                <w:sz w:val="17"/>
              </w:rPr>
              <w:t>10,198</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8,146</w:t>
            </w:r>
          </w:p>
        </w:tc>
        <w:tc>
          <w:tcPr>
            <w:tcW w:type="dxa" w:w="1440"/>
            <w:shd w:fill="FFDCE0" w:val="clear"/>
          </w:tcPr>
          <w:p>
            <w:r>
              <w:rPr>
                <w:b/>
                <w:sz w:val="17"/>
              </w:rPr>
              <w:t>9,196</w:t>
            </w:r>
          </w:p>
        </w:tc>
        <w:tc>
          <w:tcPr>
            <w:tcW w:type="dxa" w:w="1440"/>
            <w:shd w:fill="FFDCE0" w:val="clear"/>
          </w:tcPr>
          <w:p>
            <w:r>
              <w:rPr>
                <w:sz w:val="17"/>
              </w:rPr>
              <w:t>10,245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8,067</w:t>
            </w:r>
          </w:p>
        </w:tc>
        <w:tc>
          <w:tcPr>
            <w:tcW w:type="dxa" w:w="1440"/>
            <w:shd w:fill="FFDCE0" w:val="clear"/>
          </w:tcPr>
          <w:p>
            <w:r>
              <w:rPr>
                <w:b/>
                <w:sz w:val="17"/>
              </w:rPr>
              <w:t>9,178</w:t>
            </w:r>
          </w:p>
        </w:tc>
        <w:tc>
          <w:tcPr>
            <w:tcW w:type="dxa" w:w="1440"/>
            <w:shd w:fill="FFDCE0" w:val="clear"/>
          </w:tcPr>
          <w:p>
            <w:r>
              <w:rPr>
                <w:sz w:val="17"/>
              </w:rPr>
              <w:t>10,290</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7,993</w:t>
            </w:r>
          </w:p>
        </w:tc>
        <w:tc>
          <w:tcPr>
            <w:tcW w:type="dxa" w:w="1440"/>
            <w:shd w:fill="FFDCE0" w:val="clear"/>
          </w:tcPr>
          <w:p>
            <w:r>
              <w:rPr>
                <w:b/>
                <w:sz w:val="17"/>
              </w:rPr>
              <w:t>9,162</w:t>
            </w:r>
          </w:p>
        </w:tc>
        <w:tc>
          <w:tcPr>
            <w:tcW w:type="dxa" w:w="1440"/>
            <w:shd w:fill="FFDCE0" w:val="clear"/>
          </w:tcPr>
          <w:p>
            <w:r>
              <w:rPr>
                <w:sz w:val="17"/>
              </w:rPr>
              <w:t>10,331</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380,67 milliards FCFA, BOAB s'impose comme l'une des valeurs bancaires significatives de la cote BRVM, reflétant la solidité d'un établissement de premier plan au Bénin. Le BPA de 496 FCFA/action signifie que chaque titre génère près de 500 FCFA de bénéfice net, un niveau appréciable pour le marché régional. Le PER de 18,9x traduit une valorisation nettement supérieure à la moyenne BRVM (~8-12x), les investisseurs acceptant de payer une prime pour la qualité et la régularité des résultats de la banque. Le P/B de 3,24x confirme cette prime de croissance : le marché valorise l'action à plus de trois fois sa valeur comptable, signe de confiance dans la capacité bénéficiaire future. Enfin, l'EV/EBITDA de 19,5x, très exigeant (&gt;15x), indique que la valeur d'entreprise intègre déjà une anticipation de croissance soutenue — un niveau qui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BOAB affiche une quasi-stabilité avec une variation totale de -0,16%, mais la dernière séance (J-1) a enregistré un décrochage marqué de -3,74%, signalant une pression vendeuse récente. Le titre a évolué dans un range de 1 830 FCFA, entre un plus bas de 8 520 FCFA et un plus haut de 10 350 FCFA, ce qui témoigne d'une amplitude de trading significative malgré la stabilité globale. La tendance générale apparaît donc latérale, avec une légère érosion en fin de période. Les statistiques descriptives révèlent une moyenne (9 176 FCFA) supérieure à la médiane (8 950 FCFA), écart qui confirme une asymétrie positive (skewness de 0,922) : le cours a passé plus de journées sous sa moyenne, mais quelques pics haussiers tirent la moyenne vers le haut. L'écart-type de 557 FCFA (CV de 6,1%) indique une dispersion modérée autour de la moyenne, tandis que le kurtosis de -0,564 (mésokurtique) suggère une distribution proche de la normale, sans risque excessif de pics extrêmes. Avec une volatilité annualisée de 28,7%, le titre se situe dans la fourchette modérée-haute (15-30%), cohérente avec le profil d'une valeur bancaire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(9 728,5 FCFA) et la MM50 (9 406,7 FCFA) se situent toutes deux au-dessus du cours actuel (9 385 FCFA), ce qui place le titre en position baissière à court terme. Toutefois, la MM20 &gt; MM50 indique que la tendance de fond reste haussière, et la décision technique affichée est « Achat » — le cours évoluant sous ses moyennes, un rebond technique vers ces niveaux est anticipé.</w:t>
      </w:r>
    </w:p>
    <w:p>
      <w:pPr>
        <w:spacing w:after="120" w:line="276" w:lineRule="auto"/>
      </w:pPr>
      <w:r>
        <w:t>**Bandes de Bollinger** : Le cours (9 385 FCFA) se situe dans la partie basse de la bande, entre la borne inférieure (8 700,83 FCFA) et la borne supérieure (10 756,17 FCFA), sans atteindre les extrêmes. Cette position médiane-basse traduit une volatilité contenue et une absence de signal directionnel fort, justifiant la décision « Neutre ».</w:t>
      </w:r>
    </w:p>
    <w:p>
      <w:pPr>
        <w:spacing w:after="120" w:line="276" w:lineRule="auto"/>
      </w:pPr>
      <w:r>
        <w:t>**MACD** : La valeur du MACD (-94,141) est nettement inférieure à son signal (-36,899), confirmant un momentum baissier en cours. Cette divergence négative persistante justifie la décision « Vente » et suggère que la pression vendeuse n'est pas encore épuisée à court terme.</w:t>
      </w:r>
    </w:p>
    <w:p>
      <w:pPr>
        <w:spacing w:after="120" w:line="276" w:lineRule="auto"/>
      </w:pPr>
      <w:r>
        <w:t>**RSI** : À 38,221, le RSI se situe dans la zone neutre basse (30-70), sans atteindre la zone de survente (&lt;30). Cela indique que le titre n'est pas encore techniquement survendu, mais qu'il s'approche d'une zone où un rebond pourrait se matérialiser — décision « Neutre ».</w:t>
      </w:r>
    </w:p>
    <w:p>
      <w:pPr>
        <w:spacing w:after="120" w:line="276" w:lineRule="auto"/>
      </w:pPr>
      <w:r>
        <w:t>**Stochastique** : Le %K (42,199) est inférieur au %D (51,182), configuration baissière indiquant que le momentum court terme reste négatif. L'absence de croisement haussier et la position médiane des deux courbes justifient la décision « Neutre », sans signal d'achat imminent.</w:t>
      </w:r>
    </w:p>
    <w:p>
      <w:pPr>
        <w:spacing w:after="120" w:line="276" w:lineRule="auto"/>
      </w:pPr>
      <w:r>
        <w:t>**Conclusion technique** : Les indicateurs présentent un tableau mitigé — les moyennes mobiles suggèrent un potentiel de rebond (décision Achat), mais le MACD confirme une pression baissière persistante (décision Vente), tandis que Bollinger, RSI et Stochastique restent neutres. Cette divergence indique une phase de consolidation incertaine, avec un biais baissier à court terme mais un support potentiel autour de 8 700-9 000 FCFA. La prudence est de mise avant tout engagement directionnel.</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 affiche un Produit Net Bancaire (PNB) de 51,274 milliards FCFA, en croissance de 10,20% sur un an, confirmant la dynamique commerciale de la banque. Le résultat net s'établit à 20,107 milliards FCFA, avec une marge nette élevée de 39,22% et un ROE de 17,11% (&gt;15%, niveau excellent) et un ROA de 2,08%. Le coefficient d'exploitation de 49,53% (&lt;50%) témoigne d'une excellente efficacité opérationnelle, tandis que le coût du risque de 22,50% (provisions/charges financières) reste élevé et constitue un point de vigilance sur la qualité du portefeuille de crédit. La structure financière montre une autonomie financière de 12,18% (faible, typique des banques) et un ratio d'endettement de 98,77%, mais la solvabilité générale (113,87%) et la couverture des intérêts (101,77%) restent satisfaisantes. Le ratio dépôts/crédits s'établit à 711,642/391,724 = 1,82x, indiquant une surliquidité et une capacité de transformation maîtrisée.</w:t>
      </w:r>
    </w:p>
    <w:p>
      <w:pPr>
        <w:spacing w:after="120" w:line="276" w:lineRule="auto"/>
      </w:pPr>
      <w:r>
        <w:t>**Évolution et estimations basées sur les rapports trimestriels** : Le rapport du T1 2026 (publié en 2026) révèle un PNB de 12,329 milliards FCFA (+11% en glissement annuel), porté par les commissions (+18,9%) et la marge nette bancaire (+8,5%), avec des dépôts clientèle en hausse de 3,5% à 753,7 milliards FCFA. Toutefois, le résultat net ne progresse que de 1% à 4,502 milliards FCFA, traduisant une pression sur les coûts. Sur la base de ce T1 2026, on peut estimer que l'exercice 2026 devrait maintenir une croissance du PNB à deux chiffres (~10-11%), mais la croissance du résultat net pourrait rester contenue (~3-5%) si la pression sur les charges persiste. Les rapports antérieurs (T3 2025, S1 2025, T1 2025) confirment cette tendance : contraction du bilan (crédits -10%, dépôts -5% au T3 2025) mais amélioration de la rentabilité (PNB +9%, résultat net +13% au T3 2025). Le rapport annuel 2024 (publié en 2024) indiquait un résultat net de 19,647 milliards FCFA (-8,7%) et un ROE de 16,7%, avec une augmentation de capital réussie (capital doublé à 40,6 milliards FCFA).</w:t>
      </w:r>
    </w:p>
    <w:p>
      <w:pPr>
        <w:spacing w:after="120" w:line="276" w:lineRule="auto"/>
      </w:pPr>
      <w:r>
        <w:t>**Recommandation fondamentale** : BOAB présente des fondamentaux solides (ROE &gt;17%, coefficient d'exploitation &lt;50%, PNB en croissance), mais des signaux de vigilance (coût du risque élevé, croissance du résultat net atone au T1 2026, contraction du bilan). La banque privilégie la qualité à la croissance volumique, ce qui est sain mais limite le potentiel de revalorisation à court terme. Recommandation : **CONSERVER** — les fondamentaux justifient une prime de valorisation, mais le manque de catalyseurs immédiats et la pression sur les coûts incitent à la prudence.</w:t>
      </w:r>
    </w:p>
    <w:p>
      <w:pPr>
        <w:spacing w:after="120" w:line="276" w:lineRule="auto"/>
      </w:pPr>
      <w:r>
        <w:t>---</w:t>
      </w:r>
    </w:p>
    <w:p>
      <w:pPr>
        <w:spacing w:after="120" w:line="276" w:lineRule="auto"/>
      </w:pPr>
      <w:r>
        <w:t>## PARTIE 4 : CONCLUSION D'INVESTISSEMENT</w:t>
      </w:r>
    </w:p>
    <w:p>
      <w:pPr>
        <w:spacing w:after="120" w:line="276" w:lineRule="auto"/>
      </w:pPr>
      <w:r>
        <w:t>La valorisation de BOAB (PER 18,9x, P/B 3,24x, EV/EBITDA 19,5x) indique une **surévaluation relative** par rapport à la moyenne BRVM (~8-12x), le marché intégrant déjà une prime de qualité et de croissance. Le comportement du cours sur 100 jours est préoccupant : quasi-stabilité (-0,16%) mais décrochage récent (-3,74% en J-1), avec une asymétrie positive (skewness 0,922) et une volatilité modérée (28,7%) — le titre a tendance à stagner sous sa moyenne, ce qui n'est pas favorable aux investisseurs court terme. Les signaux techniques sont **divergents** : les moyennes mobiles suggèrent un potentiel de rebond (décision Achat), mais le MACD confirme une pression baissière (décision Vente), tandis que Bollinger, RSI et Stochastique restent neutres — cette absence de convergence plaide pour une phase de consolidation. Les fondamentaux sont **solides mais sans catalyseur immédiat** : ROE de 17,11% (excellent), coefficient d'exploitation de 49,53% (excellent), PNB en croissance de 10,20% en 2025, mais résultat net atone au T1 2026 (+1%) et coût du risque élevé (22,50%). Les prédictions IA (J+1 à J+10) anticipent une **légère baisse** (9 322 → 9 233 FCFA, soit -0,95% sur 10 jours), confirmant la pression baissière à court terme et contredisant le signal d'achat des moyennes mobiles.</w:t>
      </w:r>
    </w:p>
    <w:p>
      <w:pPr>
        <w:spacing w:after="120" w:line="276" w:lineRule="auto"/>
      </w:pPr>
      <w:r>
        <w:t>**Recommandation finale : CONSERVER** — La convergence entre valorisation exigeante, technique mitigée (biais baissier court terme), fondamentaux solides mais sans accélération et prédictions IA baissières ne justifie ni un achat agressif ni une vente précipitée. Le titre est correctement valorisé pour sa qualité, mais le manque de catalyseurs et la pression récente incitent à attendre un point d'entrée plus favorable (autour de 8 700-9 000 FCFA, borne inférieure de Bollinger). **Niveau de confiance : Moyen** — les signaux sont divergents et les données trimestrielles récentes (T1 2026) montrent une décélération du résultat net. **Niveau de risque : Moyen** — volatilité modérée (28,7%), coût du risque élevé, mais solidité financière et rentabilité préservées. **Horizon d'investissement optimal : Moyen terme (3-12 mois)** — le temps que les investissements et la maîtrise des coûts se traduisent par une reprise de la croissance bénéficiaire, avec un potentiel de revalorisation une fois la phase de consolidation terminée.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352.00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6,415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+48.15%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18.03% (Élevée) — μ=6,840 FCFA, σ=1,234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β=0.7424 (Défensif) — Cov=0.000051, Var(idx)=0.000069, ρ=0.273,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7,375</w:t>
            </w:r>
          </w:p>
        </w:tc>
        <w:tc>
          <w:tcPr>
            <w:tcW w:type="dxa" w:w="1440"/>
            <w:shd w:fill="FAFAFA" w:val="clear"/>
          </w:tcPr>
          <w:p>
            <w:r>
              <w:rPr>
                <w:b/>
                <w:sz w:val="17"/>
              </w:rPr>
              <w:t>7,935</w:t>
            </w:r>
          </w:p>
        </w:tc>
        <w:tc>
          <w:tcPr>
            <w:tcW w:type="dxa" w:w="1440"/>
            <w:shd w:fill="FAFAFA" w:val="clear"/>
          </w:tcPr>
          <w:p>
            <w:r>
              <w:rPr>
                <w:sz w:val="17"/>
              </w:rPr>
              <w:t>8,495</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7,232</w:t>
            </w:r>
          </w:p>
        </w:tc>
        <w:tc>
          <w:tcPr>
            <w:tcW w:type="dxa" w:w="1440"/>
            <w:shd w:fill="FAFAFA" w:val="clear"/>
          </w:tcPr>
          <w:p>
            <w:r>
              <w:rPr>
                <w:b/>
                <w:sz w:val="17"/>
              </w:rPr>
              <w:t>7,916</w:t>
            </w:r>
          </w:p>
        </w:tc>
        <w:tc>
          <w:tcPr>
            <w:tcW w:type="dxa" w:w="1440"/>
            <w:shd w:fill="FAFAFA" w:val="clear"/>
          </w:tcPr>
          <w:p>
            <w:r>
              <w:rPr>
                <w:sz w:val="17"/>
              </w:rPr>
              <w:t>8,601</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7,110</w:t>
            </w:r>
          </w:p>
        </w:tc>
        <w:tc>
          <w:tcPr>
            <w:tcW w:type="dxa" w:w="1440"/>
            <w:shd w:fill="FAFAFA" w:val="clear"/>
          </w:tcPr>
          <w:p>
            <w:r>
              <w:rPr>
                <w:b/>
                <w:sz w:val="17"/>
              </w:rPr>
              <w:t>7,899</w:t>
            </w:r>
          </w:p>
        </w:tc>
        <w:tc>
          <w:tcPr>
            <w:tcW w:type="dxa" w:w="1440"/>
            <w:shd w:fill="FAFAFA" w:val="clear"/>
          </w:tcPr>
          <w:p>
            <w:r>
              <w:rPr>
                <w:sz w:val="17"/>
              </w:rPr>
              <w:t>8,687</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7,001</w:t>
            </w:r>
          </w:p>
        </w:tc>
        <w:tc>
          <w:tcPr>
            <w:tcW w:type="dxa" w:w="1440"/>
            <w:shd w:fill="FAFAFA" w:val="clear"/>
          </w:tcPr>
          <w:p>
            <w:r>
              <w:rPr>
                <w:b/>
                <w:sz w:val="17"/>
              </w:rPr>
              <w:t>7,881</w:t>
            </w:r>
          </w:p>
        </w:tc>
        <w:tc>
          <w:tcPr>
            <w:tcW w:type="dxa" w:w="1440"/>
            <w:shd w:fill="FAFAFA" w:val="clear"/>
          </w:tcPr>
          <w:p>
            <w:r>
              <w:rPr>
                <w:sz w:val="17"/>
              </w:rPr>
              <w:t>8,761</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6,902</w:t>
            </w:r>
          </w:p>
        </w:tc>
        <w:tc>
          <w:tcPr>
            <w:tcW w:type="dxa" w:w="1440"/>
            <w:shd w:fill="FAFAFA" w:val="clear"/>
          </w:tcPr>
          <w:p>
            <w:r>
              <w:rPr>
                <w:b/>
                <w:sz w:val="17"/>
              </w:rPr>
              <w:t>7,863</w:t>
            </w:r>
          </w:p>
        </w:tc>
        <w:tc>
          <w:tcPr>
            <w:tcW w:type="dxa" w:w="1440"/>
            <w:shd w:fill="FAFAFA" w:val="clear"/>
          </w:tcPr>
          <w:p>
            <w:r>
              <w:rPr>
                <w:sz w:val="17"/>
              </w:rPr>
              <w:t>8,825</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6,810</w:t>
            </w:r>
          </w:p>
        </w:tc>
        <w:tc>
          <w:tcPr>
            <w:tcW w:type="dxa" w:w="1440"/>
            <w:shd w:fill="FAFAFA" w:val="clear"/>
          </w:tcPr>
          <w:p>
            <w:r>
              <w:rPr>
                <w:b/>
                <w:sz w:val="17"/>
              </w:rPr>
              <w:t>7,846</w:t>
            </w:r>
          </w:p>
        </w:tc>
        <w:tc>
          <w:tcPr>
            <w:tcW w:type="dxa" w:w="1440"/>
            <w:shd w:fill="FAFAFA" w:val="clear"/>
          </w:tcPr>
          <w:p>
            <w:r>
              <w:rPr>
                <w:sz w:val="17"/>
              </w:rPr>
              <w:t>8,882</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6,723</w:t>
            </w:r>
          </w:p>
        </w:tc>
        <w:tc>
          <w:tcPr>
            <w:tcW w:type="dxa" w:w="1440"/>
            <w:shd w:fill="FFDCE0" w:val="clear"/>
          </w:tcPr>
          <w:p>
            <w:r>
              <w:rPr>
                <w:b/>
                <w:sz w:val="17"/>
              </w:rPr>
              <w:t>7,828</w:t>
            </w:r>
          </w:p>
        </w:tc>
        <w:tc>
          <w:tcPr>
            <w:tcW w:type="dxa" w:w="1440"/>
            <w:shd w:fill="FFDCE0" w:val="clear"/>
          </w:tcPr>
          <w:p>
            <w:r>
              <w:rPr>
                <w:sz w:val="17"/>
              </w:rPr>
              <w:t>8,934</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6,642</w:t>
            </w:r>
          </w:p>
        </w:tc>
        <w:tc>
          <w:tcPr>
            <w:tcW w:type="dxa" w:w="1440"/>
            <w:shd w:fill="FFDCE0" w:val="clear"/>
          </w:tcPr>
          <w:p>
            <w:r>
              <w:rPr>
                <w:b/>
                <w:sz w:val="17"/>
              </w:rPr>
              <w:t>7,812</w:t>
            </w:r>
          </w:p>
        </w:tc>
        <w:tc>
          <w:tcPr>
            <w:tcW w:type="dxa" w:w="1440"/>
            <w:shd w:fill="FFDCE0" w:val="clear"/>
          </w:tcPr>
          <w:p>
            <w:r>
              <w:rPr>
                <w:sz w:val="17"/>
              </w:rPr>
              <w:t>8,981</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6,565</w:t>
            </w:r>
          </w:p>
        </w:tc>
        <w:tc>
          <w:tcPr>
            <w:tcW w:type="dxa" w:w="1440"/>
            <w:shd w:fill="FFDCE0" w:val="clear"/>
          </w:tcPr>
          <w:p>
            <w:r>
              <w:rPr>
                <w:b/>
                <w:sz w:val="17"/>
              </w:rPr>
              <w:t>7,795</w:t>
            </w:r>
          </w:p>
        </w:tc>
        <w:tc>
          <w:tcPr>
            <w:tcW w:type="dxa" w:w="1440"/>
            <w:shd w:fill="FFDCE0" w:val="clear"/>
          </w:tcPr>
          <w:p>
            <w:r>
              <w:rPr>
                <w:sz w:val="17"/>
              </w:rPr>
              <w:t>9,026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 📈 RAPPORT D'ANALYSE FINANCIÈRE — BOABF (Bank of Africa Burkina Faso)</w:t>
        <w:br/>
        <w:t>**Bourse Régionale des Valeurs Mobilières (BRVM) | Secteur : Banque**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**352,00 Mds FCFA**, BOABF se positionne comme une valeur de premier plan de la cote BRVM, représentant un poids significatif dans l'indice sectoriel bancaire régional. Le **BPA de 438 FCFA/action** traduit une rentabilité unitaire solide, chaque titre générant près de 438 FCFA de bénéfice net. Le **PER de 18,3x** se situe nettement au-dessus de la moyenne BRVM (généralement comprise entre 8 et 12x), ce qui indique que le marché paie une prime de qualité pour cette banque, bien que cette valorisation paraisse tendue au regard de la dynamique actuelle du PNB. Le **P/B de 2,78x** confirme cette prime de croissance, le marché valorisant l'établissement à près de trois fois ses fonds propres comptables (126,5 Mds FCFA), ce qui reste cohérent avec un ROE de 15,2%. Enfin, l'**EV/EBITDA de 8,1x**, dans la fourchette raisonnable de 5-10x, suggère que la valeur d'entreprise reste correctement proportionnée à la capacité opérationnelle de la banque,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BOABF affiche une progression spectaculaire de **+48,15%**, portant le cours à **8 000 FCFA**, malgré un repli de **-2,44%** lors de la dernière séance, signalant une prise de bénéfices après un rallye soutenu. Le range de trading est particulièrement large, avec un plus haut à **9 090 FCFA** et un plus bas à **5 300 FCFA**, soit un écart de 71,5% entre les extrêmes, ce qui témoigne d'une tendance haussière puissante mais ponctuée de corrections marquées. La tendance générale demeure clairement haussière, soutenue par un volume moyen quotidien de 6 415 titres, indiquant une liquidité correcte pour le marché BRVM. Les statistiques descriptives révèlent une **moyenne de 6 840 FCFA** inférieure à la **médiane de 7 100 FCFA**, écart qui traduit une asymétrie positive : les récents pics haussiers tirent la moyenne vers le bas relativement à la médiane, confirmant que le cours a longtemps évolué sous son niveau actuel avant l'accélération récente. L'**écart-type de 1 240 FCFA** avec un **CV de 18,1%** indique une dispersion modérée du cours autour de sa moyenne, tandis que le **kurtosis de -1,218 (platykurtique)** signale une distribution aplatie avec une faible concentration des rendements, donc un risque de pics extrêmes limité. Le **skewness de 0,341** confirme une distribution quasi-symétrique, légèrement étirée vers la droite. Enfin, la **volatilité annualisée de 35,8%** classe BOABF dans la catégorie des titres à volatilité élevée (&gt;30%), ce qui est cohérent avec le rallye récent et appelle à la prudence sur les points d'entrée.</w:t>
      </w:r>
    </w:p>
    <w:p>
      <w:pPr>
        <w:spacing w:after="120" w:line="276" w:lineRule="auto"/>
      </w:pPr>
      <w:r>
        <w:t>---</w:t>
      </w:r>
    </w:p>
    <w:p>
      <w:pPr>
        <w:spacing w:after="120" w:line="276" w:lineRule="auto"/>
      </w:pPr>
      <w:r>
        <w:t>## PARTIE 2 : ANALYSE TECHNIQUE DÉTAILLÉE</w:t>
      </w:r>
    </w:p>
    <w:p>
      <w:pPr>
        <w:spacing w:after="120" w:line="276" w:lineRule="auto"/>
      </w:pPr>
      <w:r>
        <w:t>**Moyennes Mobiles** : La MM20 (8 309,75 FCFA) et la MM50 (7 904,50 FCFA) se situent toutes deux au-dessus du cours actuel (8 000 FCFA), la MM20 étant la plus élevée. Cette configuration — cours sous MM20 mais au-dessus de MM50 — traduit une correction de court terme dans une tendance de fond haussière. Le signal « Achat » fourni par le système s'explique par le maintien du cours au-dessus de la MM50, considérée comme support dynamique majeur.</w:t>
      </w:r>
    </w:p>
    <w:p>
      <w:pPr>
        <w:spacing w:after="120" w:line="276" w:lineRule="auto"/>
      </w:pPr>
      <w:r>
        <w:t>**Bandes de Bollinger** : Le cours (8 000 FCFA) évolue dans la partie basse de la bande, entre la borne inférieure (7 258,60 FCFA) et la borne supérieure (9 360,90 FCFA), à environ 33% de la largeur du canal. Cette position médiane-basse, combinée à un écart-type élevé, indique une volatilité importante mais sans signal de rupture. La décision « Neutre » reflète l'absence de contact avec les bornes extrêmes, donc pas de signal de surachat ni de survente.</w:t>
      </w:r>
    </w:p>
    <w:p>
      <w:pPr>
        <w:spacing w:after="120" w:line="276" w:lineRule="auto"/>
      </w:pPr>
      <w:r>
        <w:t>**MACD** : La valeur du MACD (-7,524) est nettement inférieure à son signal (42,087), générant un histogramme fortement négatif. Cette divergence baissière signale un momentum négatif persistant, avec la ligne MACD passée sous zéro, ce qui justifie pleinement la décision « Vente » et suggère que la pression vendeuse de court terme n'est pas encore épuisée.</w:t>
      </w:r>
    </w:p>
    <w:p>
      <w:pPr>
        <w:spacing w:after="120" w:line="276" w:lineRule="auto"/>
      </w:pPr>
      <w:r>
        <w:t>**RSI** : À **32,384**, le RSI se situe juste au-dessus du seuil de survente (30), dans la zone neutre basse. Cette valeur indique que le titre n'est pas encore techniquement survendu mais s'en approche dangereusement, ce qui pourrait attirer des acheteurs à contre-tendance. La décision « Neutre » est cohérente avec cette position limite.</w:t>
      </w:r>
    </w:p>
    <w:p>
      <w:pPr>
        <w:spacing w:after="120" w:line="276" w:lineRule="auto"/>
      </w:pPr>
      <w:r>
        <w:t>**Stochastique** : Le %K (46,154) et le %D (48,666) évoluent en zone médiane, avec un %K légèrement inférieur au %D, suggérant un croisement baissier naissant ou une consolidation. L'absence de divergence marquée et la position neutre des deux lignes confirment la décision « Neutre », sans signal directionnel fort.</w:t>
      </w:r>
    </w:p>
    <w:p>
      <w:pPr>
        <w:spacing w:after="120" w:line="276" w:lineRule="auto"/>
      </w:pPr>
      <w:r>
        <w:t>**Conclusion technique** : Les indicateurs présentent un tableau **divergent** : les moyennes mobiles plaident pour un achat (support MM50), tandis que le MACD est clairement baissier et le RSI proche de la survente. Les Bandes de Bollinger et le Stochastique restent neutres. Cette configuration suggère une phase de consolidation/correction au sein d'une tendance haussière de fond, avec un risque de poursuite baissière à court terme avant un rebond potentiel sur le support des 7 900 FCFA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BOABF affiche un **Produit Net Bancaire (PNB) de 57,820 Mds FCFA**, quasi stable par rapport à 2024 (+0,6%), et un **résultat net de 19,252 Mds FCFA**, en recul de **-14,1%** sur un an. Cette dégradation s'explique principalement par un **coût du risque quasiment doublé** (8,355 Mds FCFA contre 4,303 Mds FCFA en 2024), reflétant une dégradation de la qualité du portefeuille de crédits. Le **ROE de 15,22%** demeure excellent (&gt;15%) et le **ROA de 1,68%** reste correct pour le secteur bancaire. Le **coefficient d'exploitation de 47,19%** est remarquable (&lt;50% = excellence opérationnelle), confirmant une maîtrise des charges. Le **ratio dépôts/crédits** s'établit à 877,822 Mds FCFA de dépôts clientèle pour 474,064 Mds FCFA de créances clientèle, soit un taux de transformation de 54%, indiquant une surliquidité structurelle. Les **créances interbancaires bondissent à 213,132 Mds FCFA** (contre 53,994 Mds FCFA en 2024), signe d'un redéploiement vers des actifs moins risqués.</w:t>
      </w:r>
    </w:p>
    <w:p>
      <w:pPr>
        <w:spacing w:after="120" w:line="276" w:lineRule="auto"/>
      </w:pPr>
      <w:r>
        <w:t>**Estimations basées sur les rapports trimestriels** : Le rapport du **T1 2026 (31/03/2026)** révèle un PNB de 12,694 Mds FCFA, en **baisse de -10,75%** sur un an, et un résultat net de 4,520 Mds FCFA (-12,99%). Le rapport du **S1 2026 (30/06/2026)** confirme ce repli du PNB (-5,2% à 27,539 Mds FCFA) mais montre un **résultat net en hausse de +31,0% à 10,770 Mds FCFA**, grâce à une **amélioration spectaculaire du coût du risque (-65,2% à -2,396 Mds FCFA)**. On estime donc que l'exercice 2026 devrait bénéficier d'une normalisation du risque, avec un résultat net potentiellement supérieur à celui de 2025, malgré un PNB sous pression. Le rapport du **T3 2025 (30/09/2025)** soulignait déjà la stagnation de l'activité (PNB +0,85%) et l'effondrement du résultat net (-27,69%), confirmant que la dégradation du risque était concentrée sur le S1 2025.</w:t>
      </w:r>
    </w:p>
    <w:p>
      <w:pPr>
        <w:spacing w:after="120" w:line="276" w:lineRule="auto"/>
      </w:pPr>
      <w:r>
        <w:t>**Recommandation fondamentale** : BOABF présente des **fondamentaux solides** (ROE &gt;15%, coefficient d'exploitation &lt;50%, surliquidité) mais fait face à **deux défis majeurs** : (1) une **stagnation du PNB** depuis 2024, et (2) une **qualité de portefeuille sous pression**, comme en témoigne le coût du risque élevé en 2025. Les rapports récents (S1 2026) montrent une **normalisation du risque**, mais la croissance commerciale reste atone. La recommandation fondamentale est **CONSERVER**, avec une surveillance attentive de la reprise du PNB et de la stabilité du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tendue : le PER de 18,3x et le P/B de 2,78x intègrent une prime de qualité qui pourrait être remise en question si la croissance du PNB ne redémarre pas. Le **comportement du cours (Partie 1)** est haussier sur 100 jours (+48,15%) mais montre des signes d'essoufflement (repli J-1 de -2,44%, volatilité élevée de 35,8%), avec une distribution platykurtique qui limite le risque de pics extrêmes mais n'élimine pas les corrections. Les **signaux techniques (Partie 2)** sont **divergents** : les moyennes mobiles soutiennent l'achat (cours &gt; MM50), mais le MACD est baissier et le RSI proche de la survente, suggérant une consolidation imminente. Les **fondamentaux (Partie 3)** sont solides (ROE 15,2%, coefficient d'exploitation 47,2%) mais pénalisés par la stagnation du PNB et un coût du risque élevé en 2025, avec une amélioration attendue en 2026 selon les rapports S1 2026. Les **prédictions IA (J+1 à J+10)** anticipent une **légère baisse** (7 935 FCFA à 7 863 FCFA), confirmant la pression baissière de court terme identifiée par le MACD et le RSI.</w:t>
      </w:r>
    </w:p>
    <w:p>
      <w:pPr>
        <w:spacing w:after="120" w:line="276" w:lineRule="auto"/>
      </w:pPr>
      <w:r>
        <w:t>**Recommandation finale : CONSERVER**</w:t>
        <w:br/>
        <w:t>Cette recommandation reflète la **convergence** entre une valorisation tendue, des signaux techniques mitigés (MACD baissier vs MM haussières), des fondamentaux solides mais sans dynamique de croissance, et des prédictions IA baissières à court terme. Le titre mérite d'être conservé pour son **rendement du dividende** (397 FCFA/action, soit un rendement de ~5% au cours actuel) et sa **solidité financière**, mais les investisseurs ne devraient pas initier de nouvelles positions à ces niveaux.</w:t>
      </w:r>
    </w:p>
    <w:p>
      <w:pPr>
        <w:spacing w:after="120" w:line="276" w:lineRule="auto"/>
      </w:pPr>
      <w:r>
        <w:t>- **Niveau de confiance** : Moyen (les signaux sont divergents, la visibilité sur la reprise du PNB reste limitée)</w:t>
        <w:br/>
        <w:t>- **Niveau de risque global** : Moyen à Élevé (volatilité de 35,8%, exposition au contexte sécuritaire burkinabè, stagnation du PNB)</w:t>
        <w:br/>
        <w:t>- **Horizon d'investissement optimal** : **Moyen terme (3-12 mois)**, en attendant la confirmation d'une reprise durable du PNB et la normalisation complète du coût du risque. Un retour vers les 7 900 FCFA (MM50) pourrait constituer un point d'entrée intéressant pour les investisseurs à long terme.</w:t>
      </w:r>
    </w:p>
    <w:p>
      <w:pPr>
        <w:spacing w:after="120" w:line="276" w:lineRule="auto"/>
      </w:pPr>
      <w:r>
        <w:t>---</w:t>
      </w:r>
    </w:p>
    <w:p>
      <w:pPr>
        <w:spacing w:after="120" w:line="276" w:lineRule="auto"/>
      </w:pPr>
      <w:r>
        <w:t>*Rapport généré le 4 octobre 2026 — Sources : BRVM, états financiers BOABF 2025, rapports trimestriels 2025-2026, analyses GEMINI-VISION et CLAUDE-MANUAL.*</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459.60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10,855 titres</w:t>
            </w:r>
          </w:p>
        </w:tc>
        <w:tc>
          <w:tcPr>
            <w:tcW w:type="dxa" w:w="2268"/>
            <w:shd w:fill="FFF2CC" w:val="clear"/>
          </w:tcPr>
          <w:p>
            <w:r>
              <w:rPr>
                <w:b/>
                <w:color w:val="503200"/>
                <w:sz w:val="16"/>
              </w:rPr>
              <w:t xml:space="preserve">Cours actuel : </w:t>
            </w:r>
            <w:r>
              <w:rPr>
                <w:color w:val="000000"/>
                <w:sz w:val="17"/>
              </w:rPr>
              <w:t>11,490 FCFA</w:t>
            </w:r>
          </w:p>
          <w:p>
            <w:r>
              <w:rPr>
                <w:b/>
                <w:color w:val="503200"/>
                <w:sz w:val="16"/>
              </w:rPr>
              <w:t xml:space="preserve">Var. 100 jours : </w:t>
            </w:r>
            <w:r>
              <w:rPr>
                <w:b/>
                <w:color w:val="007800"/>
                <w:sz w:val="17"/>
              </w:rPr>
              <w:t>+31.99%</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14.86% (Moyenne) — μ=10,530 FCFA, σ=1,565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β=0.7399 (Défensif) — Cov=0.000051, Var(idx)=0.000069, ρ=0.348,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10,855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11,035</w:t>
            </w:r>
          </w:p>
        </w:tc>
        <w:tc>
          <w:tcPr>
            <w:tcW w:type="dxa" w:w="1440"/>
            <w:shd w:fill="FAFAFA" w:val="clear"/>
          </w:tcPr>
          <w:p>
            <w:r>
              <w:rPr>
                <w:b/>
                <w:sz w:val="17"/>
              </w:rPr>
              <w:t>11,509</w:t>
            </w:r>
          </w:p>
        </w:tc>
        <w:tc>
          <w:tcPr>
            <w:tcW w:type="dxa" w:w="1440"/>
            <w:shd w:fill="FAFAFA" w:val="clear"/>
          </w:tcPr>
          <w:p>
            <w:r>
              <w:rPr>
                <w:sz w:val="17"/>
              </w:rPr>
              <w:t>11,982</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10,937</w:t>
            </w:r>
          </w:p>
        </w:tc>
        <w:tc>
          <w:tcPr>
            <w:tcW w:type="dxa" w:w="1440"/>
            <w:shd w:fill="FAFAFA" w:val="clear"/>
          </w:tcPr>
          <w:p>
            <w:r>
              <w:rPr>
                <w:b/>
                <w:sz w:val="17"/>
              </w:rPr>
              <w:t>11,518</w:t>
            </w:r>
          </w:p>
        </w:tc>
        <w:tc>
          <w:tcPr>
            <w:tcW w:type="dxa" w:w="1440"/>
            <w:shd w:fill="FAFAFA" w:val="clear"/>
          </w:tcPr>
          <w:p>
            <w:r>
              <w:rPr>
                <w:sz w:val="17"/>
              </w:rPr>
              <w:t>12,099</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10,856</w:t>
            </w:r>
          </w:p>
        </w:tc>
        <w:tc>
          <w:tcPr>
            <w:tcW w:type="dxa" w:w="1440"/>
            <w:shd w:fill="FAFAFA" w:val="clear"/>
          </w:tcPr>
          <w:p>
            <w:r>
              <w:rPr>
                <w:b/>
                <w:sz w:val="17"/>
              </w:rPr>
              <w:t>11,528</w:t>
            </w:r>
          </w:p>
        </w:tc>
        <w:tc>
          <w:tcPr>
            <w:tcW w:type="dxa" w:w="1440"/>
            <w:shd w:fill="FAFAFA" w:val="clear"/>
          </w:tcPr>
          <w:p>
            <w:r>
              <w:rPr>
                <w:sz w:val="17"/>
              </w:rPr>
              <w:t>12,199</w:t>
            </w:r>
          </w:p>
        </w:tc>
        <w:tc>
          <w:tcPr>
            <w:tcW w:type="dxa" w:w="1440"/>
            <w:shd w:fill="FAFAFA" w:val="clear"/>
          </w:tcPr>
          <w:p>
            <w:r>
              <w:rPr>
                <w:b/>
                <w:color w:val="008000"/>
                <w:sz w:val="17"/>
              </w:rPr>
              <w:t>+0.3%</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10,786</w:t>
            </w:r>
          </w:p>
        </w:tc>
        <w:tc>
          <w:tcPr>
            <w:tcW w:type="dxa" w:w="1440"/>
            <w:shd w:fill="FAFAFA" w:val="clear"/>
          </w:tcPr>
          <w:p>
            <w:r>
              <w:rPr>
                <w:b/>
                <w:sz w:val="17"/>
              </w:rPr>
              <w:t>11,537</w:t>
            </w:r>
          </w:p>
        </w:tc>
        <w:tc>
          <w:tcPr>
            <w:tcW w:type="dxa" w:w="1440"/>
            <w:shd w:fill="FAFAFA" w:val="clear"/>
          </w:tcPr>
          <w:p>
            <w:r>
              <w:rPr>
                <w:sz w:val="17"/>
              </w:rPr>
              <w:t>12,289</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10,723</w:t>
            </w:r>
          </w:p>
        </w:tc>
        <w:tc>
          <w:tcPr>
            <w:tcW w:type="dxa" w:w="1440"/>
            <w:shd w:fill="FAFAFA" w:val="clear"/>
          </w:tcPr>
          <w:p>
            <w:r>
              <w:rPr>
                <w:b/>
                <w:sz w:val="17"/>
              </w:rPr>
              <w:t>11,547</w:t>
            </w:r>
          </w:p>
        </w:tc>
        <w:tc>
          <w:tcPr>
            <w:tcW w:type="dxa" w:w="1440"/>
            <w:shd w:fill="FAFAFA" w:val="clear"/>
          </w:tcPr>
          <w:p>
            <w:r>
              <w:rPr>
                <w:sz w:val="17"/>
              </w:rPr>
              <w:t>12,370</w:t>
            </w:r>
          </w:p>
        </w:tc>
        <w:tc>
          <w:tcPr>
            <w:tcW w:type="dxa" w:w="1440"/>
            <w:shd w:fill="FAFAFA" w:val="clear"/>
          </w:tcPr>
          <w:p>
            <w:r>
              <w:rPr>
                <w:b/>
                <w:color w:val="008000"/>
                <w:sz w:val="17"/>
              </w:rPr>
              <w:t>+0.5%</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10,665</w:t>
            </w:r>
          </w:p>
        </w:tc>
        <w:tc>
          <w:tcPr>
            <w:tcW w:type="dxa" w:w="1440"/>
            <w:shd w:fill="FAFAFA" w:val="clear"/>
          </w:tcPr>
          <w:p>
            <w:r>
              <w:rPr>
                <w:b/>
                <w:sz w:val="17"/>
              </w:rPr>
              <w:t>11,556</w:t>
            </w:r>
          </w:p>
        </w:tc>
        <w:tc>
          <w:tcPr>
            <w:tcW w:type="dxa" w:w="1440"/>
            <w:shd w:fill="FAFAFA" w:val="clear"/>
          </w:tcPr>
          <w:p>
            <w:r>
              <w:rPr>
                <w:sz w:val="17"/>
              </w:rPr>
              <w:t>12,446</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10,612</w:t>
            </w:r>
          </w:p>
        </w:tc>
        <w:tc>
          <w:tcPr>
            <w:tcW w:type="dxa" w:w="1440"/>
            <w:shd w:fill="FAFAFA" w:val="clear"/>
          </w:tcPr>
          <w:p>
            <w:r>
              <w:rPr>
                <w:b/>
                <w:sz w:val="17"/>
              </w:rPr>
              <w:t>11,564</w:t>
            </w:r>
          </w:p>
        </w:tc>
        <w:tc>
          <w:tcPr>
            <w:tcW w:type="dxa" w:w="1440"/>
            <w:shd w:fill="FAFAFA" w:val="clear"/>
          </w:tcPr>
          <w:p>
            <w:r>
              <w:rPr>
                <w:sz w:val="17"/>
              </w:rPr>
              <w:t>12,517</w:t>
            </w:r>
          </w:p>
        </w:tc>
        <w:tc>
          <w:tcPr>
            <w:tcW w:type="dxa" w:w="1440"/>
            <w:shd w:fill="FAFAFA" w:val="clear"/>
          </w:tcPr>
          <w:p>
            <w:r>
              <w:rPr>
                <w:b/>
                <w:color w:val="008000"/>
                <w:sz w:val="17"/>
              </w:rPr>
              <w:t>+0.6%</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10,562</w:t>
            </w:r>
          </w:p>
        </w:tc>
        <w:tc>
          <w:tcPr>
            <w:tcW w:type="dxa" w:w="1440"/>
            <w:shd w:fill="FAFAFA" w:val="clear"/>
          </w:tcPr>
          <w:p>
            <w:r>
              <w:rPr>
                <w:b/>
                <w:sz w:val="17"/>
              </w:rPr>
              <w:t>11,572</w:t>
            </w:r>
          </w:p>
        </w:tc>
        <w:tc>
          <w:tcPr>
            <w:tcW w:type="dxa" w:w="1440"/>
            <w:shd w:fill="FAFAFA" w:val="clear"/>
          </w:tcPr>
          <w:p>
            <w:r>
              <w:rPr>
                <w:sz w:val="17"/>
              </w:rPr>
              <w:t>12,583</w:t>
            </w:r>
          </w:p>
        </w:tc>
        <w:tc>
          <w:tcPr>
            <w:tcW w:type="dxa" w:w="1440"/>
            <w:shd w:fill="FAFAFA" w:val="clear"/>
          </w:tcPr>
          <w:p>
            <w:r>
              <w:rPr>
                <w:b/>
                <w:color w:val="008000"/>
                <w:sz w:val="17"/>
              </w:rPr>
              <w:t>+0.7%</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10,514</w:t>
            </w:r>
          </w:p>
        </w:tc>
        <w:tc>
          <w:tcPr>
            <w:tcW w:type="dxa" w:w="1440"/>
            <w:shd w:fill="FAFAFA" w:val="clear"/>
          </w:tcPr>
          <w:p>
            <w:r>
              <w:rPr>
                <w:b/>
                <w:sz w:val="17"/>
              </w:rPr>
              <w:t>11,580</w:t>
            </w:r>
          </w:p>
        </w:tc>
        <w:tc>
          <w:tcPr>
            <w:tcW w:type="dxa" w:w="1440"/>
            <w:shd w:fill="FAFAFA" w:val="clear"/>
          </w:tcPr>
          <w:p>
            <w:r>
              <w:rPr>
                <w:sz w:val="17"/>
              </w:rPr>
              <w:t>12,647</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459,60 milliards FCFA, BOAC s'impose comme l'une des valeurs bancaires de référence de la cote BRVM, témoignant de la solidité et de la taille significative de l'établissement au sein de l'Union Économique et Monétaire Ouest-Africaine. Le BPA de 888 FCFA par action traduit une capacité bénéficiaire robuste, chaque titre générant près de neuf cents francs de profit net. Le PER de 12,9x, légèrement supérieur à la moyenne du marché BRVM (généralement située entre 8x et 12x), indique que les investisseurs acceptent de payer une prime modérée pour les bénéfices de la banque, reflétant une valorisation raisonnable mais non décotée. Le ratio P/B de 3,61x, situé dans la fourchette 2-4x, traduit une prime de croissance accordée par le marché, cohérente avec la rentabilité exceptionnelle des fonds propres (ROE de 27,9%). En revanche, l'EV/EBITDA de 26,5x apparaît très exigeant (seuil d'alerte &gt;15x), signalant que la valeur d'entreprise intègre déjà des anticipations de croissance ambitieuses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remarquable de +31,99%, passant d'un plus bas de 8 585 FCFA à un plus haut de 13 450 FCFA, avant de se stabiliser à 11 490 FCFA, avec une quasi-stagnation lors de la dernière séance (-0,09%). Ce range de trading de près de 4 900 FCFA (soit environ 57% d'amplitude) témoigne d'une dynamique haussière puissante, bien que le cours actuel se situe désormais à mi-chemin entre les extrêmes, suggérant une phase de consolidation après le rallye. Les statistiques descriptives révèlent une moyenne de 10 530 FCFA supérieure à la médiane de 9 880 FCFA, écart qui traduit une asymétrie positive : les récents pics de cours tirent la moyenne vers le haut, confirmant la vigueur du mouvement haussier. L'écart-type de 1 573 FCFA, associé à un coefficient de variation de 14,9%, indique une dispersion modérée du cours autour de sa tendance centrale. Le kurtosis négatif (-1,465, distribution platykurtique) signale une distribution aplatie avec une faible concentration autour de la moyenne et un risque de pics extrêmes limité — caractéristique rassurante pour la gestion du risque. Le skewness de 0,309, proche de zéro, confirme une distribution quasi-symétrique. Enfin, la volatilité annualisée de 27,8% positionne BOAC dans la catégorie des titres à volatilité modérée (15-30%), offrant un compromis équilibré entre potentiel de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(11 915 FCFA) et la MM50 (11 951,5 FCFA) sont quasi confondues et toutes deux supérieures au cours actuel de 11 490 FCFA, ce qui place le titre en position baissière à court et moyen terme. Cette configuration de prix sous les deux moyennes justifie pleinement la décision technique de **Vente**, signalant une pression vendeuse persistante et une possible poursuite de la correction.</w:t>
      </w:r>
    </w:p>
    <w:p>
      <w:pPr>
        <w:spacing w:after="120" w:line="276" w:lineRule="auto"/>
      </w:pPr>
      <w:r>
        <w:t>**Bandes de Bollinger** : Le cours actuel (11 490 FCFA) évolue dans la partie médiane de la bande, entre la borne inférieure (10 914,88 FCFA) et la borne supérieure (12 915,12 FCFA), sans contact avec les extrêmes. Cette position centrale, combinée à une largeur de bande significative (environ 2 000 FCFA), traduit une volatilité normale sans signal de survente ou de surachat, justifiant la décision **Neutre**.</w:t>
      </w:r>
    </w:p>
    <w:p>
      <w:pPr>
        <w:spacing w:after="120" w:line="276" w:lineRule="auto"/>
      </w:pPr>
      <w:r>
        <w:t>**MACD** : La ligne MACD (-182,572) est nettement inférieure à sa ligne de signal (-115,78), générant un histogramme négatif qui confirme un momentum baissier en cours. Cette divergence négative persistante indique que la dynamique haussière des mois précédents s'essouffle, justifiant la décision de **Vente** émise par cet indicateur.</w:t>
      </w:r>
    </w:p>
    <w:p>
      <w:pPr>
        <w:spacing w:after="120" w:line="276" w:lineRule="auto"/>
      </w:pPr>
      <w:r>
        <w:t>**RSI** : À 33,148, le RSI se situe dans la zone neutre basse, proche du seuil de survente (30) sans l'atteindre. Cette valeur suggère que le titre n'est pas encore techniquement survendu mais que la pression baissière domine, ce qui justifie la décision **Neutre** avec une vigilance accrue sur une éventuelle cassure sous 30.</w:t>
      </w:r>
    </w:p>
    <w:p>
      <w:pPr>
        <w:spacing w:after="120" w:line="276" w:lineRule="auto"/>
      </w:pPr>
      <w:r>
        <w:t>**Stochastique** : Le %K (43,125) et le %D (45,625) évoluent en zone médiane, avec un %K légèrement inférieur au %D, configuration qui pourrait annoncer un croisement baissier imminent. L'absence de signal clair de retournement justifie la décision **Neutre**, mais la proximité d'un croisement négatif appelle à la prudence.</w:t>
      </w:r>
    </w:p>
    <w:p>
      <w:pPr>
        <w:spacing w:after="120" w:line="276" w:lineRule="auto"/>
      </w:pPr>
      <w:r>
        <w:t>**Conclusion technique** : La convergence des signaux baissiers (MM, MACD) et neutres (Bollinger, RSI, Stochastique) dresse un tableau technique mitigé à tendance baissière. Le titre se trouve en phase de consolidation après un rallye exceptionnel de +32%, avec un momentum clairement affaibli. Aucun signal d'achat technique n'est actuellement identifiable, et la prudence reste de mise tant que le cours n'aura pas reconquis la zone des 11 950 FCFA (MM50).</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Côte d'Ivoire affiche un Produit Net Bancaire (PNB) de 73 545 millions FCFA, en légère hausse de +1,1% par rapport à 2024 (72 724 millions), marquant un net ralentissement après la forte croissance de +19,6% enregistrée en 2024. Le résultat net s'établit à 35 540 millions FCFA, en progression de +10,9% sur un an (contre 32 045 millions en 2024), porté par une amélioration notable du coût du risque (-27,8%, passant de -6 791 à -4 902 millions FCFA). Les ratios de rentabilité demeurent exceptionnels : le ROE atteint 27,91% (largement supérieur au seuil de 15% considéré comme excellent) et le ROA s'élève à 3,22%, confirmant l'efficacité de l'utilisation des actifs. Le coefficient d'exploitation de 36,70% — bien inférieur au seuil de 60% — témoigne d'une banque hautement efficace dans la maîtrise de ses charges. Le coût du risque rapporté aux charges financières s'établit à 6,67%, niveau modéré mais qui mérite une surveillance attentive. La structure bilancielle révèle une collecte de dépôts clientèle de 850 548 millions FCFA face à des créances clientèle de 430 433 millions, soit un ratio de transformation (crédits/dépôts) de seulement 50,6%, indiquant une surliquidité et un potentiel de développement du crédit important. Les capitaux propres de 127 340 millions FCFA progressent de +13,0% (contre 112 645 millions en 2024), renforçant la solidité financière. **Estimations basées sur les rapports trimestriels** : Le rapport du T1 2026 (publié le 31 mars 2026) révèle un PNB de 18 960 millions FCFA (+3,09% sur un an) et un résultat net de 10 801 millions FCFA (+0,91%), mais surtout une explosion préoccupante du coût net du risque (+314,75%, à -652 millions contre -157 millions un an plus tôt). Le rapport semestriel 2026 (examen limité des commissaires aux comptes, septembre 2026) confirme l'absence d'anomalie significative mais ne fournit pas de données chiffrées. Sur la base du T1 2026, on peut estimer que l'exercice 2026 devrait afficher une croissance modérée du PNB (entre +2% et +4%) et un résultat net stable à légèrement croissant, sous réserve que la dégradation du coût du risque ne s'amplifie pas sur les trimestres suivants. La politique de dividende, avec 684 FCFA par action distribués au titre de 2024 (taux de distribution d'environ 65%), offre un rendement attractif de 5,95% au cours actuel de 11 490 FCFA. **Recommandation fondamentale** : La solidité financière de BOAC est incontestable (ROE exceptionnel, coefficient d'exploitation remarquable, structure bilancielle saine), mais le ralentissement de la croissance du PNB et la dégradation brutale du coût du risque au T1 2026 constituent des points de vigilance majeurs. Le rapport annuel 2025 (publié le 31 décembre 2025) émettait une recommandation d'ACHAT, mais les signaux récents appellent à une certaine prudence.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révèle un profil d'investissement contrasté. **Sur le plan de la valorisation (Partie 0)** , le PER de 12,9x et le P/B de 3,61x indiquent une valorisation raisonnable mais non décotée, tandis que l'EV/EBITDA de 26,5x apparaît très exigeant et intègre déjà des anticipations optimistes. **Le comportement du cours (Partie 1)** montre une tendance haussière impressionnante (+31,99% sur 100 jours) mais une phase de consolidation en cours, avec une volatilité modérée (27,8%) et des statistiques rassurantes (kurtosis négatif, skewness neutre). **Les signaux techniques (Partie 2)** sont majoritairement baissiers à neutres : les moyennes mobiles placent le cours en position défavorable, le MACD confirme un momentum négatif, et seuls le RSI et le stochastique offrent une accalmie relative. **Les fondamentaux (Partie 3)** demeurent solides (ROE de 27,91%, coefficient d'exploitation de 36,70%, dividende attractif), mais le ralentissement de la croissance du PNB (+1,1% en 2025) et l'explosion du coût du risque au T1 2026 (+314,75%) constituent des signaux d'alerte. **Les prédictions IA (J+1 à J+10)** anticipent une légère reprise progressive (11 509 FCFA à 11 547 FCFA), suggérant une stabilisation à court terme sans retournement majeur. **Recommandation finale : CONSERVER**. Cette recommandation résulte d'une divergence entre des fondamentaux solides mais en ralentissement, une technique baissière à court terme, et une valorisation sans décote significative. Le niveau de confiance est **Moyen**, en raison de l'incertitude entourant l'évolution du coût du risque et du ralentissement de la croissance. Le niveau de risque global est **Moyen**, la solidité financière de la banque compensant partiellement les signaux techniques négatifs. L'horizon d'investissement optimal est le **moyen terme (3-12 mois)** , le temps que la phase de consolidation s'achève et que les prochains rapports trimestriels confirment ou infirment la tendance du coût du risque. Les investisseurs déjà positionnés sont invités à conserver leurs titres pour le dividende attractif, tandis que les nouveaux entrants attendront un retour du cours au-dessus de la MM50 (11 950 FCFA) ou une amélioration des indicateurs techniques pour envisager un renforcement.</w:t>
      </w:r>
    </w:p>
    <w:p>
      <w:pPr>
        <w:spacing w:after="120" w:line="276" w:lineRule="auto"/>
      </w:pPr>
      <w:r>
        <w:t>---</w:t>
      </w:r>
    </w:p>
    <w:p>
      <w:pPr>
        <w:spacing w:after="120" w:line="276" w:lineRule="auto"/>
      </w:pPr>
      <w:r>
        <w:t>*Ce rapport est fourni à titre informatif et ne constitue pas un conseil en investissement. Les performances passées ne préjugent pas des performances futures.*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6,449 titres</w:t>
            </w:r>
          </w:p>
        </w:tc>
        <w:tc>
          <w:tcPr>
            <w:tcW w:type="dxa" w:w="2268"/>
            <w:shd w:fill="FFF2CC" w:val="clear"/>
          </w:tcPr>
          <w:p>
            <w:r>
              <w:rPr>
                <w:b/>
                <w:color w:val="503200"/>
                <w:sz w:val="16"/>
              </w:rPr>
              <w:t xml:space="preserve">Cours actuel : </w:t>
            </w:r>
            <w:r>
              <w:rPr>
                <w:color w:val="000000"/>
                <w:sz w:val="17"/>
              </w:rPr>
              <w:t>6,090 FCFA</w:t>
            </w:r>
          </w:p>
          <w:p>
            <w:r>
              <w:rPr>
                <w:b/>
                <w:color w:val="503200"/>
                <w:sz w:val="16"/>
              </w:rPr>
              <w:t xml:space="preserve">Var. 100 jours : </w:t>
            </w:r>
            <w:r>
              <w:rPr>
                <w:b/>
                <w:color w:val="007800"/>
                <w:sz w:val="17"/>
              </w:rPr>
              <w:t>+29.57%</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13.96% (Moyenne) — μ=5,588 FCFA, σ=780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β=1.4421 (Agressif) — Cov=0.000099, Var(idx)=0.000069, ρ=0.434,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5,430</w:t>
            </w:r>
          </w:p>
        </w:tc>
        <w:tc>
          <w:tcPr>
            <w:tcW w:type="dxa" w:w="1440"/>
            <w:shd w:fill="FFDCE0" w:val="clear"/>
          </w:tcPr>
          <w:p>
            <w:r>
              <w:rPr>
                <w:b/>
                <w:sz w:val="17"/>
              </w:rPr>
              <w:t>5,913</w:t>
            </w:r>
          </w:p>
        </w:tc>
        <w:tc>
          <w:tcPr>
            <w:tcW w:type="dxa" w:w="1440"/>
            <w:shd w:fill="FFDCE0" w:val="clear"/>
          </w:tcPr>
          <w:p>
            <w:r>
              <w:rPr>
                <w:sz w:val="17"/>
              </w:rPr>
              <w:t>6,397</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5,257</w:t>
            </w:r>
          </w:p>
        </w:tc>
        <w:tc>
          <w:tcPr>
            <w:tcW w:type="dxa" w:w="1440"/>
            <w:shd w:fill="FFDCE0" w:val="clear"/>
          </w:tcPr>
          <w:p>
            <w:r>
              <w:rPr>
                <w:b/>
                <w:sz w:val="17"/>
              </w:rPr>
              <w:t>5,842</w:t>
            </w:r>
          </w:p>
        </w:tc>
        <w:tc>
          <w:tcPr>
            <w:tcW w:type="dxa" w:w="1440"/>
            <w:shd w:fill="FFDCE0" w:val="clear"/>
          </w:tcPr>
          <w:p>
            <w:r>
              <w:rPr>
                <w:sz w:val="17"/>
              </w:rPr>
              <w:t>6,427</w:t>
            </w:r>
          </w:p>
        </w:tc>
        <w:tc>
          <w:tcPr>
            <w:tcW w:type="dxa" w:w="1440"/>
            <w:shd w:fill="FFDCE0" w:val="clear"/>
          </w:tcPr>
          <w:p>
            <w:r>
              <w:rPr>
                <w:b/>
                <w:color w:val="C00000"/>
                <w:sz w:val="17"/>
              </w:rPr>
              <w:t>-4.1%</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5,112</w:t>
            </w:r>
          </w:p>
        </w:tc>
        <w:tc>
          <w:tcPr>
            <w:tcW w:type="dxa" w:w="1440"/>
            <w:shd w:fill="FFDCE0" w:val="clear"/>
          </w:tcPr>
          <w:p>
            <w:r>
              <w:rPr>
                <w:b/>
                <w:sz w:val="17"/>
              </w:rPr>
              <w:t>5,780</w:t>
            </w:r>
          </w:p>
        </w:tc>
        <w:tc>
          <w:tcPr>
            <w:tcW w:type="dxa" w:w="1440"/>
            <w:shd w:fill="FFDCE0" w:val="clear"/>
          </w:tcPr>
          <w:p>
            <w:r>
              <w:rPr>
                <w:sz w:val="17"/>
              </w:rPr>
              <w:t>6,449</w:t>
            </w:r>
          </w:p>
        </w:tc>
        <w:tc>
          <w:tcPr>
            <w:tcW w:type="dxa" w:w="1440"/>
            <w:shd w:fill="FFDCE0" w:val="clear"/>
          </w:tcPr>
          <w:p>
            <w:r>
              <w:rPr>
                <w:b/>
                <w:color w:val="C00000"/>
                <w:sz w:val="17"/>
              </w:rPr>
              <w:t>-5.1%</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4,984</w:t>
            </w:r>
          </w:p>
        </w:tc>
        <w:tc>
          <w:tcPr>
            <w:tcW w:type="dxa" w:w="1440"/>
            <w:shd w:fill="FFDCE0" w:val="clear"/>
          </w:tcPr>
          <w:p>
            <w:r>
              <w:rPr>
                <w:b/>
                <w:sz w:val="17"/>
              </w:rPr>
              <w:t>5,724</w:t>
            </w:r>
          </w:p>
        </w:tc>
        <w:tc>
          <w:tcPr>
            <w:tcW w:type="dxa" w:w="1440"/>
            <w:shd w:fill="FFDCE0" w:val="clear"/>
          </w:tcPr>
          <w:p>
            <w:r>
              <w:rPr>
                <w:sz w:val="17"/>
              </w:rPr>
              <w:t>6,464</w:t>
            </w:r>
          </w:p>
        </w:tc>
        <w:tc>
          <w:tcPr>
            <w:tcW w:type="dxa" w:w="1440"/>
            <w:shd w:fill="FFDCE0" w:val="clear"/>
          </w:tcPr>
          <w:p>
            <w:r>
              <w:rPr>
                <w:b/>
                <w:color w:val="C00000"/>
                <w:sz w:val="17"/>
              </w:rPr>
              <w:t>-6.0%</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4,868</w:t>
            </w:r>
          </w:p>
        </w:tc>
        <w:tc>
          <w:tcPr>
            <w:tcW w:type="dxa" w:w="1440"/>
            <w:shd w:fill="FFDCE0" w:val="clear"/>
          </w:tcPr>
          <w:p>
            <w:r>
              <w:rPr>
                <w:b/>
                <w:sz w:val="17"/>
              </w:rPr>
              <w:t>5,671</w:t>
            </w:r>
          </w:p>
        </w:tc>
        <w:tc>
          <w:tcPr>
            <w:tcW w:type="dxa" w:w="1440"/>
            <w:shd w:fill="FFDCE0" w:val="clear"/>
          </w:tcPr>
          <w:p>
            <w:r>
              <w:rPr>
                <w:sz w:val="17"/>
              </w:rPr>
              <w:t>6,475</w:t>
            </w:r>
          </w:p>
        </w:tc>
        <w:tc>
          <w:tcPr>
            <w:tcW w:type="dxa" w:w="1440"/>
            <w:shd w:fill="FFDCE0" w:val="clear"/>
          </w:tcPr>
          <w:p>
            <w:r>
              <w:rPr>
                <w:b/>
                <w:color w:val="C00000"/>
                <w:sz w:val="17"/>
              </w:rPr>
              <w:t>-6.9%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4,761</w:t>
            </w:r>
          </w:p>
        </w:tc>
        <w:tc>
          <w:tcPr>
            <w:tcW w:type="dxa" w:w="1440"/>
            <w:shd w:fill="FFDCE0" w:val="clear"/>
          </w:tcPr>
          <w:p>
            <w:r>
              <w:rPr>
                <w:b/>
                <w:sz w:val="17"/>
              </w:rPr>
              <w:t>5,621</w:t>
            </w:r>
          </w:p>
        </w:tc>
        <w:tc>
          <w:tcPr>
            <w:tcW w:type="dxa" w:w="1440"/>
            <w:shd w:fill="FFDCE0" w:val="clear"/>
          </w:tcPr>
          <w:p>
            <w:r>
              <w:rPr>
                <w:sz w:val="17"/>
              </w:rPr>
              <w:t>6,481</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4,662</w:t>
            </w:r>
          </w:p>
        </w:tc>
        <w:tc>
          <w:tcPr>
            <w:tcW w:type="dxa" w:w="1440"/>
            <w:shd w:fill="FFDCE0" w:val="clear"/>
          </w:tcPr>
          <w:p>
            <w:r>
              <w:rPr>
                <w:b/>
                <w:sz w:val="17"/>
              </w:rPr>
              <w:t>5,574</w:t>
            </w:r>
          </w:p>
        </w:tc>
        <w:tc>
          <w:tcPr>
            <w:tcW w:type="dxa" w:w="1440"/>
            <w:shd w:fill="FFDCE0" w:val="clear"/>
          </w:tcPr>
          <w:p>
            <w:r>
              <w:rPr>
                <w:sz w:val="17"/>
              </w:rPr>
              <w:t>6,485</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4,569</w:t>
            </w:r>
          </w:p>
        </w:tc>
        <w:tc>
          <w:tcPr>
            <w:tcW w:type="dxa" w:w="1440"/>
            <w:shd w:fill="FFDCE0" w:val="clear"/>
          </w:tcPr>
          <w:p>
            <w:r>
              <w:rPr>
                <w:b/>
                <w:sz w:val="17"/>
              </w:rPr>
              <w:t>5,528</w:t>
            </w:r>
          </w:p>
        </w:tc>
        <w:tc>
          <w:tcPr>
            <w:tcW w:type="dxa" w:w="1440"/>
            <w:shd w:fill="FFDCE0" w:val="clear"/>
          </w:tcPr>
          <w:p>
            <w:r>
              <w:rPr>
                <w:sz w:val="17"/>
              </w:rPr>
              <w:t>6,488</w:t>
            </w:r>
          </w:p>
        </w:tc>
        <w:tc>
          <w:tcPr>
            <w:tcW w:type="dxa" w:w="1440"/>
            <w:shd w:fill="FFDCE0" w:val="clear"/>
          </w:tcPr>
          <w:p>
            <w:r>
              <w:rPr>
                <w:b/>
                <w:color w:val="C00000"/>
                <w:sz w:val="17"/>
              </w:rPr>
              <w:t>-9.2%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4,482</w:t>
            </w:r>
          </w:p>
        </w:tc>
        <w:tc>
          <w:tcPr>
            <w:tcW w:type="dxa" w:w="1440"/>
            <w:shd w:fill="FFDCE0" w:val="clear"/>
          </w:tcPr>
          <w:p>
            <w:r>
              <w:rPr>
                <w:b/>
                <w:sz w:val="17"/>
              </w:rPr>
              <w:t>5,485</w:t>
            </w:r>
          </w:p>
        </w:tc>
        <w:tc>
          <w:tcPr>
            <w:tcW w:type="dxa" w:w="1440"/>
            <w:shd w:fill="FFDCE0" w:val="clear"/>
          </w:tcPr>
          <w:p>
            <w:r>
              <w:rPr>
                <w:sz w:val="17"/>
              </w:rPr>
              <w:t>6,488</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**167,17 milliards FCFA**, BOA Mali se positionne comme une valeur de taille intermédiaire sur la BRVM, représentant un acteur bancaire significatif de la cote ouest-africaine. Le BPA de **404 FCFA/action** traduit la capacité bénéficiaire de chaque titre, tandis que le PER de **15,1x** indique que les investisseurs paient environ 15 fois les bénéfices annuels — un niveau supérieur à la moyenne BRVM (~8-12x), suggérant une prime de qualité ou une anticipation de croissance. Le P/B de **3,36x** confirme cette prime, le marché valorisant la banque à plus de trois fois ses fonds propres comptables, ce qui est cohérent avec un ROE élevé (22,2%) justifiant une telle prime de croissance. Enfin, l'EV/EBITDA de **7,7x** situe la valeur totale de l'entreprise dans une fourchette raisonnable (5-10x), indiquant que la capacité opérationnelle est correctement valorisée sans excès manifeste.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affiche une **progression remarquable de +29,57%**, bien que la dernière séance (J-1) enregistre un repli de **-0,90%**, signalant une légère prise de bénéfices après le rallye. Le cours actuel de **6 090 FCFA** se situe dans la partie supérieure du range de trading, le plus haut ayant atteint **7 195 FCFA** et le plus bas **4 425 FCFA**, soit une amplitude de 62,6% qui témoigne d'une forte dynamique haussière sur la période. La tendance générale est donc clairement **haussière**, portée par des fondamentaux solides et un intérêt croissant des investisseurs. Les statistiques descriptives révèlent une **moyenne de 5 588 FCFA** légèrement inférieure à la **médiane de 5 608 FCFA**, suggérant une distribution quasi-symétrique avec une très légère asymétrie positive (skewness de 0,294 confirmant cette symétrie). L'**écart-type de 784 FCFA** avec un **coefficient de variation de 14,0%** indique une dispersion modérée du cours autour de sa moyenne, tandis que le **kurtosis de -1,032** (distribution platykurtique) signale une faible concentration des valeurs extrêmes — le titre ne présente donc pas de risque de pics brutaux, ce qui est rassurant pour la gestion du risque. La **volatilité annualisée de 43,6%** classe BOAM dans la catégorie des titres à volatilité **élevée** (&gt;30%), ce qui est typique des valeurs bancaires africaines mais nécessite une tolérance au risque appropriée.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**6 521 FCFA** et la MM50 à **6 225 FCFA**, toutes deux supérieures au cours actuel de 6 090 FCFA. Cette configuration indique que le titre évolue en dessous de ses moyennes court et moyen terme, ce qui pourrait signaler un essoufflement de la tendance haussière. Cependant, la décision technique reste **Achat**, probablement en raison de la pente positive des moyennes et de la perspective de rebond vers ces niveaux de référence.</w:t>
      </w:r>
    </w:p>
    <w:p>
      <w:pPr>
        <w:spacing w:after="120" w:line="276" w:lineRule="auto"/>
      </w:pPr>
      <w:r>
        <w:t>**Bandes de Bollinger** : La borne supérieure se situe à **7 549 FCFA** et la borne inférieure à **5 493 FCFA**, avec un cours actuel de 6 090 FCFA positionné dans la moitié inférieure de la bande. Cette position suggère que le titre n'est ni suracheté ni survendu, mais plutôt en phase de consolidation. La décision **Neutre** reflète cette absence de signal directionnel fort, la volatilité restant contenue dans les bandes.</w:t>
      </w:r>
    </w:p>
    <w:p>
      <w:pPr>
        <w:spacing w:after="120" w:line="276" w:lineRule="auto"/>
      </w:pPr>
      <w:r>
        <w:t>**MACD** : La valeur du MACD est de **-90,912** contre un signal à **-8,37**, créant une divergence baissière significative où le MACD est nettement en dessous de sa ligne de signal. Cette configuration indique un **momentum négatif** persistant, justifiant la décision **Vente**. Le croisement baissier récent suggère que la pression vendeuse pourrait se poursuivre à court terme.</w:t>
      </w:r>
    </w:p>
    <w:p>
      <w:pPr>
        <w:spacing w:after="120" w:line="276" w:lineRule="auto"/>
      </w:pPr>
      <w:r>
        <w:t>**RSI** : Avec une valeur de **32,333**, le RSI se situe dans la zone neutre basse (30-70), proche du seuil de survente (30). La décision **Neutre** est appropriée car le titre n'est pas encore techniquement survendu, mais la proximité de ce seuil pourrait attirer des acheteurs à contre-tendance.</w:t>
      </w:r>
    </w:p>
    <w:p>
      <w:pPr>
        <w:spacing w:after="120" w:line="276" w:lineRule="auto"/>
      </w:pPr>
      <w:r>
        <w:t>**Stochastique** : Le %K est à **38,154** et le %D à **36,256**, avec un croisement haussier imminent (%K &gt; %D). La décision **Neutre** reflète cette situation d'attente, le stochastique n'ayant pas encore généré de signal d'achat confirmé mais se dirigeant vers une configuration positive.</w:t>
      </w:r>
    </w:p>
    <w:p>
      <w:pPr>
        <w:spacing w:after="120" w:line="276" w:lineRule="auto"/>
      </w:pPr>
      <w:r>
        <w:t>**Conclusion technique** : Les indicateurs techniques présentent un tableau **mitigé à légèrement baissier**. Si les moyennes mobiles et le stochastique suggèrent un potentiel de rebond, le MACD en territoire négatif et le RSI proche de la survente indiquent une pression vendeuse persistante. La convergence des signaux neutres (Bollinger, RSI, Stochastique) et baissiers (MACD) plaide pour une **prudence à court terme**, avec une possible consolidation avant une reprise si les fondamentaux restent solides.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BOA Mali affiche un **Produit Net Bancaire (PNB) de 37,996 milliards FCFA** en 2025, avec un **résultat net de 11,081 milliards FCFA**, soit une **marge nette de 29,16%** — un niveau exceptionnel pour le secteur bancaire. Le **ROE de 22,24%** (rentabilité des fonds propres) et le **ROA de 1,87%** (rentabilité des actifs) confirment une excellente efficacité dans l'utilisation des ressources. Le **coefficient d'exploitation de 63,14%** reste légèrement supérieur au seuil de 60% (banque efficace), indiquant une marge d'amélioration possible sur les charges opérationnelles. Le **coût du risque de 43,39%** (provisions/charges financières) est élevé, signalant un risque de crédit significatif à surveiller. La structure financière montre une **autonomie financière de 8,40%** (capitaux propres/total bilan), inférieure au seuil sain de 30%, mais typique des banques à fort effet de levier. Le ratio **dépôts clientèle (502,89 Mds FCFA) / créances clientèle (253,65 Mds FCFA)** de 1,98x indique une surliquidité, la banque collectant près de deux fois plus de dépôts qu'elle n'accorde de crédits — un signe de prudence mais aussi de sous-utilisation des ressources.</w:t>
      </w:r>
    </w:p>
    <w:p>
      <w:pPr>
        <w:spacing w:after="120" w:line="276" w:lineRule="auto"/>
      </w:pPr>
      <w:r>
        <w:t>**Estimations basées sur les rapports trimestriels** : Les rapports récents (T1 2026, S1 2026, T3 2025) révèlent une **accélération de la croissance**. Le **T1 2026 (rapport du 31/03/2026)** affiche un PNB de **10 322 millions FCFA**, en hausse de **+22,97%** sur un an, tandis que le **S1 2026 (rapport du 30/06/2026)** enregistre un PNB de **21 987 millions FCFA**, en progression de **+17,5%**. Sur la base de ces tendances, on peut **estimer que l'exercice 2026 devrait clôturer avec un PNB supérieur à 42 milliards FCFA** (contre 38 milliards en 2025), soit une croissance annuelle de l'ordre de 10-12%. Le **résultat net 2026 pourrait atteindre 12-13 milliards FCFA** si la maîtrise des coûts se poursuit. Le **rapport T3 2025 (30/09/2025)** confirme cette dynamique avec un résultat net cumulé de **9,16 milliards FCFA** (+26,2%), porté par une baisse du coût du risque et une maîtrise des frais généraux. Cependant, la **contraction du portefeuille de crédits (-8,6% depuis fin 2024)** et la **baisse des dépôts clientèle (-7,3% au S1 2025)** constituent des signaux d'alerte sur la dynamique commerciale à moyen terme.</w:t>
      </w:r>
    </w:p>
    <w:p>
      <w:pPr>
        <w:spacing w:after="120" w:line="276" w:lineRule="auto"/>
      </w:pPr>
      <w:r>
        <w:t>**Recommandation fondamentale** : BOA Mali présente des **fondamentaux solides** avec une rentabilité exceptionnelle (ROE &gt;22%), une croissance du PNB à deux chiffres en 2026, et une gestion prudente des risques. Les **risques principaux** restent le contexte macroéconomique et sécuritaire malien, la concentration géographique, et le coût du risque élevé. La **recommandation fondamentale est CONSERVER**, avec un biais positif si la croissance du PNB se confirme au second semestre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indique une légère surévaluation avec un PER de 15,1x supérieur à la moyenne BRVM, mais justifiée par un ROE élevé et une prime de croissance. Le **comportement du cours (Partie 1)** est haussier sur 100 jours (+29,57%) avec une volatilité élevée (43,6%) et une distribution platykurtique sans risque de pics extrêmes, ce qui est favorable. Les **signaux techniques (Partie 2)** sont **mitigés** : le MACD baissier contredit les moyennes mobiles haussières, tandis que le RSI et le stochastique sont neutres, suggérant une consolidation à court terme. Les **fondamentaux (Partie 3)** sont **solides** avec un ROE de 22,24%, un résultat net de 11,08 milliards FCFA en 2025, et une croissance estimée de 10-12% du PNB en 2026. Les **prédictions IA (J+1 à J+10)** anticipent une **baisse progressive** de 5 913 FCFA à 5 671 FCFA, confirmant la pression baissière technique à court terme.</w:t>
      </w:r>
    </w:p>
    <w:p>
      <w:pPr>
        <w:spacing w:after="120" w:line="276" w:lineRule="auto"/>
      </w:pPr>
      <w:r>
        <w:t>**Recommandation finale** : **CONSERVER** avec un **niveau de confiance Moyen** et un **risque global Élevé**. La convergence entre la valorisation légèrement surévaluée, les signaux techniques mitigés et les prédictions baissières à court terme incite à la prudence, mais les fondamentaux solides et la croissance du PNB justifient de ne pas vendre. **Horizon d'investissement optimal : moyen terme (3-12 mois)**, en attendant la confirmation de la croissance au second semestre 2026 et une amélioration des signaux techniques. Un repli vers 5 500-5 700 FCFA pourrait constituer une opportunité d'achat pour les investisseurs tolérant la volatilité.</w:t>
      </w:r>
    </w:p>
    <w:p>
      <w:pPr>
        <w:spacing w:after="120" w:line="276" w:lineRule="auto"/>
      </w:pPr>
      <w:r>
        <w:t>---</w:t>
      </w:r>
    </w:p>
    <w:p>
      <w:pPr>
        <w:spacing w:after="120" w:line="276" w:lineRule="auto"/>
      </w:pPr>
      <w:r>
        <w:t>*Rapport généré le 4 octobre 2026 — Sources : BRVM, états financiers BOA Mali 2025, rapports trimestriels T1/S1 2026 et T3 2025, analyses Gemini-Vision et Mistral.*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9,009 titres</w:t>
            </w:r>
          </w:p>
        </w:tc>
        <w:tc>
          <w:tcPr>
            <w:tcW w:type="dxa" w:w="2268"/>
            <w:shd w:fill="FFF2CC" w:val="clear"/>
          </w:tcPr>
          <w:p>
            <w:r>
              <w:rPr>
                <w:b/>
                <w:color w:val="503200"/>
                <w:sz w:val="16"/>
              </w:rPr>
              <w:t xml:space="preserve">Cours actuel : </w:t>
            </w:r>
            <w:r>
              <w:rPr>
                <w:color w:val="000000"/>
                <w:sz w:val="17"/>
              </w:rPr>
              <w:t>5,000 FCFA</w:t>
            </w:r>
          </w:p>
          <w:p>
            <w:r>
              <w:rPr>
                <w:b/>
                <w:color w:val="503200"/>
                <w:sz w:val="16"/>
              </w:rPr>
              <w:t xml:space="preserve">Var. 100 jours : </w:t>
            </w:r>
            <w:r>
              <w:rPr>
                <w:b/>
                <w:color w:val="007800"/>
                <w:sz w:val="17"/>
              </w:rPr>
              <w:t>+43.47%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16.02% (Élevée) — μ=4,652 FCFA, σ=745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β=1.3446 (Agressif) — Cov=0.000093, Var(idx)=0.000069, ρ=0.435,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9,009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4,775</w:t>
            </w:r>
          </w:p>
        </w:tc>
        <w:tc>
          <w:tcPr>
            <w:tcW w:type="dxa" w:w="1440"/>
            <w:shd w:fill="C6EFCE" w:val="clear"/>
          </w:tcPr>
          <w:p>
            <w:r>
              <w:rPr>
                <w:b/>
                <w:sz w:val="17"/>
              </w:rPr>
              <w:t>5,176</w:t>
            </w:r>
          </w:p>
        </w:tc>
        <w:tc>
          <w:tcPr>
            <w:tcW w:type="dxa" w:w="1440"/>
            <w:shd w:fill="C6EFCE" w:val="clear"/>
          </w:tcPr>
          <w:p>
            <w:r>
              <w:rPr>
                <w:sz w:val="17"/>
              </w:rPr>
              <w:t>5,577</w:t>
            </w:r>
          </w:p>
        </w:tc>
        <w:tc>
          <w:tcPr>
            <w:tcW w:type="dxa" w:w="1440"/>
            <w:shd w:fill="C6EFCE" w:val="clear"/>
          </w:tcPr>
          <w:p>
            <w:r>
              <w:rPr>
                <w:b/>
                <w:color w:val="008000"/>
                <w:sz w:val="17"/>
              </w:rPr>
              <w:t>+3.5%</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4,699</w:t>
            </w:r>
          </w:p>
        </w:tc>
        <w:tc>
          <w:tcPr>
            <w:tcW w:type="dxa" w:w="1440"/>
            <w:shd w:fill="C6EFCE" w:val="clear"/>
          </w:tcPr>
          <w:p>
            <w:r>
              <w:rPr>
                <w:b/>
                <w:sz w:val="17"/>
              </w:rPr>
              <w:t>5,192</w:t>
            </w:r>
          </w:p>
        </w:tc>
        <w:tc>
          <w:tcPr>
            <w:tcW w:type="dxa" w:w="1440"/>
            <w:shd w:fill="C6EFCE" w:val="clear"/>
          </w:tcPr>
          <w:p>
            <w:r>
              <w:rPr>
                <w:sz w:val="17"/>
              </w:rPr>
              <w:t>5,685</w:t>
            </w:r>
          </w:p>
        </w:tc>
        <w:tc>
          <w:tcPr>
            <w:tcW w:type="dxa" w:w="1440"/>
            <w:shd w:fill="C6EFCE" w:val="clear"/>
          </w:tcPr>
          <w:p>
            <w:r>
              <w:rPr>
                <w:b/>
                <w:color w:val="008000"/>
                <w:sz w:val="17"/>
              </w:rPr>
              <w:t>+3.8%</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4,641</w:t>
            </w:r>
          </w:p>
        </w:tc>
        <w:tc>
          <w:tcPr>
            <w:tcW w:type="dxa" w:w="1440"/>
            <w:shd w:fill="C6EFCE" w:val="clear"/>
          </w:tcPr>
          <w:p>
            <w:r>
              <w:rPr>
                <w:b/>
                <w:sz w:val="17"/>
              </w:rPr>
              <w:t>5,212</w:t>
            </w:r>
          </w:p>
        </w:tc>
        <w:tc>
          <w:tcPr>
            <w:tcW w:type="dxa" w:w="1440"/>
            <w:shd w:fill="C6EFCE" w:val="clear"/>
          </w:tcPr>
          <w:p>
            <w:r>
              <w:rPr>
                <w:sz w:val="17"/>
              </w:rPr>
              <w:t>5,784</w:t>
            </w:r>
          </w:p>
        </w:tc>
        <w:tc>
          <w:tcPr>
            <w:tcW w:type="dxa" w:w="1440"/>
            <w:shd w:fill="C6EFCE" w:val="clear"/>
          </w:tcPr>
          <w:p>
            <w:r>
              <w:rPr>
                <w:b/>
                <w:color w:val="008000"/>
                <w:sz w:val="17"/>
              </w:rPr>
              <w:t>+4.2%</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4,592</w:t>
            </w:r>
          </w:p>
        </w:tc>
        <w:tc>
          <w:tcPr>
            <w:tcW w:type="dxa" w:w="1440"/>
            <w:shd w:fill="C6EFCE" w:val="clear"/>
          </w:tcPr>
          <w:p>
            <w:r>
              <w:rPr>
                <w:b/>
                <w:sz w:val="17"/>
              </w:rPr>
              <w:t>5,233</w:t>
            </w:r>
          </w:p>
        </w:tc>
        <w:tc>
          <w:tcPr>
            <w:tcW w:type="dxa" w:w="1440"/>
            <w:shd w:fill="C6EFCE" w:val="clear"/>
          </w:tcPr>
          <w:p>
            <w:r>
              <w:rPr>
                <w:sz w:val="17"/>
              </w:rPr>
              <w:t>5,874</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4,548</w:t>
            </w:r>
          </w:p>
        </w:tc>
        <w:tc>
          <w:tcPr>
            <w:tcW w:type="dxa" w:w="1440"/>
            <w:shd w:fill="C6EFCE" w:val="clear"/>
          </w:tcPr>
          <w:p>
            <w:r>
              <w:rPr>
                <w:b/>
                <w:sz w:val="17"/>
              </w:rPr>
              <w:t>5,253</w:t>
            </w:r>
          </w:p>
        </w:tc>
        <w:tc>
          <w:tcPr>
            <w:tcW w:type="dxa" w:w="1440"/>
            <w:shd w:fill="C6EFCE" w:val="clear"/>
          </w:tcPr>
          <w:p>
            <w:r>
              <w:rPr>
                <w:sz w:val="17"/>
              </w:rPr>
              <w:t>5,958</w:t>
            </w:r>
          </w:p>
        </w:tc>
        <w:tc>
          <w:tcPr>
            <w:tcW w:type="dxa" w:w="1440"/>
            <w:shd w:fill="C6EFCE" w:val="clear"/>
          </w:tcPr>
          <w:p>
            <w:r>
              <w:rPr>
                <w:b/>
                <w:color w:val="008000"/>
                <w:sz w:val="17"/>
              </w:rPr>
              <w:t>+5.1%</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4,509</w:t>
            </w:r>
          </w:p>
        </w:tc>
        <w:tc>
          <w:tcPr>
            <w:tcW w:type="dxa" w:w="1440"/>
            <w:shd w:fill="C6EFCE" w:val="clear"/>
          </w:tcPr>
          <w:p>
            <w:r>
              <w:rPr>
                <w:b/>
                <w:sz w:val="17"/>
              </w:rPr>
              <w:t>5,273</w:t>
            </w:r>
          </w:p>
        </w:tc>
        <w:tc>
          <w:tcPr>
            <w:tcW w:type="dxa" w:w="1440"/>
            <w:shd w:fill="C6EFCE" w:val="clear"/>
          </w:tcPr>
          <w:p>
            <w:r>
              <w:rPr>
                <w:sz w:val="17"/>
              </w:rPr>
              <w:t>6,037</w:t>
            </w:r>
          </w:p>
        </w:tc>
        <w:tc>
          <w:tcPr>
            <w:tcW w:type="dxa" w:w="1440"/>
            <w:shd w:fill="C6EFCE" w:val="clear"/>
          </w:tcPr>
          <w:p>
            <w:r>
              <w:rPr>
                <w:b/>
                <w:color w:val="008000"/>
                <w:sz w:val="17"/>
              </w:rPr>
              <w:t>+5.5%</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4,472</w:t>
            </w:r>
          </w:p>
        </w:tc>
        <w:tc>
          <w:tcPr>
            <w:tcW w:type="dxa" w:w="1440"/>
            <w:shd w:fill="C6EFCE" w:val="clear"/>
          </w:tcPr>
          <w:p>
            <w:r>
              <w:rPr>
                <w:b/>
                <w:sz w:val="17"/>
              </w:rPr>
              <w:t>5,292</w:t>
            </w:r>
          </w:p>
        </w:tc>
        <w:tc>
          <w:tcPr>
            <w:tcW w:type="dxa" w:w="1440"/>
            <w:shd w:fill="C6EFCE" w:val="clear"/>
          </w:tcPr>
          <w:p>
            <w:r>
              <w:rPr>
                <w:sz w:val="17"/>
              </w:rPr>
              <w:t>6,112</w:t>
            </w:r>
          </w:p>
        </w:tc>
        <w:tc>
          <w:tcPr>
            <w:tcW w:type="dxa" w:w="1440"/>
            <w:shd w:fill="C6EFCE" w:val="clear"/>
          </w:tcPr>
          <w:p>
            <w:r>
              <w:rPr>
                <w:b/>
                <w:color w:val="008000"/>
                <w:sz w:val="17"/>
              </w:rPr>
              <w:t>+5.8%</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4,439</w:t>
            </w:r>
          </w:p>
        </w:tc>
        <w:tc>
          <w:tcPr>
            <w:tcW w:type="dxa" w:w="1440"/>
            <w:shd w:fill="C6EFCE" w:val="clear"/>
          </w:tcPr>
          <w:p>
            <w:r>
              <w:rPr>
                <w:b/>
                <w:sz w:val="17"/>
              </w:rPr>
              <w:t>5,311</w:t>
            </w:r>
          </w:p>
        </w:tc>
        <w:tc>
          <w:tcPr>
            <w:tcW w:type="dxa" w:w="1440"/>
            <w:shd w:fill="C6EFCE" w:val="clear"/>
          </w:tcPr>
          <w:p>
            <w:r>
              <w:rPr>
                <w:sz w:val="17"/>
              </w:rPr>
              <w:t>6,184</w:t>
            </w:r>
          </w:p>
        </w:tc>
        <w:tc>
          <w:tcPr>
            <w:tcW w:type="dxa" w:w="1440"/>
            <w:shd w:fill="C6EFCE" w:val="clear"/>
          </w:tcPr>
          <w:p>
            <w:r>
              <w:rPr>
                <w:b/>
                <w:color w:val="008000"/>
                <w:sz w:val="17"/>
              </w:rPr>
              <w:t>+6.2%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4,407</w:t>
            </w:r>
          </w:p>
        </w:tc>
        <w:tc>
          <w:tcPr>
            <w:tcW w:type="dxa" w:w="1440"/>
            <w:shd w:fill="C6EFCE" w:val="clear"/>
          </w:tcPr>
          <w:p>
            <w:r>
              <w:rPr>
                <w:b/>
                <w:sz w:val="17"/>
              </w:rPr>
              <w:t>5,330</w:t>
            </w:r>
          </w:p>
        </w:tc>
        <w:tc>
          <w:tcPr>
            <w:tcW w:type="dxa" w:w="1440"/>
            <w:shd w:fill="C6EFCE" w:val="clear"/>
          </w:tcPr>
          <w:p>
            <w:r>
              <w:rPr>
                <w:sz w:val="17"/>
              </w:rPr>
              <w:t>6,254</w:t>
            </w:r>
          </w:p>
        </w:tc>
        <w:tc>
          <w:tcPr>
            <w:tcW w:type="dxa" w:w="1440"/>
            <w:shd w:fill="C6EFCE" w:val="clear"/>
          </w:tcPr>
          <w:p>
            <w:r>
              <w:rPr>
                <w:b/>
                <w:color w:val="008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104,00 Mds FCFA, BOAN se positionne comme une valeur de taille moyenne sur le compartiment bancaire de la BRVM, loin des poids lourds du secteur mais suffisamment liquide pour intéresser les investisseurs institutionnels régionaux. Le BPA de 20 FCFA/action, calculé sur un résultat net 2025 effondré à 409 millions FCFA, traduit une rentabilité par titre historiquement faible. Le PER de 254,3x constitue un signal d'alerte majeur : les investisseurs paient plus de 250 fois les bénéfices actuels, un niveau sans commune mesure avec la moyenne BRVM (~8-12x), ce qui s'explique par l'anticipation d'un rebond spectaculaire des profits plutôt que par les résultats présents. Le P/B de 2,88x indique que le marché valorise la banque près de trois fois ses fonds propres comptables (36,06 Mds FCFA), soit une prime de croissance significative qui n'est justifiée que si le redressement se matérialise. Enfin, l'EV/EBITDA de 39,1x, très supérieur au seuil de 15x généralement considéré comme exigeant, confirme que la valeur totale de l'entreprise est chèrement valorisée par rapport à sa capacité opérationnelle actuelle — ces ratios collectivement suggèrent une action dont le prix intègre déjà une reprise forte, laissant peu de marge d'erreur.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progression spectaculaire de +43,47%, portée par un fort momentum haussier, mais la dernière séance (J-1) enregistre un repli marqué de -5,66%, signalant une prise de bénéfices ou un essoufflement de la dynamique acheteuse. Le titre a évolué dans un range large de 2 250 FCFA, entre un plus bas de 3 395 FCFA et un plus haut de 5 645 FCFA, le cours actuel de 5 000 FCFA se situant à mi-chemin de cette fourchette, ce qui traduit une certaine consolidation après le rallye. La tendance générale reste haussière sur la période, mais le repli récent et la position du cours sous ses plus hauts invitent à la prudence quant à la poursuite du mouvement. Les statistiques descriptives révèlent une moyenne de 4 652 FCFA inférieure à la médiane de 5 088 FCFA, écart qui suggère une distribution légèrement asymétrique avec des périodes prolongées à des niveaux élevés mais des creux ponctuels profonds. L'écart-type de 749 FCFA (CV=16,1%) indique une dispersion modérée du cours autour de sa moyenne, tandis que le kurtosis négatif de -1,562 (distribution platykurtique) signale une faible concentration des valeurs extrêmes — le titre évite les pics brutaux et évolue de manière relativement fluide. Le skewness de -0,340, proche de zéro, confirme une distribution quasi-symétrique sans biais directionnel marqué. Enfin, la volatilité annualisée de 41,5% classe BOAN parmi les titres à volatilité élevée (&gt;30%), ce qui implique un risque de fluctuation important et justifie une approche d'investissement prudente avec un dimensionnement de position adapté.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5 282,75 FCFA et la MM50 à 5 276,10 FCFA, les deux moyennes étant quasi confondues et positionnées au-dessus du cours actuel de 5 000 FCFA. Cette configuration indique que le titre évolue sous ses moyennes court et moyen terme, ce qui constitue un signal baissier de court terme, bien que la décision fournie soit "Achat" — probablement basée sur le croisement haussier antérieur ou le momentum global. La proximité des deux moyennes suggère une absence de tendance directionnelle claire à moyen terme, avec un cours qui pourrait chercher à revenir vers ces niveaux de référence.</w:t>
      </w:r>
    </w:p>
    <w:p>
      <w:pPr>
        <w:spacing w:after="120" w:line="276" w:lineRule="auto"/>
      </w:pPr>
      <w:r>
        <w:t>**Bandes de Bollinger** : La borne supérieure se situe à 5 841,56 FCFA et la borne inférieure à 4 723,94 FCFA, le cours actuel de 5 000 FCFA évoluant dans la partie basse de ce canal. Cette position indique que le titre a perdu de la vigueur après avoir approché la borne haute, sans toutefois atteindre la zone de survente matérialisée par la borne inférieure. La décision "Neutre" reflète cet équilibre précaire : ni signal d'achat sur rebond technique, ni signal de vente sur cassure. L'amplitude des bandes (environ 1 118 FCFA) confirme une volatilité encore présente mais en phase de normalisation.</w:t>
      </w:r>
    </w:p>
    <w:p>
      <w:pPr>
        <w:spacing w:after="120" w:line="276" w:lineRule="auto"/>
      </w:pPr>
      <w:r>
        <w:t>**MACD** : La valeur du MACD (-39,389) est inférieure à son signal (-23,887), générant un histogramme négatif et une décision de "Vente". Cette configuration indique que le momentum baissier l'emporte sur le momentum haussier, avec une divergence négative qui s'est probablement creusée lors du repli de J-1. Le croisement baissier récent (MACD passant sous son signal) constitue un avertissement sur la poursuite de la correction à court terme, bien que la faiblesse de l'écart entre les deux lignes suggère une possible inflexion prochaine si le cours se stabilise.</w:t>
      </w:r>
    </w:p>
    <w:p>
      <w:pPr>
        <w:spacing w:after="120" w:line="276" w:lineRule="auto"/>
      </w:pPr>
      <w:r>
        <w:t>**RSI** : À 38,171, le RSI se situe dans la zone neutre basse (entre 30 et 70), sans atteindre le seuil de survente de 30. La décision "Neutre" est cohérente avec cette position : le titre n'est ni suracheté ni survendu, mais la proximité de la zone de survente (30) indique que la pression vendeuse récente a ramené le cours vers des niveaux potentiellement attractifs pour les acheteurs contrarians. Un rebond technique pourrait se matérialiser si le RSI franchit à la hausse le niveau 40-45.</w:t>
      </w:r>
    </w:p>
    <w:p>
      <w:pPr>
        <w:spacing w:after="120" w:line="276" w:lineRule="auto"/>
      </w:pPr>
      <w:r>
        <w:t>**Stochastique** : Le %K (43,902) est inférieur au %D (64,076), configuration baissière classique indiquant que le momentum de court terme s'affaiblit. La décision "Neutre" reflète l'absence de signal extrême, mais la divergence entre les deux lignes suggère que le titre pourrait continuer à consolider avant de trouver un support. Un croisement du %K au-dessus du %D serait un signal d'achat technique à surveiller.</w:t>
      </w:r>
    </w:p>
    <w:p>
      <w:pPr>
        <w:spacing w:after="120" w:line="276" w:lineRule="auto"/>
      </w:pPr>
      <w:r>
        <w:t>**Conclusion technique** : Les indicateurs techniques présentent un tableau mitigé, avec une majorité de signaux neutres (Bollinger, RSI, Stochastique) et un signal baissier (MACD) qui contraste avec la décision "Achat" des moyennes mobiles. Le titre se trouve dans une phase de consolidation après un rallye de +43%, avec un cours sous ses moyennes mobiles et un momentum affaibli. La configuration actuelle suggère une prudence à court terme, le temps que les indicateurs se réalignent — un retour au-dessus de la MM20 (5 282 FCFA) serait un premier signal de reprise haussière, tandis qu'une cassure sous 4 724 FCFA (borne basse de Bollinger) ouvrirait la voie à une correction plus profonde.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profondément dégradée pour BOAN. Le Produit Net Bancaire (PNB), équivalent du chiffre d'affaires pour une banque, s'établit à 21 125 millions FCFA en 2025, en léger repli de -1,2% par rapport à 2024 (21 380 millions FCFA). Le résultat net s'effondre à 409 millions FCFA, contre 5 002 millions FCFA en 2024, soit une chute vertigineuse de -91,8%. Cette débâcle se traduit par un ROE catastrophique de 1,13% (très loin du seuil de 15% considéré comme excellent) et un ROA de 0,14%, confirmant l'incapacité de la banque à générer de la rentabilité sur ses actifs. Le coefficient d'exploitation, indicateur clé d'efficacité bancaire, se dégrade à 74,37% (bien au-dessus du seuil de 60% marquant une banque efficace), tandis que le coût du risque rapporté aux charges financières atteint 67,30%, signalant un portefeuille de crédits très détérioré. La structure financière reste fragile avec une autonomie financière de seulement 12,36% (capitaux propres/total bilan), très en-dessous du seuil de 30% considéré comme sain, et un ratio d'endettement de 178,61%. Les dépôts clientèle (183 280 millions FCFA) couvrent les créances clientèle (128 447 millions FCFA), mais la contraction volontaire des crédits (-20,9%) et la progression modeste des dépôts (+4,0%) traduisent une stratégie de repli prudent. Les rapports narratifs confirment ce diagnostic : le rapport du 2nd semestre 2025 (publié le 31/12/2025) mentionne une provision exceptionnelle de 4,8 milliards FCFA liée au taux de sinistralité sectoriel de 24%, tandis que le rapport du 1er trimestre 2026 (publié le 31/03/2026) fait état d'un début de redressement avec un PNB en hausse de +7,9% à 5 170 millions FCFA, un résultat net en progression de +28,9% à 1 467,3 millions FCFA, et un coefficient d'exploitation ramené à 56,2% (contre 66,8% un an plus tôt). Sur la base de ce T1 2026, on estime que l'exercice 2026 pourrait marquer une reprise significative, avec un PNB annualisé d'environ 22 327 millions FCFA (+6,4%) et un résultat net potentiellement multiplié par 6 si la trajectoire trimestrielle se confirme — mais cette estimation reste fragile car elle repose sur un seul trimestre après une année 2025 catastrophique. La recommandation fondamentale est donc de **CONSERVER sous surveillance rapprochée** : la solidité financière est actuellement très dégradée (ROE 1,13%, coefficient d'exploitation 74,37%), les risques sont élevés (créances douteuses, dépendance au contexte politique nigérien), mais les perspectives 2026 sont encourageantes et le soutien du groupe Bank of Africa constitue un filet de sécurité.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une divergence profonde entre la valorisation, le comportement du cours, les signaux techniques et les fondamentaux. La valorisation (Partie 0) est extrêmement tendue avec un PER de 254,3x et un EV/EBITDA de 39,1x, ce qui suggère une surévaluation manifeste si l'on se base sur les bénéfices actuels — mais cette valorisation intègre déjà une reprise forte des profits, ce qui la rend vulnérable à tout déception. Le comportement du cours (Partie 1) est haussier sur 100 jours (+43,47%) mais montre des signes d'essoufflement (repli de -5,66% en J-1), avec une volatilité élevée (41,5%) et une distribution platykurtique (kurtosis -1,562) qui indique une absence de pics extrêmes mais une dispersion modérée. Les signaux techniques (Partie 2) sont majoritairement neutres à baissiers : MACD en vente, cours sous les moyennes mobiles, RSI à 38,17 (neutre bas), Stochastique baissier — seul le signal "Achat" des moyennes mobiles apporte une note positive, mais il est contredit par la position du cours sous ces mêmes moyennes. Les fondamentaux (Partie 3) sont très dégradés pour 2025 (ROE 1,13%, résultat net -91,8%) mais les rapports T1 2026 (publiés le 31/03/2026) montrent un redressement encourageant (résultat net +28,9%, coefficient d'exploitation à 56,2%). Les prédictions IA (J+1 à J+10) anticipent une trajectoire haussière modérée de 5 176 FCFA à 5 253 FCFA (+5,1% sur 10 jours), ce qui contredit le momentum baissier actuel et suggère un rebond technique à court terme. **Recommandation finale : CONSERVER**. Cette recommandation reflète la convergence imparfaite des signaux : la valorisation est trop chère pour un achat agressif, les techniques sont baissières à court terme, mais les fondamentaux montrent une amélioration naissante et les prédictions IA anticipent un rebond. Le niveau de confiance est **Moyen** (les données T1 2026 sont encourageantes mais un seul trimestre ne suffit pas à confirmer la tendance), et le niveau de risque global est **Élevé** (volatilité 41,5%, dépendance au contexte politique nigérien, créances douteuses à 24%). L'horizon d'investissement optimal est le **moyen terme (3-12 mois)** , le temps que les trimestres suivants confirment le redressement opérationnel et que la valorisation se normalise — les investisseurs en recherche de dividendes ou de rentabilité immédiate doivent s'abstenir, tandis que les investisseurs patients prêts à tolérer un risque élevé pourraient envisager un renforcement progressif sur repli vers 4 700-4 800 FCFA.</w:t>
      </w:r>
    </w:p>
    <w:p>
      <w:pPr>
        <w:spacing w:after="120" w:line="276" w:lineRule="auto"/>
      </w:pPr>
      <w:r>
        <w: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294.30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11,606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007800"/>
                <w:sz w:val="17"/>
              </w:rPr>
              <w:t>+10.62%</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μ=7,729 FCFA, σ=364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β=0.6131 (Défensif) — Cov=0.000042, Var(idx)=0.000069, ρ=0.301,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11,606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7,523</w:t>
            </w:r>
          </w:p>
        </w:tc>
        <w:tc>
          <w:tcPr>
            <w:tcW w:type="dxa" w:w="1440"/>
            <w:shd w:fill="FFDCE0" w:val="clear"/>
          </w:tcPr>
          <w:p>
            <w:r>
              <w:rPr>
                <w:b/>
                <w:sz w:val="17"/>
              </w:rPr>
              <w:t>7,860</w:t>
            </w:r>
          </w:p>
        </w:tc>
        <w:tc>
          <w:tcPr>
            <w:tcW w:type="dxa" w:w="1440"/>
            <w:shd w:fill="FFDCE0" w:val="clear"/>
          </w:tcPr>
          <w:p>
            <w:r>
              <w:rPr>
                <w:sz w:val="17"/>
              </w:rPr>
              <w:t>8,197</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7,339</w:t>
            </w:r>
          </w:p>
        </w:tc>
        <w:tc>
          <w:tcPr>
            <w:tcW w:type="dxa" w:w="1440"/>
            <w:shd w:fill="FFDCE0" w:val="clear"/>
          </w:tcPr>
          <w:p>
            <w:r>
              <w:rPr>
                <w:b/>
                <w:sz w:val="17"/>
              </w:rPr>
              <w:t>7,745</w:t>
            </w:r>
          </w:p>
        </w:tc>
        <w:tc>
          <w:tcPr>
            <w:tcW w:type="dxa" w:w="1440"/>
            <w:shd w:fill="FFDCE0" w:val="clear"/>
          </w:tcPr>
          <w:p>
            <w:r>
              <w:rPr>
                <w:sz w:val="17"/>
              </w:rPr>
              <w:t>8,152</w:t>
            </w:r>
          </w:p>
        </w:tc>
        <w:tc>
          <w:tcPr>
            <w:tcW w:type="dxa" w:w="1440"/>
            <w:shd w:fill="FFDCE0" w:val="clear"/>
          </w:tcPr>
          <w:p>
            <w:r>
              <w:rPr>
                <w:b/>
                <w:color w:val="C00000"/>
                <w:sz w:val="17"/>
              </w:rPr>
              <w:t>-5.3%</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7,178</w:t>
            </w:r>
          </w:p>
        </w:tc>
        <w:tc>
          <w:tcPr>
            <w:tcW w:type="dxa" w:w="1440"/>
            <w:shd w:fill="FFDCE0" w:val="clear"/>
          </w:tcPr>
          <w:p>
            <w:r>
              <w:rPr>
                <w:b/>
                <w:sz w:val="17"/>
              </w:rPr>
              <w:t>7,641</w:t>
            </w:r>
          </w:p>
        </w:tc>
        <w:tc>
          <w:tcPr>
            <w:tcW w:type="dxa" w:w="1440"/>
            <w:shd w:fill="FFDCE0" w:val="clear"/>
          </w:tcPr>
          <w:p>
            <w:r>
              <w:rPr>
                <w:sz w:val="17"/>
              </w:rPr>
              <w:t>8,104</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7,032</w:t>
            </w:r>
          </w:p>
        </w:tc>
        <w:tc>
          <w:tcPr>
            <w:tcW w:type="dxa" w:w="1440"/>
            <w:shd w:fill="FFDCE0" w:val="clear"/>
          </w:tcPr>
          <w:p>
            <w:r>
              <w:rPr>
                <w:b/>
                <w:sz w:val="17"/>
              </w:rPr>
              <w:t>7,543</w:t>
            </w:r>
          </w:p>
        </w:tc>
        <w:tc>
          <w:tcPr>
            <w:tcW w:type="dxa" w:w="1440"/>
            <w:shd w:fill="FFDCE0" w:val="clear"/>
          </w:tcPr>
          <w:p>
            <w:r>
              <w:rPr>
                <w:sz w:val="17"/>
              </w:rPr>
              <w:t>8,054</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6,897</w:t>
            </w:r>
          </w:p>
        </w:tc>
        <w:tc>
          <w:tcPr>
            <w:tcW w:type="dxa" w:w="1440"/>
            <w:shd w:fill="FFDCE0" w:val="clear"/>
          </w:tcPr>
          <w:p>
            <w:r>
              <w:rPr>
                <w:b/>
                <w:sz w:val="17"/>
              </w:rPr>
              <w:t>7,450</w:t>
            </w:r>
          </w:p>
        </w:tc>
        <w:tc>
          <w:tcPr>
            <w:tcW w:type="dxa" w:w="1440"/>
            <w:shd w:fill="FFDCE0" w:val="clear"/>
          </w:tcPr>
          <w:p>
            <w:r>
              <w:rPr>
                <w:sz w:val="17"/>
              </w:rPr>
              <w:t>8,002</w:t>
            </w:r>
          </w:p>
        </w:tc>
        <w:tc>
          <w:tcPr>
            <w:tcW w:type="dxa" w:w="1440"/>
            <w:shd w:fill="FFDCE0" w:val="clear"/>
          </w:tcPr>
          <w:p>
            <w:r>
              <w:rPr>
                <w:b/>
                <w:color w:val="C00000"/>
                <w:sz w:val="17"/>
              </w:rPr>
              <w:t>-8.9%</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6,771</w:t>
            </w:r>
          </w:p>
        </w:tc>
        <w:tc>
          <w:tcPr>
            <w:tcW w:type="dxa" w:w="1440"/>
            <w:shd w:fill="FFDCE0" w:val="clear"/>
          </w:tcPr>
          <w:p>
            <w:r>
              <w:rPr>
                <w:b/>
                <w:sz w:val="17"/>
              </w:rPr>
              <w:t>7,361</w:t>
            </w:r>
          </w:p>
        </w:tc>
        <w:tc>
          <w:tcPr>
            <w:tcW w:type="dxa" w:w="1440"/>
            <w:shd w:fill="FFDCE0" w:val="clear"/>
          </w:tcPr>
          <w:p>
            <w:r>
              <w:rPr>
                <w:sz w:val="17"/>
              </w:rPr>
              <w:t>7,951</w:t>
            </w:r>
          </w:p>
        </w:tc>
        <w:tc>
          <w:tcPr>
            <w:tcW w:type="dxa" w:w="1440"/>
            <w:shd w:fill="FFDCE0" w:val="clear"/>
          </w:tcPr>
          <w:p>
            <w:r>
              <w:rPr>
                <w:b/>
                <w:color w:val="C00000"/>
                <w:sz w:val="17"/>
              </w:rPr>
              <w:t>-10.0%</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6,652</w:t>
            </w:r>
          </w:p>
        </w:tc>
        <w:tc>
          <w:tcPr>
            <w:tcW w:type="dxa" w:w="1440"/>
            <w:shd w:fill="FFDCE0" w:val="clear"/>
          </w:tcPr>
          <w:p>
            <w:r>
              <w:rPr>
                <w:b/>
                <w:sz w:val="17"/>
              </w:rPr>
              <w:t>7,276</w:t>
            </w:r>
          </w:p>
        </w:tc>
        <w:tc>
          <w:tcPr>
            <w:tcW w:type="dxa" w:w="1440"/>
            <w:shd w:fill="FFDCE0" w:val="clear"/>
          </w:tcPr>
          <w:p>
            <w:r>
              <w:rPr>
                <w:sz w:val="17"/>
              </w:rPr>
              <w:t>7,899</w:t>
            </w:r>
          </w:p>
        </w:tc>
        <w:tc>
          <w:tcPr>
            <w:tcW w:type="dxa" w:w="1440"/>
            <w:shd w:fill="FFDCE0" w:val="clear"/>
          </w:tcPr>
          <w:p>
            <w:r>
              <w:rPr>
                <w:b/>
                <w:color w:val="C00000"/>
                <w:sz w:val="17"/>
              </w:rPr>
              <w:t>-11.0%</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6,541</w:t>
            </w:r>
          </w:p>
        </w:tc>
        <w:tc>
          <w:tcPr>
            <w:tcW w:type="dxa" w:w="1440"/>
            <w:shd w:fill="FFDCE0" w:val="clear"/>
          </w:tcPr>
          <w:p>
            <w:r>
              <w:rPr>
                <w:b/>
                <w:sz w:val="17"/>
              </w:rPr>
              <w:t>7,195</w:t>
            </w:r>
          </w:p>
        </w:tc>
        <w:tc>
          <w:tcPr>
            <w:tcW w:type="dxa" w:w="1440"/>
            <w:shd w:fill="FFDCE0" w:val="clear"/>
          </w:tcPr>
          <w:p>
            <w:r>
              <w:rPr>
                <w:sz w:val="17"/>
              </w:rPr>
              <w:t>7,849</w:t>
            </w:r>
          </w:p>
        </w:tc>
        <w:tc>
          <w:tcPr>
            <w:tcW w:type="dxa" w:w="1440"/>
            <w:shd w:fill="FFDCE0" w:val="clear"/>
          </w:tcPr>
          <w:p>
            <w:r>
              <w:rPr>
                <w:b/>
                <w:color w:val="C00000"/>
                <w:sz w:val="17"/>
              </w:rPr>
              <w:t>-12.0%</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6,435</w:t>
            </w:r>
          </w:p>
        </w:tc>
        <w:tc>
          <w:tcPr>
            <w:tcW w:type="dxa" w:w="1440"/>
            <w:shd w:fill="FFDCE0" w:val="clear"/>
          </w:tcPr>
          <w:p>
            <w:r>
              <w:rPr>
                <w:b/>
                <w:sz w:val="17"/>
              </w:rPr>
              <w:t>7,117</w:t>
            </w:r>
          </w:p>
        </w:tc>
        <w:tc>
          <w:tcPr>
            <w:tcW w:type="dxa" w:w="1440"/>
            <w:shd w:fill="FFDCE0" w:val="clear"/>
          </w:tcPr>
          <w:p>
            <w:r>
              <w:rPr>
                <w:sz w:val="17"/>
              </w:rPr>
              <w:t>7,799</w:t>
            </w:r>
          </w:p>
        </w:tc>
        <w:tc>
          <w:tcPr>
            <w:tcW w:type="dxa" w:w="1440"/>
            <w:shd w:fill="FFDCE0" w:val="clear"/>
          </w:tcPr>
          <w:p>
            <w:r>
              <w:rPr>
                <w:b/>
                <w:color w:val="C00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 Banque*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294,30 milliards FCFA, BOAS s'impose comme l'une des valeurs bancaires de référence de la cote BRVM, offrant une liquidité appréciable au sein du compartiment financier régional. Le BPA de 608 FCFA par action traduit une capacité bénéficiaire solide, chaque titre générant près de 608 FCFA de profit net. Le PER de 13,4x situe le titre légèrement au-dessus de la moyenne du marché BRVM (8-12x), ce qui traduit une prime de qualité modérée plutôt qu'une surévaluation excessive. Le P/B de 3,05x indique que le marché valorise la banque à environ trois fois ses fonds propres comptables, une prime de croissance cohérente avec un ROE de 22,7%, largement supérieur au coût des fonds propres. Enfin, l'EV/EBITDA de 8,7x, dans la fourchette raisonnable de 5-10x, suggère que la valeur d'entreprise reste proportionnée à la capacité opérationnelle de la banque.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 enregistré une progression totale de +10,62%, avec une dernière séance en hausse de +0,37%, confirmant une dynamique haussière de fond. Le cours actuel de 8 175 FCFA évolue dans un range de trading de 1 250 FCFA, entre un plus bas de 7 250 FCFA et un plus haut de 8 500 FCFA, soit une amplitude de 17,2% qui témoigne d'une volatilité contenue mais réelle. La moyenne de 7 729 FCFA et la médiane de 7 695 FCFA sont très proches (écart de 0,4%), signe d'une distribution équilibrée sans valeurs extrêmes dominantes, tandis que le mode à 7 700 FCFA confirme cette zone de consolidation. L'écart-type de 366 FCFA avec un coefficient de variation de 4,7% indique une dispersion faible du cours autour de sa moyenne, caractéristique d'un titre relativement stable. Le kurtosis de -1,131 (platykurtique) révèle une distribution aplatie avec un risque de pics extrêmes limité, et le skewness de 0,415 (proche de la symétrie) suggère une légère asymétrie positive sans biais marqué. La volatilité annualisée de 26,5% classe BOAS dans la catégorie des titres à volatilité modérée (15-30%), offrant un profil risque/rendement équilibré pour un investisseur de moyen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(8 134 FCFA) et la MM50 (8 007 FCFA) se situent toutes deux sous le cours actuel de 8 175 FCFA, avec la MM20 au-dessus de la MM50, configuration typique d'une tendance haussière. Le signal d'achat est confirmé par cette structure en croisement doré, bien que le cours reste proche de ses moyennes, limitant le potentiel de surchauffe.</w:t>
      </w:r>
    </w:p>
    <w:p>
      <w:pPr>
        <w:spacing w:after="120" w:line="276" w:lineRule="auto"/>
      </w:pPr>
      <w:r>
        <w:t>**Bandes de Bollinger** : Le cours (8 175 FCFA) évolue dans la partie supérieure de la bande, entre la borne inférieure (7 778 FCFA) et supérieure (8 490 FCFA), sans franchir cette dernière. Cette position neutre indique une absence de pression acheteuse ou vendeuse excessive, avec une volatilité stable justifiant la décision neutre.</w:t>
      </w:r>
    </w:p>
    <w:p>
      <w:pPr>
        <w:spacing w:after="120" w:line="276" w:lineRule="auto"/>
      </w:pPr>
      <w:r>
        <w:t>**MACD** : La valeur du MACD (9,574) est inférieure à son signal (16,205), générant un croisement baissier et une décision de vente. Cette divergence négative suggère un essoufflement du momentum haussier à court terme, bien que l'écart reste modéré et puisse se résorber rapidement.</w:t>
      </w:r>
    </w:p>
    <w:p>
      <w:pPr>
        <w:spacing w:after="120" w:line="276" w:lineRule="auto"/>
      </w:pPr>
      <w:r>
        <w:t>**RSI** : À 49,091, le RSI se situe parfaitement dans la zone neutre (30-70), sans signal de surachat ni de survente. Cette position médiane confirme l'absence de tension sur le titre et justifie une décision neutre, en attente d'un catalyseur directionnel.</w:t>
      </w:r>
    </w:p>
    <w:p>
      <w:pPr>
        <w:spacing w:after="120" w:line="276" w:lineRule="auto"/>
      </w:pPr>
      <w:r>
        <w:t>**Stochastique** : Le %K (75,0) et le %D (72,143) évoluent en zone haute sans franchir le seuil de surachat (80), avec un %K légèrement supérieur au %D. Cette configuration neutre indique une dynamique positive modérée, sans signal de retournement imminent.</w:t>
      </w:r>
    </w:p>
    <w:p>
      <w:pPr>
        <w:spacing w:after="120" w:line="276" w:lineRule="auto"/>
      </w:pPr>
      <w:r>
        <w:t>**Conclusion technique** : Les indicateurs techniques présentent un tableau mitigé, avec des signaux haussiers (moyennes mobiles) compensés par des signaux baissiers (MACD) et neutres (Bollinger, RSI, Stochastique). Le titre évolue dans une zone de consolidation sans direction claire, ce qui plaide pour une posture attentiste à court terme, en attendant une confirmation de tendance par le franchissement de la borne supérieure des Bollinger (8 490 FCFA) ou un retournement du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solides avec un Produit Net Bancaire (PNB) de 51,926 milliards FCFA, un résultat net de 21,905 milliards FCFA, un ROE de 22,69% (excellent, &gt;15%) et un ROA de 2,62%. Le coefficient d'exploitation de 44,02% confirme une efficacité opérationnelle remarquable (&lt;60% = banque efficace), tandis que le coût du risque de 23,31% des charges financières reste un point de vigilance, bien qu'il soit compensé par une marge nette élevée de 42,19%. La structure financière montre une autonomie financière de 11,54% (faible mais typique du modèle bancaire) et une solvabilité générale de 113,05%, avec un ratio dépôts/créances de 1,78x (686,927 Mds FCFA de dépôts pour 386,424 Mds FCFA de crédits), traduisant une surliquidité et une capacité de transformation maîtrisée. Les rapports trimestriels récents confirment cette dynamique : le rapport du T1 2026 (publié le 31 mars 2026) fait état d'un PNB de 12,580 milliards FCFA (+6,82%) et d'un résultat net de 5,741 milliards FCFA (+9,78%), avec un coefficient d'exploitation en amélioration à 42,1% et une marge nette de 45,7%. Le rapport du S1 2026 (publié le 30 juin 2026) indique un PNB semestriel de 27,206 milliards FCFA, en hausse par rapport aux 25,37 milliards FCFA du S1 2025 (+7,2%), confirmant la trajectoire de croissance. Sur la base de ces tendances, on estime que l'exercice 2026 devrait enregistrer un PNB annuel d'environ 54-55 milliards FCFA et un résultat net de l'ordre de 23-24 milliards FCFA, soit une croissance de 5-8% par rapport à 2025. Les risques identifiés incluent une concentration sur le marché sénégalais, une concurrence accrue et une possible dégradation de la qualité des actifs dans un environnement économique incertain, mais la solidité des fondamentaux et la dynamique commerciale soutenue plaident pour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13,4x, P/B 3,05x, EV/EBITDA 8,7x) indique une légère prime par rapport au marché BRVM, justifiée par un ROE élevé de 22,69% et une croissance bénéficiaire soutenue, sans toutefois présenter de signaux de surévaluation excessive. Le comportement du cours sur 100 jours (+10,62%) est favorable, avec une volatilité modérée (26,5%) et des statistiques descriptives équilibrées (skewness 0,415, kurtosis -1,131) qui suggèrent un risque de pics limité et une tendance haussière stable. Les signaux techniques sont mitigés : les moyennes mobiles confirment la tendance haussière, mais le MACD baissier et les indicateurs neutres (RSI, Stochastique, Bollinger) plaident pour une consolidation à court terme, sans divergence majeure. Les fondamentaux sont solides, avec un PNB de 51,926 milliards FCFA en 2025, un résultat net de 21,905 milliards FCFA, un coefficient d'exploitation de 44,02% et des rapports trimestriels 2026 confirmant la croissance (+6,82% de PNB au T1 2026, +7,2% au S1 2026). Les prédictions IA pour les 10 prochains jours (7860 → 7450 FCFA) suggèrent une correction baissière de -8,9%, ce qui contredit la tendance haussière récente et les signaux techniques haussiers, mais pourrait offrir un point d'entrée attractif. Sur la base de cette synthèse, la recommandation finale est **ACHAT**, avec un niveau de confiance **Moyen** et un risque global **Moyen**. La convergence entre valorisation raisonnable, fondamentaux solides et tendance de fond haussière soutient cette recommandation, bien que la divergence à court terme (MACD baissier, prédictions IA baissières) incite à la prudence. L'horizon d'investissement optimal est le **moyen terme (3-12 mois)**, pour capitaliser sur la croissance bénéficiaire et la solidité des fondamentaux, en ignorant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2,049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-3.00%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7.85% (Moyenne) — μ=3,682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β=0.3506 (Défensif) — Cov=0.000024, Var(idx)=0.000069,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σ_j=2.84%/j (Stable) — Vol. annualisée≈45.0%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3,229</w:t>
            </w:r>
          </w:p>
        </w:tc>
        <w:tc>
          <w:tcPr>
            <w:tcW w:type="dxa" w:w="1440"/>
            <w:shd w:fill="FAFAFA" w:val="clear"/>
          </w:tcPr>
          <w:p>
            <w:r>
              <w:rPr>
                <w:b/>
                <w:sz w:val="17"/>
              </w:rPr>
              <w:t>3,376</w:t>
            </w:r>
          </w:p>
        </w:tc>
        <w:tc>
          <w:tcPr>
            <w:tcW w:type="dxa" w:w="1440"/>
            <w:shd w:fill="FAFAFA" w:val="clear"/>
          </w:tcPr>
          <w:p>
            <w:r>
              <w:rPr>
                <w:sz w:val="17"/>
              </w:rPr>
              <w:t>3,522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3,187</w:t>
            </w:r>
          </w:p>
        </w:tc>
        <w:tc>
          <w:tcPr>
            <w:tcW w:type="dxa" w:w="1440"/>
            <w:shd w:fill="FAFAFA" w:val="clear"/>
          </w:tcPr>
          <w:p>
            <w:r>
              <w:rPr>
                <w:b/>
                <w:sz w:val="17"/>
              </w:rPr>
              <w:t>3,366</w:t>
            </w:r>
          </w:p>
        </w:tc>
        <w:tc>
          <w:tcPr>
            <w:tcW w:type="dxa" w:w="1440"/>
            <w:shd w:fill="FAFAFA" w:val="clear"/>
          </w:tcPr>
          <w:p>
            <w:r>
              <w:rPr>
                <w:sz w:val="17"/>
              </w:rPr>
              <w:t>3,545</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3,151</w:t>
            </w:r>
          </w:p>
        </w:tc>
        <w:tc>
          <w:tcPr>
            <w:tcW w:type="dxa" w:w="1440"/>
            <w:shd w:fill="FAFAFA" w:val="clear"/>
          </w:tcPr>
          <w:p>
            <w:r>
              <w:rPr>
                <w:b/>
                <w:sz w:val="17"/>
              </w:rPr>
              <w:t>3,357</w:t>
            </w:r>
          </w:p>
        </w:tc>
        <w:tc>
          <w:tcPr>
            <w:tcW w:type="dxa" w:w="1440"/>
            <w:shd w:fill="FAFAFA" w:val="clear"/>
          </w:tcPr>
          <w:p>
            <w:r>
              <w:rPr>
                <w:sz w:val="17"/>
              </w:rPr>
              <w:t>3,563</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3,120</w:t>
            </w:r>
          </w:p>
        </w:tc>
        <w:tc>
          <w:tcPr>
            <w:tcW w:type="dxa" w:w="1440"/>
            <w:shd w:fill="FAFAFA" w:val="clear"/>
          </w:tcPr>
          <w:p>
            <w:r>
              <w:rPr>
                <w:b/>
                <w:sz w:val="17"/>
              </w:rPr>
              <w:t>3,350</w:t>
            </w:r>
          </w:p>
        </w:tc>
        <w:tc>
          <w:tcPr>
            <w:tcW w:type="dxa" w:w="1440"/>
            <w:shd w:fill="FAFAFA" w:val="clear"/>
          </w:tcPr>
          <w:p>
            <w:r>
              <w:rPr>
                <w:sz w:val="17"/>
              </w:rPr>
              <w:t>3,580</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3,093</w:t>
            </w:r>
          </w:p>
        </w:tc>
        <w:tc>
          <w:tcPr>
            <w:tcW w:type="dxa" w:w="1440"/>
            <w:shd w:fill="FAFAFA" w:val="clear"/>
          </w:tcPr>
          <w:p>
            <w:r>
              <w:rPr>
                <w:b/>
                <w:sz w:val="17"/>
              </w:rPr>
              <w:t>3,344</w:t>
            </w:r>
          </w:p>
        </w:tc>
        <w:tc>
          <w:tcPr>
            <w:tcW w:type="dxa" w:w="1440"/>
            <w:shd w:fill="FAFAFA" w:val="clear"/>
          </w:tcPr>
          <w:p>
            <w:r>
              <w:rPr>
                <w:sz w:val="17"/>
              </w:rPr>
              <w:t>3,596</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3,069</w:t>
            </w:r>
          </w:p>
        </w:tc>
        <w:tc>
          <w:tcPr>
            <w:tcW w:type="dxa" w:w="1440"/>
            <w:shd w:fill="FAFAFA" w:val="clear"/>
          </w:tcPr>
          <w:p>
            <w:r>
              <w:rPr>
                <w:b/>
                <w:sz w:val="17"/>
              </w:rPr>
              <w:t>3,340</w:t>
            </w:r>
          </w:p>
        </w:tc>
        <w:tc>
          <w:tcPr>
            <w:tcW w:type="dxa" w:w="1440"/>
            <w:shd w:fill="FAFAFA" w:val="clear"/>
          </w:tcPr>
          <w:p>
            <w:r>
              <w:rPr>
                <w:sz w:val="17"/>
              </w:rPr>
              <w:t>3,612</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3,048</w:t>
            </w:r>
          </w:p>
        </w:tc>
        <w:tc>
          <w:tcPr>
            <w:tcW w:type="dxa" w:w="1440"/>
            <w:shd w:fill="FAFAFA" w:val="clear"/>
          </w:tcPr>
          <w:p>
            <w:r>
              <w:rPr>
                <w:b/>
                <w:sz w:val="17"/>
              </w:rPr>
              <w:t>3,338</w:t>
            </w:r>
          </w:p>
        </w:tc>
        <w:tc>
          <w:tcPr>
            <w:tcW w:type="dxa" w:w="1440"/>
            <w:shd w:fill="FAFAFA" w:val="clear"/>
          </w:tcPr>
          <w:p>
            <w:r>
              <w:rPr>
                <w:sz w:val="17"/>
              </w:rPr>
              <w:t>3,628</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3,028</w:t>
            </w:r>
          </w:p>
        </w:tc>
        <w:tc>
          <w:tcPr>
            <w:tcW w:type="dxa" w:w="1440"/>
            <w:shd w:fill="FAFAFA" w:val="clear"/>
          </w:tcPr>
          <w:p>
            <w:r>
              <w:rPr>
                <w:b/>
                <w:sz w:val="17"/>
              </w:rPr>
              <w:t>3,335</w:t>
            </w:r>
          </w:p>
        </w:tc>
        <w:tc>
          <w:tcPr>
            <w:tcW w:type="dxa" w:w="1440"/>
            <w:shd w:fill="FAFAFA" w:val="clear"/>
          </w:tcPr>
          <w:p>
            <w:r>
              <w:rPr>
                <w:sz w:val="17"/>
              </w:rPr>
              <w:t>3,643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3,010</w:t>
            </w:r>
          </w:p>
        </w:tc>
        <w:tc>
          <w:tcPr>
            <w:tcW w:type="dxa" w:w="1440"/>
            <w:shd w:fill="FAFAFA" w:val="clear"/>
          </w:tcPr>
          <w:p>
            <w:r>
              <w:rPr>
                <w:b/>
                <w:sz w:val="17"/>
              </w:rPr>
              <w:t>3,334</w:t>
            </w:r>
          </w:p>
        </w:tc>
        <w:tc>
          <w:tcPr>
            <w:tcW w:type="dxa" w:w="1440"/>
            <w:shd w:fill="FAFAFA" w:val="clear"/>
          </w:tcPr>
          <w:p>
            <w:r>
              <w:rPr>
                <w:sz w:val="17"/>
              </w:rPr>
              <w:t>3,657</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20,10 milliards FCFA, CABC se positionne comme une valeur de petite capitalisation sur le marché BRVM, ce qui la rend sensible aux mouvements de faible volume. Le BPA de 243 FCFA par action indique que chaque titre génère un bénéfice net de 243 FCFA, mais ce chiffre doit être nuancé au regard de la volatilité historique des résultats. Le PER de 14,0x traduit une valorisation modérée à légèrement supérieure à la moyenne du marché BRVM (8-12x), suggérant que les investisseurs intègrent déjà une prime de croissance ou de redressement. Le P/B de 2,15x montre que le marché valorise l'entreprise à plus du double de sa valeur comptable, ce qui est cohérent avec une prime de croissance accordée aux valeurs industrielles, mais expose à un risque de correction si les bénéfices ne suivent pas. Enfin, l'EV/EBITDA de 7,0x situe la valeur d'entreprise à un niveau raisonnable (fourchette 5-10x), indiquant que la capacité opérationnelle est correctement valorisée par rapport à l'endettement.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 enregistré une variation totale de -3,00%, avec une stabilité parfaite en dernière séance (0,00%), s'établissant à 3 395 FCFA. Le titre a évolué dans un range de 1 310 FCFA, entre un plus haut de 4 500 FCFA et un plus bas de 3 190 FCFA, ce qui traduit une tendance générale baissière ponctuée de rebonds techniques. La moyenne du cours (3 682 FCFA) est supérieure à la médiane (3 592 FCFA), confirmant une asymétrie positive (skewness de 0,963) avec davantage de journées de cotation sous la moyenne, signe d'une pression vendeuse persistante. L'écart-type de 290 FCFA et le coefficient de variation de 7,9% indiquent une dispersion modérée du cours autour de sa moyenne, tandis que le kurtosis de 0,484 (mésokurtique) suggère une distribution proche de la normale, sans risque extrême de pics. La volatilité annualisée de 45,0% classe le titre dans la catégorie des valeurs à volatilité élevée (&gt;30%), ce qui implique un risque de perte en capital significatif et justifie une approche prudente. Le mode à 3 500 FCFA, proche du cours actuel, indique que ce niveau constitue une zone d'équilibre psychologique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(3 411,25 FCFA) et la MM50 (3 516,2 FCFA) se situent toutes deux au-dessus du cours actuel (3 395 FCFA), confirmant une configuration baissière. La MM20 étant inférieure à la MM50, on observe un croisement baissier (death cross), ce qui justifie la décision de vente émise par cet indicateur. Le cours évoluant sous ses deux moyennes, la pression vendeuse reste dominante à court et moyen terme.</w:t>
      </w:r>
    </w:p>
    <w:p>
      <w:pPr>
        <w:spacing w:after="120" w:line="276" w:lineRule="auto"/>
      </w:pPr>
      <w:r>
        <w:t>**Bandes de Bollinger** : Le cours actuel (3 395 FCFA) se situe dans la partie inférieure de la bande, entre la borne inférieure (3 201,64 FCFA) et la borne supérieure (3 620,86 FCFA), mais plus proche de la borne basse. Cette position suggère une pression baissière modérée, sans être en zone de survente extrême. La décision neutre reflète l'absence de signal clair, le cours n'ayant pas encore touché la borne inférieure qui constituerait un signal d'achat technique.</w:t>
      </w:r>
    </w:p>
    <w:p>
      <w:pPr>
        <w:spacing w:after="120" w:line="276" w:lineRule="auto"/>
      </w:pPr>
      <w:r>
        <w:t>**MACD** : La valeur du MACD (-52,495) est supérieure à son signal (-63,705), générant un croisement haussier (MACD au-dessus du signal) qui justifie la décision d'achat. Cette configuration indique un ralentissement de la dynamique baissière et un possible retournement à court terme, bien que les deux lignes restent en territoire négatif, ce qui tempère la portée du signal.</w:t>
      </w:r>
    </w:p>
    <w:p>
      <w:pPr>
        <w:spacing w:after="120" w:line="276" w:lineRule="auto"/>
      </w:pPr>
      <w:r>
        <w:t>**RSI** : À 42,553, le RSI se situe en zone neutre (30-70), sans signal de surachat ni de survente. Cette valeur indique un équilibre relatif entre acheteurs et vendeurs, avec une légère prédominance baissière (sous 50), ce qui justifie la décision neutre. Un franchissement à la hausse de 50 confirmerait un regain de momentum.</w:t>
      </w:r>
    </w:p>
    <w:p>
      <w:pPr>
        <w:spacing w:after="120" w:line="276" w:lineRule="auto"/>
      </w:pPr>
      <w:r>
        <w:t>**Stochastique** : Le %K et le %D sont tous deux à 66,129, en zone neutre-haute mais sans croisement significatif. Cette configuration indique que le cours évolue dans une dynamique haussière modérée à court terme, sans signal de surachat (seuil 80), ce qui justifie la décision neutre. Un croisement du %K sous le %D serait un signal de vente.</w:t>
      </w:r>
    </w:p>
    <w:p>
      <w:pPr>
        <w:spacing w:after="120" w:line="276" w:lineRule="auto"/>
      </w:pPr>
      <w:r>
        <w:t>**Conclusion technique** : Les indicateurs techniques présentent des signaux divergents : les moyennes mobiles sont baissières (vente), le MACD est haussier (achat), tandis que le RSI, les bandes de Bollinger et le stochastique sont neutres. Cette divergence suggère une phase d'incertitude et de consolidation, avec un léger avantage aux vendeurs compte tenu de la position du cours sous ses moyennes mobiles. La prudence est de mise en attendant une convergence des signaux.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contrastée : le chiffre d'affaires s'établit à 21 263 M FCFA, en croissance de 11,18% par rapport à 2024, et le résultat net atteint 1 439 M FCFA, soit une marge nette de 6,77%. Le ROE de 15,40% est excellent (&gt;15%), témoignant d'une bonne rentabilité des fonds propres, tandis que le ROA de 6,10% reste modéré. Cependant, l'analyse du bilan met en évidence des signaux d'alerte : les créances clients (8 429 M FCFA) et les stocks (7 400 M FCFA) représentent des délais respectifs de 144,69 jours et 152,12 jours, ce qui constitue un risque de trésorerie majeur. Le BFR de 7 186 M FCFA (positif) et le flux opérationnel négatif de -819,66 M FCFA confirment une tension sur la liquidité, malgré une trésorerie nette de 5 139 M FCFA. L'autonomie financière de 39,58% est saine (&gt;30%), et la capacité de remboursement de 0,26 an est excellente, mais le ratio d'endettement de 60,42% mérite surveillance. Les rapports trimestriels de 2025 (S1 et T3) indiquent une dynamique positive : au S1 2025 (rapport du 30 juin 2025), le CA progressait de +12,0% et le résultat net de +55,3%, avec une marge nette de 7,9% ; au T3 2025 (rapport du 30 septembre 2025), le CA cumulé atteignait 16 630 M FCFA (+13,7%) et le résultat net 1 329,5 M FCFA (+26,0%). Sur cette base, on estime que l'exercice 2025 devrait confirmer une croissance à deux chiffres du CA et une amélioration de la rentabilité, mais la pression sur les marges opérationnelles (liée à la part croissante du négoce, moins marginal) et la dégradation de la trésorerie constituent des risques. Le rapport T1 2026 (rapport du 31 mars 2026) révèle toutefois un net ralentissement : CA en baisse de -26,5% à 3 794 M FCFA, perte d'exploitation de -237 M FCFA et résultat net déficitaire de -221,7 M FCFA, en raison d'une maintenance planifiée et de l'inflation des cours des métaux (+23%). La direction anticipe une normalisation dès le T2 2026, mais cette contre-performance remet en question la trajectoire de croissance. **Recommandation fondamentale** : la solidité du bilan (autonomie financière, capacité de remboursement) et la croissance du CA sont des atouts, mais la dégradation récente des résultats, la tension sur la trésorerie et le risque de crédit client incitent à la prudence. Le titre présente un profil de risque élevé, avec des perspectives incertaines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CABC (PER de 14,0x, P/B de 2,15x, EV/EBITDA de 7,0x) apparaît modérée à légèrement élevée par rapport aux standards du marché BRVM, suggérant que le marché intègre déjà une prime de redressement qui pourrait ne pas se matérialiser. Le comportement du cours sur 100 jours (variation de -3,00%, volatilité de 45,0%, skewness positive de 0,963) est préoccupant : la tendance baissière, la volatilité élevée et l'asymétrie positive indiquent une pression vendeuse persistante et un risque de perte en capital significatif. Les signaux techniques sont divergents (moyennes mobiles baissières, MACD haussier, RSI et stochastique neutres), reflétant une phase d'incertitude qui ne permet pas de dégager une direction claire. Les fondamentaux sont contrastés : la croissance du CA et le ROE de 15,40% en 2025 sont des points forts, mais la dégradation de la trésorerie, le flux opérationnel négatif et la perte enregistrée au T1 2026 (rapport du 31 mars 2026) constituent des signaux d'alerte majeurs. Les prédictions IA pour les 10 prochains jours (3376 → 3344 FCFA) confirment une trajectoire baissière modérée, en ligne avec la tendance récente et les signaux techniques baissiers. **Recommandation finale : VENTE**. La convergence entre la valorisation tendue, la tendance baissière du cours, les signaux techniques divergents mais globalement baissiers, et la dégradation des fondamentaux au T1 2026 justifie une recommandation négative. Le niveau de confiance est **Moyen** (en raison de la divergence des indicateurs techniques et de l'absence de consensus clair), et le niveau de risque global est **Élevé** (volatilité de 45%, tension sur la trésorerie, perte au T1 2026). L'horizon d'investissement recommandé est **court terme** (&lt;3 mois) pour les investisseurs cherchant à se positionner sur un éventuel rebond technique, mais la prudence reste de mise pour un investissement à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969.60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1,585 titres</w:t>
            </w:r>
          </w:p>
        </w:tc>
        <w:tc>
          <w:tcPr>
            <w:tcW w:type="dxa" w:w="2268"/>
            <w:shd w:fill="FFF2CC" w:val="clear"/>
          </w:tcPr>
          <w:p>
            <w:r>
              <w:rPr>
                <w:b/>
                <w:color w:val="503200"/>
                <w:sz w:val="16"/>
              </w:rPr>
              <w:t xml:space="preserve">Cours actuel : </w:t>
            </w:r>
            <w:r>
              <w:rPr>
                <w:color w:val="000000"/>
                <w:sz w:val="17"/>
              </w:rPr>
              <w:t>30,300 FCFA</w:t>
            </w:r>
          </w:p>
          <w:p>
            <w:r>
              <w:rPr>
                <w:b/>
                <w:color w:val="503200"/>
                <w:sz w:val="16"/>
              </w:rPr>
              <w:t xml:space="preserve">Var. 100 jours : </w:t>
            </w:r>
            <w:r>
              <w:rPr>
                <w:b/>
                <w:color w:val="007800"/>
                <w:sz w:val="17"/>
              </w:rPr>
              <w:t>+80.36%</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16,800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17.55% (Élevée) — μ=26,618 FCFA, σ=4,671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β=1.5760 (Agressif) — Cov=0.000109, Var(idx)=0.000069, ρ=0.466,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27,470</w:t>
            </w:r>
          </w:p>
        </w:tc>
        <w:tc>
          <w:tcPr>
            <w:tcW w:type="dxa" w:w="1440"/>
            <w:shd w:fill="FAFAFA" w:val="clear"/>
          </w:tcPr>
          <w:p>
            <w:r>
              <w:rPr>
                <w:b/>
                <w:sz w:val="17"/>
              </w:rPr>
              <w:t>29,702</w:t>
            </w:r>
          </w:p>
        </w:tc>
        <w:tc>
          <w:tcPr>
            <w:tcW w:type="dxa" w:w="1440"/>
            <w:shd w:fill="FAFAFA" w:val="clear"/>
          </w:tcPr>
          <w:p>
            <w:r>
              <w:rPr>
                <w:sz w:val="17"/>
              </w:rPr>
              <w:t>31,934</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26,783</w:t>
            </w:r>
          </w:p>
        </w:tc>
        <w:tc>
          <w:tcPr>
            <w:tcW w:type="dxa" w:w="1440"/>
            <w:shd w:fill="FFDCE0" w:val="clear"/>
          </w:tcPr>
          <w:p>
            <w:r>
              <w:rPr>
                <w:b/>
                <w:sz w:val="17"/>
              </w:rPr>
              <w:t>29,498</w:t>
            </w:r>
          </w:p>
        </w:tc>
        <w:tc>
          <w:tcPr>
            <w:tcW w:type="dxa" w:w="1440"/>
            <w:shd w:fill="FFDCE0" w:val="clear"/>
          </w:tcPr>
          <w:p>
            <w:r>
              <w:rPr>
                <w:sz w:val="17"/>
              </w:rPr>
              <w:t>32,213</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26,226</w:t>
            </w:r>
          </w:p>
        </w:tc>
        <w:tc>
          <w:tcPr>
            <w:tcW w:type="dxa" w:w="1440"/>
            <w:shd w:fill="FFDCE0" w:val="clear"/>
          </w:tcPr>
          <w:p>
            <w:r>
              <w:rPr>
                <w:b/>
                <w:sz w:val="17"/>
              </w:rPr>
              <w:t>29,344</w:t>
            </w:r>
          </w:p>
        </w:tc>
        <w:tc>
          <w:tcPr>
            <w:tcW w:type="dxa" w:w="1440"/>
            <w:shd w:fill="FFDCE0" w:val="clear"/>
          </w:tcPr>
          <w:p>
            <w:r>
              <w:rPr>
                <w:sz w:val="17"/>
              </w:rPr>
              <w:t>32,463</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25,739</w:t>
            </w:r>
          </w:p>
        </w:tc>
        <w:tc>
          <w:tcPr>
            <w:tcW w:type="dxa" w:w="1440"/>
            <w:shd w:fill="FFDCE0" w:val="clear"/>
          </w:tcPr>
          <w:p>
            <w:r>
              <w:rPr>
                <w:b/>
                <w:sz w:val="17"/>
              </w:rPr>
              <w:t>29,209</w:t>
            </w:r>
          </w:p>
        </w:tc>
        <w:tc>
          <w:tcPr>
            <w:tcW w:type="dxa" w:w="1440"/>
            <w:shd w:fill="FFDCE0" w:val="clear"/>
          </w:tcPr>
          <w:p>
            <w:r>
              <w:rPr>
                <w:sz w:val="17"/>
              </w:rPr>
              <w:t>32,680</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25,303</w:t>
            </w:r>
          </w:p>
        </w:tc>
        <w:tc>
          <w:tcPr>
            <w:tcW w:type="dxa" w:w="1440"/>
            <w:shd w:fill="FFDCE0" w:val="clear"/>
          </w:tcPr>
          <w:p>
            <w:r>
              <w:rPr>
                <w:b/>
                <w:sz w:val="17"/>
              </w:rPr>
              <w:t>29,090</w:t>
            </w:r>
          </w:p>
        </w:tc>
        <w:tc>
          <w:tcPr>
            <w:tcW w:type="dxa" w:w="1440"/>
            <w:shd w:fill="FFDCE0" w:val="clear"/>
          </w:tcPr>
          <w:p>
            <w:r>
              <w:rPr>
                <w:sz w:val="17"/>
              </w:rPr>
              <w:t>32,876</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24,909</w:t>
            </w:r>
          </w:p>
        </w:tc>
        <w:tc>
          <w:tcPr>
            <w:tcW w:type="dxa" w:w="1440"/>
            <w:shd w:fill="FFDCE0" w:val="clear"/>
          </w:tcPr>
          <w:p>
            <w:r>
              <w:rPr>
                <w:b/>
                <w:sz w:val="17"/>
              </w:rPr>
              <w:t>28,983</w:t>
            </w:r>
          </w:p>
        </w:tc>
        <w:tc>
          <w:tcPr>
            <w:tcW w:type="dxa" w:w="1440"/>
            <w:shd w:fill="FFDCE0" w:val="clear"/>
          </w:tcPr>
          <w:p>
            <w:r>
              <w:rPr>
                <w:sz w:val="17"/>
              </w:rPr>
              <w:t>33,058</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24,547</w:t>
            </w:r>
          </w:p>
        </w:tc>
        <w:tc>
          <w:tcPr>
            <w:tcW w:type="dxa" w:w="1440"/>
            <w:shd w:fill="FFDCE0" w:val="clear"/>
          </w:tcPr>
          <w:p>
            <w:r>
              <w:rPr>
                <w:b/>
                <w:sz w:val="17"/>
              </w:rPr>
              <w:t>28,889</w:t>
            </w:r>
          </w:p>
        </w:tc>
        <w:tc>
          <w:tcPr>
            <w:tcW w:type="dxa" w:w="1440"/>
            <w:shd w:fill="FFDCE0" w:val="clear"/>
          </w:tcPr>
          <w:p>
            <w:r>
              <w:rPr>
                <w:sz w:val="17"/>
              </w:rPr>
              <w:t>33,230</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24,212</w:t>
            </w:r>
          </w:p>
        </w:tc>
        <w:tc>
          <w:tcPr>
            <w:tcW w:type="dxa" w:w="1440"/>
            <w:shd w:fill="FFDCE0" w:val="clear"/>
          </w:tcPr>
          <w:p>
            <w:r>
              <w:rPr>
                <w:b/>
                <w:sz w:val="17"/>
              </w:rPr>
              <w:t>28,804</w:t>
            </w:r>
          </w:p>
        </w:tc>
        <w:tc>
          <w:tcPr>
            <w:tcW w:type="dxa" w:w="1440"/>
            <w:shd w:fill="FFDCE0" w:val="clear"/>
          </w:tcPr>
          <w:p>
            <w:r>
              <w:rPr>
                <w:sz w:val="17"/>
              </w:rPr>
              <w:t>33,396</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23,901</w:t>
            </w:r>
          </w:p>
        </w:tc>
        <w:tc>
          <w:tcPr>
            <w:tcW w:type="dxa" w:w="1440"/>
            <w:shd w:fill="FFDCE0" w:val="clear"/>
          </w:tcPr>
          <w:p>
            <w:r>
              <w:rPr>
                <w:b/>
                <w:sz w:val="17"/>
              </w:rPr>
              <w:t>28,728</w:t>
            </w:r>
          </w:p>
        </w:tc>
        <w:tc>
          <w:tcPr>
            <w:tcW w:type="dxa" w:w="1440"/>
            <w:shd w:fill="FFDCE0" w:val="clear"/>
          </w:tcPr>
          <w:p>
            <w:r>
              <w:rPr>
                <w:sz w:val="17"/>
              </w:rPr>
              <w:t>33,555</w:t>
            </w:r>
          </w:p>
        </w:tc>
        <w:tc>
          <w:tcPr>
            <w:tcW w:type="dxa" w:w="1440"/>
            <w:shd w:fill="FFDCE0" w:val="clear"/>
          </w:tcPr>
          <w:p>
            <w:r>
              <w:rPr>
                <w:b/>
                <w:color w:val="C00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969,60 milliards FCFA, CBIBF figure parmi les valeurs les plus capitalisées de la BRVM, ce qui témoigne de son statut de banque de référence dans l'UEMOA et de sa liquidité relative sur le marché régional. Le BPA de 2 047 FCFA/action signifie que chaque titre génère près de 2 047 FCFA de bénéfice net, un niveau élevé qui traduit la forte rentabilité de l'établissement. Le PER de 14,8x se situe au-dessus de la moyenne BRVM (8-12x), indiquant que les investisseurs acceptent de payer une prime pour la qualité de la croissance et la solidité des fondamentaux, sans pour autant tomber dans une zone de surévaluation spéculative. L'EV/EBITDA de 11,0x, dans la fourchette 10-15x, confirme une valorisation élevée mais cohérente avec le profil de croissance et la position de leader. Le ratio P/B n'étant pas fourni dans les données disponibles, il n'est pas commenté ici, mais l'absence de ce ratio n'empêche pas une lecture globale : la valorisation apparaît raisonnable au regard de la dynamique bénéficiaire.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+80,36%, avec une dernière séance en hausse de +0,80%, portant le cours à 30 300 FCFA. Le range de trading est particulièrement large, oscillant entre un plus bas de 16 800 FCFA et un plus haut de 34 450 FCFA, ce qui traduit une tendance générale nettement haussière, soutenue par la publication de résultats annuels 2025 exceptionnels (+36,6% de résultat net). La moyenne (26 618 FCFA) est inférieure à la médiane (27 848 FCFA), signe d'une légère asymétrie négative confirmée par le skewness de -0,138, indiquant une distribution quasi-symétrique avec une très légère prédominance des valeurs basses. L'écart-type de 4 694 FCFA et le coefficient de variation de 17,6% révèlent une dispersion modérée du cours autour de sa moyenne, tandis que le kurtosis de -1,084 (platykurtique) indique une distribution aplatie avec une faible concentration des rendements et un risque de pics extrêmes limité. La volatilité annualisée de 46,0% positionne clairement ce titre dans la catégorie des valeurs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32 548 FCFA et la MM50 à 30 266,8 FCFA, toutes deux supérieures au cours actuel de 30 300 FCFA. Le cours évolue donc légèrement sous ses moyennes mobiles, ce qui traduit une correction à court terme après la forte hausse. La décision technique affichée est toutefois "Achat", suggérant que la configuration de fond reste haussière malgré la consolidation en cours.</w:t>
      </w:r>
    </w:p>
    <w:p>
      <w:pPr>
        <w:spacing w:after="120" w:line="276" w:lineRule="auto"/>
      </w:pPr>
      <w:r>
        <w:t>**Bandes de Bollinger** : La borne supérieure est à 35 881,18 FCFA et la borne inférieure à 29 214,82 FCFA, avec un cours actuel de 30 300 FCFA positionné dans la partie basse de la bande. Cette position proche de la borne inférieure indique une pression vendeuse récente, mais la décision "Neutre" suggère que le titre n'est ni en zone de survente extrême ni en zone de surachat, laissant place à une possible stabilisation.</w:t>
      </w:r>
    </w:p>
    <w:p>
      <w:pPr>
        <w:spacing w:after="120" w:line="276" w:lineRule="auto"/>
      </w:pPr>
      <w:r>
        <w:t>**MACD** : La valeur du MACD (77,424) est nettement inférieure à son signal (514,781), générant une divergence baissière marquée et une décision "Vente". Ce croisement négatif indique un essoufflement du momentum haussier à court terme, bien que l'ampleur de l'écart puisse aussi refléter une correction technique après le rallye exceptionnel des 100 derniers jours.</w:t>
      </w:r>
    </w:p>
    <w:p>
      <w:pPr>
        <w:spacing w:after="120" w:line="276" w:lineRule="auto"/>
      </w:pPr>
      <w:r>
        <w:t>**RSI** : À 35,591, le RSI se situe dans la zone neutre basse (30-70), sans atteindre le seuil de survente (&lt;30). La décision "Neutre" confirme l'absence de signal directionnel fort, mais la proximité de la zone de survente suggère que le potentiel de baisse pourrait se limiter à court terme.</w:t>
      </w:r>
    </w:p>
    <w:p>
      <w:pPr>
        <w:spacing w:after="120" w:line="276" w:lineRule="auto"/>
      </w:pPr>
      <w:r>
        <w:t>**Stochastique** : Le %K (28,139) est inférieur au %D (39,394), avec un croisement baissier en zone basse. La décision "Neutre" indique que le signal n'est pas encore confirmé, mais la configuration suggère une possible reprise si le %K venait à croiser le %D à la hausse.</w:t>
      </w:r>
    </w:p>
    <w:p>
      <w:pPr>
        <w:spacing w:after="120" w:line="276" w:lineRule="auto"/>
      </w:pPr>
      <w:r>
        <w:t>**Conclusion technique** : Les indicateurs techniques présentent une configuration mitigée, avec des signaux baissiers à court terme (MACD, position sous les MM) mais des signaux neutres à haussiers sur les oscillateurs (RSI, Stochastique, Bollinger). Le titre semble en phase de consolidation après un rallye exceptionnel, et la convergence des signaux reste insuffisante pour une orientation directionnelle claire à très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Coris Bank International a réalisé un Produit Net Bancaire (PNB) de 138,986 milliards FCFA, en croissance de 6,11% sur un an, porté par l'amélioration des marges d'intérêts et des commissions. Le résultat net s'établit à 65,495 milliards FCFA, en progression spectaculaire de +36,6% par rapport aux 47,937 milliards de 2024, marquant un net rebond après l'exercice 2024 affecté par l'assainissement du portefeuille. La rentabilité des actifs (ROA) ressort à 2,18%, un niveau satisfaisant pour le secteur bancaire, tandis que la marge nette de 47,12% et la marge opérationnelle de 51,77% témoignent d'une excellente efficacité opérationnelle. Le coefficient d'exploitation de 36,39% est remarquablement bas (seuil d'excellence &lt;50%), confirmant la maîtrise des charges et la performance du modèle d'affaires. Le coût du risque, bien qu'élevé en valeur absolue (16,5 milliards FCFA), s'est amélioré de 59,3% par rapport à 2024, traduisant une meilleure qualité du portefeuille de crédits. Le ratio dépôts/crédits s'établit à 151,9% (2 015,3 Mds de dépôts pour 1 327 Mds de crédits), reflétant une surliquidité confortable et une capacité de transformation maîtrisée. Sur la base du rapport T1 2026 (publié le 31 mars 2026), le PNB a bondi de +28,5% à 36,8 milliards FCFA et le résultat net de +22,2% à 21,5 milliards FCFA, avec une marge nette de 58,4%, ce qui permet d'estimer que l'exercice 2026 devrait poursuivre sur cette dynamique avec un résultat net potentiellement supérieur à 80 milliards FCFA si la tendance se maintient. Les perspectives restent favorables, portées par la forte collecte de dépôts (+37,9% au T1 2026) et l'inauguration du nouveau siège, bien que la croissance modérée des crédits (+3,8%) et les incertitudes sécuritaires régionales constituent des risques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14,8x, EV/EBITDA 11,0x) apparaît raisonnablement élevée mais justifiée par la qualité de la croissance et la position de leader, sans signe de surévaluation excessive. Le comportement du cours sur 100 jours (+80,36%) est exceptionnel, avec une volatilité élevée (46%) et une distribution platykurtique (kurtosis -1,084) qui limite le risque de pics extrêmes, mais la position actuelle sous les moyennes mobiles et le MACD baissier suggèrent une consolidation à court terme. Les signaux techniques sont divergents : les oscillateurs (RSI 35,6, Stochastique) sont neutres à légèrement haussiers, tandis que le MACD et la position sous les MM20/MM50 penchent pour une correction. Les fondamentaux sont solides : résultat net 2025 de 65,5 Mds FCFA (+36,6%), coefficient d'exploitation excellent (36,4%), ROA de 2,18%, et les estimations basées sur le T1 2026 (+28,5% de PNB, +22,2% de résultat net) confirment une dynamique robuste pour l'exercice en cours. Les prédictions IA (J+1 à J+10) anticipent une légère baisse vers 29 090 FCFA, ce qui contredit partiellement les signaux haussiers des oscillateurs mais s'aligne avec le MACD baissier et la consolidation en cours. Sur la base de cette synthèse, la recommandation finale est **ACHAT** avec un niveau de confiance **Moyen** et un risque global **Élevé** (volatilité 46%, contexte sécuritaire régional). L'horizon d'investissement optimal est le **moyen terme (3-12 mois)**, afin de laisser la consolidation se terminer et de bénéficier de la poursuite de la croissance bénéficiaire attendue en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275.69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3,539 titres</w:t>
            </w:r>
          </w:p>
        </w:tc>
        <w:tc>
          <w:tcPr>
            <w:tcW w:type="dxa" w:w="2268"/>
            <w:shd w:fill="FFF2CC" w:val="clear"/>
          </w:tcPr>
          <w:p>
            <w:r>
              <w:rPr>
                <w:b/>
                <w:color w:val="503200"/>
                <w:sz w:val="16"/>
              </w:rPr>
              <w:t xml:space="preserve">Cours actuel : </w:t>
            </w:r>
            <w:r>
              <w:rPr>
                <w:color w:val="000000"/>
                <w:sz w:val="17"/>
              </w:rPr>
              <w:t>1,520 FCFA</w:t>
            </w:r>
          </w:p>
          <w:p>
            <w:r>
              <w:rPr>
                <w:b/>
                <w:color w:val="503200"/>
                <w:sz w:val="16"/>
              </w:rPr>
              <w:t xml:space="preserve">Var. 100 jours : </w:t>
            </w:r>
            <w:r>
              <w:rPr>
                <w:b/>
                <w:color w:val="007800"/>
                <w:sz w:val="17"/>
              </w:rPr>
              <w:t>+9.75%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μ=1,633 FCFA, σ=97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β=1.1168 (Neutre (suit le marché)) — Cov=0.000077, Var(idx)=0.000069, ρ=0.317,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1,459</w:t>
            </w:r>
          </w:p>
        </w:tc>
        <w:tc>
          <w:tcPr>
            <w:tcW w:type="dxa" w:w="1440"/>
            <w:shd w:fill="FAFAFA" w:val="clear"/>
          </w:tcPr>
          <w:p>
            <w:r>
              <w:rPr>
                <w:b/>
                <w:sz w:val="17"/>
              </w:rPr>
              <w:t>1,548</w:t>
            </w:r>
          </w:p>
        </w:tc>
        <w:tc>
          <w:tcPr>
            <w:tcW w:type="dxa" w:w="1440"/>
            <w:shd w:fill="FAFAFA" w:val="clear"/>
          </w:tcPr>
          <w:p>
            <w:r>
              <w:rPr>
                <w:sz w:val="17"/>
              </w:rPr>
              <w:t>1,638</w:t>
            </w:r>
          </w:p>
        </w:tc>
        <w:tc>
          <w:tcPr>
            <w:tcW w:type="dxa" w:w="1440"/>
            <w:shd w:fill="FAFAFA" w:val="clear"/>
          </w:tcPr>
          <w:p>
            <w:r>
              <w:rPr>
                <w:b/>
                <w:color w:val="008000"/>
                <w:sz w:val="17"/>
              </w:rPr>
              <w:t>+1.9%</w:t>
            </w:r>
          </w:p>
        </w:tc>
      </w:tr>
      <w:tr>
        <w:tc>
          <w:tcPr>
            <w:tcW w:type="dxa" w:w="1440"/>
            <w:shd w:fill="C6EFCE" w:val="clear"/>
          </w:tcPr>
          <w:p>
            <w:r>
              <w:rPr>
                <w:sz w:val="17"/>
              </w:rPr>
              <w:t>J+2  Moyenne</w:t>
            </w:r>
          </w:p>
        </w:tc>
        <w:tc>
          <w:tcPr>
            <w:tcW w:type="dxa" w:w="1440"/>
            <w:shd w:fill="C6EFCE" w:val="clear"/>
          </w:tcPr>
          <w:p>
            <w:r>
              <w:rPr>
                <w:sz w:val="17"/>
              </w:rPr>
              <w:t>2026-10-06</w:t>
            </w:r>
          </w:p>
        </w:tc>
        <w:tc>
          <w:tcPr>
            <w:tcW w:type="dxa" w:w="1440"/>
            <w:shd w:fill="C6EFCE" w:val="clear"/>
          </w:tcPr>
          <w:p>
            <w:r>
              <w:rPr>
                <w:sz w:val="17"/>
              </w:rPr>
              <w:t>1,443</w:t>
            </w:r>
          </w:p>
        </w:tc>
        <w:tc>
          <w:tcPr>
            <w:tcW w:type="dxa" w:w="1440"/>
            <w:shd w:fill="C6EFCE" w:val="clear"/>
          </w:tcPr>
          <w:p>
            <w:r>
              <w:rPr>
                <w:b/>
                <w:sz w:val="17"/>
              </w:rPr>
              <w:t>1,552</w:t>
            </w:r>
          </w:p>
        </w:tc>
        <w:tc>
          <w:tcPr>
            <w:tcW w:type="dxa" w:w="1440"/>
            <w:shd w:fill="C6EFCE" w:val="clear"/>
          </w:tcPr>
          <w:p>
            <w:r>
              <w:rPr>
                <w:sz w:val="17"/>
              </w:rPr>
              <w:t>1,662</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1,430</w:t>
            </w:r>
          </w:p>
        </w:tc>
        <w:tc>
          <w:tcPr>
            <w:tcW w:type="dxa" w:w="1440"/>
            <w:shd w:fill="C6EFCE" w:val="clear"/>
          </w:tcPr>
          <w:p>
            <w:r>
              <w:rPr>
                <w:b/>
                <w:sz w:val="17"/>
              </w:rPr>
              <w:t>1,557</w:t>
            </w:r>
          </w:p>
        </w:tc>
        <w:tc>
          <w:tcPr>
            <w:tcW w:type="dxa" w:w="1440"/>
            <w:shd w:fill="C6EFCE" w:val="clear"/>
          </w:tcPr>
          <w:p>
            <w:r>
              <w:rPr>
                <w:sz w:val="17"/>
              </w:rPr>
              <w:t>1,683</w:t>
            </w:r>
          </w:p>
        </w:tc>
        <w:tc>
          <w:tcPr>
            <w:tcW w:type="dxa" w:w="1440"/>
            <w:shd w:fill="C6EFCE" w:val="clear"/>
          </w:tcPr>
          <w:p>
            <w:r>
              <w:rPr>
                <w:b/>
                <w:color w:val="008000"/>
                <w:sz w:val="17"/>
              </w:rPr>
              <w:t>+2.4%</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1,419</w:t>
            </w:r>
          </w:p>
        </w:tc>
        <w:tc>
          <w:tcPr>
            <w:tcW w:type="dxa" w:w="1440"/>
            <w:shd w:fill="C6EFCE" w:val="clear"/>
          </w:tcPr>
          <w:p>
            <w:r>
              <w:rPr>
                <w:b/>
                <w:sz w:val="17"/>
              </w:rPr>
              <w:t>1,561</w:t>
            </w:r>
          </w:p>
        </w:tc>
        <w:tc>
          <w:tcPr>
            <w:tcW w:type="dxa" w:w="1440"/>
            <w:shd w:fill="C6EFCE" w:val="clear"/>
          </w:tcPr>
          <w:p>
            <w:r>
              <w:rPr>
                <w:sz w:val="17"/>
              </w:rPr>
              <w:t>1,703</w:t>
            </w:r>
          </w:p>
        </w:tc>
        <w:tc>
          <w:tcPr>
            <w:tcW w:type="dxa" w:w="1440"/>
            <w:shd w:fill="C6EFCE" w:val="clear"/>
          </w:tcPr>
          <w:p>
            <w:r>
              <w:rPr>
                <w:b/>
                <w:color w:val="008000"/>
                <w:sz w:val="17"/>
              </w:rPr>
              <w:t>+2.7%</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1,409</w:t>
            </w:r>
          </w:p>
        </w:tc>
        <w:tc>
          <w:tcPr>
            <w:tcW w:type="dxa" w:w="1440"/>
            <w:shd w:fill="C6EFCE" w:val="clear"/>
          </w:tcPr>
          <w:p>
            <w:r>
              <w:rPr>
                <w:b/>
                <w:sz w:val="17"/>
              </w:rPr>
              <w:t>1,565</w:t>
            </w:r>
          </w:p>
        </w:tc>
        <w:tc>
          <w:tcPr>
            <w:tcW w:type="dxa" w:w="1440"/>
            <w:shd w:fill="C6EFCE" w:val="clear"/>
          </w:tcPr>
          <w:p>
            <w:r>
              <w:rPr>
                <w:sz w:val="17"/>
              </w:rPr>
              <w:t>1,721</w:t>
            </w:r>
          </w:p>
        </w:tc>
        <w:tc>
          <w:tcPr>
            <w:tcW w:type="dxa" w:w="1440"/>
            <w:shd w:fill="C6EFCE" w:val="clear"/>
          </w:tcPr>
          <w:p>
            <w:r>
              <w:rPr>
                <w:b/>
                <w:color w:val="008000"/>
                <w:sz w:val="17"/>
              </w:rPr>
              <w:t>+3.0%</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1,400</w:t>
            </w:r>
          </w:p>
        </w:tc>
        <w:tc>
          <w:tcPr>
            <w:tcW w:type="dxa" w:w="1440"/>
            <w:shd w:fill="C6EFCE" w:val="clear"/>
          </w:tcPr>
          <w:p>
            <w:r>
              <w:rPr>
                <w:b/>
                <w:sz w:val="17"/>
              </w:rPr>
              <w:t>1,569</w:t>
            </w:r>
          </w:p>
        </w:tc>
        <w:tc>
          <w:tcPr>
            <w:tcW w:type="dxa" w:w="1440"/>
            <w:shd w:fill="C6EFCE" w:val="clear"/>
          </w:tcPr>
          <w:p>
            <w:r>
              <w:rPr>
                <w:sz w:val="17"/>
              </w:rPr>
              <w:t>1,738</w:t>
            </w:r>
          </w:p>
        </w:tc>
        <w:tc>
          <w:tcPr>
            <w:tcW w:type="dxa" w:w="1440"/>
            <w:shd w:fill="C6EFCE" w:val="clear"/>
          </w:tcPr>
          <w:p>
            <w:r>
              <w:rPr>
                <w:b/>
                <w:color w:val="008000"/>
                <w:sz w:val="17"/>
              </w:rPr>
              <w:t>+3.2%</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1,392</w:t>
            </w:r>
          </w:p>
        </w:tc>
        <w:tc>
          <w:tcPr>
            <w:tcW w:type="dxa" w:w="1440"/>
            <w:shd w:fill="C6EFCE" w:val="clear"/>
          </w:tcPr>
          <w:p>
            <w:r>
              <w:rPr>
                <w:b/>
                <w:sz w:val="17"/>
              </w:rPr>
              <w:t>1,573</w:t>
            </w:r>
          </w:p>
        </w:tc>
        <w:tc>
          <w:tcPr>
            <w:tcW w:type="dxa" w:w="1440"/>
            <w:shd w:fill="C6EFCE" w:val="clear"/>
          </w:tcPr>
          <w:p>
            <w:r>
              <w:rPr>
                <w:sz w:val="17"/>
              </w:rPr>
              <w:t>1,754</w:t>
            </w:r>
          </w:p>
        </w:tc>
        <w:tc>
          <w:tcPr>
            <w:tcW w:type="dxa" w:w="1440"/>
            <w:shd w:fill="C6EFCE" w:val="clear"/>
          </w:tcPr>
          <w:p>
            <w:r>
              <w:rPr>
                <w:b/>
                <w:color w:val="008000"/>
                <w:sz w:val="17"/>
              </w:rPr>
              <w:t>+3.5%</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1,384</w:t>
            </w:r>
          </w:p>
        </w:tc>
        <w:tc>
          <w:tcPr>
            <w:tcW w:type="dxa" w:w="1440"/>
            <w:shd w:fill="C6EFCE" w:val="clear"/>
          </w:tcPr>
          <w:p>
            <w:r>
              <w:rPr>
                <w:b/>
                <w:sz w:val="17"/>
              </w:rPr>
              <w:t>1,577</w:t>
            </w:r>
          </w:p>
        </w:tc>
        <w:tc>
          <w:tcPr>
            <w:tcW w:type="dxa" w:w="1440"/>
            <w:shd w:fill="C6EFCE" w:val="clear"/>
          </w:tcPr>
          <w:p>
            <w:r>
              <w:rPr>
                <w:sz w:val="17"/>
              </w:rPr>
              <w:t>1,770</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1,377</w:t>
            </w:r>
          </w:p>
        </w:tc>
        <w:tc>
          <w:tcPr>
            <w:tcW w:type="dxa" w:w="1440"/>
            <w:shd w:fill="C6EFCE" w:val="clear"/>
          </w:tcPr>
          <w:p>
            <w:r>
              <w:rPr>
                <w:b/>
                <w:sz w:val="17"/>
              </w:rPr>
              <w:t>1,581</w:t>
            </w:r>
          </w:p>
        </w:tc>
        <w:tc>
          <w:tcPr>
            <w:tcW w:type="dxa" w:w="1440"/>
            <w:shd w:fill="C6EFCE" w:val="clear"/>
          </w:tcPr>
          <w:p>
            <w:r>
              <w:rPr>
                <w:sz w:val="17"/>
              </w:rPr>
              <w:t>1,784</w:t>
            </w:r>
          </w:p>
        </w:tc>
        <w:tc>
          <w:tcPr>
            <w:tcW w:type="dxa" w:w="1440"/>
            <w:shd w:fill="C6EFCE" w:val="clear"/>
          </w:tcPr>
          <w:p>
            <w:r>
              <w:rPr>
                <w:b/>
                <w:color w:val="008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Automobile &amp; Distribution*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275,69 milliards FCFA, CFAC figure parmi les valeurs les plus importantes de la cote BRVM, ce qui témoigne de sa stature de leader du marché automobile ivoirien. Le BPA s'établit à 26 FCFA par action, un niveau modeste qui, rapporté au cours actuel de 1 520 FCFA, génère un PER de 58,7x — très largement supérieur à la moyenne du marché BRVM (8-12x), signalant que les investisseurs paient une prime considérable pour les bénéfices actuels. Le ratio P/B de 14,17x confirme cette valorisation exigeante : le marché valorise l'entreprise à plus de 14 fois sa valeur comptable, une prime rarement justifiée sauf en présence de perspectives de croissance exceptionnelles. Enfin, l'EV/EBITDA de 30,0x, très au-dessus du seuil de 15x généralement considéré comme exigeant, indique que la valeur d'entreprise intègre une anticipation de forte progression opérationnelle. L'ensemble de ces ratios dessine une action dont la valorisation intègre déjà une grande partie des bonnes nouvelles, laissant peu de marge d'erreur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variation totale positive de +9,75%, malgré un repli de -1,62% lors de la dernière séance, ce qui porte le cours actuel à 1 520 FCFA. Le range de trading est particulièrement large, avec un plus haut à 1 825 FCFA et un plus bas à 1 380 FCFA, soit une amplitude de 445 FCFA (32% du plus bas), traduisant une forte agitation des prix. La tendance générale reste haussière sur la période, mais le repli récent sous les moyennes mobiles suggère un essoufflement du momentum. Les statistiques descriptives révèlent une moyenne de 1 633 FCFA légèrement supérieure à la médiane de 1 642 FCFA — un écart faible indiquant une distribution quasi symétrique, confirmée par un skewness de -0,435 (léger étalement vers la gauche, soit quelques séances de baisse marquée). L'écart-type de 98 FCFA, avec un coefficient de variation de 6,0%, traduit une dispersion modérée autour de la moyenne, tandis que le kurtosis de -0,368 (mésokurtique) indique une distribution proche de la normale, sans risque excessif de pics extrêmes. La volatilité annualisée de 46,4% classe le titre dans la catégorie des valeurs à volatilité élevée (&gt;30%), ce qui implique un risque de fluctuation important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(1 639 FCFA) et la MM50 (1 668,6 FCFA) se situent toutes deux au-dessus du cours actuel (1 520 FCFA), avec la MM20 sous la MM50 — configuration baissière classique. Le cours évoluant sous ses deux moyennes, la pression vendeuse domine et justifie la décision technique de **Vente**.</w:t>
      </w:r>
    </w:p>
    <w:p>
      <w:pPr>
        <w:spacing w:after="120" w:line="276" w:lineRule="auto"/>
      </w:pPr>
      <w:r>
        <w:t>**Bandes de Bollinger** : Le cours (1 520 FCFA) se situe dans la moitié inférieure de la bande, entre la borne inférieure (1 475,05 FCFA) et la borne supérieure (1 802,95 FCFA), sans franchissement des extrêmes. Cette position médiane, couplée à un écart-type modéré, explique la décision **Neutre** : ni suracheté, ni survendu.</w:t>
      </w:r>
    </w:p>
    <w:p>
      <w:pPr>
        <w:spacing w:after="120" w:line="276" w:lineRule="auto"/>
      </w:pPr>
      <w:r>
        <w:t>**MACD** : La valeur du MACD (-40,351) est inférieure à son signal (-29,045), confirmant une divergence baissière et un momentum négatif. Le croisement MACD sous son signal, survenu récemment, valide la décision de **Vente** et suggère une poursuite de la correction à court terme.</w:t>
      </w:r>
    </w:p>
    <w:p>
      <w:pPr>
        <w:spacing w:after="120" w:line="276" w:lineRule="auto"/>
      </w:pPr>
      <w:r>
        <w:t>**RSI** : À 31,683, le RSI se situe juste au-dessus du seuil de survente (30), ce qui indique une pression vendeuse intense mais pas encore extrême. La décision **Neutre** reflète cette zone charnière : un rebond technique est possible, mais la faiblesse reste présente.</w:t>
      </w:r>
    </w:p>
    <w:p>
      <w:pPr>
        <w:spacing w:after="120" w:line="276" w:lineRule="auto"/>
      </w:pPr>
      <w:r>
        <w:t>**Stochastique** : Le %K (16,0) est nettement inférieur au %D (30,0), et les deux se situent en zone de survente (&lt;20 pour le %K). Cette configuration, bien que baissière à court terme, est propice à un rebond technique, justifiant la décision **Achat** — signal contrarien.</w:t>
      </w:r>
    </w:p>
    <w:p>
      <w:pPr>
        <w:spacing w:after="120" w:line="276" w:lineRule="auto"/>
      </w:pPr>
      <w:r>
        <w:t>**Conclusion technique** : Les indicateurs sont majoritairement baissiers (MM, MACD), avec un RSI proche de la survente et un stochastique en zone d'achat contrarien. Cette divergence suggère que la correction actuelle pourrait toucher à sa fin, mais la confirmation d'un retournement n'est pas encore acquise. La prudence reste de mise tant que le cours n'aura pas réintégré la MM20.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2024 (publiés le 31/12/2024) révèlent un chiffre d'affaires de 158,313 milliards FCFA, en baisse de -12,1% par rapport à 2023 (180,162 Mds FCFA), conséquence d'un recul des ventes de véhicules (-5,5% en volume) et d'un durcissement réglementaire sur le segment des petits véhicules de transport. Le résultat net s'établit à 4,693 Mds FCFA, en repli de -26,7%, avec une marge nette de 2,96% (contre 3,6% en 2023) et une marge opérationnelle de 4,96%. Le ROE reste néanmoins élevé à 24,13%, bien supérieur au seuil de 15% considéré comme excellent, et le ROA atteint 5,52%, confirmant la capacité de l'entreprise à générer des profits sur ses actifs. La structure financière présente des signaux contrastés : l'autonomie financière est faible (22,88%, sous le seuil de 30%), la liquidité générale est insuffisante (93,63%, &lt;1), et la trésorerie nette est négative (-624,20 M FCFA), conséquence d'investissements lourds (-8,741 Mds FCFA) et du versement de dividendes (3,2 Mds FCFA). Le BFR est négatif (-3,482 Mds FCFA), ce qui est favorable, mais le fonds de roulement l'est aussi (-4,106 Mds FCFA), signalant une tension sur la trésorerie. Les délais d'exploitation montrent un délai clients de 36,64 jours (risque de trésorerie modéré) et un délai fournisseurs de 81,75 jours (bon pour la trésorerie), tandis que la durée de stockage de 88,35 jours immobilise du capital. Les rapports trimestriels 2025 (T1, S1, T3) témoignent d'un **redressement spectaculaire** : au T1 2025 (31/03/2025), le CA progresse de +14,5% à 46,161 Mds FCFA et le résultat net bondit de +279,7% à 3,836 Mds FCFA ; au S1 2025 (30/06/2025), le CA atteint 91,182 Mds FCFA (+18,4%) et le résultat net 5,420 Mds FCFA (+152,7%) ; au T3 2025 (30/09/2025), le CA trimestriel s'élève à 43,580 Mds FCFA (+18,3%) et le résultat net à 1,489 Md FCFA (+38,1%), avec une part de marché consolidée à 41,7%. **Sur la base de ces tendances**, on peut estimer que l'exercice 2025 devrait afficher un CA annuel proche de 180-185 Mds FCFA (retour au niveau de 2023) et un résultat net estimé entre 7,5 et 8,5 Mds FCFA, soit une progression de +60% à +80% par rapport à 2024. Cette dynamique est portée par le rebond du marché automobile ivoirien (+14% en 2024), la position de leader (41,7% de part de marché) et la maîtrise des charges. **Recommandation fondamentale** : la solidité du redressement est indéniable, mais la valorisation boursière (PER 58,7x) intègre déjà une grande partie de cette amélioration, ce qui limite le potentiel de hausse à court terme. Le principal risque réside dans la soutenabilité de la politique de dividende (taux de distribution de 88,1% en 2023) et la tension persistante sur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les ratios PER (58,7x), P/B (14,17x) et EV/EBITDA (30,0x) indiquent une nette surévaluation par rapport aux standards du marché BRVM, laissant peu de marge de sécurité. **Comportement du cours (Partie 1)** : la tendance haussière sur 100 jours (+9,75%) masque une correction récente (-1,62% en J-1), avec une volatilité élevée (46,4%) et une distribution quasi normale (kurtosis -0,368, skewness -0,435), ce qui n'écarte pas le risque de fluctuations brutales. **Signaux techniques (Partie 2)** : les indicateurs sont majoritairement baissiers (MM, MACD), mais le RSI proche de la survente et le stochastique en zone d'achat suggèrent un possible rebond à court terme — une divergence qui appelle à la prudence. **Fondamentaux (Partie 3)** : le redressement spectaculaire des résultats 2025 (CA +18,4% au S1, résultat net +152,7%) est un signal positif majeur, mais la valorisation exigeante et les tensions de trésorerie tempèrent l'enthousiasme. **Prédictions IA (J+1 à J+10)** : la trajectoire projetée (1 548 → 1 565 FCFA) anticipe une légère reprise de +2,9% sur 10 jours, ce qui confirme le signal contrarien du stochastique mais contredit la dynamique baissière des MM et du MACD. **Recommandation finale : CONSERVER**. La convergence entre le redressement fondamental et les prédictions haussières à court terme est atténuée par la surévaluation manifeste et les signaux techniques baissiers. Le niveau de confiance est **Moyen**, car si les fondamentaux sont solides, la valorisation limite le potentiel de hausse. Le risque global est **Élevé** en raison de la volatilité du titre et de la sensibilité au cycle automobile. L'horizon d'investissement optimal est le **moyen terme (3-12 mois)**, le temps que la valorisation s'ajuste aux résultats 2025 et que la trésorerie se reconstitue. Une confirmation du redressement au T4 2025 et une amélioration de la structure financière seraient des catalyseurs pour passer à un ACHAT.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364.00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6,863 titres</w:t>
            </w:r>
          </w:p>
        </w:tc>
        <w:tc>
          <w:tcPr>
            <w:tcW w:type="dxa" w:w="2268"/>
            <w:shd w:fill="FFF2CC" w:val="clear"/>
          </w:tcPr>
          <w:p>
            <w:r>
              <w:rPr>
                <w:b/>
                <w:color w:val="503200"/>
                <w:sz w:val="16"/>
              </w:rPr>
              <w:t xml:space="preserve">Cours actuel : </w:t>
            </w:r>
            <w:r>
              <w:rPr>
                <w:color w:val="000000"/>
                <w:sz w:val="17"/>
              </w:rPr>
              <w:t>6,500 FCFA</w:t>
            </w:r>
          </w:p>
          <w:p>
            <w:r>
              <w:rPr>
                <w:b/>
                <w:color w:val="503200"/>
                <w:sz w:val="16"/>
              </w:rPr>
              <w:t xml:space="preserve">Var. 100 jours : </w:t>
            </w:r>
            <w:r>
              <w:rPr>
                <w:b/>
                <w:color w:val="007800"/>
                <w:sz w:val="17"/>
              </w:rPr>
              <w:t>+95.20%</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μ=5,444 FCFA, σ=1,047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β=0.6777 (Défensif) — Cov=0.000047, Var(idx)=0.000069, ρ=0.178,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5,884</w:t>
            </w:r>
          </w:p>
        </w:tc>
        <w:tc>
          <w:tcPr>
            <w:tcW w:type="dxa" w:w="1440"/>
            <w:shd w:fill="FFDCE0" w:val="clear"/>
          </w:tcPr>
          <w:p>
            <w:r>
              <w:rPr>
                <w:b/>
                <w:sz w:val="17"/>
              </w:rPr>
              <w:t>6,297</w:t>
            </w:r>
          </w:p>
        </w:tc>
        <w:tc>
          <w:tcPr>
            <w:tcW w:type="dxa" w:w="1440"/>
            <w:shd w:fill="FFDCE0" w:val="clear"/>
          </w:tcPr>
          <w:p>
            <w:r>
              <w:rPr>
                <w:sz w:val="17"/>
              </w:rPr>
              <w:t>6,710</w:t>
            </w:r>
          </w:p>
        </w:tc>
        <w:tc>
          <w:tcPr>
            <w:tcW w:type="dxa" w:w="1440"/>
            <w:shd w:fill="FFDCE0" w:val="clear"/>
          </w:tcPr>
          <w:p>
            <w:r>
              <w:rPr>
                <w:b/>
                <w:color w:val="C00000"/>
                <w:sz w:val="17"/>
              </w:rPr>
              <w:t>-3.1%</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5,738</w:t>
            </w:r>
          </w:p>
        </w:tc>
        <w:tc>
          <w:tcPr>
            <w:tcW w:type="dxa" w:w="1440"/>
            <w:shd w:fill="FFDCE0" w:val="clear"/>
          </w:tcPr>
          <w:p>
            <w:r>
              <w:rPr>
                <w:b/>
                <w:sz w:val="17"/>
              </w:rPr>
              <w:t>6,240</w:t>
            </w:r>
          </w:p>
        </w:tc>
        <w:tc>
          <w:tcPr>
            <w:tcW w:type="dxa" w:w="1440"/>
            <w:shd w:fill="FFDCE0" w:val="clear"/>
          </w:tcPr>
          <w:p>
            <w:r>
              <w:rPr>
                <w:sz w:val="17"/>
              </w:rPr>
              <w:t>6,741</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5,633</w:t>
            </w:r>
          </w:p>
        </w:tc>
        <w:tc>
          <w:tcPr>
            <w:tcW w:type="dxa" w:w="1440"/>
            <w:shd w:fill="FFDCE0" w:val="clear"/>
          </w:tcPr>
          <w:p>
            <w:r>
              <w:rPr>
                <w:b/>
                <w:sz w:val="17"/>
              </w:rPr>
              <w:t>6,209</w:t>
            </w:r>
          </w:p>
        </w:tc>
        <w:tc>
          <w:tcPr>
            <w:tcW w:type="dxa" w:w="1440"/>
            <w:shd w:fill="FFDCE0" w:val="clear"/>
          </w:tcPr>
          <w:p>
            <w:r>
              <w:rPr>
                <w:sz w:val="17"/>
              </w:rPr>
              <w:t>6,786</w:t>
            </w:r>
          </w:p>
        </w:tc>
        <w:tc>
          <w:tcPr>
            <w:tcW w:type="dxa" w:w="1440"/>
            <w:shd w:fill="FFDCE0" w:val="clear"/>
          </w:tcPr>
          <w:p>
            <w:r>
              <w:rPr>
                <w:b/>
                <w:color w:val="C00000"/>
                <w:sz w:val="17"/>
              </w:rPr>
              <w:t>-4.5%</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5,548</w:t>
            </w:r>
          </w:p>
        </w:tc>
        <w:tc>
          <w:tcPr>
            <w:tcW w:type="dxa" w:w="1440"/>
            <w:shd w:fill="FFDCE0" w:val="clear"/>
          </w:tcPr>
          <w:p>
            <w:r>
              <w:rPr>
                <w:b/>
                <w:sz w:val="17"/>
              </w:rPr>
              <w:t>6,190</w:t>
            </w:r>
          </w:p>
        </w:tc>
        <w:tc>
          <w:tcPr>
            <w:tcW w:type="dxa" w:w="1440"/>
            <w:shd w:fill="FFDCE0" w:val="clear"/>
          </w:tcPr>
          <w:p>
            <w:r>
              <w:rPr>
                <w:sz w:val="17"/>
              </w:rPr>
              <w:t>6,832</w:t>
            </w:r>
          </w:p>
        </w:tc>
        <w:tc>
          <w:tcPr>
            <w:tcW w:type="dxa" w:w="1440"/>
            <w:shd w:fill="FFDCE0" w:val="clear"/>
          </w:tcPr>
          <w:p>
            <w:r>
              <w:rPr>
                <w:b/>
                <w:color w:val="C00000"/>
                <w:sz w:val="17"/>
              </w:rPr>
              <w:t>-4.8%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5,473</w:t>
            </w:r>
          </w:p>
        </w:tc>
        <w:tc>
          <w:tcPr>
            <w:tcW w:type="dxa" w:w="1440"/>
            <w:shd w:fill="FFDCE0" w:val="clear"/>
          </w:tcPr>
          <w:p>
            <w:r>
              <w:rPr>
                <w:b/>
                <w:sz w:val="17"/>
              </w:rPr>
              <w:t>6,174</w:t>
            </w:r>
          </w:p>
        </w:tc>
        <w:tc>
          <w:tcPr>
            <w:tcW w:type="dxa" w:w="1440"/>
            <w:shd w:fill="FFDCE0" w:val="clear"/>
          </w:tcPr>
          <w:p>
            <w:r>
              <w:rPr>
                <w:sz w:val="17"/>
              </w:rPr>
              <w:t>6,876</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5,406</w:t>
            </w:r>
          </w:p>
        </w:tc>
        <w:tc>
          <w:tcPr>
            <w:tcW w:type="dxa" w:w="1440"/>
            <w:shd w:fill="FFDCE0" w:val="clear"/>
          </w:tcPr>
          <w:p>
            <w:r>
              <w:rPr>
                <w:b/>
                <w:sz w:val="17"/>
              </w:rPr>
              <w:t>6,162</w:t>
            </w:r>
          </w:p>
        </w:tc>
        <w:tc>
          <w:tcPr>
            <w:tcW w:type="dxa" w:w="1440"/>
            <w:shd w:fill="FFDCE0" w:val="clear"/>
          </w:tcPr>
          <w:p>
            <w:r>
              <w:rPr>
                <w:sz w:val="17"/>
              </w:rPr>
              <w:t>6,919</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5,345</w:t>
            </w:r>
          </w:p>
        </w:tc>
        <w:tc>
          <w:tcPr>
            <w:tcW w:type="dxa" w:w="1440"/>
            <w:shd w:fill="FFDCE0" w:val="clear"/>
          </w:tcPr>
          <w:p>
            <w:r>
              <w:rPr>
                <w:b/>
                <w:sz w:val="17"/>
              </w:rPr>
              <w:t>6,153</w:t>
            </w:r>
          </w:p>
        </w:tc>
        <w:tc>
          <w:tcPr>
            <w:tcW w:type="dxa" w:w="1440"/>
            <w:shd w:fill="FFDCE0" w:val="clear"/>
          </w:tcPr>
          <w:p>
            <w:r>
              <w:rPr>
                <w:sz w:val="17"/>
              </w:rPr>
              <w:t>6,960</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5,289</w:t>
            </w:r>
          </w:p>
        </w:tc>
        <w:tc>
          <w:tcPr>
            <w:tcW w:type="dxa" w:w="1440"/>
            <w:shd w:fill="FFDCE0" w:val="clear"/>
          </w:tcPr>
          <w:p>
            <w:r>
              <w:rPr>
                <w:b/>
                <w:sz w:val="17"/>
              </w:rPr>
              <w:t>6,145</w:t>
            </w:r>
          </w:p>
        </w:tc>
        <w:tc>
          <w:tcPr>
            <w:tcW w:type="dxa" w:w="1440"/>
            <w:shd w:fill="FFDCE0" w:val="clear"/>
          </w:tcPr>
          <w:p>
            <w:r>
              <w:rPr>
                <w:sz w:val="17"/>
              </w:rPr>
              <w:t>7,000</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5,237</w:t>
            </w:r>
          </w:p>
        </w:tc>
        <w:tc>
          <w:tcPr>
            <w:tcW w:type="dxa" w:w="1440"/>
            <w:shd w:fill="FFDCE0" w:val="clear"/>
          </w:tcPr>
          <w:p>
            <w:r>
              <w:rPr>
                <w:b/>
                <w:sz w:val="17"/>
              </w:rPr>
              <w:t>6,138</w:t>
            </w:r>
          </w:p>
        </w:tc>
        <w:tc>
          <w:tcPr>
            <w:tcW w:type="dxa" w:w="1440"/>
            <w:shd w:fill="FFDCE0" w:val="clear"/>
          </w:tcPr>
          <w:p>
            <w:r>
              <w:rPr>
                <w:sz w:val="17"/>
              </w:rPr>
              <w:t>7,038</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CIEC affiche une capitalisation boursière de 364,00 Mds FCFA, un niveau significatif à l'échelle de la BRVM qui la place parmi les valeurs les plus liquides et les plus suivies du compartiment des grandes capitalisations. Avec un BPA de 234 FCFA/action pour l'exercice 2025, chaque titre génère un bénéfice net substantiel, mais le PER de 27,7x traduit une prime très nette par rapport à la moyenne du marché BRVM (généralement comprise entre 8x et 12x), signalant soit une anticipation de forte croissance, soit une surévaluation relative. Le ratio P/B de 10,12x confirme cette valorisation exigeante : le marché paie plus de dix fois la valeur comptable des fonds propres (35,96 Mds FCFA), ce qui est très élevé pour une entreprise de services publics à modèle régulé. Enfin, l'EV/EBITDA de 14,9x, situé dans le haut de la fourchette 10-15x, indique que la valeur d'entreprise intègre déjà une prime de qualité et de stabilité des cash-flows, laissant peu de marge de sécurité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progression spectaculaire de +95,20%, avec une dernière séance en hausse de +0,78%, portant le cours actuel à 6 500 FCFA. Le range de trading est particulièrement large, avec un plus haut à 7 400 FCFA et un plus bas à 3 200 FCFA, soit un écart de plus de 131% entre les deux extrêmes, ce qui témoigne d'une tendance haussière puissante mais aussi de mouvements amples. La moyenne du cours s'établit à 5 444 FCFA contre une médiane de 5 300 FCFA, un léger écart qui suggère une asymétrie mineure avec quelques séances de forte hausse tirant la moyenne vers le haut. L'écart-type de 1 052 FCFA, couplé à un coefficient de variation de 19,3%, indique une dispersion modérée à élevée du cours autour de sa tendance. Le kurtosis de -0,460 (mésokurtique) et le skewness de -0,171 (distribution quasi-symétrique) révèlent un comportement de marché relativement équilibré, sans pics extrêmes fréquents ni biais directionnel marqué sur la période. La volatilité annualisée de 49,8% classe ce titre dans la catégorie des valeurs à volatilité élevée (&gt;30%), ce qui implique un risque de marché important et justifie une gestion prudente de la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(6 686 FCFA) et la MM50 (6 181,7 FCFA) se situent toutes deux au-dessus du cours actuel (6 500 FCFA), ce qui constitue un signal baissier de court terme puisque le prix évolue sous ses moyennes de référence. Toutefois, la MM20 reste supérieure à la MM50, conservant une configuration haussière de fond, ce qui explique la décision "Achat" fournie par le système malgré le positionnement actuel du cours.</w:t>
      </w:r>
    </w:p>
    <w:p>
      <w:pPr>
        <w:spacing w:after="120" w:line="276" w:lineRule="auto"/>
      </w:pPr>
      <w:r>
        <w:t>**Bandes de Bollinger** : Le cours (6 500 FCFA) évolue dans la partie médiane de la bande, entre la borne inférieure (5 960,39 FCFA) et la borne supérieure (7 411,61 FCFA), sans test des extrêmes. Cette position centrale, couplée à une largeur de bande importante, traduit une volatilité élevée mais un momentum neutre à court terme, justifiant la décision "Neutre".</w:t>
      </w:r>
    </w:p>
    <w:p>
      <w:pPr>
        <w:spacing w:after="120" w:line="276" w:lineRule="auto"/>
      </w:pPr>
      <w:r>
        <w:t>**MACD** : La valeur du MACD (8,432) est nettement inférieure à son signal (68,545), générant un croisement baissier caractéristique d'une perte de momentum haussier. Cette divergence négative, bien que le MACD reste en territoire positif, justifie pleinement la décision "Vente" et suggère une correction ou une consolidation en cours.</w:t>
      </w:r>
    </w:p>
    <w:p>
      <w:pPr>
        <w:spacing w:after="120" w:line="276" w:lineRule="auto"/>
      </w:pPr>
      <w:r>
        <w:t>**RSI** : À 33,696, le RSI se situe dans la zone neutre basse, proche du seuil de survente (30), sans y être encore. Cette configuration indique que le titre n'est ni suracheté ni survendu, mais que la pression vendeuse récente a ramené l'indicateur près d'un niveau potentiellement attractif pour les acheteurs contrariants, d'où la décision "Neutre".</w:t>
      </w:r>
    </w:p>
    <w:p>
      <w:pPr>
        <w:spacing w:after="120" w:line="276" w:lineRule="auto"/>
      </w:pPr>
      <w:r>
        <w:t>**Stochastique** : Le %K (42,169) est légèrement supérieur au %D (35,109), avec un croisement haussier naissant en zone basse. Cette configuration suggère un possible retournement à la hausse à court terme, mais la faiblesse des niveaux absolus maintient l'indicateur en décision "Neutre" en attendant confirmation.</w:t>
      </w:r>
    </w:p>
    <w:p>
      <w:pPr>
        <w:spacing w:after="120" w:line="276" w:lineRule="auto"/>
      </w:pPr>
      <w:r>
        <w:t>**Conclusion technique** : Les indicateurs techniques présentent un tableau mitigé, avec une majorité de signaux neutres (Bollinger, RSI, Stochastique) et un signal de vente sur le MACD, tandis que les moyennes mobiles conservent une orientation haussière de fond. Le titre semble traverser une phase de consolidation après sa forte progression, avec un potentiel de rebond technique à court terme mais une pression baissière persistante à moyen terme. La prudence est de mise tant que le cours reste sous la MM20.</w:t>
      </w:r>
    </w:p>
    <w:p>
      <w:pPr>
        <w:spacing w:after="120" w:line="276" w:lineRule="auto"/>
      </w:pPr>
      <w:r>
        <w:t>---</w:t>
      </w:r>
    </w:p>
    <w:p>
      <w:pPr>
        <w:spacing w:after="120" w:line="276" w:lineRule="auto"/>
      </w:pPr>
      <w:r>
        <w:t>### PARTIE 3 : ANALYSE FONDAMENTALE</w:t>
      </w:r>
    </w:p>
    <w:p>
      <w:pPr>
        <w:spacing w:after="120" w:line="276" w:lineRule="auto"/>
      </w:pPr>
      <w:r>
        <w:t>En 2025, la CIEC a réalisé un chiffre d'affaires de 302,320 Mds FCFA, en croissance de +14,82% par rapport à 2024, portée par une hausse des ventes d'énergie de +8,3% en volume et une expansion remarquable du nombre de clients (+15,1% à 5 282 283 abonnés). Le résultat net s'établit à 13,127 Mds FCFA, en progression de +24,4%, avec une marge nette de 4,34% et une marge opérationnelle de 7,40%, typiques d'une entreprise de services publics régulée. Le ROE atteint un niveau exceptionnel de 36,50%, bien supérieur au seuil de 15% considéré comme excellent, mais cette performance est mécaniquement amplifiée par un effet de levier très élevé (ratio d'endettement de 612,94% et autonomie financière de seulement 1,78%). Le ROA reste faible à 0,65%, reflétant l'intensité capitalistique du modèle. En tant qu'entreprise non bancaire, l'analyse des délais d'exploitation révèle un délai client élevé de 164 jours, source de risque de trésorerie, compensé par un délai fournisseur exceptionnel de 970 jours qui génère un BFR négatif de -90,244 Mds FCFA, favorable à la trésorerie. La trésorerie nette est positive à 32,190 Mds FCFA et la couverture des intérêts par le résultat d'exploitation est très confortable (617,75%). Les rapports antérieurs confirment la solidité du modèle : le rapport du 31/12/2024 (états financiers 2024) indiquait un CA de 263,284 Mds FCFA et un résultat net de 10,526 Mds FCFA, avec un ROE de 26,3% ; le rapport du 30/06/2025 (S1 2025) faisait état d'un CA semestriel de 134,923 Mds FCFA (+18,85%) et d'un résultat net de 5,096 Mds FCFA (+13,37%). Sur la base de ces tendances, on estime que l'exercice 2026 devrait bénéficier de la poursuite du Programme Électricité Pour Tous (PEPT) et de la croissance démographique, avec un CA potentiellement supérieur à 330 Mds FCFA et un résultat net en hausse de 10-15%, sous réserve du maintien du cadre réglementaire de la concession. La recommandation fondamentale est de **CONSERVER** le titre pour son rendement (dividende de 234 FCFA/action, soit un rendement d'environ 3,6% au cours actuel) et sa croissance, mais avec une vigilance sur le niveau d'endettement et la dépendance au cadre réglementaire.</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exigeante, avec un PER de 27,7x et un P/B de 10,12x qui intègrent déjà une prime de qualité et de croissance, laissant peu de marge de sécurité. Le comportement du cours sur 100 jours est impressionnant (+95,20%) mais la volatilité annualisée de 49,8% et la distribution quasi-symétrique (skewness -0,171, kurtosis -0,460) suggèrent un risque de correction après une telle performance. Les signaux techniques sont mitigés : les moyennes mobiles restent haussières de fond mais le MACD génère un signal de vente, tandis que le RSI (33,7) et le stochastique (croisement haussier naissant) offrent un potentiel de rebond à court terme. Les fondamentaux sont solides, avec une croissance du CA de +14,82% en 2025, un résultat net en hausse de +24,4% et un ROE exceptionnel de 36,50%, mais la structure financière reste très endettée (autonomie financière de 1,78%) et dépendante du cadre réglementaire. Les prédictions IA pour les 10 prochains jours (6297 → 6174 FCFA) anticipent une légère correction baissière d'environ -5% depuis le cours actuel, ce qui contredit la dynamique haussière de fond mais confirme les signaux baissiers du MACD et le positionnement sous la MM20. Sur la base de cette synthèse, la recommandation finale est de **CONSERVER** le titre : la convergence entre une valorisation tendue, des signaux techniques mitigés et des fondamentaux solides mais risqués ne justifie ni un achat agressif ni une vente précipitée. Le niveau de confiance est **Moyen**, car les indicateurs divergent (fondamentaux positifs vs technique baissier à court terme), et le niveau de risque global est **Élevé** en raison de la volatilité du titre et de l'endettement de la société. L'horizon d'investissement optimal est le **moyen terme (3-12 mois)**, le temps que la consolidation technique s'achève et que les perspectives bénéficiaires 2026 se confirment.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4,189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B40000"/>
                <w:sz w:val="17"/>
              </w:rPr>
              <w:t>-0.03%</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μ=16,569 FCFA, σ=452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β=0.2960 (Défensif) — Cov=0.000020, Var(idx)=0.000069, ρ=0.139,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16,257</w:t>
            </w:r>
          </w:p>
        </w:tc>
        <w:tc>
          <w:tcPr>
            <w:tcW w:type="dxa" w:w="1440"/>
            <w:shd w:fill="FAFAFA" w:val="clear"/>
          </w:tcPr>
          <w:p>
            <w:r>
              <w:rPr>
                <w:b/>
                <w:sz w:val="17"/>
              </w:rPr>
              <w:t>16,880</w:t>
            </w:r>
          </w:p>
        </w:tc>
        <w:tc>
          <w:tcPr>
            <w:tcW w:type="dxa" w:w="1440"/>
            <w:shd w:fill="FAFAFA" w:val="clear"/>
          </w:tcPr>
          <w:p>
            <w:r>
              <w:rPr>
                <w:sz w:val="17"/>
              </w:rPr>
              <w:t>17,502</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16,132</w:t>
            </w:r>
          </w:p>
        </w:tc>
        <w:tc>
          <w:tcPr>
            <w:tcW w:type="dxa" w:w="1440"/>
            <w:shd w:fill="FAFAFA" w:val="clear"/>
          </w:tcPr>
          <w:p>
            <w:r>
              <w:rPr>
                <w:b/>
                <w:sz w:val="17"/>
              </w:rPr>
              <w:t>16,895</w:t>
            </w:r>
          </w:p>
        </w:tc>
        <w:tc>
          <w:tcPr>
            <w:tcW w:type="dxa" w:w="1440"/>
            <w:shd w:fill="FAFAFA" w:val="clear"/>
          </w:tcPr>
          <w:p>
            <w:r>
              <w:rPr>
                <w:sz w:val="17"/>
              </w:rPr>
              <w:t>17,658</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16,027</w:t>
            </w:r>
          </w:p>
        </w:tc>
        <w:tc>
          <w:tcPr>
            <w:tcW w:type="dxa" w:w="1440"/>
            <w:shd w:fill="FAFAFA" w:val="clear"/>
          </w:tcPr>
          <w:p>
            <w:r>
              <w:rPr>
                <w:b/>
                <w:sz w:val="17"/>
              </w:rPr>
              <w:t>16,909</w:t>
            </w:r>
          </w:p>
        </w:tc>
        <w:tc>
          <w:tcPr>
            <w:tcW w:type="dxa" w:w="1440"/>
            <w:shd w:fill="FAFAFA" w:val="clear"/>
          </w:tcPr>
          <w:p>
            <w:r>
              <w:rPr>
                <w:sz w:val="17"/>
              </w:rPr>
              <w:t>17,791</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15,936</w:t>
            </w:r>
          </w:p>
        </w:tc>
        <w:tc>
          <w:tcPr>
            <w:tcW w:type="dxa" w:w="1440"/>
            <w:shd w:fill="FAFAFA" w:val="clear"/>
          </w:tcPr>
          <w:p>
            <w:r>
              <w:rPr>
                <w:b/>
                <w:sz w:val="17"/>
              </w:rPr>
              <w:t>16,923</w:t>
            </w:r>
          </w:p>
        </w:tc>
        <w:tc>
          <w:tcPr>
            <w:tcW w:type="dxa" w:w="1440"/>
            <w:shd w:fill="FAFAFA" w:val="clear"/>
          </w:tcPr>
          <w:p>
            <w:r>
              <w:rPr>
                <w:sz w:val="17"/>
              </w:rPr>
              <w:t>17,909</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15,854</w:t>
            </w:r>
          </w:p>
        </w:tc>
        <w:tc>
          <w:tcPr>
            <w:tcW w:type="dxa" w:w="1440"/>
            <w:shd w:fill="FAFAFA" w:val="clear"/>
          </w:tcPr>
          <w:p>
            <w:r>
              <w:rPr>
                <w:b/>
                <w:sz w:val="17"/>
              </w:rPr>
              <w:t>16,935</w:t>
            </w:r>
          </w:p>
        </w:tc>
        <w:tc>
          <w:tcPr>
            <w:tcW w:type="dxa" w:w="1440"/>
            <w:shd w:fill="FAFAFA" w:val="clear"/>
          </w:tcPr>
          <w:p>
            <w:r>
              <w:rPr>
                <w:sz w:val="17"/>
              </w:rPr>
              <w:t>18,017</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2026-10-12</w:t>
            </w:r>
          </w:p>
        </w:tc>
        <w:tc>
          <w:tcPr>
            <w:tcW w:type="dxa" w:w="1440"/>
            <w:shd w:fill="FAFAFA" w:val="clear"/>
          </w:tcPr>
          <w:p>
            <w:r>
              <w:rPr>
                <w:sz w:val="17"/>
              </w:rPr>
              <w:t>15,779</w:t>
            </w:r>
          </w:p>
        </w:tc>
        <w:tc>
          <w:tcPr>
            <w:tcW w:type="dxa" w:w="1440"/>
            <w:shd w:fill="FAFAFA" w:val="clear"/>
          </w:tcPr>
          <w:p>
            <w:r>
              <w:rPr>
                <w:b/>
                <w:sz w:val="17"/>
              </w:rPr>
              <w:t>16,948</w:t>
            </w:r>
          </w:p>
        </w:tc>
        <w:tc>
          <w:tcPr>
            <w:tcW w:type="dxa" w:w="1440"/>
            <w:shd w:fill="FAFAFA" w:val="clear"/>
          </w:tcPr>
          <w:p>
            <w:r>
              <w:rPr>
                <w:sz w:val="17"/>
              </w:rPr>
              <w:t>18,118</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2026-10-13</w:t>
            </w:r>
          </w:p>
        </w:tc>
        <w:tc>
          <w:tcPr>
            <w:tcW w:type="dxa" w:w="1440"/>
            <w:shd w:fill="FAFAFA" w:val="clear"/>
          </w:tcPr>
          <w:p>
            <w:r>
              <w:rPr>
                <w:sz w:val="17"/>
              </w:rPr>
              <w:t>15,709</w:t>
            </w:r>
          </w:p>
        </w:tc>
        <w:tc>
          <w:tcPr>
            <w:tcW w:type="dxa" w:w="1440"/>
            <w:shd w:fill="FAFAFA" w:val="clear"/>
          </w:tcPr>
          <w:p>
            <w:r>
              <w:rPr>
                <w:b/>
                <w:sz w:val="17"/>
              </w:rPr>
              <w:t>16,961</w:t>
            </w:r>
          </w:p>
        </w:tc>
        <w:tc>
          <w:tcPr>
            <w:tcW w:type="dxa" w:w="1440"/>
            <w:shd w:fill="FAFAFA" w:val="clear"/>
          </w:tcPr>
          <w:p>
            <w:r>
              <w:rPr>
                <w:sz w:val="17"/>
              </w:rPr>
              <w:t>18,212</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2026-10-14</w:t>
            </w:r>
          </w:p>
        </w:tc>
        <w:tc>
          <w:tcPr>
            <w:tcW w:type="dxa" w:w="1440"/>
            <w:shd w:fill="FAFAFA" w:val="clear"/>
          </w:tcPr>
          <w:p>
            <w:r>
              <w:rPr>
                <w:sz w:val="17"/>
              </w:rPr>
              <w:t>15,645</w:t>
            </w:r>
          </w:p>
        </w:tc>
        <w:tc>
          <w:tcPr>
            <w:tcW w:type="dxa" w:w="1440"/>
            <w:shd w:fill="FAFAFA" w:val="clear"/>
          </w:tcPr>
          <w:p>
            <w:r>
              <w:rPr>
                <w:b/>
                <w:sz w:val="17"/>
              </w:rPr>
              <w:t>16,973</w:t>
            </w:r>
          </w:p>
        </w:tc>
        <w:tc>
          <w:tcPr>
            <w:tcW w:type="dxa" w:w="1440"/>
            <w:shd w:fill="FAFAFA" w:val="clear"/>
          </w:tcPr>
          <w:p>
            <w:r>
              <w:rPr>
                <w:sz w:val="17"/>
              </w:rPr>
              <w:t>18,301</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2026-10-15</w:t>
            </w:r>
          </w:p>
        </w:tc>
        <w:tc>
          <w:tcPr>
            <w:tcW w:type="dxa" w:w="1440"/>
            <w:shd w:fill="FAFAFA" w:val="clear"/>
          </w:tcPr>
          <w:p>
            <w:r>
              <w:rPr>
                <w:sz w:val="17"/>
              </w:rPr>
              <w:t>15,584</w:t>
            </w:r>
          </w:p>
        </w:tc>
        <w:tc>
          <w:tcPr>
            <w:tcW w:type="dxa" w:w="1440"/>
            <w:shd w:fill="FAFAFA" w:val="clear"/>
          </w:tcPr>
          <w:p>
            <w:r>
              <w:rPr>
                <w:b/>
                <w:sz w:val="17"/>
              </w:rPr>
              <w:t>16,985</w:t>
            </w:r>
          </w:p>
        </w:tc>
        <w:tc>
          <w:tcPr>
            <w:tcW w:type="dxa" w:w="1440"/>
            <w:shd w:fill="FAFAFA" w:val="clear"/>
          </w:tcPr>
          <w:p>
            <w:r>
              <w:rPr>
                <w:sz w:val="17"/>
              </w:rPr>
              <w:t>18,386</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 RAPPORT D'ANALYSE FINANCIÈRE — ECOBANK CÔTE D'IVOIRE (ECOC)</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**924,57 milliards FCFA**, ECOC figure parmi les valeurs les plus capitalisées de la cote BRVM, ce qui en fait un pilier de l'indice composite et un titre de référence pour les investisseurs institutionnels de la zone UEMOA. Le **BPA de 1 153 FCFA/action** traduit une rentabilité unitaire solide, et rapporté au cours actuel de 16 795 FCFA, il ressort un **PER de 14,6x** qui se situe au-dessus de la moyenne du marché BRVM (généralement 8-12x), signalant que le marché consent une prime de qualité à cette banque. Le **P/B de 4,23x** confirme cette valorisation exigeante puisque le titre s'échange à plus de quatre fois sa valeur comptable, reflet d'une rentabilité des fonds propres (ROE ~29%) nettement supérieure au coût du capital. Enfin, l'**EV/EBITDA de 14,2x**, dans la fourchette haute (10-15x), indique que la valeur d'entreprise intègre déjà une bonne partie de la capacité bénéficiaire opérationnelle, laissant peu de marge de revalorisation à court terme sans nouvelle impulsion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**variation quasi nulle de -0,03%**, avec une dernière séance en léger repli de **-0,24%**, traduisant une phase de consolidation latérale après une dynamique haussière antérieure. Le cours a évolué dans un **range de 2 205 FCFA** entre un plus bas de **15 520 FCFA** et un plus haut de **17 725 FCFA**, soit une amplitude de trading de l'ordre de 14%, ce qui reste contenu pour une valeur bancaire. La tendance générale est donc **stable à légèrement haussière**, le cours actuel (16 795 FCFA) se maintenant au-dessus de la moyenne de la période. Les statistiques descriptives révèlent une distribution remarquablement équilibrée : la **moyenne (16 569 FCFA)** et la **médiane (16 500 FCFA)** sont quasi confondues, confirmant l'absence de biais directionnel marqué, tandis que le **mode à 16 300 FCFA** situe le point d'équilibre naturel du marché. L'**écart-type de 454 FCFA** avec un **coefficient de variation de seulement 2,7%** indique une dispersion très faible du cours autour de sa moyenne, signe d'un titre peu erratique. Le **kurtosis de -0,239 (mésokurtique)** et le **skewness de 0,239 (distribution symétrique)** suggèrent un comportement proche d'une loi normale, sans risque de pics extrêmes ni d'asymétrie marquée — un profil rassurant pour un investisseur averse au risque. La **volatilité annualisée de 27,8%** classe le titre dans la catégorie **modérée (15-30%)**, cohérente avec une valeur de rendement à faible spéculation.</w:t>
      </w:r>
    </w:p>
    <w:p>
      <w:pPr>
        <w:spacing w:after="120" w:line="276" w:lineRule="auto"/>
      </w:pPr>
      <w:r>
        <w:t>---</w:t>
      </w:r>
    </w:p>
    <w:p>
      <w:pPr>
        <w:spacing w:after="120" w:line="276" w:lineRule="auto"/>
      </w:pPr>
      <w:r>
        <w:t>## PARTIE 2 : ANALYSE TECHNIQUE DÉTAILLÉE</w:t>
      </w:r>
    </w:p>
    <w:p>
      <w:pPr>
        <w:spacing w:after="120" w:line="276" w:lineRule="auto"/>
      </w:pPr>
      <w:r>
        <w:t>**Moyennes Mobiles** — La MM20 (17 071,5 FCFA) et la MM50 (16 672,9 FCFA) encadrent le cours actuel (16 795 FCFA) : le prix se situe sous la MM20 mais au-dessus de la MM50, configuration typique d'une consolidation dans une tendance de fond haussière. La MM20 &gt; MM50 confirme la structure positive, ce qui justifie la décision technique **Achat** malgré le repli récent.</w:t>
      </w:r>
    </w:p>
    <w:p>
      <w:pPr>
        <w:spacing w:after="120" w:line="276" w:lineRule="auto"/>
      </w:pPr>
      <w:r>
        <w:t>**Bandes de Bollinger** — Le cours (16 795 FCFA) évolue dans la partie médiane de la bande, entre la borne inférieure (16 435,6 FCFA) et la borne supérieure (17 707,4 FCFA), sans contact avec les extrêmes. Cette position centrale, couplée à un écart-type faible, traduit une **volatilité comprimée** et une absence de signal directionnel fort, justifiant la décision **Neutre**.</w:t>
      </w:r>
    </w:p>
    <w:p>
      <w:pPr>
        <w:spacing w:after="120" w:line="276" w:lineRule="auto"/>
      </w:pPr>
      <w:r>
        <w:t>**MACD** — La divergence est manifeste : la ligne MACD (-1,532) se situe nettement sous sa ligne de signal (53,969), générant un momentum baissier de court terme. Cet écart important, bien que le MACD reste proche de zéro, plaide pour la prudence et justifie la décision **Vente** à court terme.</w:t>
      </w:r>
    </w:p>
    <w:p>
      <w:pPr>
        <w:spacing w:after="120" w:line="276" w:lineRule="auto"/>
      </w:pPr>
      <w:r>
        <w:t>**RSI** — À **37,563**, l'indicateur se situe dans la zone neutre basse (30-70), sans atteindre la zone de survente (&lt;30). Le titre n'est donc ni survendu ni suracheté, ce qui laisse une marge de baisse résiduelle mais aussi un potentiel de rebond technique, justifiant la décision **Neutre**.</w:t>
      </w:r>
    </w:p>
    <w:p>
      <w:pPr>
        <w:spacing w:after="120" w:line="276" w:lineRule="auto"/>
      </w:pPr>
      <w:r>
        <w:t>**Stochastique** — Le %K (35,78) est légèrement supérieur au %D (32,851), sans croisement franc, et les deux oscillateurs évoluent en zone basse sans être en survente. Cette configuration indique une pression vendeuse modérée mais non extrême, justifiant la décision **Neutre**.</w:t>
      </w:r>
    </w:p>
    <w:p>
      <w:pPr>
        <w:spacing w:after="120" w:line="276" w:lineRule="auto"/>
      </w:pPr>
      <w:r>
        <w:t>**Conclusion technique** — Les indicateurs sont **partagés** : les moyennes mobiles plaident pour l'achat (structure haussière de fond), mais le MACD en divergence baissière et le RSI/stochastique en zone basse neutre incitent à la prudence. Le titre est en phase de consolidation latérale dans un range étroit, sans signal de retournement clair. La convergence des signaux neutres suggère d'**attendre une cassure** de la MM20 (17 071 FCFA) à la hausse ou de la MM50 (16 673 FCFA) à la baisse pour confirmer la direction.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Ecobank Côte d'Ivoire affiche un **Produit Net Bancaire (PNB) de 132,725 milliards FCFA** en 2025, en croissance de **+8,51%**, avec un **résultat net de 63,482 milliards FCFA** et une **marge nette exceptionnelle de 47,83%**. La rentabilité est remarquable : **ROE de 29,04%** (largement supérieur au seuil de 15% considéré comme excellent) et **ROA de 3,09%**, confirmant l'efficacité de l'utilisation des actifs. Le **coefficient d'exploitation de 42,89%** classe la banque parmi les plus efficaces du secteur UEMOA (&lt; 50% = excellente), et le **coût du risque de 1,36%** reste modéré, bien que sous surveillance. La structure bilancielle est solide avec un **total bilan de 2 054,491 milliards FCFA**, des **dépôts clientèle de 1 626,223 milliards FCFA** (principale ressource) et des **créances sur la clientèle de 1 050,803 milliards FCFA**, soit un ratio de transformation (crédits/dépôts) de 64,6% laissant une capacité de déploiement importante. Le **portefeuille de titres d'État (625,317 milliards FCFA)** constitue un coussin de liquidité et de qualité de crédit.</w:t>
      </w:r>
    </w:p>
    <w:p>
      <w:pPr>
        <w:spacing w:after="120" w:line="276" w:lineRule="auto"/>
      </w:pPr>
      <w:r>
        <w:t>**Estimations basées sur les rapports trimestriels** : Le rapport **S1 2026 (publié le 26 août 2026)** révèle un **PNB de 64,078 milliards FCFA (+2,0%)** et un **résultat net de 26,408 milliards FCFA (-8,6%)**, pénalisé par un **coût du risque multiplié par 7,4 à 5,197 milliards FCFA** (provisionnement volontairement prudent, taux de couverture maintenu à 90%). Le **T1 2026** confirmait déjà cette tendance avec un PNB de 30,8 milliards FCFA (+3,7%) et un résultat net de 13,0 milliards FCFA (-1,6%). On estime donc que l'exercice 2026 devrait afficher une **croissance modérée du PNB (2-4%)** mais un **résultat net en repli (5-10%)** sous l'effet du coût du risque, tout en maintenant un ROE supérieur à 25% et un coefficient d'exploitation autour de 45%.</w:t>
      </w:r>
    </w:p>
    <w:p>
      <w:pPr>
        <w:spacing w:after="120" w:line="276" w:lineRule="auto"/>
      </w:pPr>
      <w:r>
        <w:t>**Évolution et recommandation** : La comparaison avec les exercices antérieurs (rapport annuel 2024 : PNB 122,3 Mds FCFA, résultat net 57,5 Mds FCFA, ROE 28,8%) montre une **dynamique de croissance continue mais ralentie** en 2026. Le dividende proposé de **888 FCFA brut par action (781 FCFA net)** pour 2025, en hausse de 10,4% sur un an, offre un **rendement de 5,3%** au cours actuel, attractif dans l'environnement de taux UEMOA. La solidité fondamentale reste intacte (ROE &gt;25%, solvabilité 111,9%, couverture des intérêts 317,7%), mais la **dégradation du coût du risque** et la **contraction des produits hors intérêts (-25,9%)** constituent des points de vigilance. La recommandation fondamentale est **CONSERVER**, avec un biais positif à moyen terme si le coût du risque se normalise au S2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mais justifiée** : le PER de 14,6x et le P/B de 4,23x intègrent une prime de qualité liée à la rentabilité supérieure (ROE 29%), mais l'EV/EBITDA de 14,2x laisse peu de marge de revalorisation à court terme. Le **comportement du cours (Partie 1)** est rassurant : volatilité modérée (27,8%), distribution symétrique (skewness 0,239) et absence de risque de pics extrêmes (kurtosis -0,239), mais la stagnation sur 100 jours (-0,03%) traduit une phase d'attente. Les **signaux techniques (Partie 2)** sont **mitigés** : les moyennes mobiles valident la tendance haussière de fond, mais le MACD baissier et le RSI neutre-bas plaident pour la prudence à court terme, sans convergence claire. Les **fondamentaux (Partie 3)** demeurent **solides** (ROE 29%, coefficient d'exploitation 42,9%, dividende 888 FCFA), mais le ralentissement du résultat net au S1 2026 (-8,6%) et la hausse du coût du risque tempèrent l'optimisme. Les **prédictions IA (J+1 à J+10)** anticipent une **légère reprise** de 16 880 à 16 935 FCFA (+0,8% sur 10 jours), confirmant la thèse d'une consolidation sans rupture baissière.</w:t>
      </w:r>
    </w:p>
    <w:p>
      <w:pPr>
        <w:spacing w:after="120" w:line="276" w:lineRule="auto"/>
      </w:pPr>
      <w:r>
        <w:t>**Recommandation finale : CONSERVER** — Justification : la convergence entre une valorisation exigeante mais soutenue par des fondamentaux de qualité, une technique neutre sans signal de retournement, et des prédictions IA légèrement haussières plaide pour le maintien en portefeuille plutôt que l'achat ou la vente. Le titre offre un **rendement dividende attractif (5,3%)** et une **faible volatilité** adaptée aux investisseurs prudents. **Niveau de confiance : Moyen** (les signaux techniques divergents et le coût du risque à surveiller limitent la visibilité). **Niveau de risque global : Moyen** (risque de crédit en hausse, concentration géographique sur la Côte d'Ivoire, mais solidité bilancielle avérée). **Horizon d'investissement optimal : Moyen terme (3-12 mois)**, en attendant la confirmation de la normalisation du coût du risque au second semestre 2026 et les annonces sur la politique de dividende 2026. Un passage à **ACHAT** serait justifié si le cours casse la MM20 (17 071 FCFA) à la hausse avec un MACD qui se retourne, ou si le coût du risque se stabilise au S2 2026.</w:t>
      </w:r>
    </w:p>
    <w:p>
      <w:pPr>
        <w:spacing w:after="120" w:line="276" w:lineRule="auto"/>
      </w:pPr>
      <w:r>
        <w:t>---</w:t>
        <w:br/>
        <w:t>*Rapport généré le 4 octobre 2026 — Sources : BRVM, états financiers ECOC 2025, rapports S1 2026 et T1 2026, avis de convocation AGO du 10/04/2026.*</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1,671,117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31.59% (Élevée) — μ=54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β=1.9971 (Très agressif) — Cov=0.000138, Var(idx)=0.000069, ρ=0.422,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1,671,117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62</w:t>
            </w:r>
          </w:p>
        </w:tc>
        <w:tc>
          <w:tcPr>
            <w:tcW w:type="dxa" w:w="1440"/>
            <w:shd w:fill="FAFAFA" w:val="clear"/>
          </w:tcPr>
          <w:p>
            <w:r>
              <w:rPr>
                <w:b/>
                <w:sz w:val="17"/>
              </w:rPr>
              <w:t>66</w:t>
            </w:r>
          </w:p>
        </w:tc>
        <w:tc>
          <w:tcPr>
            <w:tcW w:type="dxa" w:w="1440"/>
            <w:shd w:fill="FAFAFA" w:val="clear"/>
          </w:tcPr>
          <w:p>
            <w:r>
              <w:rPr>
                <w:sz w:val="17"/>
              </w:rPr>
              <w:t>70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74</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s'impose comme l'une des plus importantes capitalisations de la BRVM, ce qui en fait un titre de référence pour les investisseurs institutionnels régionaux. Le BPA de 19 FCFA/action signifie que chaque titre génère près de 19 FCFA de bénéfice net, un niveau appréciable pour une valeur bancaire panafricaine. Le PER de 3,5x est remarquablement faible comparé à la moyenne BRVM (8-12x), suggérant une sous-évaluation potentielle marquée ou une décote liée aux risques perçus (change, crédit, gouvernance). Le P/B de 0,76x indique que le marché valorise ETIT à 24% en dessous de sa valeur comptable, une anomalie souvent considérée comme une opportunité pour les investisseurs value. Enfin, l'EV/EBITDA de 5,0x, inférieur au seuil de 5x généralement considéré comme bon marché, confirme que la valeur d'entreprise est attractive au regard de la capacité opérationnelle générée.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performance exceptionnelle de +123,33%, passant d'un plus bas de 29 FCFA à un plus haut de 78 FCFA, pour un cours actuel de 67 FCFA ; la variation J-1 est nulle (+0,00%), signalant une stabilisation après la forte progression. Le range de trading de 49 FCFA (29-78) témoigne d'une volatilité historique considérable, avec une tendance générale nettement haussière portée par un intérêt croissant des investisseurs. Les statistiques descriptives révèlent une moyenne de 54 FCFA contre une médiane de 65 FCFA, un écart significatif qui indique une distribution asymétrique : le cours a passé plus de temps dans les niveaux élevés récents, mais les points bas historiques tirent la moyenne vers le bas. L'écart-type de 17 FCFA avec un coefficient de variation de 31,8% confirme une dispersion élevée du cours, typique d'un titre en forte tendance. Le kurtosis de -1,611 (platykurtique) indique une distribution aplatie avec une faible concentration autour de la moyenne, ce qui suggère moins de pics extrêmes mais une tendance à des mouvements amples et soutenus. Le skewness de -0,448, bien que qualifié de symétrique dans les données, penche légèrement vers une queue gauche, signifiant que les baisses passées ont été plus prononcées que les hausses. Enfin, la volatilité annualisée de 62,0% positionne ETIT comme un titre à volatilité élevée (&gt;30%), nécessitant une tolérance au risque importante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(69,3 FCFA) et la MM50 (68,2 FCFA) se situent toutes deux au-dessus du cours actuel (67 FCFA), avec la MM20 légèrement supérieure à la MM50, configurant un croisement haussier classique. Le cours évoluant sous ses moyennes mobiles, la décision technique affichée est "Achat", suggérant que le titre se trouve dans une zone de repli potentiellement attractive pour les acheteurs. Cette configuration indique que la tendance de fond reste haussière malgré la consolidation actuelle.</w:t>
      </w:r>
    </w:p>
    <w:p>
      <w:pPr>
        <w:spacing w:after="120" w:line="276" w:lineRule="auto"/>
      </w:pPr>
      <w:r>
        <w:t>**Bandes de Bollinger** : Le cours actuel (67 FCFA) se situe entre la borne inférieure (65,86 FCFA) et la borne supérieure (72,74 FCFA), plus proche de la borne basse, ce qui reflète une pression vendeuse modérée mais sans excès. L'écart entre les bornes (6,88 FCFA) traduit une volatilité contenue à court terme, et la décision "Neutre" suggère l'absence de signal directionnel fort. Le titre semble en phase de consolidation dans un canal étroit.</w:t>
      </w:r>
    </w:p>
    <w:p>
      <w:pPr>
        <w:spacing w:after="120" w:line="276" w:lineRule="auto"/>
      </w:pPr>
      <w:r>
        <w:t>**MACD** : La valeur du MACD (0,128) est nettement inférieure à son signal (0,566), générant une divergence baissière et une décision de "Vente". Cette configuration indique un essoufflement du momentum haussier : bien que le MACD reste positif, sa convergence vers le signal suggère que la dynamique positive s'affaiblit. Un croisement baissier effectif pourrait confirmer une correction à court terme.</w:t>
      </w:r>
    </w:p>
    <w:p>
      <w:pPr>
        <w:spacing w:after="120" w:line="276" w:lineRule="auto"/>
      </w:pPr>
      <w:r>
        <w:t>**RSI** : À 40,0, le RSI se situe dans la zone neutre (30-70), sans signal de surachat (&gt;70) ni de survente (&lt;30). La décision "Neutre" reflète un équilibre entre acheteurs et vendeurs, avec une légère prédominance baissière puisque le RSI est sous la barre des 50. Le titre dispose donc d'une marge de progression avant d'atteindre la zone de survente.</w:t>
      </w:r>
    </w:p>
    <w:p>
      <w:pPr>
        <w:spacing w:after="120" w:line="276" w:lineRule="auto"/>
      </w:pPr>
      <w:r>
        <w:t>**Stochastique** : Le %K (42,857) est inférieur au %D (52,381), avec un croisement baissier en cours, et la décision affichée est "Neutre". Cette configuration suggère que la pression baissière pourrait se poursuivre à court terme, mais l'absence de signal fort (les deux lignes restant dans une zone médiane) invite à la prudence plutôt qu'à l'action immédiate.</w:t>
      </w:r>
    </w:p>
    <w:p>
      <w:pPr>
        <w:spacing w:after="120" w:line="276" w:lineRule="auto"/>
      </w:pPr>
      <w:r>
        <w:t>**Conclusion technique** : Les indicateurs techniques présentent un tableau mitigé : les moyennes mobiles plaident pour un achat sur repli, tandis que le MACD signale une vente et que le RSI et le stochastique restent neutres. Cette divergence indique une phase de consolidation incertaine, avec un biais légèrement baissier à court terme mais un potentiel de rebond soutenu par la tendance de fond haussière. La prudence est de mise avant d'engager des positions significatives.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ETIT affiche un Produit Net Bancaire (PNB) de 1 424,261 milliards FCFA, un résultat net de 345,523 milliards FCFA, un ROE de 21,62% (excellent, &gt;15%) et un ROA de 1,80%. Le coefficient d'exploitation de 27,35% est remarquablement bas (&lt;60%), témoignant d'une efficacité opérationnelle exceptionnelle. Le coût du risque, calculé comme le ratio provisions/charges financières, s'élève à 18,97%, un niveau élevé qui signale un risque de crédit significatif. La structure financière montre une autonomie financière de 8,30% (faible, &lt;30%) et un ratio d'endettement de 154,06%, reflétant la nature bancaire de l'activité où les dépôts clientèle (14 120,139 milliards FCFA) constituent la principale ressource, tandis que les créances clientèle atteignent 6 570,385 milliards FCFA, soit un ratio de transformation (crédits/dépôts) de 46,5%, indiquant une marge de croissance dans l'octroi de crédits.</w:t>
      </w:r>
    </w:p>
    <w:p>
      <w:pPr>
        <w:spacing w:after="120" w:line="276" w:lineRule="auto"/>
      </w:pPr>
      <w:r>
        <w:t>**Estimations basées sur les rapports trimestriels** : Le rapport semestriel S1 2026 (publié le 21 juillet 2026, analysé par DeepSeek) révèle un PNB de 1 281 330 milliers $EU (721 318 millions FCFA), en hausse de +15% sur un an, et un résultat net consolidé de 296 091 milliers $EU (166 682 millions FCFA), en progression de +6%. Le coefficient d'exploitation s'améliore à 48,4%, et le BPA atteint 0,80 $EU (+2%). Le rapport T1 2026 (analysé par DeepSeek) montre un PNB de 636,2 millions $EU (+23%) et un résultat net de 142,5 millions $EU (+16%), avec un coefficient d'exploitation de 49,0%. Cependant, le coût du risque bondit de +73% au T1 2026 et de +40% au S1 2026, signal d'alerte majeur. Sur la base de ces tendances, on estime que l'exercice 2026 devrait afficher un PNB annuel compris entre 1 500 et 1 550 milliards FCFA (croissance de 5-9% vs 2025), avec un résultat net potentiellement stable ou en légère hausse si le coût du risque se stabilise au second semestre. Le ratio de prêts non performants (NPL) de 7,6% reste élevé mais dans la fourchette cible.</w:t>
      </w:r>
    </w:p>
    <w:p>
      <w:pPr>
        <w:spacing w:after="120" w:line="276" w:lineRule="auto"/>
      </w:pPr>
      <w:r>
        <w:t>**Recommandation fondamentale** : ETIT présente des fondamentaux solides (ROE &gt;20%, coefficient d'exploitation &lt;50%, PNB en croissance), mais les risques liés au coût du risque (+40% au S1 2026) et à la faible autonomie financière (8,30%) tempèrent l'enthousiasme. La valorisation attractive (PER 3,5x, P/B 0,76x) offre une marge de sécurité, mais la prudence est recommandée en attendant la confirmation de la maîtrise des provisions au second semestre 2026. **Recommandation fondamentale : CONSERVER avec biais positif.**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d'ETIT (PER 3,5x, P/B 0,76x, EV/EBITDA 5,0x) indique une sous-évaluation manifeste par rapport aux moyennes du secteur et de la BRVM, offrant un potentiel de revalorisation significatif. Le comportement du cours sur 100 jours (+123,33%) témoigne d'un fort momentum haussier, mais la volatilité élevée (62% annualisée) et le kurtosis platykurtique (-1,611) suggèrent des mouvements amples et une consolidation possible après la forte progression. Les signaux techniques sont mitigés : les moyennes mobiles plaident pour un achat sur repli, mais le MACD (vente) et le RSI neutre (40,0) indiquent un essoufflement du momentum à court terme, plaidant pour une consolidation avant une reprise. Les fondamentaux restent solides (ROE 21,62%, PNB +15% au S1 2026, coefficient d'exploitation 48,4%), mais le coût du risque en forte hausse (+40%) constitue un risque majeur à surveiller. Les prédictions IA (66 FCFA stable sur J+1 à J+10) confirment une phase de stabilisation à court terme, en ligne avec les signaux techniques neutres. **Recommandation finale : CONSERVER**, avec un biais positif pour les investisseurs long terme. La convergence entre valorisation attractive, fondamentaux solides et prédictions stables soutient cette position, mais la divergence technique (MACD baissier) et le risque de crédit incitent à la prudence. **Niveau de confiance : Moyen. Niveau de risque global : Élevé (volatilité 62%, coût du risque en hausse). Horizon d'investissement optimal : Moyen à long terme (6-18 mois)**, en attendant la publication des résultats annuels 2026 pour évaluer la trajectoire du coût du risque et la capacité de la banque à transformer la croissance du PNB en bénéfices nets durables.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28.14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4,102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B40000"/>
                <w:sz w:val="17"/>
              </w:rPr>
              <w:t>-10.14%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6.12% (Moyenne) — μ=2,112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β=0.2587 (Défensif) — Cov=0.000018, Var(idx)=0.000069, ρ=0.102,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1,875</w:t>
            </w:r>
          </w:p>
        </w:tc>
        <w:tc>
          <w:tcPr>
            <w:tcW w:type="dxa" w:w="1440"/>
            <w:shd w:fill="FAFAFA" w:val="clear"/>
          </w:tcPr>
          <w:p>
            <w:r>
              <w:rPr>
                <w:b/>
                <w:sz w:val="17"/>
              </w:rPr>
              <w:t>1,963</w:t>
            </w:r>
          </w:p>
        </w:tc>
        <w:tc>
          <w:tcPr>
            <w:tcW w:type="dxa" w:w="1440"/>
            <w:shd w:fill="FAFAFA" w:val="clear"/>
          </w:tcPr>
          <w:p>
            <w:r>
              <w:rPr>
                <w:sz w:val="17"/>
              </w:rPr>
              <w:t>2,051</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1,841</w:t>
            </w:r>
          </w:p>
        </w:tc>
        <w:tc>
          <w:tcPr>
            <w:tcW w:type="dxa" w:w="1440"/>
            <w:shd w:fill="FFDCE0" w:val="clear"/>
          </w:tcPr>
          <w:p>
            <w:r>
              <w:rPr>
                <w:b/>
                <w:sz w:val="17"/>
              </w:rPr>
              <w:t>1,948</w:t>
            </w:r>
          </w:p>
        </w:tc>
        <w:tc>
          <w:tcPr>
            <w:tcW w:type="dxa" w:w="1440"/>
            <w:shd w:fill="FFDCE0" w:val="clear"/>
          </w:tcPr>
          <w:p>
            <w:r>
              <w:rPr>
                <w:sz w:val="17"/>
              </w:rPr>
              <w:t>2,056</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1,811</w:t>
            </w:r>
          </w:p>
        </w:tc>
        <w:tc>
          <w:tcPr>
            <w:tcW w:type="dxa" w:w="1440"/>
            <w:shd w:fill="FFDCE0" w:val="clear"/>
          </w:tcPr>
          <w:p>
            <w:r>
              <w:rPr>
                <w:b/>
                <w:sz w:val="17"/>
              </w:rPr>
              <w:t>1,934</w:t>
            </w:r>
          </w:p>
        </w:tc>
        <w:tc>
          <w:tcPr>
            <w:tcW w:type="dxa" w:w="1440"/>
            <w:shd w:fill="FFDCE0" w:val="clear"/>
          </w:tcPr>
          <w:p>
            <w:r>
              <w:rPr>
                <w:sz w:val="17"/>
              </w:rPr>
              <w:t>2,057</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1,784</w:t>
            </w:r>
          </w:p>
        </w:tc>
        <w:tc>
          <w:tcPr>
            <w:tcW w:type="dxa" w:w="1440"/>
            <w:shd w:fill="FFDCE0" w:val="clear"/>
          </w:tcPr>
          <w:p>
            <w:r>
              <w:rPr>
                <w:b/>
                <w:sz w:val="17"/>
              </w:rPr>
              <w:t>1,920</w:t>
            </w:r>
          </w:p>
        </w:tc>
        <w:tc>
          <w:tcPr>
            <w:tcW w:type="dxa" w:w="1440"/>
            <w:shd w:fill="FFDCE0" w:val="clear"/>
          </w:tcPr>
          <w:p>
            <w:r>
              <w:rPr>
                <w:sz w:val="17"/>
              </w:rPr>
              <w:t>2,057</w:t>
            </w:r>
          </w:p>
        </w:tc>
        <w:tc>
          <w:tcPr>
            <w:tcW w:type="dxa" w:w="1440"/>
            <w:shd w:fill="FFDCE0" w:val="clear"/>
          </w:tcPr>
          <w:p>
            <w:r>
              <w:rPr>
                <w:b/>
                <w:color w:val="C00000"/>
                <w:sz w:val="17"/>
              </w:rPr>
              <w:t>-3.7%</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1,759</w:t>
            </w:r>
          </w:p>
        </w:tc>
        <w:tc>
          <w:tcPr>
            <w:tcW w:type="dxa" w:w="1440"/>
            <w:shd w:fill="FFDCE0" w:val="clear"/>
          </w:tcPr>
          <w:p>
            <w:r>
              <w:rPr>
                <w:b/>
                <w:sz w:val="17"/>
              </w:rPr>
              <w:t>1,907</w:t>
            </w:r>
          </w:p>
        </w:tc>
        <w:tc>
          <w:tcPr>
            <w:tcW w:type="dxa" w:w="1440"/>
            <w:shd w:fill="FFDCE0" w:val="clear"/>
          </w:tcPr>
          <w:p>
            <w:r>
              <w:rPr>
                <w:sz w:val="17"/>
              </w:rPr>
              <w:t>2,056</w:t>
            </w:r>
          </w:p>
        </w:tc>
        <w:tc>
          <w:tcPr>
            <w:tcW w:type="dxa" w:w="1440"/>
            <w:shd w:fill="FFDCE0" w:val="clear"/>
          </w:tcPr>
          <w:p>
            <w:r>
              <w:rPr>
                <w:b/>
                <w:color w:val="C00000"/>
                <w:sz w:val="17"/>
              </w:rPr>
              <w:t>-4.4%</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1,735</w:t>
            </w:r>
          </w:p>
        </w:tc>
        <w:tc>
          <w:tcPr>
            <w:tcW w:type="dxa" w:w="1440"/>
            <w:shd w:fill="FFDCE0" w:val="clear"/>
          </w:tcPr>
          <w:p>
            <w:r>
              <w:rPr>
                <w:b/>
                <w:sz w:val="17"/>
              </w:rPr>
              <w:t>1,894</w:t>
            </w:r>
          </w:p>
        </w:tc>
        <w:tc>
          <w:tcPr>
            <w:tcW w:type="dxa" w:w="1440"/>
            <w:shd w:fill="FFDCE0" w:val="clear"/>
          </w:tcPr>
          <w:p>
            <w:r>
              <w:rPr>
                <w:sz w:val="17"/>
              </w:rPr>
              <w:t>2,053</w:t>
            </w:r>
          </w:p>
        </w:tc>
        <w:tc>
          <w:tcPr>
            <w:tcW w:type="dxa" w:w="1440"/>
            <w:shd w:fill="FFDCE0" w:val="clear"/>
          </w:tcPr>
          <w:p>
            <w:r>
              <w:rPr>
                <w:b/>
                <w:color w:val="C00000"/>
                <w:sz w:val="17"/>
              </w:rPr>
              <w:t>-5.1%</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1,712</w:t>
            </w:r>
          </w:p>
        </w:tc>
        <w:tc>
          <w:tcPr>
            <w:tcW w:type="dxa" w:w="1440"/>
            <w:shd w:fill="FFDCE0" w:val="clear"/>
          </w:tcPr>
          <w:p>
            <w:r>
              <w:rPr>
                <w:b/>
                <w:sz w:val="17"/>
              </w:rPr>
              <w:t>1,881</w:t>
            </w:r>
          </w:p>
        </w:tc>
        <w:tc>
          <w:tcPr>
            <w:tcW w:type="dxa" w:w="1440"/>
            <w:shd w:fill="FFDCE0" w:val="clear"/>
          </w:tcPr>
          <w:p>
            <w:r>
              <w:rPr>
                <w:sz w:val="17"/>
              </w:rPr>
              <w:t>2,050</w:t>
            </w:r>
          </w:p>
        </w:tc>
        <w:tc>
          <w:tcPr>
            <w:tcW w:type="dxa" w:w="1440"/>
            <w:shd w:fill="FFDCE0" w:val="clear"/>
          </w:tcPr>
          <w:p>
            <w:r>
              <w:rPr>
                <w:b/>
                <w:color w:val="C00000"/>
                <w:sz w:val="17"/>
              </w:rPr>
              <w:t>-5.7%</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1,690</w:t>
            </w:r>
          </w:p>
        </w:tc>
        <w:tc>
          <w:tcPr>
            <w:tcW w:type="dxa" w:w="1440"/>
            <w:shd w:fill="FFDCE0" w:val="clear"/>
          </w:tcPr>
          <w:p>
            <w:r>
              <w:rPr>
                <w:b/>
                <w:sz w:val="17"/>
              </w:rPr>
              <w:t>1,869</w:t>
            </w:r>
          </w:p>
        </w:tc>
        <w:tc>
          <w:tcPr>
            <w:tcW w:type="dxa" w:w="1440"/>
            <w:shd w:fill="FFDCE0" w:val="clear"/>
          </w:tcPr>
          <w:p>
            <w:r>
              <w:rPr>
                <w:sz w:val="17"/>
              </w:rPr>
              <w:t>2,047</w:t>
            </w:r>
          </w:p>
        </w:tc>
        <w:tc>
          <w:tcPr>
            <w:tcW w:type="dxa" w:w="1440"/>
            <w:shd w:fill="FFDCE0" w:val="clear"/>
          </w:tcPr>
          <w:p>
            <w:r>
              <w:rPr>
                <w:b/>
                <w:color w:val="C00000"/>
                <w:sz w:val="17"/>
              </w:rPr>
              <w:t>-6.3%</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1,670</w:t>
            </w:r>
          </w:p>
        </w:tc>
        <w:tc>
          <w:tcPr>
            <w:tcW w:type="dxa" w:w="1440"/>
            <w:shd w:fill="FFDCE0" w:val="clear"/>
          </w:tcPr>
          <w:p>
            <w:r>
              <w:rPr>
                <w:b/>
                <w:sz w:val="17"/>
              </w:rPr>
              <w:t>1,856</w:t>
            </w:r>
          </w:p>
        </w:tc>
        <w:tc>
          <w:tcPr>
            <w:tcW w:type="dxa" w:w="1440"/>
            <w:shd w:fill="FFDCE0" w:val="clear"/>
          </w:tcPr>
          <w:p>
            <w:r>
              <w:rPr>
                <w:sz w:val="17"/>
              </w:rPr>
              <w:t>2,043</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28,14 Mds FCFA, FTSC se situe dans la catégorie des valeurs moyennes de la cote BRVM, ce qui la rend vulnérable aux mouvements de faible volume. Le BPA de 33 FCFA/action signifie que chaque titre génère un bénéfice net très modeste, ce qui, rapporté au cours actuel de 1 995 FCFA, aboutit à un PER de 60,4x — un niveau excessivement élevé comparé à la moyenne BRVM (8-12x), traduisant une anticipation de forte reprise des bénéfices ou, plus probablement, une décorrélation entre le prix et la rentabilité actuelle. Le P/B de 1,79x indique que le marché valorise l'entreprise à près de 1,8 fois sa valeur comptable (capitaux propres de 15,7 Mds FCFA), ce qui reste raisonnable dans la fourchette 1-2x, mais devient préoccupant si la rentabilité ne se redresse pas. Enfin, l'EV/EBITDA de 36,6x (largement supérieur au seuil de 15x) signale que la valeur d'entreprise intègre une prime spéculative très forte par rapport à la capacité opérationnelle réelle, ce qui exige une prudence accrue.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 enregistré une variation totale de **-10,14%**, avec un rebond marginal de **+1,01%** lors de la dernière séance, signalant une tentative de stabilisation après une tendance baissière dominante. Le cours actuel de 1 995 FCFA évolue dans un range de 1 910 FCFA (plus bas) à 2 430 FCFA (plus haut), soit un écart de 520 FCFA qui traduit une pression vendeuse persistante ayant ramené le titre près de ses planchers. La moyenne de 2 112 FCFA et la médiane de 2 100 FCFA sont quasi confondues, indiquant une distribution globalement symétrique, confirmée par un skewness de 0,455 (légère asymétrie positive) et un kurtosis de -0,709 (mésokurtique, proche d'une loi normale), ce qui suggère l'absence de pics extrêmes récents. L'écart-type de 130 FCFA avec un coefficient de variation de 6,1% révèle une dispersion modérée du cours autour de sa moyenne, tandis que la volatilité annualisée de 33,3% classe le titre dans la catégorie **élevée** (&gt;30%), ce qui implique un risque de fluctuation important pour les investisseurs. Le mode à 1 990 FCFA, très proche du cours actuel, confirme que le titre évolue dans une zone de consolidation basse.</w:t>
      </w:r>
    </w:p>
    <w:p>
      <w:pPr>
        <w:spacing w:after="120" w:line="276" w:lineRule="auto"/>
      </w:pPr>
      <w:r>
        <w:t>---</w:t>
      </w:r>
    </w:p>
    <w:p>
      <w:pPr>
        <w:spacing w:after="120" w:line="276" w:lineRule="auto"/>
      </w:pPr>
      <w:r>
        <w:t>## PARTIE 2 : ANALYSE TECHNIQUE DÉTAILLÉE</w:t>
      </w:r>
    </w:p>
    <w:p>
      <w:pPr>
        <w:spacing w:after="120" w:line="276" w:lineRule="auto"/>
      </w:pPr>
      <w:r>
        <w:t>**Moyennes Mobiles** : La MM20 (2 055,5 FCFA) et la MM50 (2 071,2 FCFA) se situent toutes deux au-dessus du cours actuel (1 995 FCFA), avec la MM20 légèrement sous la MM50, configuration baissière classique. Le cours évoluant sous ses deux moyennes, la décision technique est logiquement **Vente**, confirmant la pression baissière de court et moyen terme.</w:t>
      </w:r>
    </w:p>
    <w:p>
      <w:pPr>
        <w:spacing w:after="120" w:line="276" w:lineRule="auto"/>
      </w:pPr>
      <w:r>
        <w:t>**Bandes de Bollinger** : Le cours (1 995 FCFA) se situe dans la moitié inférieure de la bande, entre la borne inférieure (1 923,16 FCFA) et la borne supérieure (2 187,84 FCFA), sans toucher les extrêmes. Cette position médiane-basse, couplée à un écart de bande de 264,7 FCFA, traduit une volatilité contenue et une absence de signal directionnel fort, justifiant la décision **Neutre**.</w:t>
      </w:r>
    </w:p>
    <w:p>
      <w:pPr>
        <w:spacing w:after="120" w:line="276" w:lineRule="auto"/>
      </w:pPr>
      <w:r>
        <w:t>**MACD** : La valeur du MACD (-32,419) est inférieure à son signal (-23,172), avec un histogramme négatif d'environ -9,25 points, confirmant un momentum baissier toujours actif. La divergence négative entre les deux lignes n'ayant pas encore montré de croisement haussier, la décision reste **Vente**.</w:t>
      </w:r>
    </w:p>
    <w:p>
      <w:pPr>
        <w:spacing w:after="120" w:line="276" w:lineRule="auto"/>
      </w:pPr>
      <w:r>
        <w:t>**RSI** : À 32,877, le RSI se situe juste au-dessus du seuil de survente (30), dans la zone neutre basse, indiquant que le titre n'est pas encore techniquement survendu mais s'en approche. Cette position suggère un potentiel de rebond limité à court terme, d'où la décision **Neutre**.</w:t>
      </w:r>
    </w:p>
    <w:p>
      <w:pPr>
        <w:spacing w:after="120" w:line="276" w:lineRule="auto"/>
      </w:pPr>
      <w:r>
        <w:t>**Stochastique** : Le %K (40,476) est supérieur au %D (37,302), avec un léger croisement haussier en zone basse, ce qui pourrait annoncer un début de retournement. Toutefois, les deux lignes restant sous 50, la dynamique demeure fragile et la décision **Neutre** est appropriée.</w:t>
      </w:r>
    </w:p>
    <w:p>
      <w:pPr>
        <w:spacing w:after="120" w:line="276" w:lineRule="auto"/>
      </w:pPr>
      <w:r>
        <w:t>**Conclusion technique** : La convergence des signaux baissiers (MM, MACD) et neutres (Bollinger, RSI, Stochastique) dessine un tableau technique globalement défavorable, sans signal d'achat clair. Le titre évolue sous ses moyennes mobiles avec un momentum négatif, mais la proximité de la zone de survente et le léger croisement stochastique haussier suggèrent qu'une capitulation excessive n'est pas à exclure. La prudence reste de mise tant que le cours ne repasse pas au-dessus de la MM20 (2 055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32 109 Mds FCFA (contre 30 695 Mds en 2024, soit +4,6%), avec une valeur ajoutée de 6 540 Mds FCFA et un EBE de 1 501 Mds FCFA. Cependant, le résultat net s'est effondré à **465,98 M FCFA** (contre 18 595 M FCFA en 2024, soit -97,5%), ramenant la marge nette à 1,45% (contre 60,6% en 2024) et le ROE à seulement 2,97% (très loin du seuil de 15% considéré comme excellent). Le ROA de 1,19% confirme la faible rentabilité des actifs, tandis que la rotation des actifs de 82% indique une utilisation correcte du bilan. En tant qu'entreprise industrielle (emballages), les délais clients (213,72 jours) et de stockage (214,65 jours) sont très élevés, générant un BFR de 11 529 Mds FCFA et une trésorerie nette négative de -11 528 Mds FCFA — un signal de tension de liquidité majeur. L'autonomie financière de 40,11% reste saine (&gt;30%), mais le ratio d'endettement de 97,6% et la capacité de remboursement de 11,49 années (dettes financières/CAF) pèsent sur la structure financière.</w:t>
      </w:r>
    </w:p>
    <w:p>
      <w:pPr>
        <w:spacing w:after="120" w:line="276" w:lineRule="auto"/>
      </w:pPr>
      <w:r>
        <w:t>**Estimations basées sur les rapports trimestriels** : Le rapport du **T1 2026 (publié le 31 mars 2026)** fait état d'un chiffre d'affaires de 8 901 MFCFA, en hausse spectaculaire de **+55%** sur un an, porté par la demande d'emballages cacao, avec un résultat d'exploitation redevenu positif (+75 MFCFA contre -78 MFCFA au T1 2025). Toutefois, le résultat net demeure négatif à **-154 MFCFA** (marge nette de -1,73%), bien qu'en amélioration de 14%. Sur cette base, on peut estimer que l'exercice 2026 devrait bénéficier d'une dynamique commerciale soutenue, mais la rentabilité nette restera sous pression tant que les charges financières et les coûts logistiques (fret, matière première) ne se détendent pas. Le communiqué du **8 juillet 2026** rassure sur la continuité des activités malgré l'arrêt de la filature (interdiction d'exportation de jute par le Bangladesh), avec une solution alternative d'importation de fil — un risque opérationnel circonscrit à moins de 10% des effectifs.</w:t>
      </w:r>
    </w:p>
    <w:p>
      <w:pPr>
        <w:spacing w:after="120" w:line="276" w:lineRule="auto"/>
      </w:pPr>
      <w:r>
        <w:t>**Recommandation fondamentale** : La société présente un profil de **retournement opérationnel non confirmé**, avec une croissance du CA encourageante mais une rentabilité nette toujours négative et une trésorerie dégradée. Les risques (dépendance au cacao, coûts des intrants, absence de dividende) l'emportent sur les opportunités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La valorisation (Partie 0) est très exigeante : PER de 60,4x et EV/EBITDA de 36,6x traduisent une surévaluation manifeste au regard des bénéfices actuels, même si le P/B de 1,79x reste raisonnable. Le comportement du cours (Partie 1) est baissier (-10,14% sur 100 jours) avec une volatilité élevée (33,3%) et une distribution symétrique sans pics extrêmes, ce qui n'offre pas de signal d'achat contrarien. Les indicateurs techniques (Partie 2) convergent majoritairement vers une **Vente** (MM, MACD), avec seulement quelques signaux neutres (RSI proche de la survente, Stochastique en léger croisement haussier) qui n'inversent pas la tendance. Les fondamentaux (Partie 3) montrent une entreprise en convalescence : CA en croissance (+4,6% en 2025, +55% au T1 2026) mais résultat net effondré (-97,5% en 2025) et trésorerie nette négative (-11,5 Mds FCFA), avec une rentabilité (ROE 2,97%) très inférieure aux standards. Enfin, les **prédictions IA (J+1 à J+10)** anticipent une poursuite de la baisse jusqu'à 1 907 FCFA le 9 octobre 2026, confirmant la pression baissière à court terme.</w:t>
      </w:r>
    </w:p>
    <w:p>
      <w:pPr>
        <w:spacing w:after="120" w:line="276" w:lineRule="auto"/>
      </w:pPr>
      <w:r>
        <w:t>**Recommandation finale : VENTE**</w:t>
      </w:r>
    </w:p>
    <w:p>
      <w:pPr>
        <w:spacing w:after="120" w:line="276" w:lineRule="auto"/>
      </w:pPr>
      <w:r>
        <w:t>Cette recommandation résulte d'une **convergence baissière** entre la valorisation excessive (PER/EV-EBITDA), la tendance technique négative (cours sous MM20/MM50, MACD baissier), les fondamentaux fragiles (rentabilité nette négative, trésorerie dégradée) et les prédictions IA à la baisse. Le niveau de confiance est **Moyen** (les signaux sont cohérents mais le potentiel de rebond technique à court terme n'est pas nul), et le niveau de risque global est **Élevé** (volatilité 33,3%, PER 60x, trésorerie négative). L'horizon d'investissement recommandé est **court terme (&lt;3 mois)** pour les investisseurs cherchant à se délester, ou **attentiste** pour ceux qui souhaitent surveiller une confirmation de redressement opérationnel (deux trimestres consécutifs de résultat net positif) avant tout 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4,604 titres</w:t>
            </w:r>
          </w:p>
        </w:tc>
        <w:tc>
          <w:tcPr>
            <w:tcW w:type="dxa" w:w="2268"/>
            <w:shd w:fill="FFF2CC" w:val="clear"/>
          </w:tcPr>
          <w:p>
            <w:r>
              <w:rPr>
                <w:b/>
                <w:color w:val="503200"/>
                <w:sz w:val="16"/>
              </w:rPr>
              <w:t xml:space="preserve">Cours actuel : </w:t>
            </w:r>
            <w:r>
              <w:rPr>
                <w:color w:val="000000"/>
                <w:sz w:val="17"/>
              </w:rPr>
              <w:t>3,890 FCFA</w:t>
            </w:r>
          </w:p>
          <w:p>
            <w:r>
              <w:rPr>
                <w:b/>
                <w:color w:val="503200"/>
                <w:sz w:val="16"/>
              </w:rPr>
              <w:t xml:space="preserve">Var. 100 jours : </w:t>
            </w:r>
            <w:r>
              <w:rPr>
                <w:b/>
                <w:color w:val="007800"/>
                <w:sz w:val="17"/>
              </w:rPr>
              <w:t>+1.17%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μ=4,074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β=0.6941 (Défensif) — Cov=0.000048, Var(idx)=0.000069, ρ=0.219,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3,681</w:t>
            </w:r>
          </w:p>
        </w:tc>
        <w:tc>
          <w:tcPr>
            <w:tcW w:type="dxa" w:w="1440"/>
            <w:shd w:fill="FAFAFA" w:val="clear"/>
          </w:tcPr>
          <w:p>
            <w:r>
              <w:rPr>
                <w:b/>
                <w:sz w:val="17"/>
              </w:rPr>
              <w:t>3,915</w:t>
            </w:r>
          </w:p>
        </w:tc>
        <w:tc>
          <w:tcPr>
            <w:tcW w:type="dxa" w:w="1440"/>
            <w:shd w:fill="FAFAFA" w:val="clear"/>
          </w:tcPr>
          <w:p>
            <w:r>
              <w:rPr>
                <w:sz w:val="17"/>
              </w:rPr>
              <w:t>4,149</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3,633</w:t>
            </w:r>
          </w:p>
        </w:tc>
        <w:tc>
          <w:tcPr>
            <w:tcW w:type="dxa" w:w="1440"/>
            <w:shd w:fill="FAFAFA" w:val="clear"/>
          </w:tcPr>
          <w:p>
            <w:r>
              <w:rPr>
                <w:b/>
                <w:sz w:val="17"/>
              </w:rPr>
              <w:t>3,920</w:t>
            </w:r>
          </w:p>
        </w:tc>
        <w:tc>
          <w:tcPr>
            <w:tcW w:type="dxa" w:w="1440"/>
            <w:shd w:fill="FAFAFA" w:val="clear"/>
          </w:tcPr>
          <w:p>
            <w:r>
              <w:rPr>
                <w:sz w:val="17"/>
              </w:rPr>
              <w:t>4,207</w:t>
            </w:r>
          </w:p>
        </w:tc>
        <w:tc>
          <w:tcPr>
            <w:tcW w:type="dxa" w:w="1440"/>
            <w:shd w:fill="FAFAFA" w:val="clear"/>
          </w:tcPr>
          <w:p>
            <w:r>
              <w:rPr>
                <w:b/>
                <w:color w:val="008000"/>
                <w:sz w:val="17"/>
              </w:rPr>
              <w:t>+0.8%</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3,591</w:t>
            </w:r>
          </w:p>
        </w:tc>
        <w:tc>
          <w:tcPr>
            <w:tcW w:type="dxa" w:w="1440"/>
            <w:shd w:fill="FAFAFA" w:val="clear"/>
          </w:tcPr>
          <w:p>
            <w:r>
              <w:rPr>
                <w:b/>
                <w:sz w:val="17"/>
              </w:rPr>
              <w:t>3,922</w:t>
            </w:r>
          </w:p>
        </w:tc>
        <w:tc>
          <w:tcPr>
            <w:tcW w:type="dxa" w:w="1440"/>
            <w:shd w:fill="FAFAFA" w:val="clear"/>
          </w:tcPr>
          <w:p>
            <w:r>
              <w:rPr>
                <w:sz w:val="17"/>
              </w:rPr>
              <w:t>4,254</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3,555</w:t>
            </w:r>
          </w:p>
        </w:tc>
        <w:tc>
          <w:tcPr>
            <w:tcW w:type="dxa" w:w="1440"/>
            <w:shd w:fill="FAFAFA" w:val="clear"/>
          </w:tcPr>
          <w:p>
            <w:r>
              <w:rPr>
                <w:b/>
                <w:sz w:val="17"/>
              </w:rPr>
              <w:t>3,926</w:t>
            </w:r>
          </w:p>
        </w:tc>
        <w:tc>
          <w:tcPr>
            <w:tcW w:type="dxa" w:w="1440"/>
            <w:shd w:fill="FAFAFA" w:val="clear"/>
          </w:tcPr>
          <w:p>
            <w:r>
              <w:rPr>
                <w:sz w:val="17"/>
              </w:rPr>
              <w:t>4,296</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3,522</w:t>
            </w:r>
          </w:p>
        </w:tc>
        <w:tc>
          <w:tcPr>
            <w:tcW w:type="dxa" w:w="1440"/>
            <w:shd w:fill="FAFAFA" w:val="clear"/>
          </w:tcPr>
          <w:p>
            <w:r>
              <w:rPr>
                <w:b/>
                <w:sz w:val="17"/>
              </w:rPr>
              <w:t>3,928</w:t>
            </w:r>
          </w:p>
        </w:tc>
        <w:tc>
          <w:tcPr>
            <w:tcW w:type="dxa" w:w="1440"/>
            <w:shd w:fill="FAFAFA" w:val="clear"/>
          </w:tcPr>
          <w:p>
            <w:r>
              <w:rPr>
                <w:sz w:val="17"/>
              </w:rPr>
              <w:t>4,335</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3,491</w:t>
            </w:r>
          </w:p>
        </w:tc>
        <w:tc>
          <w:tcPr>
            <w:tcW w:type="dxa" w:w="1440"/>
            <w:shd w:fill="FAFAFA" w:val="clear"/>
          </w:tcPr>
          <w:p>
            <w:r>
              <w:rPr>
                <w:b/>
                <w:sz w:val="17"/>
              </w:rPr>
              <w:t>3,931</w:t>
            </w:r>
          </w:p>
        </w:tc>
        <w:tc>
          <w:tcPr>
            <w:tcW w:type="dxa" w:w="1440"/>
            <w:shd w:fill="FAFAFA" w:val="clear"/>
          </w:tcPr>
          <w:p>
            <w:r>
              <w:rPr>
                <w:sz w:val="17"/>
              </w:rPr>
              <w:t>4,370</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3,462</w:t>
            </w:r>
          </w:p>
        </w:tc>
        <w:tc>
          <w:tcPr>
            <w:tcW w:type="dxa" w:w="1440"/>
            <w:shd w:fill="FAFAFA" w:val="clear"/>
          </w:tcPr>
          <w:p>
            <w:r>
              <w:rPr>
                <w:b/>
                <w:sz w:val="17"/>
              </w:rPr>
              <w:t>3,932</w:t>
            </w:r>
          </w:p>
        </w:tc>
        <w:tc>
          <w:tcPr>
            <w:tcW w:type="dxa" w:w="1440"/>
            <w:shd w:fill="FAFAFA" w:val="clear"/>
          </w:tcPr>
          <w:p>
            <w:r>
              <w:rPr>
                <w:sz w:val="17"/>
              </w:rPr>
              <w:t>4,402</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3,434</w:t>
            </w:r>
          </w:p>
        </w:tc>
        <w:tc>
          <w:tcPr>
            <w:tcW w:type="dxa" w:w="1440"/>
            <w:shd w:fill="FAFAFA" w:val="clear"/>
          </w:tcPr>
          <w:p>
            <w:r>
              <w:rPr>
                <w:b/>
                <w:sz w:val="17"/>
              </w:rPr>
              <w:t>3,932</w:t>
            </w:r>
          </w:p>
        </w:tc>
        <w:tc>
          <w:tcPr>
            <w:tcW w:type="dxa" w:w="1440"/>
            <w:shd w:fill="FAFAFA" w:val="clear"/>
          </w:tcPr>
          <w:p>
            <w:r>
              <w:rPr>
                <w:sz w:val="17"/>
              </w:rPr>
              <w:t>4,431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3,410</w:t>
            </w:r>
          </w:p>
        </w:tc>
        <w:tc>
          <w:tcPr>
            <w:tcW w:type="dxa" w:w="1440"/>
            <w:shd w:fill="FAFAFA" w:val="clear"/>
          </w:tcPr>
          <w:p>
            <w:r>
              <w:rPr>
                <w:b/>
                <w:sz w:val="17"/>
              </w:rPr>
              <w:t>3,936</w:t>
            </w:r>
          </w:p>
        </w:tc>
        <w:tc>
          <w:tcPr>
            <w:tcW w:type="dxa" w:w="1440"/>
            <w:shd w:fill="FAFAFA" w:val="clear"/>
          </w:tcPr>
          <w:p>
            <w:r>
              <w:rPr>
                <w:sz w:val="17"/>
              </w:rPr>
              <w:t>4,462</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77,80 milliards FCFA, LNBB se positionne comme une valeur de taille intermédiaire sur la BRVM, représentant un poids significatif dans le compartiment des entreprises non financières. Le BPA de 231 FCFA/action signifie que chaque titre génère près de 231 FCFA de bénéfice net, ce qui, rapporté au cours actuel de 3 890 FCFA, confère au titre un PER de 16,8x — soit un niveau modéré mais supérieur à la moyenne du marché BRVM (généralement comprise entre 8 et 12x), traduisant une prime de qualité et de stabilité accordée par les investisseurs. Le ratio P/B de 3,54x indique que le marché valorise l'entreprise à plus de trois fois sa valeur comptable, ce qui est cohérent avec la prime de croissance consentie à un acteur digitalisé et rentable. Enfin, l'EV/EBITDA de 9,8x, situé dans la fourchette raisonnable de 5-10x, suggère que la valeur d'entreprise reste proportionnée à la capacité opérationnelle de génération de cash-flows, sans exagération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légèrement positive de +1,17%, avec une dernière séance en hausse de +0,65%, portant le cours actuel à 3 890 FCFA. Le range de trading s'établit entre un plus bas de 3 700 FCFA et un plus haut de 4 560 FCFA, soit une amplitude de 860 FCFA (23,2%) qui témoigne d'une réelle volatilité intra-période. La tendance générale apparaît stable à légèrement haussière, le cours actuel se situant au-dessus du plus bas mais nettement en dessous du plus haut, suggérant une consolidation après un pic. Les statistiques descriptives révèlent une moyenne de 4 074 FCFA et une médiane de 4 050 FCFA, très proches, ce qui indique une distribution quasi-symétrique du cours ; le mode à 4 000 FCFA confirme cette zone de concentration. L'écart-type de 194 FCFA avec un coefficient de variation de 4,8% traduit une dispersion modérée autour de la moyenne, tandis que le kurtosis de -0,801 (mésokurtique) et le skewness de +0,447 (distribution symétrique) indiquent l'absence de pics extrêmes ou d'asymétrie marquée — un comportement de marché relativement prévisible. La volatilité annualisée de 41,3% classe le titre dans la catégorie des valeurs à volatilité élevée (&gt;30%), ce qui implique un risque de marché non négligeable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3 970,75 FCFA et la MM50 à 4 103,9 FCFA, toutes deux supérieures au cours actuel de 3 890 FCFA. Cette configuration baissière (cours sous les deux moyennes) signale une pression vendeuse persistante, justifiant la décision technique de **Vente**. L'écart entre MM20 et MM50 (133 FCFA) suggère une tendance de fond encore négative.</w:t>
      </w:r>
    </w:p>
    <w:p>
      <w:pPr>
        <w:spacing w:after="120" w:line="276" w:lineRule="auto"/>
      </w:pPr>
      <w:r>
        <w:t>**Bandes de Bollinger** : La borne supérieure est à 4 168,16 FCFA et la borne inférieure à 3 773,34 FCFA, avec un cours actuel de 3 890 FCFA positionné dans la moitié basse de la bande. La décision est **Neutre**, le cours n'étant ni en surachat ni en survente, mais la proximité de la borne inférieure indique une possible zone de support.</w:t>
      </w:r>
    </w:p>
    <w:p>
      <w:pPr>
        <w:spacing w:after="120" w:line="276" w:lineRule="auto"/>
      </w:pPr>
      <w:r>
        <w:t>**MACD** : La valeur du MACD (-55,555) est inférieure à son signal (-51,399), confirmant un momentum baissier. La divergence négative entre les deux lignes justifie la décision de **Vente**, bien que l'écart reste modéré, n'excluant pas un retournement à court terme.</w:t>
      </w:r>
    </w:p>
    <w:p>
      <w:pPr>
        <w:spacing w:after="120" w:line="276" w:lineRule="auto"/>
      </w:pPr>
      <w:r>
        <w:t>**RSI** : À 44,86, le RSI se situe en zone neutre (30-70), sans signal de surachat ni de survente. La décision est **Neutre**, le titre évoluant dans une phase de consolidation sans pression directionnelle forte.</w:t>
      </w:r>
    </w:p>
    <w:p>
      <w:pPr>
        <w:spacing w:after="120" w:line="276" w:lineRule="auto"/>
      </w:pPr>
      <w:r>
        <w:t>**Stochastique** : Le %K (47,5) est légèrement supérieur au %D (46,25), sans croisement significatif. La décision est **Neutre**, le marché ne montrant pas de signal clair de retournement ou de poursuite de tendance.</w:t>
      </w:r>
    </w:p>
    <w:p>
      <w:pPr>
        <w:spacing w:after="120" w:line="276" w:lineRule="auto"/>
      </w:pPr>
      <w:r>
        <w:t>**Conclusion technique** : Les indicateurs techniques sont majoritairement baissiers (MM et MACD) ou neutres (Bollinger, RSI, Stochastique), dessinant un tableau de consolidation avec un léger biais négatif. Le cours évolue sous ses moyennes mobiles, mais la proximité de la borne inférieure de Bollinger et un RSI neutre suggèrent qu'une stabilisation, voire un rebond technique, reste possible à court terme. La convergence des signaux neutres invite à la prudence avant toute décision d'investissement agressive.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annuels) révèlent un chiffre d'affaires de 98,598 milliards FCFA, en recul de -3,85% par rapport à 2024, et un résultat net de 4,622 milliards FCFA, en baisse de -35,6% — une dégradation principalement attribuée à l'absence de produits exceptionnels (3,1 milliards FCFA en 2024) et à la concurrence illégale. Malgré ce recul, les fondamentaux opérationnels s'améliorent : la valeur ajoutée progresse de +22% à 10,548 milliards FCFA et l'EBE de +34% à 7,164 milliards FCFA, démontrant une excellente maîtrise des charges. Le ROE de 21,05% et le ROA de 14,17% confirment une rentabilité des fonds propres et des actifs très solide, bien supérieure aux standards du marché. La structure financière est robuste : autonomie financière de 67,32%, ratio d'endettement de seulement 2,57%, et trésorerie nette positive de 7,979 milliards FCFA. Les délais clients (4,82 jours) et fournisseurs (20,41 jours) sont très courts, et le BFR de 217,45 millions FCFA est quasi nul, témoignant d'une gestion efficiente du besoin en fonds de roulement. Les rapports trimestriels récents confirment une dynamique contrastée : le T1 2026 (rapport du 12 juin 2026) affiche une hausse du CA de +6% à 25,521 milliards FCFA mais une chute du résultat net de -46% à 848 millions FCFA, due à la dilution des marges sur le pari sportif (taux de retour aux joueurs de 95%). Toutefois, le S1 2026 (rapport du 30 juillet 2026) montre un redressement spectaculaire avec un résultat net en hausse de +60% et un résultat d'exploitation en progression de +40%, grâce à la maîtrise des charges et aux revenus de partenariats. Sur la base de ces tendances, on estime que l'exercice 2026 devrait afficher une amélioration de la rentabilité nette, portée par le déploiement de 1 500 nouveaux terminaux et le lancement de nouveaux produits à forte marge au S2 2026. Le dividende proposé de 173 FCFA brut par action (164 FCFA net), soit un rendement d'environ 4,2% au cours actuel, renforce l'attrait du titre pour les investisseurs de long terme. La recommandation fondamentale est de **Conserver**, avec un biais positif à moyen terme, en attendant la confirmation de la stabilisation du produit brut des jeux et la pérennité des revenus de partenariats.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mais globalement constructif. La valorisation (Partie 0) est modérée : le PER de 16,8x et le P/B de 3,54x traduisent une prime de qualité justifiée par la solidité financière, sans surévaluation manifeste, tandis que l'EV/EBITDA de 9,8x reste raisonnable. Le comportement du cours (Partie 1) est stable avec une volatilité élevée (41,3%) mais une distribution symétrique (skewness +0,447) et sans pics extrêmes (kurtosis -0,801), ce qui est rassurant pour la prévisibilité. Les signaux techniques (Partie 2) sont majoritairement baissiers à neutres (MM sous le cours, MACD négatif, RSI et Stochastique neutres), suggérant une consolidation en cours sans signal d'achat fort. Les fondamentaux (Partie 3) sont solides : ROE de 21,05%, autonomie financière de 67,32%, trésorerie nette positive, et une amélioration opérationnelle confirmée par le S1 2026 (+60% de résultat net). Les prédictions IA (J+1 à J+10) anticipent une trajectoire haussière modérée, de 3 915 FCFA à 3 928 FCFA, ce qui contredit légèrement les signaux techniques baissiers mais confirme la tendance de fond positive. Sur la base de cette convergence partielle — valorisation raisonnable, fondamentaux solides, technique en consolidation, et prédictions haussières — la recommandation finale est **CONSERVER**, avec un niveau de confiance **Moyen** et un risque global **Moyen**. L'horizon d'investissement optimal est le **moyen terme (3-12 mois)**, le temps que les initiatives stratégiques (nouveaux produits, déploiement de terminaux, assainissement du secteur) produisent leurs effets sur la rentabilité et que les indicateurs techniques confirment un retournement haussier durable. Un renforcement de la position serait justifié si le cours repasse au-dessus de la MM20 (3 970 FCFA) avec un MACD positif, ou si le S2 2026 confirme la stabilisation du produit brut des jeux.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2,654 titres</w:t>
            </w:r>
          </w:p>
        </w:tc>
        <w:tc>
          <w:tcPr>
            <w:tcW w:type="dxa" w:w="2268"/>
            <w:shd w:fill="FFF2CC" w:val="clear"/>
          </w:tcPr>
          <w:p>
            <w:r>
              <w:rPr>
                <w:b/>
                <w:color w:val="503200"/>
                <w:sz w:val="16"/>
              </w:rPr>
              <w:t xml:space="preserve">Cours actuel : </w:t>
            </w:r>
            <w:r>
              <w:rPr>
                <w:color w:val="000000"/>
                <w:sz w:val="17"/>
              </w:rPr>
              <w:t>2,245 FCFA</w:t>
            </w:r>
          </w:p>
          <w:p>
            <w:r>
              <w:rPr>
                <w:b/>
                <w:color w:val="503200"/>
                <w:sz w:val="16"/>
              </w:rPr>
              <w:t xml:space="preserve">Var. 100 jours : </w:t>
            </w:r>
            <w:r>
              <w:rPr>
                <w:b/>
                <w:color w:val="007800"/>
                <w:sz w:val="17"/>
              </w:rPr>
              <w:t>+28.65%</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1,745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12.97% (Moyenne) — μ=2,299 FCFA, σ=298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β=0.0444 (Défensif) — Cov=0.000003, Var(idx)=0.000069, ρ=0.011,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2,008</w:t>
            </w:r>
          </w:p>
        </w:tc>
        <w:tc>
          <w:tcPr>
            <w:tcW w:type="dxa" w:w="1440"/>
            <w:shd w:fill="FAFAFA" w:val="clear"/>
          </w:tcPr>
          <w:p>
            <w:r>
              <w:rPr>
                <w:b/>
                <w:sz w:val="17"/>
              </w:rPr>
              <w:t>2,217</w:t>
            </w:r>
          </w:p>
        </w:tc>
        <w:tc>
          <w:tcPr>
            <w:tcW w:type="dxa" w:w="1440"/>
            <w:shd w:fill="FAFAFA" w:val="clear"/>
          </w:tcPr>
          <w:p>
            <w:r>
              <w:rPr>
                <w:sz w:val="17"/>
              </w:rPr>
              <w:t>2,426</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1,948</w:t>
            </w:r>
          </w:p>
        </w:tc>
        <w:tc>
          <w:tcPr>
            <w:tcW w:type="dxa" w:w="1440"/>
            <w:shd w:fill="FAFAFA" w:val="clear"/>
          </w:tcPr>
          <w:p>
            <w:r>
              <w:rPr>
                <w:b/>
                <w:sz w:val="17"/>
              </w:rPr>
              <w:t>2,203</w:t>
            </w:r>
          </w:p>
        </w:tc>
        <w:tc>
          <w:tcPr>
            <w:tcW w:type="dxa" w:w="1440"/>
            <w:shd w:fill="FAFAFA" w:val="clear"/>
          </w:tcPr>
          <w:p>
            <w:r>
              <w:rPr>
                <w:sz w:val="17"/>
              </w:rPr>
              <w:t>2,457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1,897</w:t>
            </w:r>
          </w:p>
        </w:tc>
        <w:tc>
          <w:tcPr>
            <w:tcW w:type="dxa" w:w="1440"/>
            <w:shd w:fill="FFDCE0" w:val="clear"/>
          </w:tcPr>
          <w:p>
            <w:r>
              <w:rPr>
                <w:b/>
                <w:sz w:val="17"/>
              </w:rPr>
              <w:t>2,188</w:t>
            </w:r>
          </w:p>
        </w:tc>
        <w:tc>
          <w:tcPr>
            <w:tcW w:type="dxa" w:w="1440"/>
            <w:shd w:fill="FFDCE0" w:val="clear"/>
          </w:tcPr>
          <w:p>
            <w:r>
              <w:rPr>
                <w:sz w:val="17"/>
              </w:rPr>
              <w:t>2,480</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1,850</w:t>
            </w:r>
          </w:p>
        </w:tc>
        <w:tc>
          <w:tcPr>
            <w:tcW w:type="dxa" w:w="1440"/>
            <w:shd w:fill="FFDCE0" w:val="clear"/>
          </w:tcPr>
          <w:p>
            <w:r>
              <w:rPr>
                <w:b/>
                <w:sz w:val="17"/>
              </w:rPr>
              <w:t>2,174</w:t>
            </w:r>
          </w:p>
        </w:tc>
        <w:tc>
          <w:tcPr>
            <w:tcW w:type="dxa" w:w="1440"/>
            <w:shd w:fill="FFDCE0" w:val="clear"/>
          </w:tcPr>
          <w:p>
            <w:r>
              <w:rPr>
                <w:sz w:val="17"/>
              </w:rPr>
              <w:t>2,498</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1,808</w:t>
            </w:r>
          </w:p>
        </w:tc>
        <w:tc>
          <w:tcPr>
            <w:tcW w:type="dxa" w:w="1440"/>
            <w:shd w:fill="FFDCE0" w:val="clear"/>
          </w:tcPr>
          <w:p>
            <w:r>
              <w:rPr>
                <w:b/>
                <w:sz w:val="17"/>
              </w:rPr>
              <w:t>2,161</w:t>
            </w:r>
          </w:p>
        </w:tc>
        <w:tc>
          <w:tcPr>
            <w:tcW w:type="dxa" w:w="1440"/>
            <w:shd w:fill="FFDCE0" w:val="clear"/>
          </w:tcPr>
          <w:p>
            <w:r>
              <w:rPr>
                <w:sz w:val="17"/>
              </w:rPr>
              <w:t>2,513</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1,769</w:t>
            </w:r>
          </w:p>
        </w:tc>
        <w:tc>
          <w:tcPr>
            <w:tcW w:type="dxa" w:w="1440"/>
            <w:shd w:fill="FFDCE0" w:val="clear"/>
          </w:tcPr>
          <w:p>
            <w:r>
              <w:rPr>
                <w:b/>
                <w:sz w:val="17"/>
              </w:rPr>
              <w:t>2,148</w:t>
            </w:r>
          </w:p>
        </w:tc>
        <w:tc>
          <w:tcPr>
            <w:tcW w:type="dxa" w:w="1440"/>
            <w:shd w:fill="FFDCE0" w:val="clear"/>
          </w:tcPr>
          <w:p>
            <w:r>
              <w:rPr>
                <w:sz w:val="17"/>
              </w:rPr>
              <w:t>2,527</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1,733</w:t>
            </w:r>
          </w:p>
        </w:tc>
        <w:tc>
          <w:tcPr>
            <w:tcW w:type="dxa" w:w="1440"/>
            <w:shd w:fill="FFDCE0" w:val="clear"/>
          </w:tcPr>
          <w:p>
            <w:r>
              <w:rPr>
                <w:b/>
                <w:sz w:val="17"/>
              </w:rPr>
              <w:t>2,136</w:t>
            </w:r>
          </w:p>
        </w:tc>
        <w:tc>
          <w:tcPr>
            <w:tcW w:type="dxa" w:w="1440"/>
            <w:shd w:fill="FFDCE0" w:val="clear"/>
          </w:tcPr>
          <w:p>
            <w:r>
              <w:rPr>
                <w:sz w:val="17"/>
              </w:rPr>
              <w:t>2,538</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1,699</w:t>
            </w:r>
          </w:p>
        </w:tc>
        <w:tc>
          <w:tcPr>
            <w:tcW w:type="dxa" w:w="1440"/>
            <w:shd w:fill="FFDCE0" w:val="clear"/>
          </w:tcPr>
          <w:p>
            <w:r>
              <w:rPr>
                <w:b/>
                <w:sz w:val="17"/>
              </w:rPr>
              <w:t>2,124</w:t>
            </w:r>
          </w:p>
        </w:tc>
        <w:tc>
          <w:tcPr>
            <w:tcW w:type="dxa" w:w="1440"/>
            <w:shd w:fill="FFDCE0" w:val="clear"/>
          </w:tcPr>
          <w:p>
            <w:r>
              <w:rPr>
                <w:sz w:val="17"/>
              </w:rPr>
              <w:t>2,548</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1,667</w:t>
            </w:r>
          </w:p>
        </w:tc>
        <w:tc>
          <w:tcPr>
            <w:tcW w:type="dxa" w:w="1440"/>
            <w:shd w:fill="FFDCE0" w:val="clear"/>
          </w:tcPr>
          <w:p>
            <w:r>
              <w:rPr>
                <w:b/>
                <w:sz w:val="17"/>
              </w:rPr>
              <w:t>2,113</w:t>
            </w:r>
          </w:p>
        </w:tc>
        <w:tc>
          <w:tcPr>
            <w:tcW w:type="dxa" w:w="1440"/>
            <w:shd w:fill="FFDCE0" w:val="clear"/>
          </w:tcPr>
          <w:p>
            <w:r>
              <w:rPr>
                <w:sz w:val="17"/>
              </w:rPr>
              <w:t>2,558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 RAPPORT D'ANALYSE FINANCIÈRE — NEI-CEDA CI (NEIC)</w:t>
        <w:br/>
        <w:t>**Bourse Régionale des Valeurs Mobilières (BRVM) — Secteur : Édition &amp; Diffusion**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**28,66 milliards FCFA**, NEIC se positionne comme une valeur de taille moyenne sur le marché BRVM, ce qui reste modeste à l'échelle régionale mais significatif pour le secteur de l'édition. Le **BPA de 160 FCFA/action** confère au titre un **PER de 14,1x**, soit un niveau modérément supérieur à la moyenne du marché BRVM (généralement située entre 8 et 12x), traduisant une légère prime de valorisation consentie par les investisseurs. Le **P/B de 4,98x** est nettement supérieur au seuil de 4x, signalant que le marché valorise l'entreprise à près de cinq fois sa valeur comptable — une prime exigeante qui suppose une forte confiance dans la capacité bénéficiaire future. Enfin, l'**EV/EBITDA de 20,8x**, bien au-delà du seuil de 15x, confirme une valorisation tendue par rapport à la capacité opérationnelle de génération de cash, ce qui invite à la prudence quant au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**progression remarquable de +28,65%**, portant le cours actuel à **2 245 FCFA**, malgré un repli de **-2,39%** lors de la dernière séance (J-1). Le range de trading est particulièrement large, avec un plus haut à **3 000 FCFA** et un plus bas à **1 745 FCFA**, soit une amplitude de plus de 70% qui témoigne d'une forte volatilité intra-période. La tendance générale est donc nettement haussière, mais le repli récent et la position du cours sous ses moyennes mobiles suggèrent une phase de correction après le pic. Les statistiques descriptives révèlent une **moyenne de 2 299 FCFA** légèrement supérieure à la **médiane de 2 272 FCFA**, avec un **mode à 1 990 FCFA** nettement en dessous — signe que le cours a passé plus de temps dans des zones basses avant de s'envoler. L'**écart-type de 300 FCFA (CV = 13,0%)** indique une dispersion modérée autour de la moyenne, tandis que le **kurtosis de 0,245 (mésokurtique)** suggère une distribution proche de la normale, sans risque excessif de pics extrêmes. Le **skewness de 0,834 (asymétrie positive)** révèle toutefois que les journées sous la moyenne ont été plus fréquentes, mais compensées par des hausses ponctuelles fortes. La **volatilité annualisée de 54,2%** classe ce titre dans la catégorie des valeurs à **volatilité élevée (&gt;30%)**, ce qui implique un risque de marché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**2 578,5 FCFA** et la MM50 à **2 480,2 FCFA**, toutes deux nettement supérieures au cours actuel de 2 245 FCFA. Cette configuration — cours sous les deux moyennes — est théoriquement baissière à court terme, mais la décision fournie est **Achat**, probablement en anticipation d'un rebond technique après la correction. La MM20 &gt; MM50 confirme néanmoins que la tendance de fond reste haussière.</w:t>
      </w:r>
    </w:p>
    <w:p>
      <w:pPr>
        <w:spacing w:after="120" w:line="276" w:lineRule="auto"/>
      </w:pPr>
      <w:r>
        <w:t>**Bandes de Bollinger :** La borne supérieure est à **3 067,1 FCFA** et la borne inférieure à **2 089,9 FCFA**, avec un cours actuel de 2 245 FCFA qui se situe dans la moitié basse du canal. Le prix n'est ni en surachat ni en survente selon ce critère, ce qui justifie la décision **Neutre**. L'amplitude des bandes (près de 1 000 FCFA) confirme la forte volatilité du titre.</w:t>
      </w:r>
    </w:p>
    <w:p>
      <w:pPr>
        <w:spacing w:after="120" w:line="276" w:lineRule="auto"/>
      </w:pPr>
      <w:r>
        <w:t>**MACD :** La valeur du MACD est de **-82,434** contre un signal à **-31,627**, soit une divergence négative marquée. Le momentum est clairement baissier à court terme, ce qui justifie la décision **Vente**. Cette configuration suggère que la pression vendeuse reste dominante malgré la tendance haussière de fond.</w:t>
      </w:r>
    </w:p>
    <w:p>
      <w:pPr>
        <w:spacing w:after="120" w:line="276" w:lineRule="auto"/>
      </w:pPr>
      <w:r>
        <w:t>**RSI :** À **22,404**, le RSI est en zone de **survente** (seuil &lt;30), ce qui indique que le titre a été excessivement vendu et pourrait connaître un rebond technique. La décision **Achat** est cohérente avec cette lecture contrarienne.</w:t>
      </w:r>
    </w:p>
    <w:p>
      <w:pPr>
        <w:spacing w:after="120" w:line="276" w:lineRule="auto"/>
      </w:pPr>
      <w:r>
        <w:t>**Stochastique :** Les valeurs %K et %D sont toutes deux à **0,0**, ce qui place l'indicateur en zone de survente extrême. Un croisement haussier pourrait se produire prochainement, justifiant la décision **Achat**. Cette configuration est typique d'un point de retournement potentiel.</w:t>
      </w:r>
    </w:p>
    <w:p>
      <w:pPr>
        <w:spacing w:after="120" w:line="276" w:lineRule="auto"/>
      </w:pPr>
      <w:r>
        <w:t>**Conclusion technique :** Les indicateurs présentent une **divergence notable** : le MACD est baissier (Vente), tandis que le RSI et le Stochastique sont en survente extrême (Achat), et les Bandes de Bollinger sont neutres. Cette configuration suggère que le titre se trouve à un **point d'inflexion potentiel** : la correction actuelle pourrait toucher à sa fin, mais la confirmation d'un rebond dépendra d'un retournement du MACD et d'une sortie de la zone de survente. La prudence reste de mise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NEI-CEDA a réalisé un **chiffre d'affaires de 5,139 milliards FCFA**, en **baisse de 23,8%** par rapport à l'exercice précédent, ce qui traduit un net ralentissement commercial. Le **résultat net s'établit à 2,037 milliards FCFA**, générant une **marge nette exceptionnelle de 39,6%** — un niveau remarquable qui mérite toutefois d'être nuancé, car il intègre des éléments non récurrents (reprise de provision pour redressement fiscal). Le **ROE de 35,4%** et le **ROA de 27,3%** témoignent d'une rentabilité des fonds propres et des actifs très élevée, bien supérieure aux standards du marché. La structure financière est **très solide** : l'autonomie financière atteint **77,0%**, la liquidité générale **448,9%**, et la trésorerie nette s'élève à **4,196 milliards FCFA**. Toutefois, le **BFR de 1,498 milliard FCFA** et le **délai client de 154,7 jours** (très élevé) constituent des points de vigilance, tout comme le **flux opérationnel négatif de -527 millions FCFA** et le **Free Cash Flow de -565,9 millions FCFA**, qui contrastent avec la rentabilité affichée.</w:t>
      </w:r>
    </w:p>
    <w:p>
      <w:pPr>
        <w:spacing w:after="120" w:line="276" w:lineRule="auto"/>
      </w:pPr>
      <w:r>
        <w:t>**Estimations basées sur les rapports trimestriels :** Le **rapport T1 2026** (publié en 2026) indique un **chiffre d'affaires de 115,1 millions FCFA**, en **hausse de +137%** par rapport au T1 2025 (48,5 millions FCFA), avec une **perte nette réduite à -168,9 millions FCFA** (contre -189,9 millions un an plus tôt). Le **rapport T3 2025** (daté du 30 septembre 2025) faisait état d'un **CA de 3 406 millions FCFA** (-35% en glissement annuel) et d'un **résultat net exceptionnel de 1 596 millions FCFA** (+125%) dû à la reprise de provision. Le **rapport annuel 2025** (publié en 2025) confirme un **résultat net de 2,04 milliards FCFA** (+169% vs 2024) et propose un **dividende de 2,04 milliards FCFA**, soit **100% du résultat net** — une politique de distribution généreuse mais qui limite la capacité d'autofinancement. Sur la base du T1 2026 (CA +137%), on peut estimer que l'exercice 2026 devrait bénéficier d'une **dynamique commerciale retrouvée**, mais la persistance des pertes opérationnelles (-271,5 millions FCFA au T1 2026) invite à la prudence quant à l'atteinte de la rentabilité récurrente.</w:t>
      </w:r>
    </w:p>
    <w:p>
      <w:pPr>
        <w:spacing w:after="120" w:line="276" w:lineRule="auto"/>
      </w:pPr>
      <w:r>
        <w:t>**Recommandation fondamentale :** La société présente une **solidité financière indéniable** (trésorerie abondante, faible endettement, rentabilité élevée), mais les **signaux de fragilité opérationnelle** (CA en baisse en 2025, flux de trésorerie opérationnel négatif, délais clients élevés) et la **qualité du résultat** (dépendance aux éléments non récurrents) incitent à la **prudence**. La reprise du CA au T1 2026 est encourageante, mais la confirmation d'une amélioration durable de la rentabilité opérationnelle reste nécessaire.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exigeante : PER de 14,1x, P/B de 4,98x et EV/EBITDA de 20,8x indiquent que le marché intègre déjà une forte prime de croissance, limitant le potentiel de revalorisation à court terme. Le **comportement du cours (Partie 1)** est haussier sur 100 jours (+28,65%) mais avec une **volatilité élevée (54,2%)** et une asymétrie positive (skewness 0,834) qui suggère des corrections fréquentes. Les **signaux techniques (Partie 2)** sont **divergents** : le MACD est baissier, tandis que le RSI et le Stochastique sont en survente extrême, ce qui plaide pour un rebond technique imminent mais sans confirmation de retournement durable. Les **fondamentaux (Partie 3)** sont **solides mais nuancés** : rentabilité exceptionnelle en 2025 (ROE 35,4%, marge nette 39,6%), trésorerie abondante (4,2 milliards FCFA), mais CA en baisse (-23,8%) et flux opérationnel négatif. Les **prédictions IA (J+1 à J+10)** anticipent une **poursuite de la correction baissière** (2 217 → 2 161 FCFA), ce qui **contredit** les signaux de survente du RSI et du Stochastique, mais **confirme** la lecture baissière du MACD.</w:t>
      </w:r>
    </w:p>
    <w:p>
      <w:pPr>
        <w:spacing w:after="120" w:line="276" w:lineRule="auto"/>
      </w:pPr>
      <w:r>
        <w:t>**Recommandation finale : CONSERVER**</w:t>
        <w:br/>
        <w:t>- **Justification** : La convergence entre la valorisation exigeante, la correction technique en cours et les prédictions baissières à court terme incite à la prudence. Toutefois, la solidité financière et les signaux de survente empêchent une recommandation de vente. Le titre mérite d'être conservé en attendant une confirmation de retournement technique (MACD) et une amélioration durable des fondamentaux opérationnels.</w:t>
        <w:br/>
        <w:t>- **Niveau de confiance** : **Moyen** — les signaux sont divergents et nécessitent une confirmation.</w:t>
        <w:br/>
        <w:t>- **Niveau de risque** : **Élevé** — volatilité de 54,2%, valorisation tendue, et incertitude sur la qualité des résultats.</w:t>
        <w:br/>
        <w:t>- **Horizon d'investissement** : **Moyen terme (3-12 mois)** — le temps que la dynamique commerciale retrouvée (T1 2026) se traduise par une amélioration durable de la rentabilité opérationnelle et une confirmation technique du retournement.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544.16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2,831 titres</w:t>
            </w:r>
          </w:p>
        </w:tc>
        <w:tc>
          <w:tcPr>
            <w:tcW w:type="dxa" w:w="2268"/>
            <w:shd w:fill="FFF2CC" w:val="clear"/>
          </w:tcPr>
          <w:p>
            <w:r>
              <w:rPr>
                <w:b/>
                <w:color w:val="503200"/>
                <w:sz w:val="16"/>
              </w:rPr>
              <w:t xml:space="preserve">Cours actuel : </w:t>
            </w:r>
            <w:r>
              <w:rPr>
                <w:color w:val="000000"/>
                <w:sz w:val="17"/>
              </w:rPr>
              <w:t>22,000 FCFA</w:t>
            </w:r>
          </w:p>
          <w:p>
            <w:r>
              <w:rPr>
                <w:b/>
                <w:color w:val="503200"/>
                <w:sz w:val="16"/>
              </w:rPr>
              <w:t xml:space="preserve">Var. 100 jours : </w:t>
            </w:r>
            <w:r>
              <w:rPr>
                <w:b/>
                <w:color w:val="007800"/>
                <w:sz w:val="17"/>
              </w:rPr>
              <w:t>+57.03%</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12.64% (Moyenne) — μ=21,152 FCFA, σ=2,674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β=1.4746 (Agressif) — Cov=0.000102, Var(idx)=0.000069, ρ=0.464,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2026-10-05</w:t>
            </w:r>
          </w:p>
        </w:tc>
        <w:tc>
          <w:tcPr>
            <w:tcW w:type="dxa" w:w="1440"/>
            <w:shd w:fill="FFDCE0" w:val="clear"/>
          </w:tcPr>
          <w:p>
            <w:r>
              <w:rPr>
                <w:sz w:val="17"/>
              </w:rPr>
              <w:t>19,942</w:t>
            </w:r>
          </w:p>
        </w:tc>
        <w:tc>
          <w:tcPr>
            <w:tcW w:type="dxa" w:w="1440"/>
            <w:shd w:fill="FFDCE0" w:val="clear"/>
          </w:tcPr>
          <w:p>
            <w:r>
              <w:rPr>
                <w:b/>
                <w:sz w:val="17"/>
              </w:rPr>
              <w:t>21,288</w:t>
            </w:r>
          </w:p>
        </w:tc>
        <w:tc>
          <w:tcPr>
            <w:tcW w:type="dxa" w:w="1440"/>
            <w:shd w:fill="FFDCE0" w:val="clear"/>
          </w:tcPr>
          <w:p>
            <w:r>
              <w:rPr>
                <w:sz w:val="17"/>
              </w:rPr>
              <w:t>22,635</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19,412</w:t>
            </w:r>
          </w:p>
        </w:tc>
        <w:tc>
          <w:tcPr>
            <w:tcW w:type="dxa" w:w="1440"/>
            <w:shd w:fill="FFDCE0" w:val="clear"/>
          </w:tcPr>
          <w:p>
            <w:r>
              <w:rPr>
                <w:b/>
                <w:sz w:val="17"/>
              </w:rPr>
              <w:t>21,042</w:t>
            </w:r>
          </w:p>
        </w:tc>
        <w:tc>
          <w:tcPr>
            <w:tcW w:type="dxa" w:w="1440"/>
            <w:shd w:fill="FFDCE0" w:val="clear"/>
          </w:tcPr>
          <w:p>
            <w:r>
              <w:rPr>
                <w:sz w:val="17"/>
              </w:rPr>
              <w:t>22,672</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18,953</w:t>
            </w:r>
          </w:p>
        </w:tc>
        <w:tc>
          <w:tcPr>
            <w:tcW w:type="dxa" w:w="1440"/>
            <w:shd w:fill="FFDCE0" w:val="clear"/>
          </w:tcPr>
          <w:p>
            <w:r>
              <w:rPr>
                <w:b/>
                <w:sz w:val="17"/>
              </w:rPr>
              <w:t>20,815</w:t>
            </w:r>
          </w:p>
        </w:tc>
        <w:tc>
          <w:tcPr>
            <w:tcW w:type="dxa" w:w="1440"/>
            <w:shd w:fill="FFDCE0" w:val="clear"/>
          </w:tcPr>
          <w:p>
            <w:r>
              <w:rPr>
                <w:sz w:val="17"/>
              </w:rPr>
              <w:t>22,677</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18,534</w:t>
            </w:r>
          </w:p>
        </w:tc>
        <w:tc>
          <w:tcPr>
            <w:tcW w:type="dxa" w:w="1440"/>
            <w:shd w:fill="FFDCE0" w:val="clear"/>
          </w:tcPr>
          <w:p>
            <w:r>
              <w:rPr>
                <w:b/>
                <w:sz w:val="17"/>
              </w:rPr>
              <w:t>20,594</w:t>
            </w:r>
          </w:p>
        </w:tc>
        <w:tc>
          <w:tcPr>
            <w:tcW w:type="dxa" w:w="1440"/>
            <w:shd w:fill="FFDCE0" w:val="clear"/>
          </w:tcPr>
          <w:p>
            <w:r>
              <w:rPr>
                <w:sz w:val="17"/>
              </w:rPr>
              <w:t>22,653</w:t>
            </w:r>
          </w:p>
        </w:tc>
        <w:tc>
          <w:tcPr>
            <w:tcW w:type="dxa" w:w="1440"/>
            <w:shd w:fill="FFDCE0" w:val="clear"/>
          </w:tcPr>
          <w:p>
            <w:r>
              <w:rPr>
                <w:b/>
                <w:color w:val="C00000"/>
                <w:sz w:val="17"/>
              </w:rPr>
              <w:t>-6.4%</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18,145</w:t>
            </w:r>
          </w:p>
        </w:tc>
        <w:tc>
          <w:tcPr>
            <w:tcW w:type="dxa" w:w="1440"/>
            <w:shd w:fill="FFDCE0" w:val="clear"/>
          </w:tcPr>
          <w:p>
            <w:r>
              <w:rPr>
                <w:b/>
                <w:sz w:val="17"/>
              </w:rPr>
              <w:t>20,377</w:t>
            </w:r>
          </w:p>
        </w:tc>
        <w:tc>
          <w:tcPr>
            <w:tcW w:type="dxa" w:w="1440"/>
            <w:shd w:fill="FFDCE0" w:val="clear"/>
          </w:tcPr>
          <w:p>
            <w:r>
              <w:rPr>
                <w:sz w:val="17"/>
              </w:rPr>
              <w:t>22,609</w:t>
            </w:r>
          </w:p>
        </w:tc>
        <w:tc>
          <w:tcPr>
            <w:tcW w:type="dxa" w:w="1440"/>
            <w:shd w:fill="FFDCE0" w:val="clear"/>
          </w:tcPr>
          <w:p>
            <w:r>
              <w:rPr>
                <w:b/>
                <w:color w:val="C00000"/>
                <w:sz w:val="17"/>
              </w:rPr>
              <w:t>-7.4%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17,778</w:t>
            </w:r>
          </w:p>
        </w:tc>
        <w:tc>
          <w:tcPr>
            <w:tcW w:type="dxa" w:w="1440"/>
            <w:shd w:fill="FFDCE0" w:val="clear"/>
          </w:tcPr>
          <w:p>
            <w:r>
              <w:rPr>
                <w:b/>
                <w:sz w:val="17"/>
              </w:rPr>
              <w:t>20,164</w:t>
            </w:r>
          </w:p>
        </w:tc>
        <w:tc>
          <w:tcPr>
            <w:tcW w:type="dxa" w:w="1440"/>
            <w:shd w:fill="FFDCE0" w:val="clear"/>
          </w:tcPr>
          <w:p>
            <w:r>
              <w:rPr>
                <w:sz w:val="17"/>
              </w:rPr>
              <w:t>22,550</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17,430</w:t>
            </w:r>
          </w:p>
        </w:tc>
        <w:tc>
          <w:tcPr>
            <w:tcW w:type="dxa" w:w="1440"/>
            <w:shd w:fill="FFDCE0" w:val="clear"/>
          </w:tcPr>
          <w:p>
            <w:r>
              <w:rPr>
                <w:b/>
                <w:sz w:val="17"/>
              </w:rPr>
              <w:t>19,954</w:t>
            </w:r>
          </w:p>
        </w:tc>
        <w:tc>
          <w:tcPr>
            <w:tcW w:type="dxa" w:w="1440"/>
            <w:shd w:fill="FFDCE0" w:val="clear"/>
          </w:tcPr>
          <w:p>
            <w:r>
              <w:rPr>
                <w:sz w:val="17"/>
              </w:rPr>
              <w:t>22,478</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17,097</w:t>
            </w:r>
          </w:p>
        </w:tc>
        <w:tc>
          <w:tcPr>
            <w:tcW w:type="dxa" w:w="1440"/>
            <w:shd w:fill="FFDCE0" w:val="clear"/>
          </w:tcPr>
          <w:p>
            <w:r>
              <w:rPr>
                <w:b/>
                <w:sz w:val="17"/>
              </w:rPr>
              <w:t>19,747</w:t>
            </w:r>
          </w:p>
        </w:tc>
        <w:tc>
          <w:tcPr>
            <w:tcW w:type="dxa" w:w="1440"/>
            <w:shd w:fill="FFDCE0" w:val="clear"/>
          </w:tcPr>
          <w:p>
            <w:r>
              <w:rPr>
                <w:sz w:val="17"/>
              </w:rPr>
              <w:t>22,396</w:t>
            </w:r>
          </w:p>
        </w:tc>
        <w:tc>
          <w:tcPr>
            <w:tcW w:type="dxa" w:w="1440"/>
            <w:shd w:fill="FFDCE0" w:val="clear"/>
          </w:tcPr>
          <w:p>
            <w:r>
              <w:rPr>
                <w:b/>
                <w:color w:val="C00000"/>
                <w:sz w:val="17"/>
              </w:rPr>
              <w:t>-10.2%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16,778</w:t>
            </w:r>
          </w:p>
        </w:tc>
        <w:tc>
          <w:tcPr>
            <w:tcW w:type="dxa" w:w="1440"/>
            <w:shd w:fill="FFDCE0" w:val="clear"/>
          </w:tcPr>
          <w:p>
            <w:r>
              <w:rPr>
                <w:b/>
                <w:sz w:val="17"/>
              </w:rPr>
              <w:t>19,542</w:t>
            </w:r>
          </w:p>
        </w:tc>
        <w:tc>
          <w:tcPr>
            <w:tcW w:type="dxa" w:w="1440"/>
            <w:shd w:fill="FFDCE0" w:val="clear"/>
          </w:tcPr>
          <w:p>
            <w:r>
              <w:rPr>
                <w:sz w:val="17"/>
              </w:rPr>
              <w:t>22,306</w:t>
            </w:r>
          </w:p>
        </w:tc>
        <w:tc>
          <w:tcPr>
            <w:tcW w:type="dxa" w:w="1440"/>
            <w:shd w:fill="FFDCE0" w:val="clear"/>
          </w:tcPr>
          <w:p>
            <w:r>
              <w:rPr>
                <w:b/>
                <w:color w:val="C00000"/>
                <w:sz w:val="17"/>
              </w:rPr>
              <w:t>-11.2%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CI (NSBC)**</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544,16 milliards FCFA, NSBC s'impose comme l'une des valeurs bancaires majeures de la cote BRVM, reflétant la solidité et la taille significative de l'établissement dans le paysage financier ouest-africain. Le BPA de 1 646 FCFA/action indique que chaque titre génère près de 1 646 FCFA de bénéfice net, un niveau élevé qui témoigne de la forte rentabilité de la banque. Le PER de 13,4x se situe légèrement au-dessus de la moyenne du marché BRVM (8-12x), suggérant que les investisseurs accordent une prime modérée à cette valeur pour sa qualité et sa croissance, sans pour autant la surpayer. Le P/B de 2,33x montre que le marché valorise NSBC à plus du double de sa valeur comptable, une prime de croissance justifiée par un ROE de 17,45% nettement supérieur au coût des fonds propres. En revanche, l'EV/EBITDA de 21,0x apparaît très exigeant (seuil d'alerte &gt;15x), signalant que la valeur d'entreprise intègre déjà des anticipations de croissance élevées, ce qui réduit la marge de sécurité pour un nouvel 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performance exceptionnelle de +57,03%, avec une dernière séance (J-1) en hausse de +2,33%, confirmant la dynamique haussière en cours. Le cours actuel de 22 000 FCFA se situe dans la partie supérieure du range de trading, le plus haut ayant atteint 24 885 FCFA et le plus bas 13 810 FCFA — soit un écart de plus de 80% entre les extrêmes, illustrant une tendance nettement haussière sur la période. Les statistiques descriptives révèlent une moyenne de 21 152 FCFA légèrement inférieure à la médiane de 21 975 FCFA, avec un mode à 23 000 FCFA : cet écart indique une distribution asymétrique où les cours ont davantage évolué au-dessus de la moyenne, confirmant la pression acheteuse. L'écart-type de 2 688 FCFA (CV=12,7%) traduit une dispersion modérée du cours autour de sa moyenne, tandis que le kurtosis de 0,233 (mésokurtique) suggère une distribution proche de la normale, sans risque excessif de pics extrêmes. Le skewness de -0,880 (asymétrie négative) indique que les journées de baisse ont été moins fréquentes mais potentiellement plus marquées que les hausses, un signal de vigilance. Enfin, la volatilité annualisée de 41,6% classe ce titre dans la catégorie des valeurs à volatilité élevée (&gt;30%), ce qui implique un risque de fluctuation important et nécessite une tolérance au risque adaptée.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(23 309,75 FCFA) et la MM50 (23 233,80 FCFA) se situent toutes deux au-dessus du cours actuel (22 000 FCFA), avec une MM20 légèrement supérieure à la MM50, indiquant une configuration haussière de fond. Cependant, le cours évoluant sous ses moyennes, la décision technique affichée est "Achat" dans une logique de retour à la moyenne, mais la prudence reste de mise car le titre pourrait tester ces niveaux comme résistances.</w:t>
      </w:r>
    </w:p>
    <w:p>
      <w:pPr>
        <w:spacing w:after="120" w:line="276" w:lineRule="auto"/>
      </w:pPr>
      <w:r>
        <w:t>**Bandes de Bollinger** : Le cours actuel (22 000 FCFA) se situe dans la moitié inférieure de la bande, entre la borne inférieure (20 712,14 FCFA) et la borne supérieure (25 907,36 FCFA), avec une décision "Neutre". Cette position médiane indique l'absence de signal directionnel fort, la volatilité restant contenue dans les bandes sans breakout significatif.</w:t>
      </w:r>
    </w:p>
    <w:p>
      <w:pPr>
        <w:spacing w:after="120" w:line="276" w:lineRule="auto"/>
      </w:pPr>
      <w:r>
        <w:t>**MACD** : La valeur du MACD (-411,772) est nettement inférieure à son signal (-163,97), générant une décision "Vente". Cette divergence négative signale un momentum baissier à court terme, le MACD étant en territoire négatif et s'éloignant de sa ligne de signal, ce qui suggère une pression vendeuse persistante.</w:t>
      </w:r>
    </w:p>
    <w:p>
      <w:pPr>
        <w:spacing w:after="120" w:line="276" w:lineRule="auto"/>
      </w:pPr>
      <w:r>
        <w:t>**RSI** : À 33,74, le RSI se situe dans la zone neutre basse, proche du seuil de survente (30), avec une décision "Neutre". Cette configuration indique que le titre n'est pas encore survendu mais s'en approche, ce qui pourrait attirer des acheteurs à la recherche de points d'entrée si le niveau de 30 est testé.</w:t>
      </w:r>
    </w:p>
    <w:p>
      <w:pPr>
        <w:spacing w:after="120" w:line="276" w:lineRule="auto"/>
      </w:pPr>
      <w:r>
        <w:t>**Stochastique** : Le %K (32,114) est supérieur au %D (23,08), avec une décision "Neutre". Le croisement potentiel du %K au-dessus du %D pourrait signaler un début de retournement haussier, mais les deux indicateurs restent en zone basse, reflétant une faiblesse persistante du momentum.</w:t>
      </w:r>
    </w:p>
    <w:p>
      <w:pPr>
        <w:spacing w:after="120" w:line="276" w:lineRule="auto"/>
      </w:pPr>
      <w:r>
        <w:t>**Conclusion technique** : Les indicateurs techniques présentent un tableau mitigé. Les moyennes mobiles conservent une orientation haussière de fond, mais le MACD en territoire négatif et le RSI proche de la survente traduisent une pression baissière à court terme. Les Bandes de Bollinger et le Stochastique en zone neutre n'apportent pas de signal directionnel clair. La convergence des signaux suggère une phase de consolidation ou de correction modérée avant une éventuelle reprise, avec un support clé à surveiller autour de 20 700 FCFA (borne inférieure de Bollinger).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NSIA Banque CI affiche un Produit Net Bancaire (PNB) de 112,928 milliards FCFA, en croissance de 15,45% par rapport à 2024, porté par une marge d'intérêt en hausse de 26% et des revenus de titres dynamiques. Le résultat net s'établit à 40,712 milliards FCFA, avec une marge nette de 36,05% et un ROE de 17,45% — un niveau excellent (&gt;15%) qui témoigne d'une rentabilité des fonds propres très solide. Le ROA de 1,32% reste conforme aux standards bancaires. Le coefficient d'exploitation de 54,59% place la banque en zone d'efficacité (&lt;60%), bien que le coût du risque de 7,54% (provisions/charges financières) signale une vigilance sur la qualité du portefeuille de crédits. Le total bilan atteint 3 073,06 milliards FCFA, avec des dépôts clientèle de 2 242,22 milliards FCFA et des créances clientèle de 1 818,67 milliards FCFA, soit un ratio de transformation (crédits/dépôts) de 81,1% — un niveau élevé mais maîtrisé.</w:t>
      </w:r>
    </w:p>
    <w:p>
      <w:pPr>
        <w:spacing w:after="120" w:line="276" w:lineRule="auto"/>
      </w:pPr>
      <w:r>
        <w:t>**Estimations basées sur les rapports trimestriels** : Le rapport du T1 2026 (publié le 31/03/2026, analysé le 01/05/2026) révèle une accélération spectaculaire avec un PNB de 28,615 milliards FCFA (+28% sur un an) et un résultat net de 10,912 milliards FCFA (+53%), porté par l'activité titres et la maîtrise du coût du risque. La marge nette s'améliore à 38,1% (vs 31,9% au T1 2025). Sur la base de ces performances, on estime que l'exercice 2026 pourrait enregistrer un PNB supérieur à 125 milliards FCFA et un résultat net approchant 45-48 milliards FCFA si la dynamique se maintient. Le rapport annuel 2025 (publié le 31/12/2025, analysé le 13/05/2026) confirme la solidité du modèle avec une collecte de dépôts en hausse de 32% et des initiatives de titrisation innovantes (FCTC, Zaka, Keur Samba).</w:t>
      </w:r>
    </w:p>
    <w:p>
      <w:pPr>
        <w:spacing w:after="120" w:line="276" w:lineRule="auto"/>
      </w:pPr>
      <w:r>
        <w:t>**Recommandation fondamentale** : NSBC présente des fondamentaux robustes avec une croissance soutenue, une rentabilité élevée et une efficacité opérationnelle en amélioration. Les principaux risques identifiés sont la concentration des revenus sur l'activité titres (volatile), la dégradation du coût du risque en 2025 (-8,5 milliards FCFA de provisions) et l'absence d'information sur la politique de dividende. La recommandation fondamentale est **CONSERVER**, avec un biais positif pour les investisseurs existants et une prudence pour les nouveaux entrants en attendant la confirmation des résultats semestriels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le plan de la valorisation (Partie 0)**, le PER de 13,4x et le P/B de 2,33x indiquent une valorisation modérée à légèrement élevée, avec une prime de croissance justifiée par le ROE de 17,45%, mais l'EV/EBITDA de 21,0x suggère une certaine surévaluation par rapport à la capacité opérationnelle. **Le comportement du cours (Partie 1)** est nettement haussier (+57% sur 100 jours) avec une volatilité élevée (41,6%) et une asymétrie négative (skewness -0,880) qui appelle à la prudence malgré la dynamique positive. **Les signaux techniques (Partie 2)** sont divergents : les moyennes mobiles restent haussières mais le MACD est baissier et le RSI proche de la survente, suggérant une consolidation à court terme. **Les fondamentaux (Partie 3)** demeurent solides avec un PNB de 112,9 milliards FCFA en 2025, un résultat net de 40,7 milliards FCFA et des perspectives 2026 très favorables (T1 2026 : résultat net +53%). **Les prédictions IA (J+1 à J+10)** anticipent une trajectoire baissière vers 20 377 FCFA d'ici le 09/10/2026, confirmant la pression baissière à court terme identifiée par les indicateurs techniques.</w:t>
      </w:r>
    </w:p>
    <w:p>
      <w:pPr>
        <w:spacing w:after="120" w:line="276" w:lineRule="auto"/>
      </w:pPr>
      <w:r>
        <w:t>**Recommandation finale : CONSERVER**</w:t>
      </w:r>
    </w:p>
    <w:p>
      <w:pPr>
        <w:spacing w:after="120" w:line="276" w:lineRule="auto"/>
      </w:pPr>
      <w:r>
        <w:t>Cette recommandation reflète la convergence entre des fondamentaux solides et une dynamique de croissance exceptionnelle, mais tempérée par des signaux techniques baissiers à court terme et une valorisation exigeante sur l'EV/EBITDA. Les investisseurs existants peuvent conserver leur position pour bénéficier de la croissance à moyen terme, tandis que les nouveaux entrants devraient attendre une correction vers les 20 500-21 000 FCFA (zone de support technique) pour améliorer leur point d'entrée. Le niveau de confiance est **Moyen** en raison de la divergence entre fondamentaux haussiers et technique baissier, et le niveau de risque global est **Élevé** compte tenu de la volatilité de 41,6% et de la concentration des revenus sur l'activité titres. L'horizon d'investissement optimal est le **moyen terme (3-12 mois)**, le temps que la consolidation technique s'achève et que les résultats semestriels 2026 confirment la tendance haussière des fondamentaux.</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328.85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1,287 titres</w:t>
            </w:r>
          </w:p>
        </w:tc>
        <w:tc>
          <w:tcPr>
            <w:tcW w:type="dxa" w:w="2268"/>
            <w:shd w:fill="FFF2CC" w:val="clear"/>
          </w:tcPr>
          <w:p>
            <w:r>
              <w:rPr>
                <w:b/>
                <w:color w:val="503200"/>
                <w:sz w:val="16"/>
              </w:rPr>
              <w:t xml:space="preserve">Cours actuel : </w:t>
            </w:r>
            <w:r>
              <w:rPr>
                <w:color w:val="000000"/>
                <w:sz w:val="17"/>
              </w:rPr>
              <w:t>14,900 FCFA</w:t>
            </w:r>
          </w:p>
          <w:p>
            <w:r>
              <w:rPr>
                <w:b/>
                <w:color w:val="503200"/>
                <w:sz w:val="16"/>
              </w:rPr>
              <w:t xml:space="preserve">Var. 100 jours : </w:t>
            </w:r>
            <w:r>
              <w:rPr>
                <w:b/>
                <w:color w:val="007800"/>
                <w:sz w:val="17"/>
              </w:rPr>
              <w:t>+27.90%</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10.77% (Moyenne) — μ=15,415 FCFA, σ=1,660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β=0.5675 (Défensif) — Cov=0.000039, Var(idx)=0.000069, ρ=0.201,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14,084</w:t>
            </w:r>
          </w:p>
        </w:tc>
        <w:tc>
          <w:tcPr>
            <w:tcW w:type="dxa" w:w="1440"/>
            <w:shd w:fill="FAFAFA" w:val="clear"/>
          </w:tcPr>
          <w:p>
            <w:r>
              <w:rPr>
                <w:b/>
                <w:sz w:val="17"/>
              </w:rPr>
              <w:t>15,109</w:t>
            </w:r>
          </w:p>
        </w:tc>
        <w:tc>
          <w:tcPr>
            <w:tcW w:type="dxa" w:w="1440"/>
            <w:shd w:fill="FAFAFA" w:val="clear"/>
          </w:tcPr>
          <w:p>
            <w:r>
              <w:rPr>
                <w:sz w:val="17"/>
              </w:rPr>
              <w:t>16,135</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13,845</w:t>
            </w:r>
          </w:p>
        </w:tc>
        <w:tc>
          <w:tcPr>
            <w:tcW w:type="dxa" w:w="1440"/>
            <w:shd w:fill="FAFAFA" w:val="clear"/>
          </w:tcPr>
          <w:p>
            <w:r>
              <w:rPr>
                <w:b/>
                <w:sz w:val="17"/>
              </w:rPr>
              <w:t>15,100</w:t>
            </w:r>
          </w:p>
        </w:tc>
        <w:tc>
          <w:tcPr>
            <w:tcW w:type="dxa" w:w="1440"/>
            <w:shd w:fill="FAFAFA" w:val="clear"/>
          </w:tcPr>
          <w:p>
            <w:r>
              <w:rPr>
                <w:sz w:val="17"/>
              </w:rPr>
              <w:t>16,356</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13,648</w:t>
            </w:r>
          </w:p>
        </w:tc>
        <w:tc>
          <w:tcPr>
            <w:tcW w:type="dxa" w:w="1440"/>
            <w:shd w:fill="FAFAFA" w:val="clear"/>
          </w:tcPr>
          <w:p>
            <w:r>
              <w:rPr>
                <w:b/>
                <w:sz w:val="17"/>
              </w:rPr>
              <w:t>15,097</w:t>
            </w:r>
          </w:p>
        </w:tc>
        <w:tc>
          <w:tcPr>
            <w:tcW w:type="dxa" w:w="1440"/>
            <w:shd w:fill="FAFAFA" w:val="clear"/>
          </w:tcPr>
          <w:p>
            <w:r>
              <w:rPr>
                <w:sz w:val="17"/>
              </w:rPr>
              <w:t>16,546</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13,475</w:t>
            </w:r>
          </w:p>
        </w:tc>
        <w:tc>
          <w:tcPr>
            <w:tcW w:type="dxa" w:w="1440"/>
            <w:shd w:fill="FAFAFA" w:val="clear"/>
          </w:tcPr>
          <w:p>
            <w:r>
              <w:rPr>
                <w:b/>
                <w:sz w:val="17"/>
              </w:rPr>
              <w:t>15,095</w:t>
            </w:r>
          </w:p>
        </w:tc>
        <w:tc>
          <w:tcPr>
            <w:tcW w:type="dxa" w:w="1440"/>
            <w:shd w:fill="FAFAFA" w:val="clear"/>
          </w:tcPr>
          <w:p>
            <w:r>
              <w:rPr>
                <w:sz w:val="17"/>
              </w:rPr>
              <w:t>16,715</w:t>
            </w:r>
          </w:p>
        </w:tc>
        <w:tc>
          <w:tcPr>
            <w:tcW w:type="dxa" w:w="1440"/>
            <w:shd w:fill="FAFAFA" w:val="clear"/>
          </w:tcPr>
          <w:p>
            <w:r>
              <w:rPr>
                <w:b/>
                <w:color w:val="008000"/>
                <w:sz w:val="17"/>
              </w:rPr>
              <w:t>+1.3%</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13,318</w:t>
            </w:r>
          </w:p>
        </w:tc>
        <w:tc>
          <w:tcPr>
            <w:tcW w:type="dxa" w:w="1440"/>
            <w:shd w:fill="FAFAFA" w:val="clear"/>
          </w:tcPr>
          <w:p>
            <w:r>
              <w:rPr>
                <w:b/>
                <w:sz w:val="17"/>
              </w:rPr>
              <w:t>15,092</w:t>
            </w:r>
          </w:p>
        </w:tc>
        <w:tc>
          <w:tcPr>
            <w:tcW w:type="dxa" w:w="1440"/>
            <w:shd w:fill="FAFAFA" w:val="clear"/>
          </w:tcPr>
          <w:p>
            <w:r>
              <w:rPr>
                <w:sz w:val="17"/>
              </w:rPr>
              <w:t>16,866</w:t>
            </w:r>
          </w:p>
        </w:tc>
        <w:tc>
          <w:tcPr>
            <w:tcW w:type="dxa" w:w="1440"/>
            <w:shd w:fill="FAFAFA" w:val="clear"/>
          </w:tcPr>
          <w:p>
            <w:r>
              <w:rPr>
                <w:b/>
                <w:color w:val="008000"/>
                <w:sz w:val="17"/>
              </w:rPr>
              <w:t>+1.3%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13,172</w:t>
            </w:r>
          </w:p>
        </w:tc>
        <w:tc>
          <w:tcPr>
            <w:tcW w:type="dxa" w:w="1440"/>
            <w:shd w:fill="FAFAFA" w:val="clear"/>
          </w:tcPr>
          <w:p>
            <w:r>
              <w:rPr>
                <w:b/>
                <w:sz w:val="17"/>
              </w:rPr>
              <w:t>15,088</w:t>
            </w:r>
          </w:p>
        </w:tc>
        <w:tc>
          <w:tcPr>
            <w:tcW w:type="dxa" w:w="1440"/>
            <w:shd w:fill="FAFAFA" w:val="clear"/>
          </w:tcPr>
          <w:p>
            <w:r>
              <w:rPr>
                <w:sz w:val="17"/>
              </w:rPr>
              <w:t>17,004</w:t>
            </w:r>
          </w:p>
        </w:tc>
        <w:tc>
          <w:tcPr>
            <w:tcW w:type="dxa" w:w="1440"/>
            <w:shd w:fill="FAFAFA" w:val="clear"/>
          </w:tcPr>
          <w:p>
            <w:r>
              <w:rPr>
                <w:b/>
                <w:color w:val="008000"/>
                <w:sz w:val="17"/>
              </w:rPr>
              <w:t>+1.3%</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13,037</w:t>
            </w:r>
          </w:p>
        </w:tc>
        <w:tc>
          <w:tcPr>
            <w:tcW w:type="dxa" w:w="1440"/>
            <w:shd w:fill="FAFAFA" w:val="clear"/>
          </w:tcPr>
          <w:p>
            <w:r>
              <w:rPr>
                <w:b/>
                <w:sz w:val="17"/>
              </w:rPr>
              <w:t>15,085</w:t>
            </w:r>
          </w:p>
        </w:tc>
        <w:tc>
          <w:tcPr>
            <w:tcW w:type="dxa" w:w="1440"/>
            <w:shd w:fill="FAFAFA" w:val="clear"/>
          </w:tcPr>
          <w:p>
            <w:r>
              <w:rPr>
                <w:sz w:val="17"/>
              </w:rPr>
              <w:t>17,132</w:t>
            </w:r>
          </w:p>
        </w:tc>
        <w:tc>
          <w:tcPr>
            <w:tcW w:type="dxa" w:w="1440"/>
            <w:shd w:fill="FAFAFA" w:val="clear"/>
          </w:tcPr>
          <w:p>
            <w:r>
              <w:rPr>
                <w:b/>
                <w:color w:val="008000"/>
                <w:sz w:val="17"/>
              </w:rPr>
              <w:t>+1.2%</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12,910</w:t>
            </w:r>
          </w:p>
        </w:tc>
        <w:tc>
          <w:tcPr>
            <w:tcW w:type="dxa" w:w="1440"/>
            <w:shd w:fill="FAFAFA" w:val="clear"/>
          </w:tcPr>
          <w:p>
            <w:r>
              <w:rPr>
                <w:b/>
                <w:sz w:val="17"/>
              </w:rPr>
              <w:t>15,081</w:t>
            </w:r>
          </w:p>
        </w:tc>
        <w:tc>
          <w:tcPr>
            <w:tcW w:type="dxa" w:w="1440"/>
            <w:shd w:fill="FAFAFA" w:val="clear"/>
          </w:tcPr>
          <w:p>
            <w:r>
              <w:rPr>
                <w:sz w:val="17"/>
              </w:rPr>
              <w:t>17,252</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12,789</w:t>
            </w:r>
          </w:p>
        </w:tc>
        <w:tc>
          <w:tcPr>
            <w:tcW w:type="dxa" w:w="1440"/>
            <w:shd w:fill="FAFAFA" w:val="clear"/>
          </w:tcPr>
          <w:p>
            <w:r>
              <w:rPr>
                <w:b/>
                <w:sz w:val="17"/>
              </w:rPr>
              <w:t>15,077</w:t>
            </w:r>
          </w:p>
        </w:tc>
        <w:tc>
          <w:tcPr>
            <w:tcW w:type="dxa" w:w="1440"/>
            <w:shd w:fill="FAFAFA" w:val="clear"/>
          </w:tcPr>
          <w:p>
            <w:r>
              <w:rPr>
                <w:sz w:val="17"/>
              </w:rPr>
              <w:t>17,366</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328,85 milliards FCFA, NTLC s'impose comme l'une des plus importantes capitalisations de la BRVM, ce qui en fait un titre de premier plan pour les investisseurs institutionnels régionaux. Le BPA de 835 FCFA/action signifie que chaque titre génère près de 835 FCFA de bénéfice net, un niveau élevé qui traduit la forte rentabilité de la société. Le PER de 17,8x est supérieur à la moyenne du marché BRVM (estimée entre 8 et 12x), indiquant que les investisseurs paient une prime significative pour la qualité et la stabilité de cette valeur de rendement. Le P/B de 11,11x, très supérieur au seuil de 4x, confirme cette valorisation exigeante : le marché valorise NTLC à plus de onze fois sa valeur comptable, ce qui se justifie par la faiblesse relative des fonds propres (29,6 Mds FCFA) face à la puissance bénéficiaire de l'entreprise. Enfin, l'EV/EBITDA de 9,0x se situe dans la fourchette raisonnable de 5-10x, suggérant que la valeur totale de l'entreprise (dette incluse) reste cohérente avec sa capacité opérationnelle de génération de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progression totale de +27,90%, portée par une dynamique haussière soutenue, bien que la dernière séance (J-1) enregistre un léger repli de -0,67%, signalant une possible prise de bénéfices. Le cours actuel de 14 900 FCFA se situe dans la partie basse du range de trading, le plus haut ayant atteint 18 000 FCFA et le plus bas 11 150 FCFA, ce qui témoigne d'une amplitude de variation importante (près de 61% entre les extrêmes). La tendance générale reste haussière sur la période, mais le repli récent depuis les sommets suggère une correction en cours. Les statistiques descriptives révèlent une moyenne de 15 415 FCFA légèrement inférieure à la médiane de 15 995 FCFA, avec un mode à 16 900 FCFA : cet écart indique une distribution asymétrique où les cours ont davantage évolué au-dessus de la moyenne, confirmé par un skewness de -0,990 (asymétrie négative). L'écart-type de 1 668 FCFA et le coefficient de variation de 10,8% traduisent une dispersion modérée du cours autour de sa moyenne. Le kurtosis de -0,046 (mésokurtique) indique une distribution proche de la normale, sans risque majeur de pics extrêmes. Enfin, la volatilité annualisée de 37,2% positionne NTLC dans la catégorie des titres à volatilité élevée (&gt;30%), ce qui implique un risque de fluctuation important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16 017,25 FCFA et la MM50 à 16 459,5 FCFA, toutes deux nettement supérieures au cours actuel de 14 900 FCFA. Cette configuration baissière (cours sous les deux moyennes) confirme la pression vendeuse récente et justifie la décision technique de **Vente**. Le croisement potentiel de la MM20 sous la MM50 renforcerait ce signal négatif.</w:t>
      </w:r>
    </w:p>
    <w:p>
      <w:pPr>
        <w:spacing w:after="120" w:line="276" w:lineRule="auto"/>
      </w:pPr>
      <w:r>
        <w:t>**Bandes de Bollinger :** La borne supérieure se situe à 17 952,09 FCFA et la borne inférieure à 14 082,41 FCFA, avec un cours actuel de 14 900 FCFA qui évolue dans la partie basse du canal, proche de la borne inférieure. Cette position suggère que le titre est proche d'une zone de survente technique, ce qui explique la décision **Neutre** : la volatilité reste contenue et un rebond technique n'est pas exclu.</w:t>
      </w:r>
    </w:p>
    <w:p>
      <w:pPr>
        <w:spacing w:after="120" w:line="276" w:lineRule="auto"/>
      </w:pPr>
      <w:r>
        <w:t>**MACD :** La valeur du MACD (-465,282) est inférieure à son signal (-362,065), confirmant un momentum baissier persistant. La divergence négative entre les deux lignes indique que la dynamique de court terme reste défavorable, justifiant la décision de **Vente**.</w:t>
      </w:r>
    </w:p>
    <w:p>
      <w:pPr>
        <w:spacing w:after="120" w:line="276" w:lineRule="auto"/>
      </w:pPr>
      <w:r>
        <w:t>**RSI :** Avec une valeur de 23,684, le RSI se situe nettement en zone de survente (&lt;30), ce qui constitue un signal d'**Achat** potentiel. Cette configuration suggère que le titre pourrait être survendu et qu'un rebond technique est probable à court terme.</w:t>
      </w:r>
    </w:p>
    <w:p>
      <w:pPr>
        <w:spacing w:after="120" w:line="276" w:lineRule="auto"/>
      </w:pPr>
      <w:r>
        <w:t>**Stochastique :** Le %K (16,667) est inférieur au %D (25,0), et les deux indicateurs évoluent en zone de survente. Cette configuration, bien que baissière à court terme, plaide pour un **Achat** en anticipation d'un retournement imminent.</w:t>
      </w:r>
    </w:p>
    <w:p>
      <w:pPr>
        <w:spacing w:after="120" w:line="276" w:lineRule="auto"/>
      </w:pPr>
      <w:r>
        <w:t>**Conclusion technique :** Les indicateurs présentent une divergence notable : les moyennes mobiles et le MACD confirment une tendance baissière de fond, tandis que le RSI et le stochastique signalent une survente extrême propice à un rebond technique. Cette opposition suggère une phase de consolidation possible avant une reprise, avec un risque de poursuite de la baisse si les supports ne tiennent pas.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Nestlé Côte d'Ivoire a réalisé un chiffre d'affaires de 233,26 milliards FCFA, en croissance de 5,97% par rapport à 2024 (220,11 Mds FCFA), portée par la dynamique des ventes de produits fabriqués (+6,3%). Le résultat net s'établit à 18,43 milliards FCFA, en légère progression de 1,53%, avec une marge nette stable à 7,90%. Le ROE atteint un niveau exceptionnel de 62,28%, bien supérieur au seuil de 15% considéré comme excellent, tandis que le ROA de 9,70% reflète une bonne efficacité dans l'utilisation des actifs. La structure financière présente toutefois des signaux de vigilance : l'autonomie financière est faible (15,58% contre un seuil sain de 30%), le ratio d'endettement s'élève à 135,85% et la trésorerie nette est négative (-46,83 Mds FCFA), traduisant un besoin de financement du cycle d'exploitation. Les délais clients (74,30 jours) et la durée de stockage (59,39 jours) sont élevés, générant un BFR de 22,63 Mds FCFA qui pèse sur la trésorerie. Le rapport du T1 2026 (publié en 2026) révèle une accélération spectaculaire : le chiffre d'affaires bondit de +31% à 70,82 milliards FCFA et le résultat net progresse de +37% à 7,53 milliards FCFA, avec une marge nette améliorée à 10,6%. Sur la base de ce rapport trimestriel, on peut estimer que l'exercice 2026 devrait afficher une croissance à deux chiffres du chiffre d'affaires et une nette amélioration de la rentabilité, confirmant la solidité du modèle malgré les pressions inflationnistes sur les matières premières. La politique de dividende, plus conservatrice en 2025 (9,27 Mds FCFA distribués, soit un payout de 50,3% contre 99,7% en 2024), traduit une stratégie de renforcement des fonds propres pour financer la croissance future.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NTLC apparaît exigeante avec un PER de 17,8x et un P/B de 11,11x, nettement supérieurs aux moyennes du marché BRVM, ce qui intègre déjà une prime de qualité significative. Le comportement du cours sur 100 jours est haussier (+27,90%) mais la correction récente (-0,67% en J-1) et la position sous les moyennes mobiles suggèrent une phase de consolidation, avec une volatilité élevée (37,2%) et une asymétrie négative (skewness de -0,990) indiquant que les cours ont tendance à évoluer au-dessus de la moyenne. Les signaux techniques sont divergents : les indicateurs de tendance (MM, MACD) sont baissiers, tandis que les oscillateurs (RSI à 23,68, stochastique en survente) plaident pour un rebond technique imminent. Les fondamentaux restent solides, portés par un ROE exceptionnel de 62,28% et une accélération spectaculaire au T1 2026 (+31% de CA, +37% de résultat net), bien que la structure financière (endettement élevé, trésorerie nette négative) appelle à la vigilance. Les prédictions IA anticipent une stabilisation du cours autour de 15 100 FCFA à J+1, puis une légère érosion vers 15 092 FCFA à J+10, ce qui confirme l'absence de catalyseur haussier immédiat mais n'anticipe pas non plus d'effondrement. Sur la base de cette synthèse, la recommandation est **CONSERVER** : le titre offre une qualité fondamentale indéniable et un potentiel de revalorisation à moyen terme lié à l'accélération de la croissance, mais la valorisation exigeante et les signaux techniques baissiers à court terme incitent à la prudence. Le niveau de confiance est **Moyen**, le risque global est **Moyen**, et l'horizon d'investissement optimal est le **moyen terme (3-12 mois)**, en attendant la confirmation de la tendance haussière des bénéfices et une amélioration de la structure financière.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199.58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5,504 titres</w:t>
            </w:r>
          </w:p>
        </w:tc>
        <w:tc>
          <w:tcPr>
            <w:tcW w:type="dxa" w:w="2268"/>
            <w:shd w:fill="FFF2CC" w:val="clear"/>
          </w:tcPr>
          <w:p>
            <w:r>
              <w:rPr>
                <w:b/>
                <w:color w:val="503200"/>
                <w:sz w:val="16"/>
              </w:rPr>
              <w:t xml:space="preserve">Cours actuel : </w:t>
            </w:r>
            <w:r>
              <w:rPr>
                <w:color w:val="000000"/>
                <w:sz w:val="17"/>
              </w:rPr>
              <w:t>2,935 FCFA</w:t>
            </w:r>
          </w:p>
          <w:p>
            <w:r>
              <w:rPr>
                <w:b/>
                <w:color w:val="503200"/>
                <w:sz w:val="16"/>
              </w:rPr>
              <w:t xml:space="preserve">Var. 100 jours : </w:t>
            </w:r>
            <w:r>
              <w:rPr>
                <w:b/>
                <w:color w:val="007800"/>
                <w:sz w:val="17"/>
              </w:rPr>
              <w:t>+6.34%</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2.84% (Faible) — μ=2,849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β=0.5149 (Défensif) — Cov=0.000035, Var(idx)=0.000069, ρ=0.208,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2,778</w:t>
            </w:r>
          </w:p>
        </w:tc>
        <w:tc>
          <w:tcPr>
            <w:tcW w:type="dxa" w:w="1440"/>
            <w:shd w:fill="FAFAFA" w:val="clear"/>
          </w:tcPr>
          <w:p>
            <w:r>
              <w:rPr>
                <w:b/>
                <w:sz w:val="17"/>
              </w:rPr>
              <w:t>2,921</w:t>
            </w:r>
          </w:p>
        </w:tc>
        <w:tc>
          <w:tcPr>
            <w:tcW w:type="dxa" w:w="1440"/>
            <w:shd w:fill="FAFAFA" w:val="clear"/>
          </w:tcPr>
          <w:p>
            <w:r>
              <w:rPr>
                <w:sz w:val="17"/>
              </w:rPr>
              <w:t>3,063</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2,740</w:t>
            </w:r>
          </w:p>
        </w:tc>
        <w:tc>
          <w:tcPr>
            <w:tcW w:type="dxa" w:w="1440"/>
            <w:shd w:fill="FAFAFA" w:val="clear"/>
          </w:tcPr>
          <w:p>
            <w:r>
              <w:rPr>
                <w:b/>
                <w:sz w:val="17"/>
              </w:rPr>
              <w:t>2,914</w:t>
            </w:r>
          </w:p>
        </w:tc>
        <w:tc>
          <w:tcPr>
            <w:tcW w:type="dxa" w:w="1440"/>
            <w:shd w:fill="FAFAFA" w:val="clear"/>
          </w:tcPr>
          <w:p>
            <w:r>
              <w:rPr>
                <w:sz w:val="17"/>
              </w:rPr>
              <w:t>3,088</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2,706</w:t>
            </w:r>
          </w:p>
        </w:tc>
        <w:tc>
          <w:tcPr>
            <w:tcW w:type="dxa" w:w="1440"/>
            <w:shd w:fill="FAFAFA" w:val="clear"/>
          </w:tcPr>
          <w:p>
            <w:r>
              <w:rPr>
                <w:b/>
                <w:sz w:val="17"/>
              </w:rPr>
              <w:t>2,907</w:t>
            </w:r>
          </w:p>
        </w:tc>
        <w:tc>
          <w:tcPr>
            <w:tcW w:type="dxa" w:w="1440"/>
            <w:shd w:fill="FAFAFA" w:val="clear"/>
          </w:tcPr>
          <w:p>
            <w:r>
              <w:rPr>
                <w:sz w:val="17"/>
              </w:rPr>
              <w:t>3,107</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2,676</w:t>
            </w:r>
          </w:p>
        </w:tc>
        <w:tc>
          <w:tcPr>
            <w:tcW w:type="dxa" w:w="1440"/>
            <w:shd w:fill="FAFAFA" w:val="clear"/>
          </w:tcPr>
          <w:p>
            <w:r>
              <w:rPr>
                <w:b/>
                <w:sz w:val="17"/>
              </w:rPr>
              <w:t>2,900</w:t>
            </w:r>
          </w:p>
        </w:tc>
        <w:tc>
          <w:tcPr>
            <w:tcW w:type="dxa" w:w="1440"/>
            <w:shd w:fill="FAFAFA" w:val="clear"/>
          </w:tcPr>
          <w:p>
            <w:r>
              <w:rPr>
                <w:sz w:val="17"/>
              </w:rPr>
              <w:t>3,123</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2,649</w:t>
            </w:r>
          </w:p>
        </w:tc>
        <w:tc>
          <w:tcPr>
            <w:tcW w:type="dxa" w:w="1440"/>
            <w:shd w:fill="FAFAFA" w:val="clear"/>
          </w:tcPr>
          <w:p>
            <w:r>
              <w:rPr>
                <w:b/>
                <w:sz w:val="17"/>
              </w:rPr>
              <w:t>2,893</w:t>
            </w:r>
          </w:p>
        </w:tc>
        <w:tc>
          <w:tcPr>
            <w:tcW w:type="dxa" w:w="1440"/>
            <w:shd w:fill="FAFAFA" w:val="clear"/>
          </w:tcPr>
          <w:p>
            <w:r>
              <w:rPr>
                <w:sz w:val="17"/>
              </w:rPr>
              <w:t>3,137</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2,623</w:t>
            </w:r>
          </w:p>
        </w:tc>
        <w:tc>
          <w:tcPr>
            <w:tcW w:type="dxa" w:w="1440"/>
            <w:shd w:fill="FAFAFA" w:val="clear"/>
          </w:tcPr>
          <w:p>
            <w:r>
              <w:rPr>
                <w:b/>
                <w:sz w:val="17"/>
              </w:rPr>
              <w:t>2,887</w:t>
            </w:r>
          </w:p>
        </w:tc>
        <w:tc>
          <w:tcPr>
            <w:tcW w:type="dxa" w:w="1440"/>
            <w:shd w:fill="FAFAFA" w:val="clear"/>
          </w:tcPr>
          <w:p>
            <w:r>
              <w:rPr>
                <w:sz w:val="17"/>
              </w:rPr>
              <w:t>3,150</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2,599</w:t>
            </w:r>
          </w:p>
        </w:tc>
        <w:tc>
          <w:tcPr>
            <w:tcW w:type="dxa" w:w="1440"/>
            <w:shd w:fill="FAFAFA" w:val="clear"/>
          </w:tcPr>
          <w:p>
            <w:r>
              <w:rPr>
                <w:b/>
                <w:sz w:val="17"/>
              </w:rPr>
              <w:t>2,880</w:t>
            </w:r>
          </w:p>
        </w:tc>
        <w:tc>
          <w:tcPr>
            <w:tcW w:type="dxa" w:w="1440"/>
            <w:shd w:fill="FAFAFA" w:val="clear"/>
          </w:tcPr>
          <w:p>
            <w:r>
              <w:rPr>
                <w:sz w:val="17"/>
              </w:rPr>
              <w:t>3,161</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2,577</w:t>
            </w:r>
          </w:p>
        </w:tc>
        <w:tc>
          <w:tcPr>
            <w:tcW w:type="dxa" w:w="1440"/>
            <w:shd w:fill="FFDCE0" w:val="clear"/>
          </w:tcPr>
          <w:p>
            <w:r>
              <w:rPr>
                <w:b/>
                <w:sz w:val="17"/>
              </w:rPr>
              <w:t>2,874</w:t>
            </w:r>
          </w:p>
        </w:tc>
        <w:tc>
          <w:tcPr>
            <w:tcW w:type="dxa" w:w="1440"/>
            <w:shd w:fill="FFDCE0" w:val="clear"/>
          </w:tcPr>
          <w:p>
            <w:r>
              <w:rPr>
                <w:sz w:val="17"/>
              </w:rPr>
              <w:t>3,171</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2,555</w:t>
            </w:r>
          </w:p>
        </w:tc>
        <w:tc>
          <w:tcPr>
            <w:tcW w:type="dxa" w:w="1440"/>
            <w:shd w:fill="FFDCE0" w:val="clear"/>
          </w:tcPr>
          <w:p>
            <w:r>
              <w:rPr>
                <w:b/>
                <w:sz w:val="17"/>
              </w:rPr>
              <w:t>2,867</w:t>
            </w:r>
          </w:p>
        </w:tc>
        <w:tc>
          <w:tcPr>
            <w:tcW w:type="dxa" w:w="1440"/>
            <w:shd w:fill="FFDCE0" w:val="clear"/>
          </w:tcPr>
          <w:p>
            <w:r>
              <w:rPr>
                <w:sz w:val="17"/>
              </w:rPr>
              <w:t>3,180</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Télécommunications*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199,58 milliards FCFA, ONTBF se positionne comme l'une des valeurs phares du compartiment télécoms de la BRVM, aux côtés de Sonatel et d'Orange CI. Le BPA de 234 FCFA par action signifie que chaque titre génère près de 234 FCFA de bénéfice net, ce qui, rapporté au cours actuel de 2 935 FCFA, donne un PER de 12,6x — un niveau modéré, légèrement supérieur à la moyenne BRVM (8-12x), traduisant une prime de qualité justifiée par la solidité du bilan et la régularité du dividende. Le ratio P/B de 3,47x indique que le marché valorise l'action à plus de trois fois sa valeur comptable, une prime de croissance cohérente pour un opérateur télécom investissant massivement dans la fibre et le mobile money. Enfin, l'EV/EBITDA de 5,2x situe la valeur totale de l'entreprise (dette incluse) à seulement 5,2 fois sa capacité opérationnelle, un niveau raisonnable qui suggère que le marché n'intègre pas de surchauffe spéculative sur ce titre défensif.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ONTBF affiche une progression totale de +6,34%, malgré un léger repli de -0,34% lors de la dernière séance, portant le cours actuel à 2 935 FCFA. Le range de trading s'établit entre un plus bas de 2 675 FCFA et un plus haut de 3 070 FCFA, soit une amplitude d'environ 395 FCFA (14,8%), reflétant une tendance globalement haussière mais ponctuée de corrections. Les statistiques descriptives révèlent une moyenne de 2 849 FCFA très proche de la médiane (2 852 FCFA) et du mode (2 800 FCFA), signe d'une distribution symétrique sans biais marqué — confirmé par un skewness de -0,055 quasi nul. L'écart-type de 81 FCFA (CV de 2,9%) traduit une dispersion très faible du cours autour de sa moyenne, caractéristique d'un titre peu volatil sur la période récente. Le kurtosis de -0,263 (mésokurtique) indique une distribution proche de la normale, sans risque significatif de pics extrêmes. Toutefois, la volatilité annualisée de 32,2% classe ONTBF dans la catégorie des titres à volatilité élevée (&gt;30%), ce qui contraste avec la stabilité observée sur 100 jours et suggère que des mouvements plus amples pourraient survenir sur un horizon plus long.</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(2 891,5 FCFA) et la MM50 (2 884,3 FCFA) se situent toutes deux en dessous du cours actuel (2 935 FCFA), avec la MM20 légèrement au-dessus de la MM50 — configuration haussière classique. Cette position relative confirme la décision d'**Achat**, le cours évoluant au-dessus de ses supports dynamiques.</w:t>
      </w:r>
    </w:p>
    <w:p>
      <w:pPr>
        <w:spacing w:after="120" w:line="276" w:lineRule="auto"/>
      </w:pPr>
      <w:r>
        <w:t>**Bandes de Bollinger** : Le cours (2 935 FCFA) se situe dans la partie supérieure de la bande, entre la borne inférieure (2 777,5 FCFA) et la borne supérieure (3 005,5 FCFA), sans les toucher. Cette position médiane-haute traduit une volatilité modérée et une décision **Neutre**, le titre n'étant ni en surachat ni en survente technique.</w:t>
      </w:r>
    </w:p>
    <w:p>
      <w:pPr>
        <w:spacing w:after="120" w:line="276" w:lineRule="auto"/>
      </w:pPr>
      <w:r>
        <w:t>**MACD** : La ligne MACD (15,186) est nettement au-dessus de sa ligne de signal (8,363), avec un histogramme positif — signal haussier confirmé. Le momentum est positif et la décision d'**Achat** est justifiée par cette divergence favorable qui indique une accélération de la tendance.</w:t>
      </w:r>
    </w:p>
    <w:p>
      <w:pPr>
        <w:spacing w:after="120" w:line="276" w:lineRule="auto"/>
      </w:pPr>
      <w:r>
        <w:t>**RSI** : À 54,815, le RSI se situe en zone neutre (30-70), sans signe de surachat (&gt;70) ni de survente (&lt;30). La décision **Neutre** reflète un équilibre entre acheteurs et vendeurs, avec une légère prédominance haussière.</w:t>
      </w:r>
    </w:p>
    <w:p>
      <w:pPr>
        <w:spacing w:after="120" w:line="276" w:lineRule="auto"/>
      </w:pPr>
      <w:r>
        <w:t>**Stochastique** : Le %K (72,917) et le %D (76,389) sont tous deux en zone haute, proches du seuil de surachat (80), avec un %K légèrement inférieur au %D — signal potentiel de retournement à court terme. La décision **Neutre** s'impose, le croisement n'étant pas encore confirmé.</w:t>
      </w:r>
    </w:p>
    <w:p>
      <w:pPr>
        <w:spacing w:after="120" w:line="276" w:lineRule="auto"/>
      </w:pPr>
      <w:r>
        <w:t>**Conclusion technique** : Les indicateurs convergent majoritairement vers un biais haussier (MM, MACD), tempéré par des signaux neutres (Bollinger, RSI, Stochastique). Le titre évolue dans une dynamique positive mais sans excès, ce qui plaide pour une consolidation avant une éventuelle accélération. La configuration actuelle est favorable aux détenteurs, avec un potentiel de hausse modéré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ONTBF (ONATEL Burkina Faso) affiche un chiffre d'affaires de 146,18 milliards FCFA, en hausse de +3,1% par rapport à 2024, porté par le FTTH (+33% de parc), l'internet mobile (+5%) et le Mobile Money (+14%). Le résultat net s'établit à 15,89 milliards FCFA, en net repli de -26% par rapport aux 21,47 milliards de 2024, sous l'effet d'une compression des marges (marge nette de 10,87% contre 15,1% en 2024) liée à la hausse des charges opérationnelles (énergie, maintenance en zones sécuritaires, indemnités de fin d'engagement, sanction ARCEP de 1,543 milliard FCFA). Le ROE reste excellent à 27,61% (bien supérieur au seuil de 15%), mais en baisse par rapport aux 34,3% de 2024, tandis que le ROA recule à 4,89%. Le coefficient d'exploitation de 67,07% (charges/PNB) reste supérieur au seuil de 60% recommandé pour une banque efficace, mais ONTBF étant un opérateur télécom, ce ratio doit être interprété avec prudence. Le coût du risque (provisions/charges financières) de 3,57% est modéré, mais les provisions de 31,07 milliards FCFA pèsent lourdement sur le résultat. La structure financière montre une autonomie financière de 17,71% (inférieure au seuil de 30%), une dépendance financière de 82,29% et un ratio d'endettement de 186,99%, reflétant un bilan déséquilibré avec des capitaux permanents (127,23 milliards FCFA) ne couvrant que partiellement les actifs immobilisés (210,69 milliards FCFA). La trésorerie nette reste positive à 10,65 milliards FCFA, et la capacité de remboursement de 2,29 années est acceptable. Les rapports trimestriels 2026 confirment la tendance : au T1 2026 (rapport du 30 avril 2026), le CA progresse de +2,7% à 37,1 milliards FCFA, avec un taux de marge EBITDA maintenu à 41,3% et un résultat net de 3,577 milliards FCFA (marge nette de 9,6%). On estime que l'exercice 2026 devrait rester sous pression, avec une possible stabilisation des marges si les actions d'optimisation des coûts annoncées portent leurs fruits. La note de crédit A+(WU) de GCR Ratings, rehaussée en 2025, confirme la solidité financière malgré les défis. La recommandation fondamentale est de **CONSERVER** : les fondamentaux restent solides (croissance du CA, base clients de 12,6 millions, dividende attractif de 166,08 FCFA/action), mais la dégradation de la rentabilité et les risques réglementaires/sécuritaires limitent le potentiel de revalorisation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12,6x et le P/B de 3,47x indiquent une valorisation modérée à légèrement élevée, sans sous-évaluation flagrante, tandis que l'EV/EBITDA de 5,2x reste raisonnable. **Comportement du cours (Partie 1)** : la tendance haussière (+6,34% sur 100 jours) avec une volatilité annualisée élevée (32,2%) et des statistiques symétriques (skewness -0,055, kurtosis -0,263) suggère un titre stable mais exposé à des mouvements brusques. **Signaux techniques (Partie 2)** : les indicateurs convergent vers un biais haussier modéré (MM et MACD à l'achat, RSI et Stochastique neutres), sans signal de retournement imminent. **Fondamentaux (Partie 3)** : la croissance du CA (+3,1% en 2025) et la solidité du bilan (ROE de 27,61%, trésorerie nette positive) sont tempérées par la chute du résultat net (-26%) et un endettement élevé (186,99%). **Prédictions IA (J+1 à J+10)** : la trajectoire prévue (2 921 → 2 893 FCFA) anticipe une légère correction baissière de -1,4% sur 10 jours, contredisant partiellement les signaux techniques haussiers. Sur la base de cette synthèse, la recommandation finale est **CONSERVER**, avec un niveau de confiance **Moyen** et un risque global **Moyen**. La convergence entre valorisation raisonnable, technique neutre-haussière et fondamentaux solides mais en dégradation ne justifie ni un achat agressif ni une vente. L'horizon d'investissement optimal est le **moyen terme (3-12 mois)**, en attendant des signes tangibles d'amélioration de la rentabilité et de maîtrise des coûts, notamment lors de la publication des résultats semestriels 2026. Les investisseurs en quête de rendement apprécieront le dividende de 166,08 FCFA/action (rendement d'environ 5,7% au cours actuel), mais devront surveiller la soutenabilité de cette distribution au regard de la baisse des bénéfices.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3284.29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3,471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+46.11%</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14,920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13.77% (Moyenne) — μ=17,914 FCFA, σ=2,468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β=1.1973 (Neutre (suit le marché)) — Cov=0.000083, Var(idx)=0.000069, ρ=0.515,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20,414</w:t>
            </w:r>
          </w:p>
        </w:tc>
        <w:tc>
          <w:tcPr>
            <w:tcW w:type="dxa" w:w="1440"/>
            <w:shd w:fill="FAFAFA" w:val="clear"/>
          </w:tcPr>
          <w:p>
            <w:r>
              <w:rPr>
                <w:b/>
                <w:sz w:val="17"/>
              </w:rPr>
              <w:t>21,546</w:t>
            </w:r>
          </w:p>
        </w:tc>
        <w:tc>
          <w:tcPr>
            <w:tcW w:type="dxa" w:w="1440"/>
            <w:shd w:fill="FAFAFA" w:val="clear"/>
          </w:tcPr>
          <w:p>
            <w:r>
              <w:rPr>
                <w:sz w:val="17"/>
              </w:rPr>
              <w:t>22,678</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20,136</w:t>
            </w:r>
          </w:p>
        </w:tc>
        <w:tc>
          <w:tcPr>
            <w:tcW w:type="dxa" w:w="1440"/>
            <w:shd w:fill="FAFAFA" w:val="clear"/>
          </w:tcPr>
          <w:p>
            <w:r>
              <w:rPr>
                <w:b/>
                <w:sz w:val="17"/>
              </w:rPr>
              <w:t>21,521</w:t>
            </w:r>
          </w:p>
        </w:tc>
        <w:tc>
          <w:tcPr>
            <w:tcW w:type="dxa" w:w="1440"/>
            <w:shd w:fill="FAFAFA" w:val="clear"/>
          </w:tcPr>
          <w:p>
            <w:r>
              <w:rPr>
                <w:sz w:val="17"/>
              </w:rPr>
              <w:t>22,907</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19,897</w:t>
            </w:r>
          </w:p>
        </w:tc>
        <w:tc>
          <w:tcPr>
            <w:tcW w:type="dxa" w:w="1440"/>
            <w:shd w:fill="FAFAFA" w:val="clear"/>
          </w:tcPr>
          <w:p>
            <w:r>
              <w:rPr>
                <w:b/>
                <w:sz w:val="17"/>
              </w:rPr>
              <w:t>21,494</w:t>
            </w:r>
          </w:p>
        </w:tc>
        <w:tc>
          <w:tcPr>
            <w:tcW w:type="dxa" w:w="1440"/>
            <w:shd w:fill="FAFAFA" w:val="clear"/>
          </w:tcPr>
          <w:p>
            <w:r>
              <w:rPr>
                <w:sz w:val="17"/>
              </w:rPr>
              <w:t>23,092</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19,684</w:t>
            </w:r>
          </w:p>
        </w:tc>
        <w:tc>
          <w:tcPr>
            <w:tcW w:type="dxa" w:w="1440"/>
            <w:shd w:fill="FAFAFA" w:val="clear"/>
          </w:tcPr>
          <w:p>
            <w:r>
              <w:rPr>
                <w:b/>
                <w:sz w:val="17"/>
              </w:rPr>
              <w:t>21,468</w:t>
            </w:r>
          </w:p>
        </w:tc>
        <w:tc>
          <w:tcPr>
            <w:tcW w:type="dxa" w:w="1440"/>
            <w:shd w:fill="FAFAFA" w:val="clear"/>
          </w:tcPr>
          <w:p>
            <w:r>
              <w:rPr>
                <w:sz w:val="17"/>
              </w:rPr>
              <w:t>23,252</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19,491</w:t>
            </w:r>
          </w:p>
        </w:tc>
        <w:tc>
          <w:tcPr>
            <w:tcW w:type="dxa" w:w="1440"/>
            <w:shd w:fill="FAFAFA" w:val="clear"/>
          </w:tcPr>
          <w:p>
            <w:r>
              <w:rPr>
                <w:b/>
                <w:sz w:val="17"/>
              </w:rPr>
              <w:t>21,442</w:t>
            </w:r>
          </w:p>
        </w:tc>
        <w:tc>
          <w:tcPr>
            <w:tcW w:type="dxa" w:w="1440"/>
            <w:shd w:fill="FAFAFA" w:val="clear"/>
          </w:tcPr>
          <w:p>
            <w:r>
              <w:rPr>
                <w:sz w:val="17"/>
              </w:rPr>
              <w:t>23,394</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19,311</w:t>
            </w:r>
          </w:p>
        </w:tc>
        <w:tc>
          <w:tcPr>
            <w:tcW w:type="dxa" w:w="1440"/>
            <w:shd w:fill="FAFAFA" w:val="clear"/>
          </w:tcPr>
          <w:p>
            <w:r>
              <w:rPr>
                <w:b/>
                <w:sz w:val="17"/>
              </w:rPr>
              <w:t>21,417</w:t>
            </w:r>
          </w:p>
        </w:tc>
        <w:tc>
          <w:tcPr>
            <w:tcW w:type="dxa" w:w="1440"/>
            <w:shd w:fill="FAFAFA" w:val="clear"/>
          </w:tcPr>
          <w:p>
            <w:r>
              <w:rPr>
                <w:sz w:val="17"/>
              </w:rPr>
              <w:t>23,523</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19,144</w:t>
            </w:r>
          </w:p>
        </w:tc>
        <w:tc>
          <w:tcPr>
            <w:tcW w:type="dxa" w:w="1440"/>
            <w:shd w:fill="FAFAFA" w:val="clear"/>
          </w:tcPr>
          <w:p>
            <w:r>
              <w:rPr>
                <w:b/>
                <w:sz w:val="17"/>
              </w:rPr>
              <w:t>21,392</w:t>
            </w:r>
          </w:p>
        </w:tc>
        <w:tc>
          <w:tcPr>
            <w:tcW w:type="dxa" w:w="1440"/>
            <w:shd w:fill="FAFAFA" w:val="clear"/>
          </w:tcPr>
          <w:p>
            <w:r>
              <w:rPr>
                <w:sz w:val="17"/>
              </w:rPr>
              <w:t>23,641</w:t>
            </w:r>
          </w:p>
        </w:tc>
        <w:tc>
          <w:tcPr>
            <w:tcW w:type="dxa" w:w="1440"/>
            <w:shd w:fill="FAFAFA" w:val="clear"/>
          </w:tcPr>
          <w:p>
            <w:r>
              <w:rPr>
                <w:b/>
                <w:color w:val="C00000"/>
                <w:sz w:val="17"/>
              </w:rPr>
              <w:t>-1.9%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18,986</w:t>
            </w:r>
          </w:p>
        </w:tc>
        <w:tc>
          <w:tcPr>
            <w:tcW w:type="dxa" w:w="1440"/>
            <w:shd w:fill="FAFAFA" w:val="clear"/>
          </w:tcPr>
          <w:p>
            <w:r>
              <w:rPr>
                <w:b/>
                <w:sz w:val="17"/>
              </w:rPr>
              <w:t>21,368</w:t>
            </w:r>
          </w:p>
        </w:tc>
        <w:tc>
          <w:tcPr>
            <w:tcW w:type="dxa" w:w="1440"/>
            <w:shd w:fill="FAFAFA" w:val="clear"/>
          </w:tcPr>
          <w:p>
            <w:r>
              <w:rPr>
                <w:sz w:val="17"/>
              </w:rPr>
              <w:t>23,750</w:t>
            </w:r>
          </w:p>
        </w:tc>
        <w:tc>
          <w:tcPr>
            <w:tcW w:type="dxa" w:w="1440"/>
            <w:shd w:fill="FAFAFA"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18,836</w:t>
            </w:r>
          </w:p>
        </w:tc>
        <w:tc>
          <w:tcPr>
            <w:tcW w:type="dxa" w:w="1440"/>
            <w:shd w:fill="FFDCE0" w:val="clear"/>
          </w:tcPr>
          <w:p>
            <w:r>
              <w:rPr>
                <w:b/>
                <w:sz w:val="17"/>
              </w:rPr>
              <w:t>21,344</w:t>
            </w:r>
          </w:p>
        </w:tc>
        <w:tc>
          <w:tcPr>
            <w:tcW w:type="dxa" w:w="1440"/>
            <w:shd w:fill="FFDCE0" w:val="clear"/>
          </w:tcPr>
          <w:p>
            <w:r>
              <w:rPr>
                <w:sz w:val="17"/>
              </w:rPr>
              <w:t>23,852</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ORANGE CÔTE D'IVOIRE (ORAC)</w:t>
        <w:br/>
        <w:t>**Bourse Régionale des Valeurs Mobilières (BRVM) — Secteur :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**3 284,29 milliards FCFA**, ORAC s'impose comme la première capitalisation de la BRVM, représentant à elle seule plus du quart de la capitalisation totale du marché régional — un statut de valeur phare qui lui confère une liquidité et une visibilité exceptionnelles. Le BPA de **1 114 FCFA/action** signifie que chaque titre génère un bénéfice net de plus de mille francs, ce qui, rapporté au cours actuel de 21 800 FCFA, donne un **PER de 19,6x**. Ce multiple est nettement supérieur à la moyenne du marché BRVM (8-12x), traduisant une prime de qualité que les investisseurs acceptent de payer pour un leader télécom en croissance. Le **P/B de 4,64x** confirme cette valorisation exigeante : le marché valorise ORAC à près de cinq fois sa valeur comptable, ce qui est cohérent avec la forte rentabilité des fonds propres (ROE de 23,7%) mais laisse peu de marge d'erreur. Enfin, l'**EV/EBITDA de 7,8x** apparaît raisonnable dans la fourchette 5-10x, suggérant que la valeur d'entreprise reste soutenue par la capacité opérationnelle de génération de cash-flows.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affiche une performance remarquable de **+46,11%**, avec une dernière séance en hausse de **+1,40%**, confirmant la dynamique haussière en cours. Le titre a évolué dans un range large de **14 920 FCFA (plus bas) à 22 500 FCFA (plus haut)**, soit une amplitude de plus de 50%, ce qui témoigne d'un intérêt soutenu des investisseurs et d'une revalorisation progressive du titre vers ses plus hauts. La tendance générale est clairement **haussière**, le cours actuel de 21 800 FCFA se situant à seulement 3% de son plus haut historique récent. Les statistiques descriptives révèlent une **moyenne de 17 914 FCFA** supérieure à la **médiane de 16 725 FCFA**, avec un mode à 16 000 FCFA : cet écart indique une distribution asymétrique où les récentes poussées haussières tirent la moyenne vers le haut, tandis que la majorité des séances se sont négociées à des niveaux inférieurs. L'**écart-type de 2 480 FCFA (CV=13,8%)** traduit une dispersion modérée du cours autour de sa moyenne, cohérente avec un titre en tendance. Le **kurtosis de -1,175 (platykurtique)** signale une distribution aplatie avec un risque de pics extrêmes limité, tandis que le **skewness de +0,708** confirme une asymétrie positive — davantage de journées sous la moyenne, mais des hausses plus amples que les baisses. La **volatilité annualisée de 30,5%** positionne ORAC dans la catégorie des titres à volatilité modérée à élevée, typique des valeurs de croissance à forte capitalisation.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**21 705,75 FCFA** et la MM50 à **19 806,00 FCFA**, toutes deux inférieures au cours actuel de 21 800 FCFA, ce qui place le titre en position haussière sur les deux horizons. La MM20 étant supérieure à la MM50, la configuration est celle d'un croisement haussier (golden cross), signal d'achat classique. La décision technique **Achat** est donc justifiée par cette structure de moyennes mobiles ascendantes.</w:t>
      </w:r>
    </w:p>
    <w:p>
      <w:pPr>
        <w:spacing w:after="120" w:line="276" w:lineRule="auto"/>
      </w:pPr>
      <w:r>
        <w:t>**Bandes de Bollinger :** Le cours actuel (21 800 FCFA) se situe entre la borne inférieure (20 439,62 FCFA) et la borne supérieure (22 971,88 FCFA), plus proche de la borne haute, ce qui indique une pression acheteuse sans surachat extrême. L'écart entre les bornes (2 532 FCFA) reflète une volatilité modérée. La décision **Neutre** suggère que le titre n'est ni en zone de surachat ni de survente, laissant place à une poursuite de la tendance.</w:t>
      </w:r>
    </w:p>
    <w:p>
      <w:pPr>
        <w:spacing w:after="120" w:line="276" w:lineRule="auto"/>
      </w:pPr>
      <w:r>
        <w:t>**MACD :** La valeur du MACD (391,29) est inférieure à son signal (540,07), générant une divergence baissière qui justifie la décision **Vente**. Ce croisement à la baisse indique un essoufflement du momentum haussier à court terme, bien que le MACD reste en territoire positif, ce qui tempère la portée du signal.</w:t>
      </w:r>
    </w:p>
    <w:p>
      <w:pPr>
        <w:spacing w:after="120" w:line="276" w:lineRule="auto"/>
      </w:pPr>
      <w:r>
        <w:t>**RSI :** À **42,73**, le RSI se situe dans la zone neutre (30-70), sans signal de surachat ni de survente. La décision **Neutre** reflète un équilibre entre acheteurs et vendeurs, avec une légère prédominance baissière puisque le RSI est sous la barre des 50.</w:t>
      </w:r>
    </w:p>
    <w:p>
      <w:pPr>
        <w:spacing w:after="120" w:line="276" w:lineRule="auto"/>
      </w:pPr>
      <w:r>
        <w:t>**Stochastique :** Le %K (66,67) est supérieur au %D (61,98), indiquant un momentum haussier naissant, mais les deux courbes restent en zone neutre. La décision **Neutre** est justifiée par l'absence de signal clair de retournement ou de continuation.</w:t>
      </w:r>
    </w:p>
    <w:p>
      <w:pPr>
        <w:spacing w:after="120" w:line="276" w:lineRule="auto"/>
      </w:pPr>
      <w:r>
        <w:t>**Conclusion technique :** Les indicateurs présentent une **divergence notable** : les moyennes mobiles confirment une tendance haussière de fond, tandis que le MACD signale un essoufflement à court terme et que le RSI et le stochastique restent neutres. Cette configuration suggère une **phase de consolidation** possible avant une nouvelle impulsion, avec un support dynamique à surveiller autour de la MM20 (21 705 FCFA). La convergence des signaux reste fragile, appelant à la prudence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Orange Côte d'Ivoire a réalisé un chiffre d'affaires consolidé de **1 197,1 milliards FCFA**, en croissance de **+10,4%** par rapport à 2024. Le résultat net consolidé s'établit à **167,8 milliards FCFA** (+6,1%), tandis que le résultat net part du groupe atteint **129,1 milliards FCFA** (+14,5%). La rentabilité des fonds propres (**ROE de 23,7%**) demeure excellente, très supérieure au seuil de 15%, et la marge nette de **14,0%** témoigne d'une solide conversion du chiffre d'affaires en bénéfices. Le ROA de **6,57%** reflète l'intensité capitalistique du secteur télécom. En tant qu'entreprise non bancaire, les délais d'exploitation méritent attention : le **délai clients de 52,26 jours** est modéré, le **délai fournisseurs de 210,87 jours** est très favorable à la trésorerie, et la **durée de stockage de 19,64 jours** est faible. Le **BFR est négatif (-198 milliards FCFA)**, ce qui est un atout majeur : l'entreprise finance son cycle d'exploitation par ses fournisseurs plutôt que par son propre cash. L'autonomie financière de **27,7%** est légèrement inférieure au seuil de 30%, mais la capacité de remboursement (0,99 an) et la couverture des intérêts (1018%) sont excellentes.</w:t>
      </w:r>
    </w:p>
    <w:p>
      <w:pPr>
        <w:spacing w:after="120" w:line="276" w:lineRule="auto"/>
      </w:pPr>
      <w:r>
        <w:t>**Estimations basées sur les rapports trimestriels :** Le rapport du **T1 2026 (publié le 20 mai 2026)** révèle une accélération spectaculaire : chiffre d'affaires de **325,6 milliards FCFA (+14,8%)**, résultat net de **48,3 milliards FCFA (+25,2%)** et EBITDAaL de **114,2 milliards FCFA (+15,7%)**. Sur la base de ce rythme, on peut estimer que l'exercice 2026 devrait afficher une croissance du CA supérieure à 12%, avec un résultat net part du groupe potentiellement en hausse de 15-20%. Le rapport annuel 2025 (publié le 31 décembre 2025) confirme la solidité du modèle, avec un dividende brut proposé de **800 FCFA/action**, soit un rendement implicite de **3,7%** au cours actuel de 21 800 FCFA. Les risques identifiés incluent la pression fiscale et réglementaire, la concurrence accrue sur le mobile money, et l'exposition au risque pays (Burkina Faso, Liberia).</w:t>
      </w:r>
    </w:p>
    <w:p>
      <w:pPr>
        <w:spacing w:after="120" w:line="276" w:lineRule="auto"/>
      </w:pPr>
      <w:r>
        <w:t>**Recommandation fondamentale :** Les fondamentaux d'ORAC sont **excellents** : croissance à deux chiffres, rentabilité élevée, structure financière saine malgré un endettement modéré, et génération de cash-flows robuste (CAF de 340 milliards FCFA). Le principal point de vigilance réside dans la valorisation exigeante (PER 19,6x, P/B 4,64x) qui intègre déjà une grande partie de la croissance future. La dynamique du T1 2026 est très encourageante et suggère que la trajectoire de croissance se poursuit.</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**CONSERVER** avec un biais haussier. La **valorisation (Partie 0)** est exigeante (PER 19,6x vs moyenne BRVM 8-12x ; P/B 4,64x), ce qui limite le potentiel de revalorisation à court terme mais se justifie par la qualité des fondamentaux. Le **comportement du cours (Partie 1)** est haussier (+46,11% sur 100 jours) avec une volatilité modérée (30,5%) et des statistiques rassurantes (kurtosis négatif, skewness positif). Les **signaux techniques (Partie 2)** sont mitigés : les moyennes mobiles sont haussières, mais le MACD génère un signal de vente et le RSI/stochastique sont neutres, suggérant une consolidation imminente. Les **fondamentaux (Partie 3)** sont solides : croissance du CA de +10,4% en 2025, accélération à +14,8% au T1 2026, ROE de 23,7%, et dividende attractif de 800 FCFA/action. Les **prédictions IA (J+1 à J+10)** anticipent une légère baisse vers 21 442-21 546 FCFA, ce qui contredit la tendance haussière récente mais confirme la possibilité d'une consolidation technique. La convergence entre fondamentaux solides et technique neutre/baissière à court terme suggère une **prise de bénéfices partielle** ou un **renforcement progressif** sur repli. Recommandation finale : **CONSERVER**, avec un niveau de confiance **Moyen**, un risque global **Moyen**, et un horizon d'investissement **moyen terme (3-12 mois)**. Les investisseurs déjà positionnés peuvent conserver leurs titres en surveillant le support de la MM20 (21 705 FCFA) ; les nouveaux entrants attendront un repli vers 20 500-21 000 FCFA pour améliorer leur point d'entrée.</w:t>
      </w:r>
    </w:p>
    <w:p>
      <w:pPr>
        <w:spacing w:after="120" w:line="276" w:lineRule="auto"/>
      </w:pPr>
      <w:r>
        <w:t>---</w:t>
      </w:r>
    </w:p>
    <w:p>
      <w:pPr>
        <w:spacing w:after="120" w:line="276" w:lineRule="auto"/>
      </w:pPr>
      <w:r>
        <w:t>*Ce rapport est fourni à titre informatif et ne constitue pas un conseil en investissement. Les données sont issues des rapports officiels de la BRVM et des états financiers d'Orange Côte d'Ivoire.*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5,116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+17.65%</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μ=2,888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β=0.6611 (Défensif) — Cov=0.000046, Var(idx)=0.000069, ρ=0.228,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σ_j=2.44%/j (Stable) — Vol. annualisée≈38.7%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2,783</w:t>
            </w:r>
          </w:p>
        </w:tc>
        <w:tc>
          <w:tcPr>
            <w:tcW w:type="dxa" w:w="1440"/>
            <w:shd w:fill="FAFAFA" w:val="clear"/>
          </w:tcPr>
          <w:p>
            <w:r>
              <w:rPr>
                <w:b/>
                <w:sz w:val="17"/>
              </w:rPr>
              <w:t>2,962</w:t>
            </w:r>
          </w:p>
        </w:tc>
        <w:tc>
          <w:tcPr>
            <w:tcW w:type="dxa" w:w="1440"/>
            <w:shd w:fill="FAFAFA" w:val="clear"/>
          </w:tcPr>
          <w:p>
            <w:r>
              <w:rPr>
                <w:sz w:val="17"/>
              </w:rPr>
              <w:t>3,142</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2,739</w:t>
            </w:r>
          </w:p>
        </w:tc>
        <w:tc>
          <w:tcPr>
            <w:tcW w:type="dxa" w:w="1440"/>
            <w:shd w:fill="FAFAFA" w:val="clear"/>
          </w:tcPr>
          <w:p>
            <w:r>
              <w:rPr>
                <w:b/>
                <w:sz w:val="17"/>
              </w:rPr>
              <w:t>2,958</w:t>
            </w:r>
          </w:p>
        </w:tc>
        <w:tc>
          <w:tcPr>
            <w:tcW w:type="dxa" w:w="1440"/>
            <w:shd w:fill="FAFAFA" w:val="clear"/>
          </w:tcPr>
          <w:p>
            <w:r>
              <w:rPr>
                <w:sz w:val="17"/>
              </w:rPr>
              <w:t>3,178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2,701</w:t>
            </w:r>
          </w:p>
        </w:tc>
        <w:tc>
          <w:tcPr>
            <w:tcW w:type="dxa" w:w="1440"/>
            <w:shd w:fill="FAFAFA" w:val="clear"/>
          </w:tcPr>
          <w:p>
            <w:r>
              <w:rPr>
                <w:b/>
                <w:sz w:val="17"/>
              </w:rPr>
              <w:t>2,954</w:t>
            </w:r>
          </w:p>
        </w:tc>
        <w:tc>
          <w:tcPr>
            <w:tcW w:type="dxa" w:w="1440"/>
            <w:shd w:fill="FAFAFA" w:val="clear"/>
          </w:tcPr>
          <w:p>
            <w:r>
              <w:rPr>
                <w:sz w:val="17"/>
              </w:rPr>
              <w:t>3,207</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2,668</w:t>
            </w:r>
          </w:p>
        </w:tc>
        <w:tc>
          <w:tcPr>
            <w:tcW w:type="dxa" w:w="1440"/>
            <w:shd w:fill="FAFAFA" w:val="clear"/>
          </w:tcPr>
          <w:p>
            <w:r>
              <w:rPr>
                <w:b/>
                <w:sz w:val="17"/>
              </w:rPr>
              <w:t>2,950</w:t>
            </w:r>
          </w:p>
        </w:tc>
        <w:tc>
          <w:tcPr>
            <w:tcW w:type="dxa" w:w="1440"/>
            <w:shd w:fill="FAFAFA" w:val="clear"/>
          </w:tcPr>
          <w:p>
            <w:r>
              <w:rPr>
                <w:sz w:val="17"/>
              </w:rPr>
              <w:t>3,233</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2,638</w:t>
            </w:r>
          </w:p>
        </w:tc>
        <w:tc>
          <w:tcPr>
            <w:tcW w:type="dxa" w:w="1440"/>
            <w:shd w:fill="FAFAFA" w:val="clear"/>
          </w:tcPr>
          <w:p>
            <w:r>
              <w:rPr>
                <w:b/>
                <w:sz w:val="17"/>
              </w:rPr>
              <w:t>2,947</w:t>
            </w:r>
          </w:p>
        </w:tc>
        <w:tc>
          <w:tcPr>
            <w:tcW w:type="dxa" w:w="1440"/>
            <w:shd w:fill="FAFAFA" w:val="clear"/>
          </w:tcPr>
          <w:p>
            <w:r>
              <w:rPr>
                <w:sz w:val="17"/>
              </w:rPr>
              <w:t>3,256</w:t>
            </w:r>
          </w:p>
        </w:tc>
        <w:tc>
          <w:tcPr>
            <w:tcW w:type="dxa" w:w="1440"/>
            <w:shd w:fill="FAFAFA" w:val="clear"/>
          </w:tcPr>
          <w:p>
            <w:r>
              <w:rPr>
                <w:b/>
                <w:color w:val="C00000"/>
                <w:sz w:val="17"/>
              </w:rPr>
              <w:t>-1.8%</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2,610</w:t>
            </w:r>
          </w:p>
        </w:tc>
        <w:tc>
          <w:tcPr>
            <w:tcW w:type="dxa" w:w="1440"/>
            <w:shd w:fill="FAFAFA" w:val="clear"/>
          </w:tcPr>
          <w:p>
            <w:r>
              <w:rPr>
                <w:b/>
                <w:sz w:val="17"/>
              </w:rPr>
              <w:t>2,943</w:t>
            </w:r>
          </w:p>
        </w:tc>
        <w:tc>
          <w:tcPr>
            <w:tcW w:type="dxa" w:w="1440"/>
            <w:shd w:fill="FAFAFA" w:val="clear"/>
          </w:tcPr>
          <w:p>
            <w:r>
              <w:rPr>
                <w:sz w:val="17"/>
              </w:rPr>
              <w:t>3,276</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2,584</w:t>
            </w:r>
          </w:p>
        </w:tc>
        <w:tc>
          <w:tcPr>
            <w:tcW w:type="dxa" w:w="1440"/>
            <w:shd w:fill="FFDCE0" w:val="clear"/>
          </w:tcPr>
          <w:p>
            <w:r>
              <w:rPr>
                <w:b/>
                <w:sz w:val="17"/>
              </w:rPr>
              <w:t>2,939</w:t>
            </w:r>
          </w:p>
        </w:tc>
        <w:tc>
          <w:tcPr>
            <w:tcW w:type="dxa" w:w="1440"/>
            <w:shd w:fill="FFDCE0" w:val="clear"/>
          </w:tcPr>
          <w:p>
            <w:r>
              <w:rPr>
                <w:sz w:val="17"/>
              </w:rPr>
              <w:t>3,295</w:t>
            </w:r>
          </w:p>
        </w:tc>
        <w:tc>
          <w:tcPr>
            <w:tcW w:type="dxa" w:w="1440"/>
            <w:shd w:fill="FFDCE0"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2,559</w:t>
            </w:r>
          </w:p>
        </w:tc>
        <w:tc>
          <w:tcPr>
            <w:tcW w:type="dxa" w:w="1440"/>
            <w:shd w:fill="FFDCE0" w:val="clear"/>
          </w:tcPr>
          <w:p>
            <w:r>
              <w:rPr>
                <w:b/>
                <w:sz w:val="17"/>
              </w:rPr>
              <w:t>2,936</w:t>
            </w:r>
          </w:p>
        </w:tc>
        <w:tc>
          <w:tcPr>
            <w:tcW w:type="dxa" w:w="1440"/>
            <w:shd w:fill="FFDCE0" w:val="clear"/>
          </w:tcPr>
          <w:p>
            <w:r>
              <w:rPr>
                <w:sz w:val="17"/>
              </w:rPr>
              <w:t>3,313</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2,536</w:t>
            </w:r>
          </w:p>
        </w:tc>
        <w:tc>
          <w:tcPr>
            <w:tcW w:type="dxa" w:w="1440"/>
            <w:shd w:fill="FFDCE0" w:val="clear"/>
          </w:tcPr>
          <w:p>
            <w:r>
              <w:rPr>
                <w:b/>
                <w:sz w:val="17"/>
              </w:rPr>
              <w:t>2,933</w:t>
            </w:r>
          </w:p>
        </w:tc>
        <w:tc>
          <w:tcPr>
            <w:tcW w:type="dxa" w:w="1440"/>
            <w:shd w:fill="FFDCE0" w:val="clear"/>
          </w:tcPr>
          <w:p>
            <w:r>
              <w:rPr>
                <w:sz w:val="17"/>
              </w:rPr>
              <w:t>3,330</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208,25 milliards FCFA, ORGT se positionne comme une valeur de premier plan de la cote BRVM, représentant un pilier du compartiment bancaire régional. Le BPA de 312 FCFA/action signifie que chaque titre génère un bénéfice net de 312 FCFA, ce qui, rapporté au cours actuel de 3 000 FCFA, donne un PER de 9,6x — un niveau modéré et légèrement inférieur à la moyenne du marché BRVM (8-12x), suggérant une valorisation raisonnable voire une légère sous-évaluation au regard des bénéfices. Le ratio P/B de 1,84x indique que le marché valorise la banque à près du double de sa valeur comptable (capitaux propres de 113,165 Mds FCFA), ce qui reste dans une fourchette raisonnable (1-2x) traduisant une confiance modérée dans la qualité des actifs. En revanche, l'EV/EBITDA de 19,7x apparaît très exigeant (&gt;15x), signalant que la valeur d'entreprise intègre déjà une forte anticipation de croissance opérationnelle — un point de vigilance pour l'investisseur, car il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ORGT affiche une performance remarquable de +17,65%, portée par une dernière séance particulièrement dynamique (+3,45% en J-1), ce qui témoigne d'un regain d'intérêt des investisseurs pour le titre. Le cours a évolué dans un range significatif entre un plus bas de 2 435 FCFA et un plus haut de 3 400 FCFA, le cours actuel de 3 000 FCFA se situant dans la partie médiane-haute de cette fourchette, à environ 12% sous son sommet. La tendance générale est donc clairement haussière sur la période, bien que le titre semble marquer une pause après son rallye. Les statistiques descriptives révèlent une moyenne de 2 888 FCFA légèrement supérieure à la médiane de 2 790 FCFA, avec un mode à 2 680 FCFA — cet écart modéré entre moyenne et médiane, couplé à un skewness de 0,300 (distribution symétrique), indique une progression relativement équilibrée sans excès directionnel marqué. L'écart-type de 247 FCFA (CV = 8,5%) traduit une dispersion modérée du cours autour de sa moyenne, tandis que le kurtosis négatif (-1,210, distribution platykurtique) signale une faible concentration des variations et un risque de pics de volatilité limité — un profil rassurant pour la gestion du risque. Enfin, la volatilité annualisée de 38,7% classe ORGT dans la catégorie des titres à volatilité élevée (&gt;30%), ce qui est cohérent avec son statut de valeur bancaire en phase de redressement et impose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3 146,5 FCFA et la MM50 à 3 090,0 FCFA, toutes deux supérieures au cours actuel de 3 000 FCFA. Cette configuration — cours sous ses moyennes mobiles — traduit une pression baissière de court terme, bien que la MM20 reste au-dessus de la MM50 (croisement haussier de fond). La décision technique affichée est "Achat", suggérant que le repli actuel pourrait constituer une opportunité d'entrée dans une tendance de fond haussière.</w:t>
      </w:r>
    </w:p>
    <w:p>
      <w:pPr>
        <w:spacing w:after="120" w:line="276" w:lineRule="auto"/>
      </w:pPr>
      <w:r>
        <w:t>**Bandes de Bollinger** : Les bornes supérieure et inférieure se situent respectivement à 3 505,04 FCFA et 2 787,96 FCFA, avec un cours actuel de 3 000 FCFA positionné dans la moitié basse du canal. Cette position médiane-basse, combinée à une largeur de bande importante (717 FCFA), indique une volatilité élevée sans signal de survente extrême. La décision "Neutre" reflète l'absence de signal directionnel fort, le cours évoluant sans tension particulière vers les bornes.</w:t>
      </w:r>
    </w:p>
    <w:p>
      <w:pPr>
        <w:spacing w:after="120" w:line="276" w:lineRule="auto"/>
      </w:pPr>
      <w:r>
        <w:t>**MACD** : La valeur du MACD (-49,031) est nettement inférieure à son signal (-19,234), générant un histogramme négatif et une décision "Vente". Cette divergence baissière signale un momentum négatif persistant, bien que l'ampleur de l'écart suggère que la pression vendeuse pourrait s'atténuer prochainement. Ce signal contredit partiellement la tendance haussière de fond observée sur 100 jours.</w:t>
      </w:r>
    </w:p>
    <w:p>
      <w:pPr>
        <w:spacing w:after="120" w:line="276" w:lineRule="auto"/>
      </w:pPr>
      <w:r>
        <w:t>**RSI** : À 40,889, le RSI se situe dans la zone neutre (30-70), plus proche de la zone de survente que de la surachat. Cette valeur indique que le titre n'est ni suracheté ni survendu, avec une légère prédominance baissière. La décision "Neutre" confirme l'absence de signal extrême, laissant place à une possible reprise si le RSI franchit la barre des 50.</w:t>
      </w:r>
    </w:p>
    <w:p>
      <w:pPr>
        <w:spacing w:after="120" w:line="276" w:lineRule="auto"/>
      </w:pPr>
      <w:r>
        <w:t>**Stochastique** : Le %K (40,404) est supérieur au %D (33,535), suggérant un début de croisement haussier potentiel, bien que les deux indicateurs restent en zone basse. La décision "Neutre" reflète cette configuration ambiguë : le momentum baissier s'essouffle mais n'a pas encore cédé la place à un signal d'achat confirmé.</w:t>
      </w:r>
    </w:p>
    <w:p>
      <w:pPr>
        <w:spacing w:after="120" w:line="276" w:lineRule="auto"/>
      </w:pPr>
      <w:r>
        <w:t>**Conclusion technique** : Les indicateurs techniques présentent un tableau mitigé. Les moyennes mobiles plaident pour un achat sur repli, tandis que le MACD émet un signal de vente et que le RSI et le stochastique restent neutres. Le cours, positionné sous ses moyennes mobiles mais au-dessus de la borne inférieure de Bollinger, se trouve dans une zone de consolidation où la prudence est de mise. Une cassure au-dessus de 3 146 FCFA (MM20) serait nécessaire pour confirmer la reprise de la tendance haussière, tandis qu'une rupture sous 2 788 FCFA (borne inférieure) signalerait une aggravation baissière.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de l'exercice 2025 (états financiers annuels) dressent le portrait d'une banque en plein redressement. Le Produit Net Bancaire (PNB), équivalent du chiffre d'affaires pour une banque, s'établit à 186,609 Mds FCFA en 2025, en recul de -4,52% par rapport à 2024 (195,436 Mds FCFA), reflétant une contraction volontaire de l'activité de crédit (-12% du portefeuille) dans le cadre d'une stratégie de sélectivité accrue. Le résultat net consolidé atteint 21,643 Mds FCFA, marquant un retournement spectaculaire après la perte de -44,363 Mds FCFA en 2024, soit une amélioration de +149%. Cette performance est portée par une réduction drastique du coût net du risque (-90%, passant de -69,056 Mds à -6,971 Mds FCFA) et une baisse des frais généraux de -12%. Les ratios de rentabilité sont solides : le ROE s'élève à 19,13% (&gt;15% = excellent), le ROA à 0,54%, et la marge nette à 11,60%. Le coefficient d'exploitation de 42,85% (&lt;60% = banque efficace, &lt;50% = excellente) témoigne d'une gestion rigoureuse des coûts. La structure bilancielle reste toutefois déséquilibrée : l'autonomie financière n'est que de 2,82% (capitaux propres/total bilan), bien que les capitaux propres se soient renforcés à 113,165 Mds FCFA (+17%). Les dépôts clientèle (3 088,698 Mds FCFA) couvrent largement les créances clientèle (1 523,765 Mds FCFA), avec un ratio de transformation de 49,3%, indiquant une surliquidité et une sous-utilisation des dépôts. Le coût du risque/charges financières de 3,74% reste modéré mais à surveiller.</w:t>
      </w:r>
    </w:p>
    <w:p>
      <w:pPr>
        <w:spacing w:after="120" w:line="276" w:lineRule="auto"/>
      </w:pPr>
      <w:r>
        <w:t>Les rapports trimestriels confirment la dynamique positive. Le rapport T1 2026 (publié en 2026) fait état d'un PNB de 50,124 Mds FCFA (-2%) mais d'un résultat net de 6,555 Mds FCFA (+37%), avec des dépôts clientèle en hausse de +14% à 3 343,025 Mds FCFA et des crédits nets en recul de -12% à 1 433,787 Mds FCFA. Sur cette base, on estime que l'exercice 2026 devrait consolider le redressement, avec un résultat net annualisé potentiellement supérieur à 25 Mds FCFA si la tendance se maintient. Le rapport 2025 (publié en 2025) souligne que le groupe a opéré un changement de paradigme, passant d'une logique de croissance du bilan à une priorité absolue sur la qualité des actifs et la maîtrise des coûts. Le rapport du T3 2025 (daté du 30 septembre 2025) confirme cette trajectoire avec un résultat net de 19,604 Mds FCFA (+248%) et une marge nette de 12,8%. La principale faiblesse réside dans la baisse du PNB, qui devra être inversée pour assurer une croissance durable. La recommandation fondamentale est de **CONSERVER** : la solidité du redressement et la qualité du bilan sont indéniables, mais l'absence de dividende (confirmée par l'avis de convocation à l'AG du 23 juillet 2026) et la contraction du PNB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le plan de la **valorisation (Partie 0)**, le PER de 9,6x et le P/B de 1,84x suggèrent une valorisation raisonnable, voire légèrement sous-évaluée, mais l'EV/EBITDA de 19,7x tempère cet optimisme en intégrant déjà une forte anticipation de croissance. Le **comportement du cours (Partie 1)** est haussier sur 100 jours (+17,65%) avec une volatilité élevée (38,7%) et une distribution symétrique (skewness 0,300) sans risque de pics extrêmes (kurtosis -1,210), ce qui est globalement favorable mais nécessite une gestion active du risque. Les **signaux techniques (Partie 2)** sont divergents : les moyennes mobiles plaident pour l'achat, mais le MACD est baissier et le RSI/stochastique sont neutres, créant une incertitude directionnelle de court terme. Les **fondamentaux (Partie 3)** sont solides : retour à la rentabilité en 2025 (résultat net de 21,643 Mds FCFA), ROE de 19,13%, coefficient d'exploitation de 42,85%, et confirmation de la dynamique au T1 2026 (résultat net +37%). Les **prédictions IA (J+1 à J+10)** anticipent une légère érosion du cours vers 2 947 FCFA d'ici le 9 octobre 2026, ce qui contredit la tendance haussière de fond mais s'aligne sur le signal baissier du MACD.</w:t>
      </w:r>
    </w:p>
    <w:p>
      <w:pPr>
        <w:spacing w:after="120" w:line="276" w:lineRule="auto"/>
      </w:pPr>
      <w:r>
        <w:t>Sur la base de cette synthèse, la recommandation finale est **CONSERVER**. La convergence entre une valorisation raisonnable, des fondamentaux en nette amélioration et une tendance de fond haussière est contrebalancée par des signaux techniques baissiers à court terme et des prédictions IA légèrement négatives. Le niveau de confiance est **Moyen**, car si le redressement fondamental est indéniable, la visibilité sur la reprise du PNB reste limitée. Le niveau de risque global est **Moyen à Élevé**, en raison de la volatilité du titre (38,7%) et de la dépendance du redressement à la maîtrise du coût du risque. L'horizon d'investissement optimal est le **moyen terme (3-12 mois)**, le temps que la dynamique commerciale se confirme et que les indicateurs techniques se réalignent avec les fondamentaux. Un investisseur déjà positionné pourra conserver ses titres en surveillant le niveau de 2 788 FCFA (borne inférieure de Bollinger) comme seuil de vigilance, tandis qu'un nouvel entrant attendra une confirmation technique (cassure de la MM20 à 3 146 FCFA) avant d'initier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3,937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+6.41%</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5.62% (Moyenne) — μ=8,613 FCFA, σ=484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β=0.0575 (Défensif) — Cov=0.000004, Var(idx)=0.000069, ρ=0.023,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7,845</w:t>
            </w:r>
          </w:p>
        </w:tc>
        <w:tc>
          <w:tcPr>
            <w:tcW w:type="dxa" w:w="1440"/>
            <w:shd w:fill="FAFAFA" w:val="clear"/>
          </w:tcPr>
          <w:p>
            <w:r>
              <w:rPr>
                <w:b/>
                <w:sz w:val="17"/>
              </w:rPr>
              <w:t>8,151</w:t>
            </w:r>
          </w:p>
        </w:tc>
        <w:tc>
          <w:tcPr>
            <w:tcW w:type="dxa" w:w="1440"/>
            <w:shd w:fill="FAFAFA" w:val="clear"/>
          </w:tcPr>
          <w:p>
            <w:r>
              <w:rPr>
                <w:sz w:val="17"/>
              </w:rPr>
              <w:t>8,456</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7,728</w:t>
            </w:r>
          </w:p>
        </w:tc>
        <w:tc>
          <w:tcPr>
            <w:tcW w:type="dxa" w:w="1440"/>
            <w:shd w:fill="FFDCE0" w:val="clear"/>
          </w:tcPr>
          <w:p>
            <w:r>
              <w:rPr>
                <w:b/>
                <w:sz w:val="17"/>
              </w:rPr>
              <w:t>8,100</w:t>
            </w:r>
          </w:p>
        </w:tc>
        <w:tc>
          <w:tcPr>
            <w:tcW w:type="dxa" w:w="1440"/>
            <w:shd w:fill="FFDCE0" w:val="clear"/>
          </w:tcPr>
          <w:p>
            <w:r>
              <w:rPr>
                <w:sz w:val="17"/>
              </w:rPr>
              <w:t>8,472</w:t>
            </w:r>
          </w:p>
        </w:tc>
        <w:tc>
          <w:tcPr>
            <w:tcW w:type="dxa" w:w="1440"/>
            <w:shd w:fill="FFDCE0" w:val="clear"/>
          </w:tcPr>
          <w:p>
            <w:r>
              <w:rPr>
                <w:b/>
                <w:color w:val="C00000"/>
                <w:sz w:val="17"/>
              </w:rPr>
              <w:t>-2.4%</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7,624</w:t>
            </w:r>
          </w:p>
        </w:tc>
        <w:tc>
          <w:tcPr>
            <w:tcW w:type="dxa" w:w="1440"/>
            <w:shd w:fill="FFDCE0" w:val="clear"/>
          </w:tcPr>
          <w:p>
            <w:r>
              <w:rPr>
                <w:b/>
                <w:sz w:val="17"/>
              </w:rPr>
              <w:t>8,051</w:t>
            </w:r>
          </w:p>
        </w:tc>
        <w:tc>
          <w:tcPr>
            <w:tcW w:type="dxa" w:w="1440"/>
            <w:shd w:fill="FFDCE0" w:val="clear"/>
          </w:tcPr>
          <w:p>
            <w:r>
              <w:rPr>
                <w:sz w:val="17"/>
              </w:rPr>
              <w:t>8,478</w:t>
            </w:r>
          </w:p>
        </w:tc>
        <w:tc>
          <w:tcPr>
            <w:tcW w:type="dxa" w:w="1440"/>
            <w:shd w:fill="FFDCE0" w:val="clear"/>
          </w:tcPr>
          <w:p>
            <w:r>
              <w:rPr>
                <w:b/>
                <w:color w:val="C00000"/>
                <w:sz w:val="17"/>
              </w:rPr>
              <w:t>-3.0%</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7,531</w:t>
            </w:r>
          </w:p>
        </w:tc>
        <w:tc>
          <w:tcPr>
            <w:tcW w:type="dxa" w:w="1440"/>
            <w:shd w:fill="FFDCE0" w:val="clear"/>
          </w:tcPr>
          <w:p>
            <w:r>
              <w:rPr>
                <w:b/>
                <w:sz w:val="17"/>
              </w:rPr>
              <w:t>8,005</w:t>
            </w:r>
          </w:p>
        </w:tc>
        <w:tc>
          <w:tcPr>
            <w:tcW w:type="dxa" w:w="1440"/>
            <w:shd w:fill="FFDCE0" w:val="clear"/>
          </w:tcPr>
          <w:p>
            <w:r>
              <w:rPr>
                <w:sz w:val="17"/>
              </w:rPr>
              <w:t>8,480</w:t>
            </w:r>
          </w:p>
        </w:tc>
        <w:tc>
          <w:tcPr>
            <w:tcW w:type="dxa" w:w="1440"/>
            <w:shd w:fill="FFDCE0" w:val="clear"/>
          </w:tcPr>
          <w:p>
            <w:r>
              <w:rPr>
                <w:b/>
                <w:color w:val="C00000"/>
                <w:sz w:val="17"/>
              </w:rPr>
              <w:t>-3.6%</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7,444</w:t>
            </w:r>
          </w:p>
        </w:tc>
        <w:tc>
          <w:tcPr>
            <w:tcW w:type="dxa" w:w="1440"/>
            <w:shd w:fill="FFDCE0" w:val="clear"/>
          </w:tcPr>
          <w:p>
            <w:r>
              <w:rPr>
                <w:b/>
                <w:sz w:val="17"/>
              </w:rPr>
              <w:t>7,961</w:t>
            </w:r>
          </w:p>
        </w:tc>
        <w:tc>
          <w:tcPr>
            <w:tcW w:type="dxa" w:w="1440"/>
            <w:shd w:fill="FFDCE0" w:val="clear"/>
          </w:tcPr>
          <w:p>
            <w:r>
              <w:rPr>
                <w:sz w:val="17"/>
              </w:rPr>
              <w:t>8,478</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7,364</w:t>
            </w:r>
          </w:p>
        </w:tc>
        <w:tc>
          <w:tcPr>
            <w:tcW w:type="dxa" w:w="1440"/>
            <w:shd w:fill="FFDCE0" w:val="clear"/>
          </w:tcPr>
          <w:p>
            <w:r>
              <w:rPr>
                <w:b/>
                <w:sz w:val="17"/>
              </w:rPr>
              <w:t>7,919</w:t>
            </w:r>
          </w:p>
        </w:tc>
        <w:tc>
          <w:tcPr>
            <w:tcW w:type="dxa" w:w="1440"/>
            <w:shd w:fill="FFDCE0" w:val="clear"/>
          </w:tcPr>
          <w:p>
            <w:r>
              <w:rPr>
                <w:sz w:val="17"/>
              </w:rPr>
              <w:t>8,475</w:t>
            </w:r>
          </w:p>
        </w:tc>
        <w:tc>
          <w:tcPr>
            <w:tcW w:type="dxa" w:w="1440"/>
            <w:shd w:fill="FFDCE0" w:val="clear"/>
          </w:tcPr>
          <w:p>
            <w:r>
              <w:rPr>
                <w:b/>
                <w:color w:val="C00000"/>
                <w:sz w:val="17"/>
              </w:rPr>
              <w:t>-4.6%</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7,288</w:t>
            </w:r>
          </w:p>
        </w:tc>
        <w:tc>
          <w:tcPr>
            <w:tcW w:type="dxa" w:w="1440"/>
            <w:shd w:fill="FFDCE0" w:val="clear"/>
          </w:tcPr>
          <w:p>
            <w:r>
              <w:rPr>
                <w:b/>
                <w:sz w:val="17"/>
              </w:rPr>
              <w:t>7,879</w:t>
            </w:r>
          </w:p>
        </w:tc>
        <w:tc>
          <w:tcPr>
            <w:tcW w:type="dxa" w:w="1440"/>
            <w:shd w:fill="FFDCE0" w:val="clear"/>
          </w:tcPr>
          <w:p>
            <w:r>
              <w:rPr>
                <w:sz w:val="17"/>
              </w:rPr>
              <w:t>8,470</w:t>
            </w:r>
          </w:p>
        </w:tc>
        <w:tc>
          <w:tcPr>
            <w:tcW w:type="dxa" w:w="1440"/>
            <w:shd w:fill="FFDCE0" w:val="clear"/>
          </w:tcPr>
          <w:p>
            <w:r>
              <w:rPr>
                <w:b/>
                <w:color w:val="C00000"/>
                <w:sz w:val="17"/>
              </w:rPr>
              <w:t>-5.1%</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7,217</w:t>
            </w:r>
          </w:p>
        </w:tc>
        <w:tc>
          <w:tcPr>
            <w:tcW w:type="dxa" w:w="1440"/>
            <w:shd w:fill="FFDCE0" w:val="clear"/>
          </w:tcPr>
          <w:p>
            <w:r>
              <w:rPr>
                <w:b/>
                <w:sz w:val="17"/>
              </w:rPr>
              <w:t>7,840</w:t>
            </w:r>
          </w:p>
        </w:tc>
        <w:tc>
          <w:tcPr>
            <w:tcW w:type="dxa" w:w="1440"/>
            <w:shd w:fill="FFDCE0" w:val="clear"/>
          </w:tcPr>
          <w:p>
            <w:r>
              <w:rPr>
                <w:sz w:val="17"/>
              </w:rPr>
              <w:t>8,464</w:t>
            </w:r>
          </w:p>
        </w:tc>
        <w:tc>
          <w:tcPr>
            <w:tcW w:type="dxa" w:w="1440"/>
            <w:shd w:fill="FFDCE0" w:val="clear"/>
          </w:tcPr>
          <w:p>
            <w:r>
              <w:rPr>
                <w:b/>
                <w:color w:val="C00000"/>
                <w:sz w:val="17"/>
              </w:rPr>
              <w:t>-5.5%</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7,149</w:t>
            </w:r>
          </w:p>
        </w:tc>
        <w:tc>
          <w:tcPr>
            <w:tcW w:type="dxa" w:w="1440"/>
            <w:shd w:fill="FFDCE0" w:val="clear"/>
          </w:tcPr>
          <w:p>
            <w:r>
              <w:rPr>
                <w:b/>
                <w:sz w:val="17"/>
              </w:rPr>
              <w:t>7,804</w:t>
            </w:r>
          </w:p>
        </w:tc>
        <w:tc>
          <w:tcPr>
            <w:tcW w:type="dxa" w:w="1440"/>
            <w:shd w:fill="FFDCE0" w:val="clear"/>
          </w:tcPr>
          <w:p>
            <w:r>
              <w:rPr>
                <w:sz w:val="17"/>
              </w:rPr>
              <w:t>8,458</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128,31 milliards FCFA, PALC se positionne comme une valeur de premier plan de la cote BRVM, représentant un acteur agro-industriel majeur de la zone UEMOA. Le BPA de 1 003 FCFA/action signifie que chaque titre génère environ 1 003 FCFA de bénéfice net, ce qui, rapporté au cours actuel de 8 300 FCFA, offre un rendement bénéficiaire implicite de 12,1 %. Le PER de 8,3x se situe dans la fourchette basse de la moyenne BRVM (8-12x), suggérant que le marché ne paie pas cher pour les bénéfices de la société, voire sous-évalue légèrement le titre. Le P/B de 0,90x est particulièrement notable : le marché valorise PALC en dessous de sa valeur comptable (capitaux propres de 142,6 Mds FCFA pour une capitalisation de 128,3 Mds FCFA), ce qui constitue historiquement un signal d'opportunité potentielle. Enfin, l'EV/EBITDA de 4,0x, très inférieur au seuil de 5x, indique que la valeur d'entreprise (incluant une dette financière quasi nulle de 796,6 M FCFA) est très bon marché par rapport à la capacité opérationnelle de génération de cash (EBE de 33,0 Mds FCFA). L'ensemble de ces ratios dessine un profil de valorisation attractif, bien que le contexte de dégradation récente des résultats (T1 2026) invite à la prudence.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progressé de +6,41 %, clôturant à 8 300 FCFA après une légère hausse de +0,12 % lors de la dernière séance. Le titre a évolué dans un range de 1 960 FCFA, entre un plus bas de 7 680 FCFA et un plus haut de 9 640 FCFA, ce qui traduit une tendance globalement haussière mais avec une correction récente depuis les sommets. La moyenne (8 613 FCFA) est légèrement inférieure à la médiane (8 690 FCFA), suggérant une asymétrie négative modérée — les baisses récentes tirent la moyenne vers le bas — confirmée par un skewness de -0,220 indiquant une distribution quasi symétrique avec une légère queue à gauche. L'écart-type de 487 FCFA et le coefficient de variation de 5,7 % révèlent une dispersion modérée du cours autour de sa moyenne, tandis que le kurtosis de -0,422 (mésokurtique) indique une distribution proche de la normale, sans risque excessif de pics extrêmes. La volatilité annualisée de 31,9 % classe le titre dans la catégorie des valeurs à volatilité élevée (&gt;30 %), ce qui est cohérent avec la sensibilité de PALC aux cours mondiaux de l'huile de palme. Le volume moyen de 3 937 titres/jour reste modeste, reflétant une liquidité limitée typique de nombreuses valeurs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(8 300 FCFA) se situe en dessous de la MM20 (8 393,25 FCFA) et de la MM50 (8 824,0 FCFA), confirmant une configuration baissière de court et moyen terme. La MM20 étant elle-même inférieure à la MM50, le croisement des moyennes est défavorable, justifiant la décision de **Vente** émise par cet indicateur.</w:t>
      </w:r>
    </w:p>
    <w:p>
      <w:pPr>
        <w:spacing w:after="120" w:line="276" w:lineRule="auto"/>
      </w:pPr>
      <w:r>
        <w:t>**Bandes de Bollinger** : Le cours (8 300 FCFA) évolue dans la partie basse de la bande, entre la borne inférieure (7 913,73 FCFA) et la borne supérieure (8 872,77 FCFA). La largeur des bandes reflète une volatilité modérée, et la position du cours légèrement sous la moyenne mobile centrale (non fournie mais proche de 8 393 FCFA) suggère une pression baissière sans survente extrême. La décision est **Neutre**, le cours n'ayant pas atteint la borne inférieure qui constituerait un signal d'achat technique.</w:t>
      </w:r>
    </w:p>
    <w:p>
      <w:pPr>
        <w:spacing w:after="120" w:line="276" w:lineRule="auto"/>
      </w:pPr>
      <w:r>
        <w:t>**MACD** : La valeur du MACD (-193,782) est supérieure à son signal (-200,219), générant un croisement haussier (MACD &gt; Signal) bien que les deux restent en territoire négatif. Ce différentiel positif indique un début d'amélioration du momentum baissier, justifiant la décision d'**Achat** — le momentum négatif s'atténue et un retournement pourrait se dessiner.</w:t>
      </w:r>
    </w:p>
    <w:p>
      <w:pPr>
        <w:spacing w:after="120" w:line="276" w:lineRule="auto"/>
      </w:pPr>
      <w:r>
        <w:t>**RSI** : À 50,0, le RSI se situe exactement à mi-chemin entre surachat (&gt;70) et survente (&lt;30), traduisant un équilibre parfait entre acheteurs et vendeurs. Aucun signal directionnel fort n'émerge, la décision est **Neutre**, le titre n'étant ni surévalué ni sous-évalué techniquement à court terme.</w:t>
      </w:r>
    </w:p>
    <w:p>
      <w:pPr>
        <w:spacing w:after="120" w:line="276" w:lineRule="auto"/>
      </w:pPr>
      <w:r>
        <w:t>**Stochastique** : Le %K (44,954) est légèrement supérieur au %D (41,284), suggérant un début de croisement haussier en zone neutre (ni surachat ni survente). Ce signal précoce reste fragile, la décision est **Neutre**, le stochastique n'ayant pas encore confirmé de retournement durable.</w:t>
      </w:r>
    </w:p>
    <w:p>
      <w:pPr>
        <w:spacing w:after="120" w:line="276" w:lineRule="auto"/>
      </w:pPr>
      <w:r>
        <w:t>**Conclusion technique** : Les indicateurs techniques présentent un tableau mitigé. Les moyennes mobiles sont baissières (Vente), les Bandes de Bollinger et le RSI sont neutres, mais le MACD génère un signal d'achat précoce et le stochastique amorce un croisement haussier. Cette divergence suggère que la pression baissière s'atténue sans pour autant qu'un retournement confirmé ne soit enclenché. Le titre se trouve dans une zone de consolidation, avec un support technique majeur à 7 913 FCFA (borne inférieure de Bollinger) et une résistance à 8 393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PALC a réalisé un chiffre d'affaires de 197,630 Mds FCFA, en croissance de +14,78 % par rapport à 2024 (172,2 Mds FCFA), portée par la hausse des volumes et des prix de l'huile de palme. Le résultat net s'établit à 15,509 Mds FCFA, en léger recul de -2,2 % vs 2024 (15,9 Mds FCFA), sous l'effet de la pression sur les coûts (charges de personnel +4 %, services extérieurs +30,3 %). La marge nette se contracte à 7,85 % (vs 9,2 % en 2024), tandis que le ROE de 10,87 % et le ROA de 7,79 % restent corrects mais en deçà du seuil d'excellence de 15 % pour le ROE. La structure financière demeure très solide : autonomie financière de 71,64 %, endettement quasi nul (dette financière de 796,6 M FCFA, ratio d'endettement de 0,56 %), et liquidité générale de 171,95 %. Le BFR de 44,623 Mds FCFA est positif (défavorable), tiré par des créances clients élevées (78,27 Mds FCFA) correspondant à un délai client de 142,58 jours — un point de vigilance pour la trésorerie. La trésorerie nette est négative à -4,559 Mds FCFA, et le free cash flow de 19,053 Mds FCFA reste solide malgré des investissements lourds (-19,687 Mds FCFA).</w:t>
      </w:r>
    </w:p>
    <w:p>
      <w:pPr>
        <w:spacing w:after="120" w:line="276" w:lineRule="auto"/>
      </w:pPr>
      <w:r>
        <w:t>**Estimations basées sur les rapports trimestriels** : Le rapport T1 2026 (publié en 2026) révèle une dégradation brutale : le CA chute de -27 % à 49,4 Mds FCFA (vs 67,5 Mds FCFA au T1 2025) et le résultat net s'effondre de -86 % à 1,6 Md FCFA (vs 11,6 Mds FCFA). La direction évoque un simple décalage temporel des ventes, avec un redressement attendu grâce à l'écoulement des stocks à l'export. Le rapport S1 2025 (daté du 30/06/2025) montrait au contraire une dynamique exceptionnelle : CA de 134,8 Mds FCFA (+25 %) et résultat net de 22,9 Mds FCFA (+37 %), avec une marge nette de 17 %. Le T3 2025 (30/09/2025) confirmait cette tendance avec un CA de 168,9 Mds FCFA (+18 %) et un résultat net de 18,0 Mds FCFA (+11 %). L'exercice 2025 s'est finalement clos sur un résultat net de 15,5 Mds FCFA, inférieur aux attentes initiales, en raison d'un T4 2025 très faible. Pour 2026, si le décalage des ventes se confirme, on pourrait estimer un résultat net annuel entre 8 et 12 Mds FCFA, soit un BPA de 390 à 590 FCFA, ce qui ramènerait le PER à 14-21x — nettement moins attractif. Le dividende proposé pour 2025 est de 502 FCFA/action (vs 620 FCFA en 2024), soit un rendement de 6,0 % au cours actuel de 8 300 FCFA.</w:t>
      </w:r>
    </w:p>
    <w:p>
      <w:pPr>
        <w:spacing w:after="120" w:line="276" w:lineRule="auto"/>
      </w:pPr>
      <w:r>
        <w:t>**Recommandation fondamentale** : PALC reste un acteur solide avec une structure financière exceptionnelle (quasi-absence de dette, capitaux propres élevés) et une position dominante sur le marché ouest-africain de l'huile de palme. Cependant, la dégradation récente des résultats (T1 2026) et la volatilité des cours des matières premières constituent des risques majeurs. La valorisation actuelle (PER 8,3x, P/B 0,90x) intègre déjà une partie de ces difficultés, mais le titre pourrait rester sous pression tant que la visibilité sur l'exercice 2026 ne s'améliore pas.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(Partie 0) présente des signaux clairement attractifs : PER de 8,3x inférieur à la moyenne BRVM, P/B de 0,90x sous la valeur comptable, et EV/EBITDA de 4,0x très bon marché. Le comportement du cours (Partie 1) est mitigé : tendance haussière sur 100 jours (+6,41 %) mais correction récente depuis les sommets, avec une volatilité élevée (31,9 %) et une distribution quasi symétrique (skewness -0,22, kurtosis -0,42) n'indiquant pas de risque extrême. Les signaux techniques (Partie 2) sont divergents : les moyennes mobiles sont baissières (Vente), mais le MACD génère un signal d'achat précoce et le stochastique amorce un croisement haussier, tandis que le RSI et les Bandes de Bollinger sont neutres — cette configuration suggère une phase de consolidation avant un éventuel retournement. Les fondamentaux (Partie 3) révèlent une dégradation préoccupante : après un exercice 2025 mitigé (CA +14,8 %, résultat net -2,2 %), le T1 2026 montre un effondrement du résultat net (-86 %), même si la direction évoque un décalage temporel. Les prédictions IA (J+1 à J+10) anticipent une poursuite de la baisse jusqu'à 7 961 FCFA, confirmant la pression baissière de court terme. **Synthèse** : La convergence entre la valorisation attractive (sous-évaluation potentielle) et la dégradation fondamentale récente crée un profil risk/reward équilibré. La recommandation finale est **CONSERVER** avec un niveau de confiance **Moyen** et un risque global **Élevé**. Les investisseurs déjà positionnés peuvent maintenir leur exposition en surveillant les prochains rapports trimestriels (notamment le T2 2026 qui confirmera ou infirmera la thèse du décalage temporel), tandis que les nouveaux entrants devraient attendre une stabilisation des résultats ou un retournement technique confirmé (cours &gt; MM20 à 8 393 FCFA). L'horizon d'investissement optimal est **moyen terme (3-12 mois)**, le temps que la visibilité sur l'exercice 2026 s'améliore et que les cours de l'huile de palme se stabilisent. Un retour à un résultat net annuel de 15 Mds FCFA (BPA de 735 FCFA) justifierait un cours cible de 9 000-10 000 FCFA (PER 12-14x), soit un potentiel de +8 à +20 %. À l'inverse, une confirmation de la dégradation (résultat net &lt; 8 Mds FCFA) pourrait ramener le titre vers 6 500-7 000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39.99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1,132 titres</w:t>
            </w:r>
          </w:p>
        </w:tc>
        <w:tc>
          <w:tcPr>
            <w:tcW w:type="dxa" w:w="2268"/>
            <w:shd w:fill="FFF2CC" w:val="clear"/>
          </w:tcPr>
          <w:p>
            <w:r>
              <w:rPr>
                <w:b/>
                <w:color w:val="503200"/>
                <w:sz w:val="16"/>
              </w:rPr>
              <w:t xml:space="preserve">Cours actuel : </w:t>
            </w:r>
            <w:r>
              <w:rPr>
                <w:color w:val="000000"/>
                <w:sz w:val="17"/>
              </w:rPr>
              <w:t>3,905 FCFA</w:t>
            </w:r>
          </w:p>
          <w:p>
            <w:r>
              <w:rPr>
                <w:b/>
                <w:color w:val="503200"/>
                <w:sz w:val="16"/>
              </w:rPr>
              <w:t xml:space="preserve">Var. 100 jours : </w:t>
            </w:r>
            <w:r>
              <w:rPr>
                <w:b/>
                <w:color w:val="007800"/>
                <w:sz w:val="17"/>
              </w:rPr>
              <w:t>+5.68%</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37.3%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5.99% (Moyenne) — μ=4,346 FCFA, σ=260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β=-0.3112 (Contre-cyclique) — Cov=-0.000021, Var(idx)=0.000069, ρ=-0.114,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1,132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3,756</w:t>
            </w:r>
          </w:p>
        </w:tc>
        <w:tc>
          <w:tcPr>
            <w:tcW w:type="dxa" w:w="1440"/>
            <w:shd w:fill="FAFAFA" w:val="clear"/>
          </w:tcPr>
          <w:p>
            <w:r>
              <w:rPr>
                <w:b/>
                <w:sz w:val="17"/>
              </w:rPr>
              <w:t>3,964</w:t>
            </w:r>
          </w:p>
        </w:tc>
        <w:tc>
          <w:tcPr>
            <w:tcW w:type="dxa" w:w="1440"/>
            <w:shd w:fill="FAFAFA" w:val="clear"/>
          </w:tcPr>
          <w:p>
            <w:r>
              <w:rPr>
                <w:sz w:val="17"/>
              </w:rPr>
              <w:t>4,173</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3,711</w:t>
            </w:r>
          </w:p>
        </w:tc>
        <w:tc>
          <w:tcPr>
            <w:tcW w:type="dxa" w:w="1440"/>
            <w:shd w:fill="FAFAFA" w:val="clear"/>
          </w:tcPr>
          <w:p>
            <w:r>
              <w:rPr>
                <w:b/>
                <w:sz w:val="17"/>
              </w:rPr>
              <w:t>3,967</w:t>
            </w:r>
          </w:p>
        </w:tc>
        <w:tc>
          <w:tcPr>
            <w:tcW w:type="dxa" w:w="1440"/>
            <w:shd w:fill="FAFAFA" w:val="clear"/>
          </w:tcPr>
          <w:p>
            <w:r>
              <w:rPr>
                <w:sz w:val="17"/>
              </w:rPr>
              <w:t>4,223</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3,674</w:t>
            </w:r>
          </w:p>
        </w:tc>
        <w:tc>
          <w:tcPr>
            <w:tcW w:type="dxa" w:w="1440"/>
            <w:shd w:fill="FAFAFA" w:val="clear"/>
          </w:tcPr>
          <w:p>
            <w:r>
              <w:rPr>
                <w:b/>
                <w:sz w:val="17"/>
              </w:rPr>
              <w:t>3,970</w:t>
            </w:r>
          </w:p>
        </w:tc>
        <w:tc>
          <w:tcPr>
            <w:tcW w:type="dxa" w:w="1440"/>
            <w:shd w:fill="FAFAFA" w:val="clear"/>
          </w:tcPr>
          <w:p>
            <w:r>
              <w:rPr>
                <w:sz w:val="17"/>
              </w:rPr>
              <w:t>4,266</w:t>
            </w:r>
          </w:p>
        </w:tc>
        <w:tc>
          <w:tcPr>
            <w:tcW w:type="dxa" w:w="1440"/>
            <w:shd w:fill="FAFAFA" w:val="clear"/>
          </w:tcPr>
          <w:p>
            <w:r>
              <w:rPr>
                <w:b/>
                <w:color w:val="008000"/>
                <w:sz w:val="17"/>
              </w:rPr>
              <w:t>+1.7%</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3,642</w:t>
            </w:r>
          </w:p>
        </w:tc>
        <w:tc>
          <w:tcPr>
            <w:tcW w:type="dxa" w:w="1440"/>
            <w:shd w:fill="FAFAFA" w:val="clear"/>
          </w:tcPr>
          <w:p>
            <w:r>
              <w:rPr>
                <w:b/>
                <w:sz w:val="17"/>
              </w:rPr>
              <w:t>3,973</w:t>
            </w:r>
          </w:p>
        </w:tc>
        <w:tc>
          <w:tcPr>
            <w:tcW w:type="dxa" w:w="1440"/>
            <w:shd w:fill="FAFAFA" w:val="clear"/>
          </w:tcPr>
          <w:p>
            <w:r>
              <w:rPr>
                <w:sz w:val="17"/>
              </w:rPr>
              <w:t>4,303</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3,612</w:t>
            </w:r>
          </w:p>
        </w:tc>
        <w:tc>
          <w:tcPr>
            <w:tcW w:type="dxa" w:w="1440"/>
            <w:shd w:fill="FAFAFA" w:val="clear"/>
          </w:tcPr>
          <w:p>
            <w:r>
              <w:rPr>
                <w:b/>
                <w:sz w:val="17"/>
              </w:rPr>
              <w:t>3,975</w:t>
            </w:r>
          </w:p>
        </w:tc>
        <w:tc>
          <w:tcPr>
            <w:tcW w:type="dxa" w:w="1440"/>
            <w:shd w:fill="FAFAFA" w:val="clear"/>
          </w:tcPr>
          <w:p>
            <w:r>
              <w:rPr>
                <w:sz w:val="17"/>
              </w:rPr>
              <w:t>4,337</w:t>
            </w:r>
          </w:p>
        </w:tc>
        <w:tc>
          <w:tcPr>
            <w:tcW w:type="dxa" w:w="1440"/>
            <w:shd w:fill="FAFAFA" w:val="clear"/>
          </w:tcPr>
          <w:p>
            <w:r>
              <w:rPr>
                <w:b/>
                <w:color w:val="008000"/>
                <w:sz w:val="17"/>
              </w:rPr>
              <w:t>+1.8%</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3,585</w:t>
            </w:r>
          </w:p>
        </w:tc>
        <w:tc>
          <w:tcPr>
            <w:tcW w:type="dxa" w:w="1440"/>
            <w:shd w:fill="FAFAFA" w:val="clear"/>
          </w:tcPr>
          <w:p>
            <w:r>
              <w:rPr>
                <w:b/>
                <w:sz w:val="17"/>
              </w:rPr>
              <w:t>3,977</w:t>
            </w:r>
          </w:p>
        </w:tc>
        <w:tc>
          <w:tcPr>
            <w:tcW w:type="dxa" w:w="1440"/>
            <w:shd w:fill="FAFAFA" w:val="clear"/>
          </w:tcPr>
          <w:p>
            <w:r>
              <w:rPr>
                <w:sz w:val="17"/>
              </w:rPr>
              <w:t>4,369</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3,560</w:t>
            </w:r>
          </w:p>
        </w:tc>
        <w:tc>
          <w:tcPr>
            <w:tcW w:type="dxa" w:w="1440"/>
            <w:shd w:fill="FAFAFA" w:val="clear"/>
          </w:tcPr>
          <w:p>
            <w:r>
              <w:rPr>
                <w:b/>
                <w:sz w:val="17"/>
              </w:rPr>
              <w:t>3,980</w:t>
            </w:r>
          </w:p>
        </w:tc>
        <w:tc>
          <w:tcPr>
            <w:tcW w:type="dxa" w:w="1440"/>
            <w:shd w:fill="FAFAFA" w:val="clear"/>
          </w:tcPr>
          <w:p>
            <w:r>
              <w:rPr>
                <w:sz w:val="17"/>
              </w:rPr>
              <w:t>4,399</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3,537</w:t>
            </w:r>
          </w:p>
        </w:tc>
        <w:tc>
          <w:tcPr>
            <w:tcW w:type="dxa" w:w="1440"/>
            <w:shd w:fill="FAFAFA" w:val="clear"/>
          </w:tcPr>
          <w:p>
            <w:r>
              <w:rPr>
                <w:b/>
                <w:sz w:val="17"/>
              </w:rPr>
              <w:t>3,982</w:t>
            </w:r>
          </w:p>
        </w:tc>
        <w:tc>
          <w:tcPr>
            <w:tcW w:type="dxa" w:w="1440"/>
            <w:shd w:fill="FAFAFA" w:val="clear"/>
          </w:tcPr>
          <w:p>
            <w:r>
              <w:rPr>
                <w:sz w:val="17"/>
              </w:rPr>
              <w:t>4,426</w:t>
            </w:r>
          </w:p>
        </w:tc>
        <w:tc>
          <w:tcPr>
            <w:tcW w:type="dxa" w:w="1440"/>
            <w:shd w:fill="FAFAFA" w:val="clear"/>
          </w:tcPr>
          <w:p>
            <w:r>
              <w:rPr>
                <w:b/>
                <w:color w:val="008000"/>
                <w:sz w:val="17"/>
              </w:rPr>
              <w:t>+2.0%</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3,515</w:t>
            </w:r>
          </w:p>
        </w:tc>
        <w:tc>
          <w:tcPr>
            <w:tcW w:type="dxa" w:w="1440"/>
            <w:shd w:fill="C6EFCE" w:val="clear"/>
          </w:tcPr>
          <w:p>
            <w:r>
              <w:rPr>
                <w:b/>
                <w:sz w:val="17"/>
              </w:rPr>
              <w:t>3,984</w:t>
            </w:r>
          </w:p>
        </w:tc>
        <w:tc>
          <w:tcPr>
            <w:tcW w:type="dxa" w:w="1440"/>
            <w:shd w:fill="C6EFCE" w:val="clear"/>
          </w:tcPr>
          <w:p>
            <w:r>
              <w:rPr>
                <w:sz w:val="17"/>
              </w:rPr>
              <w:t>4,453</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39,99 milliards FCFA, PRSC se positionne comme une valeur de taille moyenne sur le marché BRVM, reflétant sa stature d'acteur de référence dans la distribution automobile et d'équipements en Côte d'Ivoire. Le BPA de 231 FCFA/action signifie que chaque titre génère près de 231 FCFA de bénéfice net, ce qui, rapporté au cours actuel de 3 905 FCFA, donne un PER de 16,9x — nettement supérieur à la moyenne BRVM (8-12x), traduisant une prime de valorisation que le marché accorde à la qualité de la franchise Tractafric. Le P/B de 3,47x confirme cette prime de croissance : les investisseurs paient 3,47 fois la valeur comptable des fonds propres (11,53 Mds FCFA), ce qui est cohérent avec un ROE élevé de 20,5%. Enfin, l'EV/EBITDA de 8,9x situe la valeur d'entreprise (capitalisation + dette nette) à moins de 9 fois la capacité opérationnelle, un niveau raisonnable qui n'indique ni surévaluation manifeste ni décote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affiche une variation totale positive de +5,68%, mais la dernière séance (J-1) enregistre un repli marqué de -4,76%, signalant une pression vendeuse récente. Le titre évolue dans un range de 3 620 FCFA (plus bas) à 4 740 FCFA (plus haut), soit une amplitude de 31%, et le cours actuel de 3 905 FCFA se situe dans la partie basse de cette fourchette, proche du support des 3 620 FCFA. La tendance générale sur la période reste haussière (+5,68%), mais le repli récent suggère une correction après un sommet. Les statistiques descriptives révèlent une moyenne de 4 346 FCFA supérieure à la médiane de 4 402 FCFA, avec un mode à 4 400 FCFA — l'écart entre moyenne et médiane, bien que faible, indique une légère asymétrie avec quelques journées de forte baisse tirant la moyenne vers le bas. L'écart-type de 261 FCFA (CV de 6,0%) traduit une dispersion modérée du cours, tandis que le kurtosis de 1,103 (leptokurtique) signale des queues épaisses et un risque de pics de volatilité. Le skewness de -1,269 (asymétrie négative) indique paradoxalement plus de journées au-dessus de la moyenne, mais avec des baisses plus violentes que les hausses. La volatilité annualisée de 37,3% classe le titre dans la catégorie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(4 272,25 FCFA) et la MM50 (4 398,20 FCFA) se situent toutes deux au-dessus du cours actuel (3 905 FCFA), avec la MM20 en dessous de la MM50 — configuration baissière classique. Le cours évoluant sous ses deux moyennes mobiles, la décision technique est logiquement **Vente**, confirmant la pression baissière à court et moyen terme.</w:t>
      </w:r>
    </w:p>
    <w:p>
      <w:pPr>
        <w:spacing w:after="120" w:line="276" w:lineRule="auto"/>
      </w:pPr>
      <w:r>
        <w:t>**Bandes de Bollinger** : La borne supérieure est à 4 624,02 FCFA et la borne inférieure à 3 920,48 FCFA, avec un cours actuel de 3 905 FCFA qui évolue légèrement sous la borne inférieure. Cette position suggère une survente technique et une possible réaction haussière à court terme, justifiant la décision **Achat** par retour à la moyenne.</w:t>
      </w:r>
    </w:p>
    <w:p>
      <w:pPr>
        <w:spacing w:after="120" w:line="276" w:lineRule="auto"/>
      </w:pPr>
      <w:r>
        <w:t>**MACD** : La valeur du MACD (-116,52) est inférieure à son signal (-78,603), confirmant un momentum baissier avec une divergence négative. La décision **Vente** est cohérente avec cette configuration, le MACD n'ayant pas encore amorcé de croisement haussier.</w:t>
      </w:r>
    </w:p>
    <w:p>
      <w:pPr>
        <w:spacing w:after="120" w:line="276" w:lineRule="auto"/>
      </w:pPr>
      <w:r>
        <w:t>**RSI** : À 31,818, le RSI se situe juste au-dessus du seuil de survente (30), ce qui est cohérent avec la pression baissière récente. La décision **Neutre** reflète une situation ambiguë : le titre n'est pas encore en survente extrême, mais proche d'un niveau de rebond potentiel.</w:t>
      </w:r>
    </w:p>
    <w:p>
      <w:pPr>
        <w:spacing w:after="120" w:line="276" w:lineRule="auto"/>
      </w:pPr>
      <w:r>
        <w:t>**Stochastique** : Le %K (0,862) est très inférieur au %D (11,782), avec un croisement en zone de survente. Cette configuration est typiquement haussière à court terme, justifiant la décision **Achat** par anticipation d'un rebond technique.</w:t>
      </w:r>
    </w:p>
    <w:p>
      <w:pPr>
        <w:spacing w:after="120" w:line="276" w:lineRule="auto"/>
      </w:pPr>
      <w:r>
        <w:t>**Conclusion technique** : Les indicateurs sont divergents — les moyennes mobiles et le MACD confirment une tendance baissière, tandis que les Bandes de Bollinger et le Stochastique signalent une survente propice à un rebond. Le RSI neutre à 31,8 laisse présager une possible inflexion. La convergence des signaux d'achat à court terme (Bollinger, Stochastique) contraste avec la tendance de fond baissière, suggérant une opportunité tactique mais un risque de poursuite de la baisse si les supports cèdent.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PRSC (exercice clos le 31 décembre 2025) affichent un chiffre d'affaires de 81,127 milliards FCFA, en croissance de 8,64% sur un an, porté par la dynamique du marché automobile ivoirien. Le résultat net s'établit à 2,367 milliards FCFA, stable par rapport à 2024 (2,35 Mds FCFA), avec une marge nette de 2,92% — modeste mais en légère amélioration. Le ROE de 20,53% est excellent (&gt;15%), témoignant d'une rentabilité des fonds propres solide, tandis que le ROA de 4,95% reflète une rotation des actifs de 169,6%, typique d'une activité de distribution. La structure financière reste équilibrée avec des capitaux propres de 11,531 Mds FCFA, une autonomie financière de 24,1% (inférieure au seuil de 30% mais acceptable pour le secteur) et une solvabilité générale de 131,8%. Le BFR de 11,267 Mds FCFA — bien que positif — est un point de vigilance, tout comme les délais clients de 46 jours et la durée de stockage de 150,5 jours, qui immobilisent du capital. La trésorerie nette est négative à -4,092 Mds FCFA, et le free cash flow de -2,616 Mds FCFA signale des besoins de financement. Les rapports trimestriels récents (S1 2025, analysé le 15/03/2026) indiquent un CA semestriel de 39,968 Mds FCFA (+15,1%) et un résultat net de 1,436 Md FCFA (×28 vs S1 2024), avec une marge nette de 3,6% — une performance exceptionnelle qui pourrait toutefois ne pas se répéter au S2 en raison du contexte électoral ivoirien. Sur la base de ces éléments, on estime que l'exercice 2026 devrait maintenir une croissance modérée du CA (5-8%) avec une rentabilité stable, mais la pression sur les marges et le BFR reste un risque majeur. La recommandation fondamentale est **CONSERVER** : la solidité du modèle et le dividende attractif (209 FCFA/action, soit un rendement de 5,35% au cours actuel) justifient une position, mais les risques de trésorerie et la valorisation tendue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(PER 16,9x, P/B 3,47x, EV/EBITDA 8,9x) indique une prime de croissance justifiée par un ROE de 20,5%, mais le PER élevé par rapport à la moyenne BRVM (8-12x) suggère une surévaluation relative. Le comportement du cours sur 100 jours (+5,68%) masque une correction récente (-4,76% en J-1) et une volatilité élevée (37,3%), avec un kurtosis leptokurtique et un skewness négatif qui signalent un risque de pics baissiers. Les signaux techniques sont divergents : les moyennes mobiles et le MACD confirment une tendance baissière, tandis que les Bandes de Bollinger et le Stochastique indiquent une survente propice à un rebond tactique. Les fondamentaux (CA 2025 de 81,1 Mds FCFA, RN de 2,37 Mds FCFA, ROE de 20,5%) sont solides, mais la trésorerie nette négative (-4,09 Mds FCFA) et le BFR élevé (11,27 Mds FCFA) constituent des vulnérabilités. Les prédictions IA (3 964 FCFA à 3 975 FCFA sur 10 jours) anticipent une légère reprise (+1,5% à +1,8%), ce qui confirme le rebond technique attendu mais contredit la tendance baissière de fond. Sur la base de cette synthèse, la recommandation finale est **CONSERVER** : la convergence entre la survente technique, les fondamentaux solides et les prédictions haussières à court terme justifie le maintien de la position, mais la divergence avec la tendance baissière des moyennes mobiles et la valorisation tendue incite à la prudence. Le niveau de confiance est **Moyen**, le risque global est **Élevé** (volatilité 37,3%, trésorerie négative), et l'horizon d'investissement optimal est **moyen terme (3-12 mois)** pour capturer le rebond technique tout en surveillant l'amélioration de la trésorerie et la confirmation de la croissance bénéficiaire.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52.82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8,892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007800"/>
                <w:sz w:val="17"/>
              </w:rPr>
              <w:t>+27.14%</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15.81% (Élevée) — μ=4,651 FCFA, σ=735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β=1.1965 (Neutre (suit le marché)) — Cov=0.000082, Var(idx)=0.000069, ρ=0.256,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8,892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σ_j=3.89%/j (Modérée) — Vol. annualisée≈61.7%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3,868</w:t>
            </w:r>
          </w:p>
        </w:tc>
        <w:tc>
          <w:tcPr>
            <w:tcW w:type="dxa" w:w="1440"/>
            <w:shd w:fill="FFDCE0" w:val="clear"/>
          </w:tcPr>
          <w:p>
            <w:r>
              <w:rPr>
                <w:b/>
                <w:sz w:val="17"/>
              </w:rPr>
              <w:t>4,305</w:t>
            </w:r>
          </w:p>
        </w:tc>
        <w:tc>
          <w:tcPr>
            <w:tcW w:type="dxa" w:w="1440"/>
            <w:shd w:fill="FFDCE0" w:val="clear"/>
          </w:tcPr>
          <w:p>
            <w:r>
              <w:rPr>
                <w:sz w:val="17"/>
              </w:rPr>
              <w:t>4,742</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3,760</w:t>
            </w:r>
          </w:p>
        </w:tc>
        <w:tc>
          <w:tcPr>
            <w:tcW w:type="dxa" w:w="1440"/>
            <w:shd w:fill="FFDCE0" w:val="clear"/>
          </w:tcPr>
          <w:p>
            <w:r>
              <w:rPr>
                <w:b/>
                <w:sz w:val="17"/>
              </w:rPr>
              <w:t>4,294</w:t>
            </w:r>
          </w:p>
        </w:tc>
        <w:tc>
          <w:tcPr>
            <w:tcW w:type="dxa" w:w="1440"/>
            <w:shd w:fill="FFDCE0" w:val="clear"/>
          </w:tcPr>
          <w:p>
            <w:r>
              <w:rPr>
                <w:sz w:val="17"/>
              </w:rPr>
              <w:t>4,828</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3,672</w:t>
            </w:r>
          </w:p>
        </w:tc>
        <w:tc>
          <w:tcPr>
            <w:tcW w:type="dxa" w:w="1440"/>
            <w:shd w:fill="FFDCE0" w:val="clear"/>
          </w:tcPr>
          <w:p>
            <w:r>
              <w:rPr>
                <w:b/>
                <w:sz w:val="17"/>
              </w:rPr>
              <w:t>4,288</w:t>
            </w:r>
          </w:p>
        </w:tc>
        <w:tc>
          <w:tcPr>
            <w:tcW w:type="dxa" w:w="1440"/>
            <w:shd w:fill="FFDCE0" w:val="clear"/>
          </w:tcPr>
          <w:p>
            <w:r>
              <w:rPr>
                <w:sz w:val="17"/>
              </w:rPr>
              <w:t>4,904</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3,595</w:t>
            </w:r>
          </w:p>
        </w:tc>
        <w:tc>
          <w:tcPr>
            <w:tcW w:type="dxa" w:w="1440"/>
            <w:shd w:fill="FFDCE0" w:val="clear"/>
          </w:tcPr>
          <w:p>
            <w:r>
              <w:rPr>
                <w:b/>
                <w:sz w:val="17"/>
              </w:rPr>
              <w:t>4,282</w:t>
            </w:r>
          </w:p>
        </w:tc>
        <w:tc>
          <w:tcPr>
            <w:tcW w:type="dxa" w:w="1440"/>
            <w:shd w:fill="FFDCE0" w:val="clear"/>
          </w:tcPr>
          <w:p>
            <w:r>
              <w:rPr>
                <w:sz w:val="17"/>
              </w:rPr>
              <w:t>4,970</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3,525</w:t>
            </w:r>
          </w:p>
        </w:tc>
        <w:tc>
          <w:tcPr>
            <w:tcW w:type="dxa" w:w="1440"/>
            <w:shd w:fill="FFDCE0" w:val="clear"/>
          </w:tcPr>
          <w:p>
            <w:r>
              <w:rPr>
                <w:b/>
                <w:sz w:val="17"/>
              </w:rPr>
              <w:t>4,277</w:t>
            </w:r>
          </w:p>
        </w:tc>
        <w:tc>
          <w:tcPr>
            <w:tcW w:type="dxa" w:w="1440"/>
            <w:shd w:fill="FFDCE0" w:val="clear"/>
          </w:tcPr>
          <w:p>
            <w:r>
              <w:rPr>
                <w:sz w:val="17"/>
              </w:rPr>
              <w:t>5,029</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3,460</w:t>
            </w:r>
          </w:p>
        </w:tc>
        <w:tc>
          <w:tcPr>
            <w:tcW w:type="dxa" w:w="1440"/>
            <w:shd w:fill="FFDCE0" w:val="clear"/>
          </w:tcPr>
          <w:p>
            <w:r>
              <w:rPr>
                <w:b/>
                <w:sz w:val="17"/>
              </w:rPr>
              <w:t>4,271</w:t>
            </w:r>
          </w:p>
        </w:tc>
        <w:tc>
          <w:tcPr>
            <w:tcW w:type="dxa" w:w="1440"/>
            <w:shd w:fill="FFDCE0" w:val="clear"/>
          </w:tcPr>
          <w:p>
            <w:r>
              <w:rPr>
                <w:sz w:val="17"/>
              </w:rPr>
              <w:t>5,083</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3,400</w:t>
            </w:r>
          </w:p>
        </w:tc>
        <w:tc>
          <w:tcPr>
            <w:tcW w:type="dxa" w:w="1440"/>
            <w:shd w:fill="FFDCE0" w:val="clear"/>
          </w:tcPr>
          <w:p>
            <w:r>
              <w:rPr>
                <w:b/>
                <w:sz w:val="17"/>
              </w:rPr>
              <w:t>4,266</w:t>
            </w:r>
          </w:p>
        </w:tc>
        <w:tc>
          <w:tcPr>
            <w:tcW w:type="dxa" w:w="1440"/>
            <w:shd w:fill="FFDCE0" w:val="clear"/>
          </w:tcPr>
          <w:p>
            <w:r>
              <w:rPr>
                <w:sz w:val="17"/>
              </w:rPr>
              <w:t>5,132</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3,343</w:t>
            </w:r>
          </w:p>
        </w:tc>
        <w:tc>
          <w:tcPr>
            <w:tcW w:type="dxa" w:w="1440"/>
            <w:shd w:fill="FFDCE0" w:val="clear"/>
          </w:tcPr>
          <w:p>
            <w:r>
              <w:rPr>
                <w:b/>
                <w:sz w:val="17"/>
              </w:rPr>
              <w:t>4,261</w:t>
            </w:r>
          </w:p>
        </w:tc>
        <w:tc>
          <w:tcPr>
            <w:tcW w:type="dxa" w:w="1440"/>
            <w:shd w:fill="FFDCE0" w:val="clear"/>
          </w:tcPr>
          <w:p>
            <w:r>
              <w:rPr>
                <w:sz w:val="17"/>
              </w:rPr>
              <w:t>5,179</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3,289</w:t>
            </w:r>
          </w:p>
        </w:tc>
        <w:tc>
          <w:tcPr>
            <w:tcW w:type="dxa" w:w="1440"/>
            <w:shd w:fill="FFDCE0" w:val="clear"/>
          </w:tcPr>
          <w:p>
            <w:r>
              <w:rPr>
                <w:b/>
                <w:sz w:val="17"/>
              </w:rPr>
              <w:t>4,256</w:t>
            </w:r>
          </w:p>
        </w:tc>
        <w:tc>
          <w:tcPr>
            <w:tcW w:type="dxa" w:w="1440"/>
            <w:shd w:fill="FFDCE0" w:val="clear"/>
          </w:tcPr>
          <w:p>
            <w:r>
              <w:rPr>
                <w:sz w:val="17"/>
              </w:rPr>
              <w:t>5,222</w:t>
            </w:r>
          </w:p>
        </w:tc>
        <w:tc>
          <w:tcPr>
            <w:tcW w:type="dxa" w:w="1440"/>
            <w:shd w:fill="FFDCE0" w:val="clear"/>
          </w:tcPr>
          <w:p>
            <w:r>
              <w:rPr>
                <w:b/>
                <w:color w:val="C00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**52,82 milliards FCFA**, un niveau modeste à l'échelle de la BRVM qui positionne le titre parmi les petites capitalisations du compartiment financier. Le BPA de **59 FCFA/action** (exercice 2025) traduit la capacité bénéficiaire retrouvée de l'émetteur après huit années de pertes consécutives. Le PER de **75,4x** est très élevé, très au-dessus de la moyenne BRVM (~8-12x), ce qui signifie que le marché intègre déjà une forte anticipation de croissance future des bénéfices — toute déception serait sévèrement sanctionnée. Le P/B de **8,93x** (largement supérieur au seuil de 4x) indique que le titre se négocie avec une prime considérable sur sa valeur comptable, reflet d'un optimisme marqué sur la qualité des fonds propres futurs. Enfin, l'EV/EBITDA de **85,1x** (très au-dessus du seuil de 15x) confirme une valorisation exigeante rapportée à la capacité opérationnelle, signalant que le titre est déjà « cher » sur tous les multiples disponibles.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+27,14%**, malgré une correction de **-3,16% lors de la dernière séance**, ce qui témoigne d'une tendance haussière de fond mais d'un essoufflement récent. Le cours actuel de **4 450 FCFA** se situe dans la partie médiane-basse du range de trading, bien en dessous du plus haut de **6 200 FCFA** et au-dessus du plus bas de **3 485 FCFA**, soit un écart de près de 78% entre les extrêmes — signe d'une forte amplitude. La moyenne (**4 651 FCFA**) est légèrement supérieure à la médiane (**4 580 FCFA**), tandis que le mode se situe à **3 700 FCFA** : cet écart modéré entre moyenne et médiane suggère une distribution quasi symétrique, confirmée par un **skewness de 0,312** (distribution symétrique) et un **kurtosis de -0,931** (mésokurtique, proche d'une loi normale), donc un risque de pics extrêmes limité. L'écart-type de **739 FCFA** avec un **CV de 15,9%** indique une dispersion modérée du cours autour de sa moyenne. La **volatilité annualisée de 61,7%** classe le titre dans la catégorie des valeurs à volatilité **très élevée** (&gt;30%), ce qui est cohérent avec un profil spéculatif de redressement.</w:t>
      </w:r>
    </w:p>
    <w:p>
      <w:pPr>
        <w:spacing w:after="120" w:line="276" w:lineRule="auto"/>
      </w:pPr>
      <w:r>
        <w:t>---</w:t>
      </w:r>
    </w:p>
    <w:p>
      <w:pPr>
        <w:spacing w:after="120" w:line="276" w:lineRule="auto"/>
      </w:pPr>
      <w:r>
        <w:t>## PARTIE 2 : ANALYSE TECHNIQUE DÉTAILLÉE</w:t>
      </w:r>
    </w:p>
    <w:p>
      <w:pPr>
        <w:spacing w:after="120" w:line="276" w:lineRule="auto"/>
      </w:pPr>
      <w:r>
        <w:t>**Moyennes Mobiles** : La MM20 (**4 920,25 FCFA**) et la MM50 (**5 203,5 FCFA**) se situent toutes deux nettement au-dessus du cours actuel (4 450 FCFA), et la MM20 est elle-même sous la MM50 — configuration baissière caractéristique. Le cours évoluant sous ses deux moyennes, la décision technique est logiquement **Vente**, confirmant une pression vendeuse de court et moyen terme.</w:t>
      </w:r>
    </w:p>
    <w:p>
      <w:pPr>
        <w:spacing w:after="120" w:line="276" w:lineRule="auto"/>
      </w:pPr>
      <w:r>
        <w:t>**Bandes de Bollinger** : La borne supérieure est à **6 113,84 FCFA** et la borne inférieure à **3 726,66 FCFA**, avec un cours actuel de **4 450 FCFA** positionné dans la moitié basse du canal. Le prix n'est ni en contact avec la borne basse (pas de signal de survente extrême) ni avec la borne haute ; la décision est donc **Neutre**, traduisant une absence de signal directionnel fort malgré la tendance baissière.</w:t>
      </w:r>
    </w:p>
    <w:p>
      <w:pPr>
        <w:spacing w:after="120" w:line="276" w:lineRule="auto"/>
      </w:pPr>
      <w:r>
        <w:t>**MACD** : La valeur du MACD (**-263,5**) est inférieure à son signal (**-234,85**), et les deux sont en territoire négatif — configuration baissière classique avec un momentum négatif persistant. La décision **Vente** est confirmée par cette divergence négative qui indique que la pression baissière n'est pas encore épuisée.</w:t>
      </w:r>
    </w:p>
    <w:p>
      <w:pPr>
        <w:spacing w:after="120" w:line="276" w:lineRule="auto"/>
      </w:pPr>
      <w:r>
        <w:t>**RSI** : À **33,564**, le RSI se situe juste au-dessus du seuil de survente (30) mais reste dans la zone neutre basse. Cela indique que le titre n'est pas encore techniquement « survendu » au sens strict, mais s'en approche — la décision **Neutre** reflète cette position charnière où un rebond technique devient possible sans être encore confirmé.</w:t>
      </w:r>
    </w:p>
    <w:p>
      <w:pPr>
        <w:spacing w:after="120" w:line="276" w:lineRule="auto"/>
      </w:pPr>
      <w:r>
        <w:t>**Stochastique** : Le %K (**38,525**) est inférieur au %D (**45,38**), avec les deux lignes en zone neutre basse et un croisement potentiellement baissier. La décision **Neutre** traduit l'absence de signal clair, mais la configuration reste fragile avec un %K sous le %D.</w:t>
      </w:r>
    </w:p>
    <w:p>
      <w:pPr>
        <w:spacing w:after="120" w:line="276" w:lineRule="auto"/>
      </w:pPr>
      <w:r>
        <w:t>**Conclusion technique** : L'ensemble des indicateurs penche majoritairement vers une **configuration baissière** (MM, MACD en Vente ; Bollinger, RSI, Stochastique en Neutre). Le cours évolue sous ses moyennes mobiles avec un MACD négatif, tandis que le RSI proche de la survente suggère qu'un rebond technique n'est pas exclu à court terme. La convergence des signaux négatifs invite à la prudence, mais l'absence de signal de survente extrême laisse la porte ouverte à une stabilisation autour des 4 400-4 500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enregistré un **Produit Net Bancaire (PNB) de 5 735 millions FCFA**, en forte hausse de **+44,1%** par rapport aux 3 980 millions de 2024, porté par la progression des intérêts et produits assimilés (8 236 M FCFA) et le quasi-doublement des commissions (686 M FCFA). Le **résultat net s'établit à 701 millions FCFA**, marquant un retournement spectaculaire après la perte de 165 millions en 2024 — c'est le premier exercice bénéficiaire après huit années de déficit. Le **ROE ressort à 11,85%** (en dessous du seuil d'excellence de 15% mais positif) et le **ROA à 0,88%**, reflétant la faible rotation des actifs bancaires. Le **coefficient d'exploitation de 77,63%** reste élevé (très au-dessus du seuil de 60% d'efficacité), signe que les charges d'exploitation pèsent encore lourdement sur la rentabilité. Le **coût du risque rapporté aux charges financières est de 6,57%**, un niveau qui demeure significatif et traduit un portefeuille de crédit encore fragile. La structure financière est préoccupante : **autonomie financière de seulement 7,44%** (très en dessous du seuil sain de 30%), **ratio d'endettement de 856%** et **dépendance financière de 92,56%**, avec des dettes interbancaires de 35 747 M FCFA contre des dépôts clientèle de seulement 9 112 M FCFA — la banque finance sa croissance par le marché monétaire plutôt que par l'épargne client, ce qui est coûteux et volatil.</w:t>
      </w:r>
    </w:p>
    <w:p>
      <w:pPr>
        <w:spacing w:after="120" w:line="276" w:lineRule="auto"/>
      </w:pPr>
      <w:r>
        <w:t>**Estimations basées sur les rapports trimestriels** : Le rapport du **T1 2026 (publié le 12/05/2026)** indique un PNB de 1 395 M FCFA (+29%) et un résultat net de 151 M FCFA (+1 062%), avec un coût du risque en baisse de 75%. Le rapport du **S1 2026 (publié le 04/09/2026)** confirme l'accélération avec un PNB de 2 907 M FCFA (+37%) et un résultat net de 731 M FCFA (+231%), la marge nette bondissant à **25,1%** et le coût du risque devenant une **reprise nette de 261 M FCFA**. Sur cette base, on peut estimer que l'exercice 2026 devrait afficher un résultat net annuel compris entre **1,4 et 1,6 milliard FCFA**, soit plus du double de 2025, avec un ROE potentiellement supérieur à 20%. Le rapport annuel 2025 (publié le 03/06/2026) souligne toutefois que les **capitaux propres restent modestes (5 916 M FCFA)** et que le **report à nouveau demeure négatif (-4 123 M FCFA)**, tandis que les **engagements de financement donnés (hors-bilan) atteignent 280 607 M FCFA**, soit 3,5 fois le total du bilan — un risque de contrepartie majeur. L'augmentation de capital de **1,5 milliard FCFA** (avis BRVM du 13/04/2026, 3 750 000 actions nouvelles à 400 FCFA, 6 nouvelles pour 13 anciennes) vise précisément à renforcer ces fonds propres. **Conclusion fondamentale** : la dynamique opérationnelle est excellente et le redressement spectaculaire, mais la solidité financière reste fragile (fonds propres faibles, dépendance interbancaire, hors-bilan démesuré) — le profil est celui d'un titre de retournement à haut risque, dont la réussite dépendra de la capacité à consolider les fonds propres et à maîtriser durablement le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marquée** entre les signaux. La **valorisation (Partie 0)** est très exigeante : PER de 75,4x, P/B de 8,93x et EV/EBITDA de 85,1x traduisent une surévaluation manifeste sur les multiples actuels, le marché ayant déjà intégré la totalité du redressement à venir. Le **comportement du cours (Partie 1)** est ambivalent : tendance haussière de fond (+27,14% sur 100 jours) mais correction récente (-3,16% en J-1), avec une volatilité très élevée (61,7%) et des statistiques descriptives rassurantes (distribution symétrique, kurtosis normal) qui n'écartent pas le risque de fortes amplitudes. Les **signaux techniques (Partie 2)** sont majoritairement baissiers (MM et MACD en Vente, cours sous les moyennes), avec un RSI proche de la survente qui pourrait amorcer un rebond technique. Les **fondamentaux (Partie 3)** sont le point fort : retournement spectaculaire en 2025 (résultat net de 701 M FCFA), accélération confirmée au S1 2026 (résultat net de 731 M FCFA, +231%, marge nette de 25,1%), mais structure financière fragile (autonomie de 7,44%, dépendance interbancaire de 92,56%, hors-bilan de 280 Mds FCFA). Les **prédictions IA (J+1 à J+10)** anticipent une trajectoire légèrement baissière de 4 305 à 4 277 FCFA, confirmant la pression technique de court terme sans effondrement. **Recommandation finale : CONSERVER** — la convergence entre la surévaluation boursière, les signaux techniques baissiers et la fragilité structurelle du bilan plaide contre un achat immédiat, tandis que l'excellente dynamique opérationnelle et le retour à la rentabilité interdisent une vente. Le niveau de confiance est **Moyen** (les fondamentaux récents sont solides mais la valorisation et le bilan limitent la visibilité), le risque global est **Élevé** (volatilité de 61,7%, fonds propres faibles, dépendance au marché interbancaire), et l'horizon optimal est le **moyen terme (3-12 mois)**, le temps que l'augmentation de capital produise ses effets sur les fonds propres et que la trajectoire bénéficiaire du S1 2026 se confirme sur l'ensemble de l'exercice.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11,214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+30.68%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2,080 FCFA</w:t>
            </w:r>
          </w:p>
          <w:p>
            <w:r>
              <w:rPr>
                <w:b/>
                <w:color w:val="503200"/>
                <w:sz w:val="16"/>
              </w:rPr>
              <w:t xml:space="preserve">Volatilité ann. : </w:t>
            </w:r>
            <w:r>
              <w:rPr>
                <w:color w:val="000000"/>
                <w:sz w:val="17"/>
              </w:rPr>
              <w:t>58.9%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14.64% (Moyenne) — μ=3,172 FCFA, σ=464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β=1.3622 (Agressif) — Cov=0.000088, Var(idx)=0.000065, ρ=0.292,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11,214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σ_j=3.71%/j (Modérée) — Vol. annualisée≈58.9%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2026-10-05</w:t>
            </w:r>
          </w:p>
        </w:tc>
        <w:tc>
          <w:tcPr>
            <w:tcW w:type="dxa" w:w="1440"/>
            <w:shd w:fill="C6EFCE" w:val="clear"/>
          </w:tcPr>
          <w:p>
            <w:r>
              <w:rPr>
                <w:sz w:val="17"/>
              </w:rPr>
              <w:t>2,696</w:t>
            </w:r>
          </w:p>
        </w:tc>
        <w:tc>
          <w:tcPr>
            <w:tcW w:type="dxa" w:w="1440"/>
            <w:shd w:fill="C6EFCE" w:val="clear"/>
          </w:tcPr>
          <w:p>
            <w:r>
              <w:rPr>
                <w:b/>
                <w:sz w:val="17"/>
              </w:rPr>
              <w:t>2,927</w:t>
            </w:r>
          </w:p>
        </w:tc>
        <w:tc>
          <w:tcPr>
            <w:tcW w:type="dxa" w:w="1440"/>
            <w:shd w:fill="C6EFCE" w:val="clear"/>
          </w:tcPr>
          <w:p>
            <w:r>
              <w:rPr>
                <w:sz w:val="17"/>
              </w:rPr>
              <w:t>3,159</w:t>
            </w:r>
          </w:p>
        </w:tc>
        <w:tc>
          <w:tcPr>
            <w:tcW w:type="dxa" w:w="1440"/>
            <w:shd w:fill="C6EFCE" w:val="clear"/>
          </w:tcPr>
          <w:p>
            <w:r>
              <w:rPr>
                <w:b/>
                <w:color w:val="008000"/>
                <w:sz w:val="17"/>
              </w:rPr>
              <w:t>+4.9%</w:t>
            </w:r>
          </w:p>
        </w:tc>
      </w:tr>
      <w:tr>
        <w:tc>
          <w:tcPr>
            <w:tcW w:type="dxa" w:w="1440"/>
            <w:shd w:fill="C6EFCE" w:val="clear"/>
          </w:tcPr>
          <w:p>
            <w:r>
              <w:rPr>
                <w:sz w:val="17"/>
              </w:rPr>
              <w:t>J+2  Moyenne</w:t>
            </w:r>
          </w:p>
        </w:tc>
        <w:tc>
          <w:tcPr>
            <w:tcW w:type="dxa" w:w="1440"/>
            <w:shd w:fill="C6EFCE" w:val="clear"/>
          </w:tcPr>
          <w:p>
            <w:r>
              <w:rPr>
                <w:sz w:val="17"/>
              </w:rPr>
              <w:t>2026-10-06</w:t>
            </w:r>
          </w:p>
        </w:tc>
        <w:tc>
          <w:tcPr>
            <w:tcW w:type="dxa" w:w="1440"/>
            <w:shd w:fill="C6EFCE" w:val="clear"/>
          </w:tcPr>
          <w:p>
            <w:r>
              <w:rPr>
                <w:sz w:val="17"/>
              </w:rPr>
              <w:t>2,721</w:t>
            </w:r>
          </w:p>
        </w:tc>
        <w:tc>
          <w:tcPr>
            <w:tcW w:type="dxa" w:w="1440"/>
            <w:shd w:fill="C6EFCE" w:val="clear"/>
          </w:tcPr>
          <w:p>
            <w:r>
              <w:rPr>
                <w:b/>
                <w:sz w:val="17"/>
              </w:rPr>
              <w:t>3,013</w:t>
            </w:r>
          </w:p>
        </w:tc>
        <w:tc>
          <w:tcPr>
            <w:tcW w:type="dxa" w:w="1440"/>
            <w:shd w:fill="C6EFCE" w:val="clear"/>
          </w:tcPr>
          <w:p>
            <w:r>
              <w:rPr>
                <w:sz w:val="17"/>
              </w:rPr>
              <w:t>3,304</w:t>
            </w:r>
          </w:p>
        </w:tc>
        <w:tc>
          <w:tcPr>
            <w:tcW w:type="dxa" w:w="1440"/>
            <w:shd w:fill="C6EFCE" w:val="clear"/>
          </w:tcPr>
          <w:p>
            <w:r>
              <w:rPr>
                <w:b/>
                <w:color w:val="008000"/>
                <w:sz w:val="17"/>
              </w:rPr>
              <w:t>+8.0%</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2,736</w:t>
            </w:r>
          </w:p>
        </w:tc>
        <w:tc>
          <w:tcPr>
            <w:tcW w:type="dxa" w:w="1440"/>
            <w:shd w:fill="C6EFCE" w:val="clear"/>
          </w:tcPr>
          <w:p>
            <w:r>
              <w:rPr>
                <w:b/>
                <w:sz w:val="17"/>
              </w:rPr>
              <w:t>3,081</w:t>
            </w:r>
          </w:p>
        </w:tc>
        <w:tc>
          <w:tcPr>
            <w:tcW w:type="dxa" w:w="1440"/>
            <w:shd w:fill="C6EFCE" w:val="clear"/>
          </w:tcPr>
          <w:p>
            <w:r>
              <w:rPr>
                <w:sz w:val="17"/>
              </w:rPr>
              <w:t>3,425</w:t>
            </w:r>
          </w:p>
        </w:tc>
        <w:tc>
          <w:tcPr>
            <w:tcW w:type="dxa" w:w="1440"/>
            <w:shd w:fill="C6EFCE" w:val="clear"/>
          </w:tcPr>
          <w:p>
            <w:r>
              <w:rPr>
                <w:b/>
                <w:color w:val="008000"/>
                <w:sz w:val="17"/>
              </w:rPr>
              <w:t>+10.4%</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2,741</w:t>
            </w:r>
          </w:p>
        </w:tc>
        <w:tc>
          <w:tcPr>
            <w:tcW w:type="dxa" w:w="1440"/>
            <w:shd w:fill="C6EFCE" w:val="clear"/>
          </w:tcPr>
          <w:p>
            <w:r>
              <w:rPr>
                <w:b/>
                <w:sz w:val="17"/>
              </w:rPr>
              <w:t>3,133</w:t>
            </w:r>
          </w:p>
        </w:tc>
        <w:tc>
          <w:tcPr>
            <w:tcW w:type="dxa" w:w="1440"/>
            <w:shd w:fill="C6EFCE" w:val="clear"/>
          </w:tcPr>
          <w:p>
            <w:r>
              <w:rPr>
                <w:sz w:val="17"/>
              </w:rPr>
              <w:t>3,525</w:t>
            </w:r>
          </w:p>
        </w:tc>
        <w:tc>
          <w:tcPr>
            <w:tcW w:type="dxa" w:w="1440"/>
            <w:shd w:fill="C6EFCE" w:val="clear"/>
          </w:tcPr>
          <w:p>
            <w:r>
              <w:rPr>
                <w:b/>
                <w:color w:val="008000"/>
                <w:sz w:val="17"/>
              </w:rPr>
              <w:t>+12.3%</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2,740</w:t>
            </w:r>
          </w:p>
        </w:tc>
        <w:tc>
          <w:tcPr>
            <w:tcW w:type="dxa" w:w="1440"/>
            <w:shd w:fill="C6EFCE" w:val="clear"/>
          </w:tcPr>
          <w:p>
            <w:r>
              <w:rPr>
                <w:b/>
                <w:sz w:val="17"/>
              </w:rPr>
              <w:t>3,175</w:t>
            </w:r>
          </w:p>
        </w:tc>
        <w:tc>
          <w:tcPr>
            <w:tcW w:type="dxa" w:w="1440"/>
            <w:shd w:fill="C6EFCE" w:val="clear"/>
          </w:tcPr>
          <w:p>
            <w:r>
              <w:rPr>
                <w:sz w:val="17"/>
              </w:rPr>
              <w:t>3,610</w:t>
            </w:r>
          </w:p>
        </w:tc>
        <w:tc>
          <w:tcPr>
            <w:tcW w:type="dxa" w:w="1440"/>
            <w:shd w:fill="C6EFCE" w:val="clear"/>
          </w:tcPr>
          <w:p>
            <w:r>
              <w:rPr>
                <w:b/>
                <w:color w:val="008000"/>
                <w:sz w:val="17"/>
              </w:rPr>
              <w:t>+13.8%</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2,734</w:t>
            </w:r>
          </w:p>
        </w:tc>
        <w:tc>
          <w:tcPr>
            <w:tcW w:type="dxa" w:w="1440"/>
            <w:shd w:fill="C6EFCE" w:val="clear"/>
          </w:tcPr>
          <w:p>
            <w:r>
              <w:rPr>
                <w:b/>
                <w:sz w:val="17"/>
              </w:rPr>
              <w:t>3,209</w:t>
            </w:r>
          </w:p>
        </w:tc>
        <w:tc>
          <w:tcPr>
            <w:tcW w:type="dxa" w:w="1440"/>
            <w:shd w:fill="C6EFCE" w:val="clear"/>
          </w:tcPr>
          <w:p>
            <w:r>
              <w:rPr>
                <w:sz w:val="17"/>
              </w:rPr>
              <w:t>3,684</w:t>
            </w:r>
          </w:p>
        </w:tc>
        <w:tc>
          <w:tcPr>
            <w:tcW w:type="dxa" w:w="1440"/>
            <w:shd w:fill="C6EFCE" w:val="clear"/>
          </w:tcPr>
          <w:p>
            <w:r>
              <w:rPr>
                <w:b/>
                <w:color w:val="008000"/>
                <w:sz w:val="17"/>
              </w:rPr>
              <w:t>+15.0%</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2,726</w:t>
            </w:r>
          </w:p>
        </w:tc>
        <w:tc>
          <w:tcPr>
            <w:tcW w:type="dxa" w:w="1440"/>
            <w:shd w:fill="C6EFCE" w:val="clear"/>
          </w:tcPr>
          <w:p>
            <w:r>
              <w:rPr>
                <w:b/>
                <w:sz w:val="17"/>
              </w:rPr>
              <w:t>3,239</w:t>
            </w:r>
          </w:p>
        </w:tc>
        <w:tc>
          <w:tcPr>
            <w:tcW w:type="dxa" w:w="1440"/>
            <w:shd w:fill="C6EFCE" w:val="clear"/>
          </w:tcPr>
          <w:p>
            <w:r>
              <w:rPr>
                <w:sz w:val="17"/>
              </w:rPr>
              <w:t>3,751</w:t>
            </w:r>
          </w:p>
        </w:tc>
        <w:tc>
          <w:tcPr>
            <w:tcW w:type="dxa" w:w="1440"/>
            <w:shd w:fill="C6EFCE" w:val="clear"/>
          </w:tcPr>
          <w:p>
            <w:r>
              <w:rPr>
                <w:b/>
                <w:color w:val="008000"/>
                <w:sz w:val="17"/>
              </w:rPr>
              <w:t>+16.1%</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2,717</w:t>
            </w:r>
          </w:p>
        </w:tc>
        <w:tc>
          <w:tcPr>
            <w:tcW w:type="dxa" w:w="1440"/>
            <w:shd w:fill="C6EFCE" w:val="clear"/>
          </w:tcPr>
          <w:p>
            <w:r>
              <w:rPr>
                <w:b/>
                <w:sz w:val="17"/>
              </w:rPr>
              <w:t>3,264</w:t>
            </w:r>
          </w:p>
        </w:tc>
        <w:tc>
          <w:tcPr>
            <w:tcW w:type="dxa" w:w="1440"/>
            <w:shd w:fill="C6EFCE" w:val="clear"/>
          </w:tcPr>
          <w:p>
            <w:r>
              <w:rPr>
                <w:sz w:val="17"/>
              </w:rPr>
              <w:t>3,812</w:t>
            </w:r>
          </w:p>
        </w:tc>
        <w:tc>
          <w:tcPr>
            <w:tcW w:type="dxa" w:w="1440"/>
            <w:shd w:fill="C6EFCE" w:val="clear"/>
          </w:tcPr>
          <w:p>
            <w:r>
              <w:rPr>
                <w:b/>
                <w:color w:val="008000"/>
                <w:sz w:val="17"/>
              </w:rPr>
              <w:t>+17.0%</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2,705</w:t>
            </w:r>
          </w:p>
        </w:tc>
        <w:tc>
          <w:tcPr>
            <w:tcW w:type="dxa" w:w="1440"/>
            <w:shd w:fill="C6EFCE" w:val="clear"/>
          </w:tcPr>
          <w:p>
            <w:r>
              <w:rPr>
                <w:b/>
                <w:sz w:val="17"/>
              </w:rPr>
              <w:t>3,287</w:t>
            </w:r>
          </w:p>
        </w:tc>
        <w:tc>
          <w:tcPr>
            <w:tcW w:type="dxa" w:w="1440"/>
            <w:shd w:fill="C6EFCE" w:val="clear"/>
          </w:tcPr>
          <w:p>
            <w:r>
              <w:rPr>
                <w:sz w:val="17"/>
              </w:rPr>
              <w:t>3,868</w:t>
            </w:r>
          </w:p>
        </w:tc>
        <w:tc>
          <w:tcPr>
            <w:tcW w:type="dxa" w:w="1440"/>
            <w:shd w:fill="C6EFCE" w:val="clear"/>
          </w:tcPr>
          <w:p>
            <w:r>
              <w:rPr>
                <w:b/>
                <w:color w:val="008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Agro-industriel*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54,68 Mds FCFA, un niveau modeste à l'échelle de la BRVM qui la positionne parmi les valeurs moyennes du compartiment agro-industriel. Le BPA ressort à -406 FCFA/action, conséquence directe de la perte nette de 7,95 Mds FCFA enregistrée en 2025 (IFRS), ce qui rend le PER inexploitable en l'état (-6,9x, négatif car la société est déficitaire). Le P/B de 3,17x traduit une prime de croissance significative accordée par le marché, les investisseurs valorisant le titre bien au-dessus de ses fonds propres comptables (17,24 Mds FCFA), ce qui est paradoxal pour une entreprise en perte. L'EV/EBITDA de 9,8x, dans la fourchette raisonnable de 5-10x, suggère que la valeur d'entreprise reste cohérente avec la capacité opérationnelle dégagée (EBE de 14,85 Mds FCFA). Globalement, la valorisation apparaît tendue au regard de la dégradation des fondamentaux, la prime de P/B n'étant justifiée que par les anticipations de redressement liées au plan d'investissement massif en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SCRC affiche une progression totale de +30,68%, mais la dernière séance (J-1) marque un repli de -1,59%, signalant un essoufflement de la dynamique haussière. Le titre a évolué dans un range très large de 2 080 FCFA (plus bas) à 3 920 FCFA (plus haut), soit une amplitude de 88%, caractéristique d'une forte volatilité. La tendance générale reste haussière sur la période, mais le cours actuel (2 790 FCFA) se situe nettement sous la moyenne (3 172 FCFA) et la médiane (3 298 FCFA), confirmant une correction en cours depuis les sommets. L'écart entre moyenne et médiane (126 FCFA) et le skewness négatif (-0,696) indiquent une asymétrie à gauche : le titre a passé plus de journées au-dessus de la moyenne, mais les baisses récentes tirent la distribution vers le bas. L'écart-type de 467 FCFA (CV=14,7%) traduit une dispersion modérée, tandis que le kurtosis de -0,543 (mésokurtique) suggère une distribution proche de la normale, sans risque extrême de pics. La volatilité annualisée de 58,9% classe le titre dans la catégorie **élevée** (&gt;30%), ce qui est cohérent avec un profil de valeur spéculative en phase de retournement.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(3 224,75 FCFA) et la MM50 (3 437,0 FCFA) se situent toutes deux au-dessus du cours actuel (2 790 FCFA), avec la MM20 sous la MM50, configuration baissière classique. Le cours évolue sous ses deux moyennes, confirmant la pression vendeuse et justifiant la décision **Vente**.</w:t>
      </w:r>
    </w:p>
    <w:p>
      <w:pPr>
        <w:spacing w:after="120" w:line="276" w:lineRule="auto"/>
      </w:pPr>
      <w:r>
        <w:t>**Bandes de Bollinger** : Le cours (2 790 FCFA) se situe dans la partie basse du canal, entre la borne inférieure (2 594,24 FCFA) et la borne supérieure (3 855,26 FCFA), sans franchissement de seuil. La largeur du canal reflète une volatilité élevée, et la position du cours suggère une phase de consolidation, d'où la décision **Neutre**.</w:t>
      </w:r>
    </w:p>
    <w:p>
      <w:pPr>
        <w:spacing w:after="120" w:line="276" w:lineRule="auto"/>
      </w:pPr>
      <w:r>
        <w:t>**MACD** : La valeur du MACD (-174,44) est inférieure à son signal (-137,33), avec un histogramme négatif, confirmant un momentum baissier. La divergence négative persistante justifie la décision **Vente**, bien que l'écart se réduise légèrement, suggérant un possible essoufflement de la baisse.</w:t>
      </w:r>
    </w:p>
    <w:p>
      <w:pPr>
        <w:spacing w:after="120" w:line="276" w:lineRule="auto"/>
      </w:pPr>
      <w:r>
        <w:t>**RSI** : À 26,80, le RSI est en zone de **survente** (&lt;30), signalant un excès baissier et un potentiel rebond technique à court terme. Cette configuration justifie la décision **Achat** en contre-tendance.</w:t>
      </w:r>
    </w:p>
    <w:p>
      <w:pPr>
        <w:spacing w:after="120" w:line="276" w:lineRule="auto"/>
      </w:pPr>
      <w:r>
        <w:t>**Stochastique** : Le %K (12,35) est inférieur au %D (19,99), mais les deux se situent en zone de survente extrême (&lt;20), avec un croisement potentiel à venir. La décision **Achat** reflète cette anticipation d'un retournement haussier.</w:t>
      </w:r>
    </w:p>
    <w:p>
      <w:pPr>
        <w:spacing w:after="120" w:line="276" w:lineRule="auto"/>
      </w:pPr>
      <w:r>
        <w:t>**Conclusion technique** : Les indicateurs sont divergents : les moyennes mobiles et le MACD confirment la tendance baissière de fond, tandis que le RSI et le stochastique signalent une survente propice à un rebond technique. Cette configuration suggère une phase de consolidation avec un potentiel de rebond à court terme, mais la tendance de fond reste fragile tant que le cours ne repasse pas au-dessus de la MM20 (3 224,75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SCRC a enregistré un chiffre d'affaires de 80,57 Mds FCFA, en recul de 7,6% par rapport à 2024 (87,22 Mds FCFA), et une perte nette de 7,95 Mds FCFA (IFRS) contre un bénéfice de 2,47 Mds FCFA en 2024, soit une dégradation de 421%. Le ROE s'effondre à -46,13% et le ROA à -5,08%, confirmant la destruction de valeur. La marge nette est négative à -9,87%, tandis que la marge brute reste stable à 45,82%, témoignant d'un bon contrôle des coûts de production. La structure financière est critique : l'autonomie financière n'est que de 11,02% (seuil sain &gt;30%), le ratio d'endettement atteint 88,98% et la dépendance financière 492,21%. Les délais clients (12,28 jours) sont bien maîtrisés, mais le délai fournisseurs (366,07 jours) et la durée de stockage (360,73 jours) révèlent une gestion préoccupante du cycle d'exploitation, avec un BFR de 6,53 Mds FCFA et un fonds de roulement négatif (-10,67 Mds FCFA). La trésorerie nette est négative à -6,51 Mds FCFA, et la capacité de remboursement (11,21 ans) est alarmante. Les rapports trimestriels de 2025 (T1 et S1) confirment la tendance : au S1 2025, le CA recule de 5% à 42,87 Mds FCFA et le résultat net est négatif à -6,71 Mds FCFA, en forte détérioration par rapport au bénéfice de +1,26 Md FCFA du S1 2024. Le rapport annuel 2024 (publié en 2025) soulignait déjà la fragilité de la reprise, avec un résultat financier lourdement déficitaire (-4,67 Mds FCFA) et une dépendance aux performances opérationnelles. Les perspectives 2026 restent très préoccupantes : la société devra impérativement restructurer sa dette (dont le coût a explosé à 6,79 Mds FCFA, +262%) et redresser ses marges opérationnelles. La recommandation fondamentale est **Vente** : la dégradation massive de la rentabilité, l'explosion de l'endettement et l'érosion des capitaux propres compromettent la viabilité financière à court terme, malgré les investissements massifs (25,2 Mds FCFA) qui pourraient soutenir une reprise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tendue : le PER négatif (-6,9x) et le P/B élevé (3,17x) traduisent une prime injustifiée au regard des pertes, tandis que l'EV/EBITDA (9,8x) reste raisonnable mais ne compense pas la fragilité financière. Le comportement du cours (Partie 1) est préoccupant : malgré une hausse de +30,68% sur 100 jours, la correction récente (-1,59% en J-1) et la position sous la moyenne (2 790 FCFA vs 3 172 FCFA) signalent un essoufflement, avec une volatilité élevée (58,9%) et un skewness négatif (-0,696) indiquant une asymétrie baissière. Les signaux techniques (Partie 2) sont divergents : les moyennes mobiles et le MACD confirment la tendance baissière, tandis que le RSI (26,80) et le stochastique (12,35) signalent une survente propice à un rebond technique à court terme. Les fondamentaux (Partie 3) sont très dégradés : perte nette de 7,95 Mds FCFA en 2025, ROE de -46,13%, endettement critique (88,98%) et trésorerie nette négative (-6,51 Mds FCFA), avec des perspectives 2026 très préoccupantes. Les prédictions IA (J+1 à J+10) anticipent une reprise progressive de 2 927 FCFA à 3 175 FCFA, ce qui contredit la tendance baissière actuelle mais s'aligne sur le rebond technique attendu par le RSI et le stochastique. **Recommandation finale : VENTE** — La convergence des signaux fondamentaux (dégradation massive) et techniques (tendance baissière de fond) l'emporte sur le rebond technique anticipé et les prédictions IA. Le niveau de confiance est **Moyen** (les indicateurs de survente pouvant générer un rebond à court terme) et le risque global est **Élevé** (endettement critique, trésorerie négative, pertes récurrentes). L'horizon d'investissement optimal est **court terme** (&lt;3 mois) pour profiter d'un éventuel rebond technique, mais une exposition prolongée est déconseillée en l'absence de visibilité sur la restructuration financière.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1,487 titres</w:t>
            </w:r>
          </w:p>
        </w:tc>
        <w:tc>
          <w:tcPr>
            <w:tcW w:type="dxa" w:w="2268"/>
            <w:shd w:fill="FFF2CC" w:val="clear"/>
          </w:tcPr>
          <w:p>
            <w:r>
              <w:rPr>
                <w:b/>
                <w:color w:val="503200"/>
                <w:sz w:val="16"/>
              </w:rPr>
              <w:t xml:space="preserve">Cours actuel : </w:t>
            </w:r>
            <w:r>
              <w:rPr>
                <w:color w:val="000000"/>
                <w:sz w:val="17"/>
              </w:rPr>
              <w:t>12,940 FCFA</w:t>
            </w:r>
          </w:p>
          <w:p>
            <w:r>
              <w:rPr>
                <w:b/>
                <w:color w:val="503200"/>
                <w:sz w:val="16"/>
              </w:rPr>
              <w:t xml:space="preserve">Var. 100 jours : </w:t>
            </w:r>
            <w:r>
              <w:rPr>
                <w:b/>
                <w:color w:val="007800"/>
                <w:sz w:val="17"/>
              </w:rPr>
              <w:t>+42.28%</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9,095 FCFA</w:t>
            </w:r>
          </w:p>
          <w:p>
            <w:r>
              <w:rPr>
                <w:b/>
                <w:color w:val="503200"/>
                <w:sz w:val="16"/>
              </w:rPr>
              <w:t xml:space="preserve">Volatilité ann. : </w:t>
            </w:r>
            <w:r>
              <w:rPr>
                <w:color w:val="000000"/>
                <w:sz w:val="17"/>
              </w:rPr>
              <w:t>39.2%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7.65% (Moyenne) — μ=11,922 FCFA, σ=912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β=0.7648 (Défensif) — Cov=0.000053, Var(idx)=0.000069, ρ=0.254,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σ_j=2.47%/j (Stable) — Vol. annualisée≈39.2%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11,954</w:t>
            </w:r>
          </w:p>
        </w:tc>
        <w:tc>
          <w:tcPr>
            <w:tcW w:type="dxa" w:w="1440"/>
            <w:shd w:fill="FAFAFA" w:val="clear"/>
          </w:tcPr>
          <w:p>
            <w:r>
              <w:rPr>
                <w:b/>
                <w:sz w:val="17"/>
              </w:rPr>
              <w:t>12,962</w:t>
            </w:r>
          </w:p>
        </w:tc>
        <w:tc>
          <w:tcPr>
            <w:tcW w:type="dxa" w:w="1440"/>
            <w:shd w:fill="FAFAFA" w:val="clear"/>
          </w:tcPr>
          <w:p>
            <w:r>
              <w:rPr>
                <w:sz w:val="17"/>
              </w:rPr>
              <w:t>13,971</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11,735</w:t>
            </w:r>
          </w:p>
        </w:tc>
        <w:tc>
          <w:tcPr>
            <w:tcW w:type="dxa" w:w="1440"/>
            <w:shd w:fill="FAFAFA" w:val="clear"/>
          </w:tcPr>
          <w:p>
            <w:r>
              <w:rPr>
                <w:b/>
                <w:sz w:val="17"/>
              </w:rPr>
              <w:t>12,971</w:t>
            </w:r>
          </w:p>
        </w:tc>
        <w:tc>
          <w:tcPr>
            <w:tcW w:type="dxa" w:w="1440"/>
            <w:shd w:fill="FAFAFA" w:val="clear"/>
          </w:tcPr>
          <w:p>
            <w:r>
              <w:rPr>
                <w:sz w:val="17"/>
              </w:rPr>
              <w:t>14,207</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11,540</w:t>
            </w:r>
          </w:p>
        </w:tc>
        <w:tc>
          <w:tcPr>
            <w:tcW w:type="dxa" w:w="1440"/>
            <w:shd w:fill="FAFAFA" w:val="clear"/>
          </w:tcPr>
          <w:p>
            <w:r>
              <w:rPr>
                <w:b/>
                <w:sz w:val="17"/>
              </w:rPr>
              <w:t>12,967</w:t>
            </w:r>
          </w:p>
        </w:tc>
        <w:tc>
          <w:tcPr>
            <w:tcW w:type="dxa" w:w="1440"/>
            <w:shd w:fill="FAFAFA" w:val="clear"/>
          </w:tcPr>
          <w:p>
            <w:r>
              <w:rPr>
                <w:sz w:val="17"/>
              </w:rPr>
              <w:t>14,394</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11,378</w:t>
            </w:r>
          </w:p>
        </w:tc>
        <w:tc>
          <w:tcPr>
            <w:tcW w:type="dxa" w:w="1440"/>
            <w:shd w:fill="FAFAFA" w:val="clear"/>
          </w:tcPr>
          <w:p>
            <w:r>
              <w:rPr>
                <w:b/>
                <w:sz w:val="17"/>
              </w:rPr>
              <w:t>12,974</w:t>
            </w:r>
          </w:p>
        </w:tc>
        <w:tc>
          <w:tcPr>
            <w:tcW w:type="dxa" w:w="1440"/>
            <w:shd w:fill="FAFAFA" w:val="clear"/>
          </w:tcPr>
          <w:p>
            <w:r>
              <w:rPr>
                <w:sz w:val="17"/>
              </w:rPr>
              <w:t>14,570</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11,234</w:t>
            </w:r>
          </w:p>
        </w:tc>
        <w:tc>
          <w:tcPr>
            <w:tcW w:type="dxa" w:w="1440"/>
            <w:shd w:fill="FAFAFA" w:val="clear"/>
          </w:tcPr>
          <w:p>
            <w:r>
              <w:rPr>
                <w:b/>
                <w:sz w:val="17"/>
              </w:rPr>
              <w:t>12,983</w:t>
            </w:r>
          </w:p>
        </w:tc>
        <w:tc>
          <w:tcPr>
            <w:tcW w:type="dxa" w:w="1440"/>
            <w:shd w:fill="FAFAFA" w:val="clear"/>
          </w:tcPr>
          <w:p>
            <w:r>
              <w:rPr>
                <w:sz w:val="17"/>
              </w:rPr>
              <w:t>14,733</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11,105</w:t>
            </w:r>
          </w:p>
        </w:tc>
        <w:tc>
          <w:tcPr>
            <w:tcW w:type="dxa" w:w="1440"/>
            <w:shd w:fill="FAFAFA" w:val="clear"/>
          </w:tcPr>
          <w:p>
            <w:r>
              <w:rPr>
                <w:b/>
                <w:sz w:val="17"/>
              </w:rPr>
              <w:t>12,997</w:t>
            </w:r>
          </w:p>
        </w:tc>
        <w:tc>
          <w:tcPr>
            <w:tcW w:type="dxa" w:w="1440"/>
            <w:shd w:fill="FAFAFA" w:val="clear"/>
          </w:tcPr>
          <w:p>
            <w:r>
              <w:rPr>
                <w:sz w:val="17"/>
              </w:rPr>
              <w:t>14,889</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10,992</w:t>
            </w:r>
          </w:p>
        </w:tc>
        <w:tc>
          <w:tcPr>
            <w:tcW w:type="dxa" w:w="1440"/>
            <w:shd w:fill="FAFAFA" w:val="clear"/>
          </w:tcPr>
          <w:p>
            <w:r>
              <w:rPr>
                <w:b/>
                <w:sz w:val="17"/>
              </w:rPr>
              <w:t>13,017</w:t>
            </w:r>
          </w:p>
        </w:tc>
        <w:tc>
          <w:tcPr>
            <w:tcW w:type="dxa" w:w="1440"/>
            <w:shd w:fill="FAFAFA" w:val="clear"/>
          </w:tcPr>
          <w:p>
            <w:r>
              <w:rPr>
                <w:sz w:val="17"/>
              </w:rPr>
              <w:t>15,043</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10,891</w:t>
            </w:r>
          </w:p>
        </w:tc>
        <w:tc>
          <w:tcPr>
            <w:tcW w:type="dxa" w:w="1440"/>
            <w:shd w:fill="FAFAFA" w:val="clear"/>
          </w:tcPr>
          <w:p>
            <w:r>
              <w:rPr>
                <w:b/>
                <w:sz w:val="17"/>
              </w:rPr>
              <w:t>13,044</w:t>
            </w:r>
          </w:p>
        </w:tc>
        <w:tc>
          <w:tcPr>
            <w:tcW w:type="dxa" w:w="1440"/>
            <w:shd w:fill="FAFAFA" w:val="clear"/>
          </w:tcPr>
          <w:p>
            <w:r>
              <w:rPr>
                <w:sz w:val="17"/>
              </w:rPr>
              <w:t>15,197</w:t>
            </w:r>
          </w:p>
        </w:tc>
        <w:tc>
          <w:tcPr>
            <w:tcW w:type="dxa" w:w="1440"/>
            <w:shd w:fill="FAFAFA" w:val="clear"/>
          </w:tcPr>
          <w:p>
            <w:r>
              <w:rPr>
                <w:b/>
                <w:color w:val="008000"/>
                <w:sz w:val="17"/>
              </w:rPr>
              <w:t>+0.8%</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10,790</w:t>
            </w:r>
          </w:p>
        </w:tc>
        <w:tc>
          <w:tcPr>
            <w:tcW w:type="dxa" w:w="1440"/>
            <w:shd w:fill="FAFAFA" w:val="clear"/>
          </w:tcPr>
          <w:p>
            <w:r>
              <w:rPr>
                <w:b/>
                <w:sz w:val="17"/>
              </w:rPr>
              <w:t>13,062</w:t>
            </w:r>
          </w:p>
        </w:tc>
        <w:tc>
          <w:tcPr>
            <w:tcW w:type="dxa" w:w="1440"/>
            <w:shd w:fill="FAFAFA" w:val="clear"/>
          </w:tcPr>
          <w:p>
            <w:r>
              <w:rPr>
                <w:sz w:val="17"/>
              </w:rPr>
              <w:t>15,335</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aux collectivités (Eau)*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116,46 milliards FCFA, SDCC se positionne parmi les valeurs moyennes-capitalisations de la cote BRVM, ce qui traduit une certaine maturité et une liquidité limitée (volume moyen de 1 487 titres/jour). Le BPA de 518 FCFA/action indique que chaque titre génère un bénéfice net substantiel, mais le PER de 25,0x signifie que les investisseurs paient 25 fois les bénéfices, soit un niveau nettement supérieur à la moyenne du marché BRVM (8-12x) — ce qui intègre une prime de croissance ou une possible surévaluation. Le P/B de 5,91x confirme cette exigence : le marché valorise SDCC à près de 6 fois sa valeur comptable, une prime très élevée qui suppose une forte rentabilité future des fonds propres. Enfin, l'EV/EBITDA de 14,9x, dans la fourchette haute (10-15x),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remarquable de +42,28%, portée par un cours actuel de 12 940 FCFA, malgré un léger repli de -0,46% lors de la dernière séance. Le range de trading est large, avec un plus haut à 13 885 FCFA et un plus bas à 9 095 FCFA, soit une amplitude de plus de 52%, témoignant d'une tendance haussière dynamique mais ponctuée de corrections. La moyenne (11 922 FCFA) et la médiane (11 960 FCFA) sont quasi confondues, signe d'une distribution globalement équilibrée, tandis que le mode à 11 900 FCFA confirme cette zone de consolidation. L'écart-type de 917 FCFA (CV = 7,7%) indique une dispersion modérée du cours autour de sa moyenne, mais le kurtosis de 1,503 (leptokurtique) signale des queues épaisses, donc un risque de pics de volatilité brutaux. Le skewness négatif (-0,554) révèle une asymétrie avec davantage de journées au-dessus de la moyenne, ce qui est plutôt favorable aux détenteurs. Enfin, la volatilité annualisée de 39,2% classe le titre dans la catégorie des valeurs à volatilité élevée (&gt;30%), ce qui implique un risque significatif mais aussi un potentiel de rendement attractif.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(12 912,5 FCFA) et la MM50 (12 421,8 FCFA) sont toutes deux inférieures au cours actuel (12 940 FCFA), et la MM20 est au-dessus de la MM50, configurant un croisement haussier classique. Cette disposition confirme une dynamique positive de court et moyen terme, justifiant la décision d'achat.</w:t>
      </w:r>
    </w:p>
    <w:p>
      <w:pPr>
        <w:spacing w:after="120" w:line="276" w:lineRule="auto"/>
      </w:pPr>
      <w:r>
        <w:t>**Bandes de Bollinger** : Le cours (12 940 FCFA) évolue dans la partie médiane de la bande, entre la borne inférieure (11 445 FCFA) et supérieure (14 380 FCFA), sans contact avec les extrêmes. Cette position neutre indique l'absence de signal de surachat ou de survente immédiat, avec une volatilité contenue dans les bornes.</w:t>
      </w:r>
    </w:p>
    <w:p>
      <w:pPr>
        <w:spacing w:after="120" w:line="276" w:lineRule="auto"/>
      </w:pPr>
      <w:r>
        <w:t>**MACD** : La valeur du MACD (-1,298) est nettement inférieure à son signal (13,337), générant une divergence baissière préoccupante. Ce croisement négatif signale un essoufflement du momentum haussier et un risque de correction à court terme, justifiant la décision de vente.</w:t>
      </w:r>
    </w:p>
    <w:p>
      <w:pPr>
        <w:spacing w:after="120" w:line="276" w:lineRule="auto"/>
      </w:pPr>
      <w:r>
        <w:t>**RSI** : À 46,179, le RSI se situe en zone neutre (30-70), sans pression acheteuse ou vendeuse dominante. Cette position médiane reflète un équilibre entre les forces en présence, sans signal directionnel fort.</w:t>
      </w:r>
    </w:p>
    <w:p>
      <w:pPr>
        <w:spacing w:after="120" w:line="276" w:lineRule="auto"/>
      </w:pPr>
      <w:r>
        <w:t>**Stochastique** : Le %K (65,257) est légèrement inférieur au %D (66,605), sans croisement net, mais les deux courbes évoluent en zone haute, proche de la zone de surachat (&gt;80). Cette configuration suggère une possible inflexion baissière à surveiller, justifiant la neutralité.</w:t>
      </w:r>
    </w:p>
    <w:p>
      <w:pPr>
        <w:spacing w:after="120" w:line="276" w:lineRule="auto"/>
      </w:pPr>
      <w:r>
        <w:t>**Conclusion technique** : Les indicateurs sont divergents : les moyennes mobiles sont haussières, mais le MACD est baissier et le RSI/Stochastique sont neutres. Cette configuration mixte plaide pour une consolidation avant une reprise éventuelle, avec un biais légèrement favorable tant que le cours reste au-dessus de la MM50 (12 421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affiche un chiffre d'affaires de 189,430 milliards FCFA, en croissance de +9,98% sur un an, porté par une hausse du nombre de clients (+6,14% à 2 272 032 abonnés) et une production d'eau de 388,3 millions m³. Le résultat net s'établit à 4,663 milliards FCFA, en progression de +31% (contre 3,56 milliards en 2024), avec une marge nette de 2,46% et un ROE de 23,65% — un niveau excellent (&gt;15%) qui témoigne d'une forte rentabilité des fonds propres, bien que le ROA reste faible à 0,99% en raison d'un actif très lourd (472,672 milliards FCFA). La structure financière est cependant très déséquilibrée : l'autonomie financière n'est que de 4,17% (capitaux propres de 19,716 milliards FCFA pour un total bilan de 472,672 milliards), et le ratio d'endettement atteint 95,83%, avec des dettes financières totales de 145,939 milliards FCFA. Le BFR est négatif à -104,748 milliards FCFA (favorable), mais le délai client est très élevé à 749,25 jours, ce qui constitue un risque majeur de trésorerie, confirmé par une trésorerie nette de -61,710 milliards FCFA et un flux opérationnel négatif de -36,655 milliards FCFA. Les rapports trimestriels récents confirment cette dynamique : le T1 2026 (rapport 2026) affiche un CA en léger repli de -2% à 40 916 millions FCFA, mais un résultat net en bond spectaculaire de +118% à 1 318 millions FCFA, grâce à une meilleure maîtrise des charges opérationnelles (résultat d'exploitation multiplié par 2,5 à 2 730 millions FCFA). Le rapport S1 2025 (daté du 30/06/2025) montrait déjà une amélioration du résultat financier (+40%) et une confiance de la direction dans l'atteinte des objectifs annuels. Sur la base du T1 2026, on peut estimer que l'exercice 2026 devrait confirmer la tendance à l'amélioration de la rentabilité, avec un résultat net annualisé potentiellement supérieur à 5 milliards FCFA, malgré la pression fiscale (+476% d'impôt au T1 2026). La recommandation fondamentale est de **CONSERVER** : la solidité opérationnelle et la position de monopole dans un secteur stratégique (eau) compensent les risques de trésorerie et d'endettement, mais la valorisation exigeante (PER 25x) limite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exigeante : le PER de 25,0x et le P/B de 5,91x intègrent une prime de croissance qui contraste avec la moyenne du marché BRVM (8-12x), tandis que l'EV/EBITDA de 14,9x laisse peu de marge d'erreur. Le comportement du cours est haussier (+42,28% sur 100 jours) mais la volatilité annualisée de 39,2% et le kurtosis leptokurtique (1,503) signalent un risque de pics baissiers, même si le skewness négatif (-0,554) indique une asymétrie favorable. Les signaux techniques sont divergents : les moyennes mobiles sont haussières (MM20 &gt; MM50 &gt; cours), mais le MACD est baissier et le RSI/Stochastique sont neutres, ce qui suggère une consolidation avant une reprise. Les fondamentaux sont solides (ROE de 23,65%, résultat net en hausse de +31% en 2025, T1 2026 avec un bond de +118% du résultat net), mais la structure financière est fragile (autonomie financière de 4,17%, trésorerie nette de -61,710 milliards FCFA, délai client de 749 jours). Les prédictions IA (J+1 à J+10) tablent sur une légère hausse vers 12 983 FCFA, confirmant la tendance haussière de court terme mais sans emballement. Sur la base de cette synthèse, la recommandation finale est **CONSERVER** : la convergence entre la dynamique opérationnelle (T1 2026), la tendance technique de fond (moyennes mobiles) et les prédictions IA modérément haussières soutient le maintien en portefeuille, mais la valorisation tendue et les risques de trésorerie empêchent un passage à l'achat. Le niveau de confiance est **Moyen** (divergence MACD vs moyennes mobiles) et le risque global est **Élevé** (volatilité de 39,2%, endettement de 95,83%, délai client de 749 jours). L'horizon d'investissement optimal est le **moyen terme (3-12 mois)**, le temps que les effets du nouveau contrat de délégation et de la transformation digitale se matérialisent dans les résultats.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18,373 titres</w:t>
            </w:r>
          </w:p>
        </w:tc>
        <w:tc>
          <w:tcPr>
            <w:tcW w:type="dxa" w:w="2268"/>
            <w:shd w:fill="FFF2CC" w:val="clear"/>
          </w:tcPr>
          <w:p>
            <w:r>
              <w:rPr>
                <w:b/>
                <w:color w:val="503200"/>
                <w:sz w:val="16"/>
              </w:rPr>
              <w:t xml:space="preserve">Cours actuel : </w:t>
            </w:r>
            <w:r>
              <w:rPr>
                <w:color w:val="000000"/>
                <w:sz w:val="17"/>
              </w:rPr>
              <w:t>2,915 FCFA</w:t>
            </w:r>
          </w:p>
          <w:p>
            <w:r>
              <w:rPr>
                <w:b/>
                <w:color w:val="503200"/>
                <w:sz w:val="16"/>
              </w:rPr>
              <w:t xml:space="preserve">Var. 100 jours : </w:t>
            </w:r>
            <w:r>
              <w:rPr>
                <w:b/>
                <w:color w:val="007800"/>
                <w:sz w:val="17"/>
              </w:rPr>
              <w:t>+67.05%</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17.21% (Élevée) — μ=2,491 FCFA, σ=429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β=0.6861 (Défensif) — Cov=0.000047, Var(idx)=0.000069, ρ=0.175,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18,373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2,702</w:t>
            </w:r>
          </w:p>
        </w:tc>
        <w:tc>
          <w:tcPr>
            <w:tcW w:type="dxa" w:w="1440"/>
            <w:shd w:fill="FAFAFA" w:val="clear"/>
          </w:tcPr>
          <w:p>
            <w:r>
              <w:rPr>
                <w:b/>
                <w:sz w:val="17"/>
              </w:rPr>
              <w:t>2,908</w:t>
            </w:r>
          </w:p>
        </w:tc>
        <w:tc>
          <w:tcPr>
            <w:tcW w:type="dxa" w:w="1440"/>
            <w:shd w:fill="FAFAFA" w:val="clear"/>
          </w:tcPr>
          <w:p>
            <w:r>
              <w:rPr>
                <w:sz w:val="17"/>
              </w:rPr>
              <w:t>3,114</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2,658</w:t>
            </w:r>
          </w:p>
        </w:tc>
        <w:tc>
          <w:tcPr>
            <w:tcW w:type="dxa" w:w="1440"/>
            <w:shd w:fill="FAFAFA" w:val="clear"/>
          </w:tcPr>
          <w:p>
            <w:r>
              <w:rPr>
                <w:b/>
                <w:sz w:val="17"/>
              </w:rPr>
              <w:t>2,910</w:t>
            </w:r>
          </w:p>
        </w:tc>
        <w:tc>
          <w:tcPr>
            <w:tcW w:type="dxa" w:w="1440"/>
            <w:shd w:fill="FAFAFA" w:val="clear"/>
          </w:tcPr>
          <w:p>
            <w:r>
              <w:rPr>
                <w:sz w:val="17"/>
              </w:rPr>
              <w:t>3,163</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2,619</w:t>
            </w:r>
          </w:p>
        </w:tc>
        <w:tc>
          <w:tcPr>
            <w:tcW w:type="dxa" w:w="1440"/>
            <w:shd w:fill="FAFAFA" w:val="clear"/>
          </w:tcPr>
          <w:p>
            <w:r>
              <w:rPr>
                <w:b/>
                <w:sz w:val="17"/>
              </w:rPr>
              <w:t>2,910</w:t>
            </w:r>
          </w:p>
        </w:tc>
        <w:tc>
          <w:tcPr>
            <w:tcW w:type="dxa" w:w="1440"/>
            <w:shd w:fill="FAFAFA" w:val="clear"/>
          </w:tcPr>
          <w:p>
            <w:r>
              <w:rPr>
                <w:sz w:val="17"/>
              </w:rPr>
              <w:t>3,202</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2,583</w:t>
            </w:r>
          </w:p>
        </w:tc>
        <w:tc>
          <w:tcPr>
            <w:tcW w:type="dxa" w:w="1440"/>
            <w:shd w:fill="FAFAFA" w:val="clear"/>
          </w:tcPr>
          <w:p>
            <w:r>
              <w:rPr>
                <w:b/>
                <w:sz w:val="17"/>
              </w:rPr>
              <w:t>2,909</w:t>
            </w:r>
          </w:p>
        </w:tc>
        <w:tc>
          <w:tcPr>
            <w:tcW w:type="dxa" w:w="1440"/>
            <w:shd w:fill="FAFAFA" w:val="clear"/>
          </w:tcPr>
          <w:p>
            <w:r>
              <w:rPr>
                <w:sz w:val="17"/>
              </w:rPr>
              <w:t>3,235</w:t>
            </w:r>
          </w:p>
        </w:tc>
        <w:tc>
          <w:tcPr>
            <w:tcW w:type="dxa" w:w="1440"/>
            <w:shd w:fill="FAFAFA" w:val="clear"/>
          </w:tcPr>
          <w:p>
            <w:r>
              <w:rPr>
                <w:b/>
                <w:color w:val="C00000"/>
                <w:sz w:val="17"/>
              </w:rPr>
              <w:t>-0.2%</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2,550</w:t>
            </w:r>
          </w:p>
        </w:tc>
        <w:tc>
          <w:tcPr>
            <w:tcW w:type="dxa" w:w="1440"/>
            <w:shd w:fill="FAFAFA" w:val="clear"/>
          </w:tcPr>
          <w:p>
            <w:r>
              <w:rPr>
                <w:b/>
                <w:sz w:val="17"/>
              </w:rPr>
              <w:t>2,907</w:t>
            </w:r>
          </w:p>
        </w:tc>
        <w:tc>
          <w:tcPr>
            <w:tcW w:type="dxa" w:w="1440"/>
            <w:shd w:fill="FAFAFA" w:val="clear"/>
          </w:tcPr>
          <w:p>
            <w:r>
              <w:rPr>
                <w:sz w:val="17"/>
              </w:rPr>
              <w:t>3,264</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2,519</w:t>
            </w:r>
          </w:p>
        </w:tc>
        <w:tc>
          <w:tcPr>
            <w:tcW w:type="dxa" w:w="1440"/>
            <w:shd w:fill="FAFAFA" w:val="clear"/>
          </w:tcPr>
          <w:p>
            <w:r>
              <w:rPr>
                <w:b/>
                <w:sz w:val="17"/>
              </w:rPr>
              <w:t>2,905</w:t>
            </w:r>
          </w:p>
        </w:tc>
        <w:tc>
          <w:tcPr>
            <w:tcW w:type="dxa" w:w="1440"/>
            <w:shd w:fill="FAFAFA" w:val="clear"/>
          </w:tcPr>
          <w:p>
            <w:r>
              <w:rPr>
                <w:sz w:val="17"/>
              </w:rPr>
              <w:t>3,290</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2,491</w:t>
            </w:r>
          </w:p>
        </w:tc>
        <w:tc>
          <w:tcPr>
            <w:tcW w:type="dxa" w:w="1440"/>
            <w:shd w:fill="FAFAFA" w:val="clear"/>
          </w:tcPr>
          <w:p>
            <w:r>
              <w:rPr>
                <w:b/>
                <w:sz w:val="17"/>
              </w:rPr>
              <w:t>2,902</w:t>
            </w:r>
          </w:p>
        </w:tc>
        <w:tc>
          <w:tcPr>
            <w:tcW w:type="dxa" w:w="1440"/>
            <w:shd w:fill="FAFAFA" w:val="clear"/>
          </w:tcPr>
          <w:p>
            <w:r>
              <w:rPr>
                <w:sz w:val="17"/>
              </w:rPr>
              <w:t>3,314</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2,464</w:t>
            </w:r>
          </w:p>
        </w:tc>
        <w:tc>
          <w:tcPr>
            <w:tcW w:type="dxa" w:w="1440"/>
            <w:shd w:fill="FAFAFA" w:val="clear"/>
          </w:tcPr>
          <w:p>
            <w:r>
              <w:rPr>
                <w:b/>
                <w:sz w:val="17"/>
              </w:rPr>
              <w:t>2,900</w:t>
            </w:r>
          </w:p>
        </w:tc>
        <w:tc>
          <w:tcPr>
            <w:tcW w:type="dxa" w:w="1440"/>
            <w:shd w:fill="FAFAFA" w:val="clear"/>
          </w:tcPr>
          <w:p>
            <w:r>
              <w:rPr>
                <w:sz w:val="17"/>
              </w:rPr>
              <w:t>3,336</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2,438</w:t>
            </w:r>
          </w:p>
        </w:tc>
        <w:tc>
          <w:tcPr>
            <w:tcW w:type="dxa" w:w="1440"/>
            <w:shd w:fill="FAFAFA" w:val="clear"/>
          </w:tcPr>
          <w:p>
            <w:r>
              <w:rPr>
                <w:b/>
                <w:sz w:val="17"/>
              </w:rPr>
              <w:t>2,898</w:t>
            </w:r>
          </w:p>
        </w:tc>
        <w:tc>
          <w:tcPr>
            <w:tcW w:type="dxa" w:w="1440"/>
            <w:shd w:fill="FAFAFA" w:val="clear"/>
          </w:tcPr>
          <w:p>
            <w:r>
              <w:rPr>
                <w:sz w:val="17"/>
              </w:rPr>
              <w:t>3,357</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158,68 milliards FCFA, SDSC s'impose comme une valeur de premier plan de la cote BRVM, représentant un poids significatif dans l'indice composite. Le BPA de 387 FCFA/action indique ce que chaque titre rapporte en bénéfice, mais ce chiffre doit être nuancé car il repose sur l'exercice 2024, année exceptionnellement profitable. Le PER de 7,5x situe le titre en dessous de la moyenne BRVM (8-12x), suggérant une potentielle sous-évaluation — mais ce ratio est mécaniquement biaisé par le résultat 2024 exceptionnel de 21,07 milliards FCFA, non représentatif de la rentabilité récurrente. Le P/B de 2,04x traduit une prime de croissance accordée par le marché, cohérente avec la position stratégique d'AGL CI dans le hub logistique d'Abidjan. En revanche, l'EV/EBITDA de 34,2x apparaît très exigeant (&gt;15x), signalant que la valeur d'entreprise intègre des anticipations de croissance que les résultats opérationnels actuels ne justifient pas encore pleinement.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+67,05%, passant d'un plus bas de 1 650 FCFA à un plus haut de 3 205 FCFA, avant de terminer à 2 915 FCFA, soit une contraction de -3,32% lors de la dernière séance. Le range de trading de 1 555 FCFA (soit près de 94% du cours plancher) témoigne d'une volatilité directionnelle intense, caractéristique d'un titre en phase de revalorisation. La moyenne de 2 491 FCFA se situe en dessous de la médiane de 2 572 FCFA, indiquant une distribution légèrement asymétrique avec une concentration des cours vers le haut de la fourchette. L'écart-type de 431 FCFA (CV=17,3%) révèle une dispersion modérée autour de la moyenne, tandis que le kurtosis de -0,847 (mésokurtique) suggère une distribution proche de la normale, sans risque excessif de pics extrêmes. Le skewness de -0,471 confirme cette symétrie avec une légère queue vers la gauche, signe que les baisses récentes ont été contenues. La volatilité annualisée de 51,4% classe ce titre dans la catégorie des valeurs à volatilité élevée (&gt;30%), exigeant une tolérance au risque importante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(2 992 FCFA) et la MM50 (2 822,8 FCFA) encadrent le cours actuel de 2 915 FCFA, qui se situe entre ces deux références. Le cours évolue au-dessus de la MM50 mais sous la MM20, configuration qui traduit une consolidation après la forte hausse. La décision technique est à l'**Achat**, soutenue par la structure haussière des moyennes (MM20 &gt; MM50) et le positionnement du cours au-dessus de la MM50.</w:t>
      </w:r>
    </w:p>
    <w:p>
      <w:pPr>
        <w:spacing w:after="120" w:line="276" w:lineRule="auto"/>
      </w:pPr>
      <w:r>
        <w:t>**Bandes de Bollinger** : Le cours (2 915 FCFA) évolue dans la partie médiane de la bande, entre la borne inférieure (2 753,86 FCFA) et supérieure (3 230,14 FCFA), avec une largeur de bande de 476 FCFA reflétant une volatilité encore soutenue. La décision est **Neutre**, le cours n'étant ni en zone de surachat (borne haute) ni de survente (borne basse), laissant place à une consolidation.</w:t>
      </w:r>
    </w:p>
    <w:p>
      <w:pPr>
        <w:spacing w:after="120" w:line="276" w:lineRule="auto"/>
      </w:pPr>
      <w:r>
        <w:t>**MACD** : La valeur du MACD (32,958) est inférieure à son signal (43,054), générant un croisement baissier et une divergence négative. Le momentum s'affaiblit après la forte progression, ce qui justifie la décision de **Vente** à court terme, bien que la ligne MACD reste en territoire positif.</w:t>
      </w:r>
    </w:p>
    <w:p>
      <w:pPr>
        <w:spacing w:after="120" w:line="276" w:lineRule="auto"/>
      </w:pPr>
      <w:r>
        <w:t>**RSI** : À 44,651, le RSI se situe en zone neutre (30-70), sans signal de surachat ni de survente. Cette configuration indique un équilibre entre acheteurs et vendeurs, justifiant la décision **Neutre** et suggérant une absence de pression directionnelle immédiate.</w:t>
      </w:r>
    </w:p>
    <w:p>
      <w:pPr>
        <w:spacing w:after="120" w:line="276" w:lineRule="auto"/>
      </w:pPr>
      <w:r>
        <w:t>**Stochastique** : Le %K (38,983) est inférieur au %D (61,582), avec un croisement baissier en zone médiane. Cette configuration signale un essoufflement de la dynamique haussière, justifiant la décision **Neutre** avec un biais prudent à court terme.</w:t>
      </w:r>
    </w:p>
    <w:p>
      <w:pPr>
        <w:spacing w:after="120" w:line="276" w:lineRule="auto"/>
      </w:pPr>
      <w:r>
        <w:t>**Conclusion technique** : Les indicateurs présentent une divergence notable : les moyennes mobiles restent haussières (Achat), tandis que le MACD signale une vente et que le RSI/Stochastique sont neutres. Cette configuration suggère une phase de consolidation après la forte hausse de +67%, avec un risque de correction à court terme mais une tendance de fond encore positive. La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2024 (base brvm_donnees_financieres) révèlent une société au profil financier solide : un chiffre d'affaires de 85,643 milliards FCFA, un résultat net de 21,069 milliards FCFA, un ROE exceptionnel de 27,08% (&gt;15% = excellent) et un ROA de 11,20%. La marge nette de 24,60% et l'autonomie financière de 41,36% (&gt;30% = sain) confirment la robustesse du bilan. Cependant, l'analyse des délais d'exploitation met en évidence un **délai clients de 466,94 jours**, anormalement élevé, qui constitue un risque de trésorerie majeur, même si le BFR de 17,874 milliards FCFA reste maîtrisé et le fonds de roulement positif (33,491 milliards FCFA). Le rapport annuel 2024 (daté du 31/12/2024) confirme ces chiffres et signale un dividende de 5 008 millions FCFA, ainsi qu'un résultat d'exploitation de 22,08 milliards FCFA (marge opérationnelle de 25,8%).</w:t>
      </w:r>
    </w:p>
    <w:p>
      <w:pPr>
        <w:spacing w:after="120" w:line="276" w:lineRule="auto"/>
      </w:pPr>
      <w:r>
        <w:t>L'exercice 2025 marque une **rupture préoccupante**. Selon les rapports trimestriels et l'analyse des états financiers provisoires (rapports T1, S1, T3 2025 et rapport annuel 2025), le chiffre d'affaires progresse à 92,004 milliards FCFA (+7,43%), mais le résultat net s'effondre à 0,785 milliard FCFA (-96%), avec une marge nette de seulement 0,85% et un résultat d'exploitation négatif de -2,271 milliards FCFA. Cette dégradation s'explique par la hausse des dotations aux amortissements (+41%) et des charges de personnel, ainsi que par l'absence de dividendes exceptionnels des filiales perçus en 2024. Le rapport du T3 2025 (daté du 30/09/2025) précise que le résultat net trimestriel a chuté de 77% à 4,341 milliards FCFA, tandis que le rapport du S1 2025 (daté du 30/06/2025) faisait état d'une perte nette de -427 millions FCFA. Le dividende proposé pour 2025 chute à 544,353 millions FCFA (-89%), avec un taux de distribution de 69,3%.</w:t>
      </w:r>
    </w:p>
    <w:p>
      <w:pPr>
        <w:spacing w:after="120" w:line="276" w:lineRule="auto"/>
      </w:pPr>
      <w:r>
        <w:t>Les perspectives 2026 restent incertaines : la croissance du CA devrait se poursuivre (+7,4% en 2025), portée par la campagne cacao et la diversification logistique, mais la rentabilité opérationnelle pourrait rester sous pression si les charges ne sont pas maîtrisées. La trésorerie nette de 74,78 milliards FCFA (rapport 2025) offre une marge de manœuvre, mais le BFR a explosé (+75,7 milliards FCFA), absorbant une partie de cette liquidité. La recommandation fondamentale est de **CONSERVER** avec vigilance, en attendant une clarification sur la capacité de la direction à restaurer les marges opérationnelles et à normaliser la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présente un PER de 7,5x et un P/B de 2,04x qui suggèrent une sous-évaluation relative, mais l'EV/EBITDA de 34,2x et le BPA basé sur un exercice 2024 exceptionnel invitent à la prudence : le marché intègre déjà une reprise des bénéfices qui tarde à se matérialiser. Le **comportement du cours (Partie 1)** affiche une tendance haussière impressionnante (+67,05%) mais une volatilité élevée (51,4%) et une distribution symétrique (skewness -0,471, kurtosis -0,847) qui ne signalent pas de risque extrême, bien que la correction de -3,32% en J-1 marque une pause. Les **signaux techniques (Partie 2)** sont divergents : les moyennes mobiles restent haussières (Achat), mais le MACD est baissier (Vente) et le RSI/Stochastique sont neutres, plaidant pour une consolidation avant toute nouvelle impulsion. Les **fondamentaux (Partie 3)** sont préoccupants : malgré un CA en croissance (+7,43% en 2025), le résultat net s'est effondré de 96% à 0,785 milliard FCFA, le résultat d'exploitation est négatif et le dividende a chuté de 89%. Les **prédictions IA (J+1 à J+10)** anticipent une stabilisation autour de 2 907-2 910 FCFA, confirmant l'absence de catalyseur haussier immédiat.</w:t>
      </w:r>
    </w:p>
    <w:p>
      <w:pPr>
        <w:spacing w:after="120" w:line="276" w:lineRule="auto"/>
      </w:pPr>
      <w:r>
        <w:t>**Recommandation finale : CONSERVER** — Justification : la convergence entre une valorisation apparemment attractive (PER 7,5x), une tendance de fond haussière (MM20 &gt; MM50) et une prédiction IA de stabilisation plaide pour le maintien en portefeuille. Cependant, la divergence entre les signaux techniques (MACD baissier), la dégradation fondamentale majeure (résultat net -96%, dividende -89%) et l'incertitude sur la rentabilité 2026 impose une **vigilance élevée**. Le niveau de confiance est **Moyen** (données 2025 provisoires, absence de visibilité sur la reprise opérationnelle) et le risque global est **Élevé** (volatilité 51,4%, dépendance aux campagnes agricoles, gouvernance perfectible). L'horizon d'investissement optimal est le **moyen terme (3-12 mois)**, en surveillant les prochains rapports trimestriels 2026 pour confirmer ou infirmer la reprise de la rentabilité opérationnelle. Un passage à **ACHAT** serait justifié si le résultat d'exploitation redevient positif et si le dividende se normalise ; un passage à **VENTE** serait envisagé si la marge nette reste sous 2% ou si le BFR continue de se dégrader.</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β=1.0730 (Neutre (suit le marché)) — Cov=0.000039, Var(idx)=0.000036, ρ=0.220, n=89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(EVIOSYS PACKAGING SIEM)**</w:t>
        <w:br/>
        <w:t>**Bourse Régionale des Valeurs Mobilières (BRVM) — Secteur Emballage Industriel**</w:t>
        <w:br/>
        <w:t>*Date d'analyse : Mars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du compartiment industriel. Les ratios de valorisation classiques (BPA, PER, P/B, EV/EBITDA) ne sont pas calculables en l'absence de données financières structurées récentes dans la base, ce qui limite l'appréciation directe du prix payé par les investisseurs par rapport aux bénéfices. Toutefois, en croisant le dernier résultat net connu (1,01 milliard FCFA en 2023) avec la capitalisation actuelle, on obtient un PER implicite d'environ 37x, très supérieur à la moyenne BRVM (8-12x), suggérant une valorisation tendue au regard des bénéfices passés. Cette cherté apparente s'explique par l'anticipation par le marché d'un rebond des résultats post-restructuration (rachat par Sonoco) plutôt que par les fondamentaux actuels. L'investisseur doit donc considérer cette valorisation comme un pari sur la reprise plutôt qu'une opportunité sur les bénéfices présents.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affiche une variation totale de -16,94%, avec une dernière séance en repli de -1,64%, confirmant une tendance baissière persistante. Le cours actuel de 1 495 FCFA se situe dans la moitié basse du range de trading (plus haut 1 800 FCFA, plus bas 1 350 FCFA), traduisant une pression vendeuse dominante. Les statistiques descriptives révèlent une moyenne de 1 527 FCFA légèrement supérieure à la médiane de 1 520 FCFA, avec un mode à 1 500 FCFA, indiquant une distribution quasi-symétrique mais avec un biais baissier récent. L'écart-type de 69 FCFA (CV de 4,5%) témoigne d'une dispersion modérée du cours autour de sa moyenne, tandis que le kurtosis de 1,652 (leptokurtique) signale des queues épaisses et un risque de pics de volatilité brutaux. Le skewness positif de 0,558 indique une asymétrie où les journées sous la moyenne sont plus fréquentes, mais compensées par des hausses ponctuelles plus amples. La volatilité annualisée de 47,2% classe clairement ce titre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évolue sous ces deux références. Cette configuration suggère que la dynamique de court terme reste fragile malgré un signal d'achat théorique lié au croisement haussier des moyennes, mais la position du cours sous la MM20 tempère cette lecture.</w:t>
      </w:r>
    </w:p>
    <w:p>
      <w:pPr>
        <w:spacing w:after="120" w:line="276" w:lineRule="auto"/>
      </w:pPr>
      <w:r>
        <w:t>**Bandes de Bollinger** : Le cours (1 495 FCFA) se situe dans la partie basse de la bande (borne supérieure 1 621,81 FCFA, borne inférieure 1 459,69 FCFA), proche du support inférieur. La décision "Neutre" reflète l'absence de signal clair, mais la proximité de la borne basse suggère une possible zone de rebond technique ou, à l'inverse, un risque de cassure baissière.</w:t>
      </w:r>
    </w:p>
    <w:p>
      <w:pPr>
        <w:spacing w:after="120" w:line="276" w:lineRule="auto"/>
      </w:pPr>
      <w:r>
        <w:t>**MACD** : La valeur du MACD (6,501) est inférieure à son signal (10,502), générant une décision de "Vente". Cette divergence négative indique un momentum baissier persistant, avec un risque de poursuite du repli tant que le MACD ne repasse pas au-dessus de son signal.</w:t>
      </w:r>
    </w:p>
    <w:p>
      <w:pPr>
        <w:spacing w:after="120" w:line="276" w:lineRule="auto"/>
      </w:pPr>
      <w:r>
        <w:t>**RSI** : À 49,533, le RSI se situe en zone neutre (30-70), sans signal de surachat ni de survente. Cette position médiane confirme l'absence de pression directionnelle forte et suggère que le titre pourrait évoluer dans un range en attendant un catalyseur.</w:t>
      </w:r>
    </w:p>
    <w:p>
      <w:pPr>
        <w:spacing w:after="120" w:line="276" w:lineRule="auto"/>
      </w:pPr>
      <w:r>
        <w:t>**Stochastique** : Le %K (34,615) est inférieur au %D (57,692), avec un croisement baissier récent. Cette configuration indique une perte de momentum haussier et un risque de poursuite de la baisse à court terme, bien que la décision affichée soit "Neutre" en raison de la zone médiane.</w:t>
      </w:r>
    </w:p>
    <w:p>
      <w:pPr>
        <w:spacing w:after="120" w:line="276" w:lineRule="auto"/>
      </w:pPr>
      <w:r>
        <w:t>**Conclusion technique** : Les indicateurs techniques sont majoritairement baissiers ou neutres, avec un MACD en signal de vente, un stochastique baissier et un cours sous les moyennes mobiles. Seul le RSI neutre et la proximité de la borne basse de Bollinger offrent un potentiel de rebond technique, mais la convergence des signaux négatifs suggère une prudence accrue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les plus récentes disponibles pour SEMC (ex-EVIOSYS PACKAGING SIEM) remontent à l'exercice 2023, avec un chiffre d'affaires de 27,88 milliards FCFA en baisse de 6% par rapport à 2022 (29,60 milliards FCFA), et un résultat net de 1,01 milliard FCFA en chute de 74% (contre 3,86 milliards FCFA en 2022). La marge nette s'est effondrée à 3,6% (vs 13,0% en 2022), et le ROE implicite ressort à environ 2,7% (1,01 Md / ~37,66 Mds de capitalisation), très faible. Ces résultats décevants s'expliquent par la perte de clients clés (AIRONE : -81% de CA), l'effondrement du segment Tomate et l'arrêt des ventes de cannettes aluminium. Le rapport du 31/12/2023 (analysé le 15/03/2026) indique une absence de dividende pour la troisième année consécutive, la société privilégiant la conservation de trésorerie (3,35 milliards FCFA) pour financer sa relance. Le rapport du 31/12/2022 (analysé le 16/03/2026) montrait une situation bien plus favorable avec un CA de 125,4 milliards FCFA et un résultat net de 12,8 milliards FCFA, mais ces chiffres semblent issus d'une confusion documentaire avec une autre entité (les montants sont incompatibles avec les 27,88 Mds de 2023). Le rapport du 31/12/2021 (analysé le 12/09/2026) confirme l'identité Eviosys Packaging SIEM mais ne fournit pas de chiffres exploitables. Le rapport T1 2023 (analysé le 15/03/2026) faisait état d'un CA de 7,65 milliards FCFA (+16,5%) et d'un résultat net de 855,65 millions FCFA (+37,9%), mais cette dynamique ne s'est pas confirmée sur l'année complète. **En synthèse, les fondamentaux 2023 sont préoccupants** : rentabilité effondrée, absence de dividende, suspension de la cote BRVM pour flottant insuffisant (10,42% vs 15% requis), et incertitude liée au rachat par Sonoco Products Company (finalisé en décembre 2024). Les perspectives 2024 tablaient sur un CA de 32 milliards FCFA (+18%), mais aucune donnée récente ne permet de confirmer cet objectif. La recommandation fondamentale est de **CONSERVER avec vigilance**, en attendant des signaux clairs de redressement et la levée de la suspension de cote.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(non disponibles) conduit à une recommandation de **CONSERVER** avec un niveau de confiance **Moyen** et un risque global **Élevé**. La valorisation (Partie 0) apparaît tendue avec un PER implicite d'environ 37x, très supérieur à la moyenne BRVM, ce qui intègre déjà une anticipation de rebond. Le comportement du cours (Partie 1) est baissier (-16,94% sur 100 jours) avec une volatilité élevée (47,2%) et un kurtosis leptokurtique signalant un risque de pics brutaux, tandis que le skewness positif indique une asymétrie défavorable. Les signaux techniques (Partie 2) sont majoritairement négatifs (MACD vendeur, stochastique baissier, cours sous les MM), avec un RSI neutre n'offrant qu'un répit temporaire. Les fondamentaux (Partie 3) sont préoccupants pour 2023 (CA -6%, résultat net -74%, marge nette 3,6%, absence de dividende), mais le rachat par Sonoco et les perspectives 2024 (+18% de CA visé) constituent des catalyseurs potentiels. L'absence de prédictions IA ne permet pas de confirmer ou d'infirmer la trajectoire attendue. **En conclusion, la convergence des signaux techniques baissiers et des fondamentaux dégradés justifie une position attentiste**. Un investisseur déjà positionné devrait conserver en surveillant la levée de la suspension BRVM et les premiers signes de redressement opérationnel. Un nouvel investisseur devrait attendre des signaux techniques plus favorables (cassure de la MM20, MACD haussier) et une confirmation des fondamentaux avant d'envisager une entrée. L'horizon optimal est le **moyen terme (3-12 mois)**, le temps que la restructuration post-Sonoco produise ses effets.</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5,006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+13.04%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34,500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2.82% (Faible) — μ=38,150 FCFA, σ=1,075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β=0.5071 (Défensif) — Cov=0.000035, Var(idx)=0.000069, ρ=0.307,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σ_j=1.36%/j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36,948</w:t>
            </w:r>
          </w:p>
        </w:tc>
        <w:tc>
          <w:tcPr>
            <w:tcW w:type="dxa" w:w="1440"/>
            <w:shd w:fill="FAFAFA" w:val="clear"/>
          </w:tcPr>
          <w:p>
            <w:r>
              <w:rPr>
                <w:b/>
                <w:sz w:val="17"/>
              </w:rPr>
              <w:t>38,525</w:t>
            </w:r>
          </w:p>
        </w:tc>
        <w:tc>
          <w:tcPr>
            <w:tcW w:type="dxa" w:w="1440"/>
            <w:shd w:fill="FAFAFA" w:val="clear"/>
          </w:tcPr>
          <w:p>
            <w:r>
              <w:rPr>
                <w:sz w:val="17"/>
              </w:rPr>
              <w:t>40,103</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36,522</w:t>
            </w:r>
          </w:p>
        </w:tc>
        <w:tc>
          <w:tcPr>
            <w:tcW w:type="dxa" w:w="1440"/>
            <w:shd w:fill="FAFAFA" w:val="clear"/>
          </w:tcPr>
          <w:p>
            <w:r>
              <w:rPr>
                <w:b/>
                <w:sz w:val="17"/>
              </w:rPr>
              <w:t>38,451</w:t>
            </w:r>
          </w:p>
        </w:tc>
        <w:tc>
          <w:tcPr>
            <w:tcW w:type="dxa" w:w="1440"/>
            <w:shd w:fill="FAFAFA" w:val="clear"/>
          </w:tcPr>
          <w:p>
            <w:r>
              <w:rPr>
                <w:sz w:val="17"/>
              </w:rPr>
              <w:t>40,379</w:t>
            </w:r>
          </w:p>
        </w:tc>
        <w:tc>
          <w:tcPr>
            <w:tcW w:type="dxa" w:w="1440"/>
            <w:shd w:fill="FAFAFA" w:val="clear"/>
          </w:tcPr>
          <w:p>
            <w:r>
              <w:rPr>
                <w:b/>
                <w:color w:val="C00000"/>
                <w:sz w:val="17"/>
              </w:rPr>
              <w:t>-1.4%</w:t>
            </w:r>
          </w:p>
        </w:tc>
      </w:tr>
      <w:tr>
        <w:tc>
          <w:tcPr>
            <w:tcW w:type="dxa" w:w="1440"/>
            <w:shd w:fill="FAFAFA" w:val="clear"/>
          </w:tcPr>
          <w:p>
            <w:r>
              <w:rPr>
                <w:sz w:val="17"/>
              </w:rPr>
              <w:t>J+3  Moyenne</w:t>
            </w:r>
          </w:p>
        </w:tc>
        <w:tc>
          <w:tcPr>
            <w:tcW w:type="dxa" w:w="1440"/>
            <w:shd w:fill="FAFAFA" w:val="clear"/>
          </w:tcPr>
          <w:p>
            <w:r>
              <w:rPr>
                <w:sz w:val="17"/>
              </w:rPr>
              <w:t>2026-10-07</w:t>
            </w:r>
          </w:p>
        </w:tc>
        <w:tc>
          <w:tcPr>
            <w:tcW w:type="dxa" w:w="1440"/>
            <w:shd w:fill="FAFAFA" w:val="clear"/>
          </w:tcPr>
          <w:p>
            <w:r>
              <w:rPr>
                <w:sz w:val="17"/>
              </w:rPr>
              <w:t>36,158</w:t>
            </w:r>
          </w:p>
        </w:tc>
        <w:tc>
          <w:tcPr>
            <w:tcW w:type="dxa" w:w="1440"/>
            <w:shd w:fill="FAFAFA" w:val="clear"/>
          </w:tcPr>
          <w:p>
            <w:r>
              <w:rPr>
                <w:b/>
                <w:sz w:val="17"/>
              </w:rPr>
              <w:t>38,380</w:t>
            </w:r>
          </w:p>
        </w:tc>
        <w:tc>
          <w:tcPr>
            <w:tcW w:type="dxa" w:w="1440"/>
            <w:shd w:fill="FAFAFA" w:val="clear"/>
          </w:tcPr>
          <w:p>
            <w:r>
              <w:rPr>
                <w:sz w:val="17"/>
              </w:rPr>
              <w:t>40,603</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2026-10-08</w:t>
            </w:r>
          </w:p>
        </w:tc>
        <w:tc>
          <w:tcPr>
            <w:tcW w:type="dxa" w:w="1440"/>
            <w:shd w:fill="FAFAFA" w:val="clear"/>
          </w:tcPr>
          <w:p>
            <w:r>
              <w:rPr>
                <w:sz w:val="17"/>
              </w:rPr>
              <w:t>35,834</w:t>
            </w:r>
          </w:p>
        </w:tc>
        <w:tc>
          <w:tcPr>
            <w:tcW w:type="dxa" w:w="1440"/>
            <w:shd w:fill="FAFAFA" w:val="clear"/>
          </w:tcPr>
          <w:p>
            <w:r>
              <w:rPr>
                <w:b/>
                <w:sz w:val="17"/>
              </w:rPr>
              <w:t>38,315</w:t>
            </w:r>
          </w:p>
        </w:tc>
        <w:tc>
          <w:tcPr>
            <w:tcW w:type="dxa" w:w="1440"/>
            <w:shd w:fill="FAFAFA" w:val="clear"/>
          </w:tcPr>
          <w:p>
            <w:r>
              <w:rPr>
                <w:sz w:val="17"/>
              </w:rPr>
              <w:t>40,796</w:t>
            </w:r>
          </w:p>
        </w:tc>
        <w:tc>
          <w:tcPr>
            <w:tcW w:type="dxa" w:w="1440"/>
            <w:shd w:fill="FAFAFA" w:val="clear"/>
          </w:tcPr>
          <w:p>
            <w:r>
              <w:rPr>
                <w:b/>
                <w:color w:val="C00000"/>
                <w:sz w:val="17"/>
              </w:rPr>
              <w:t>-1.8%</w:t>
            </w:r>
          </w:p>
        </w:tc>
      </w:tr>
      <w:tr>
        <w:tc>
          <w:tcPr>
            <w:tcW w:type="dxa" w:w="1440"/>
            <w:shd w:fill="FAFAFA" w:val="clear"/>
          </w:tcPr>
          <w:p>
            <w:r>
              <w:rPr>
                <w:sz w:val="17"/>
              </w:rPr>
              <w:t>J+5  Moyenne</w:t>
            </w:r>
          </w:p>
        </w:tc>
        <w:tc>
          <w:tcPr>
            <w:tcW w:type="dxa" w:w="1440"/>
            <w:shd w:fill="FAFAFA" w:val="clear"/>
          </w:tcPr>
          <w:p>
            <w:r>
              <w:rPr>
                <w:sz w:val="17"/>
              </w:rPr>
              <w:t>2026-10-09</w:t>
            </w:r>
          </w:p>
        </w:tc>
        <w:tc>
          <w:tcPr>
            <w:tcW w:type="dxa" w:w="1440"/>
            <w:shd w:fill="FAFAFA" w:val="clear"/>
          </w:tcPr>
          <w:p>
            <w:r>
              <w:rPr>
                <w:sz w:val="17"/>
              </w:rPr>
              <w:t>35,540</w:t>
            </w:r>
          </w:p>
        </w:tc>
        <w:tc>
          <w:tcPr>
            <w:tcW w:type="dxa" w:w="1440"/>
            <w:shd w:fill="FAFAFA" w:val="clear"/>
          </w:tcPr>
          <w:p>
            <w:r>
              <w:rPr>
                <w:b/>
                <w:sz w:val="17"/>
              </w:rPr>
              <w:t>38,253</w:t>
            </w:r>
          </w:p>
        </w:tc>
        <w:tc>
          <w:tcPr>
            <w:tcW w:type="dxa" w:w="1440"/>
            <w:shd w:fill="FAFAFA" w:val="clear"/>
          </w:tcPr>
          <w:p>
            <w:r>
              <w:rPr>
                <w:sz w:val="17"/>
              </w:rPr>
              <w:t>40,966</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35,267</w:t>
            </w:r>
          </w:p>
        </w:tc>
        <w:tc>
          <w:tcPr>
            <w:tcW w:type="dxa" w:w="1440"/>
            <w:shd w:fill="FFDCE0" w:val="clear"/>
          </w:tcPr>
          <w:p>
            <w:r>
              <w:rPr>
                <w:b/>
                <w:sz w:val="17"/>
              </w:rPr>
              <w:t>38,193</w:t>
            </w:r>
          </w:p>
        </w:tc>
        <w:tc>
          <w:tcPr>
            <w:tcW w:type="dxa" w:w="1440"/>
            <w:shd w:fill="FFDCE0" w:val="clear"/>
          </w:tcPr>
          <w:p>
            <w:r>
              <w:rPr>
                <w:sz w:val="17"/>
              </w:rPr>
              <w:t>41,119</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35,012</w:t>
            </w:r>
          </w:p>
        </w:tc>
        <w:tc>
          <w:tcPr>
            <w:tcW w:type="dxa" w:w="1440"/>
            <w:shd w:fill="FFDCE0" w:val="clear"/>
          </w:tcPr>
          <w:p>
            <w:r>
              <w:rPr>
                <w:b/>
                <w:sz w:val="17"/>
              </w:rPr>
              <w:t>38,135</w:t>
            </w:r>
          </w:p>
        </w:tc>
        <w:tc>
          <w:tcPr>
            <w:tcW w:type="dxa" w:w="1440"/>
            <w:shd w:fill="FFDCE0" w:val="clear"/>
          </w:tcPr>
          <w:p>
            <w:r>
              <w:rPr>
                <w:sz w:val="17"/>
              </w:rPr>
              <w:t>41,258</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34,770</w:t>
            </w:r>
          </w:p>
        </w:tc>
        <w:tc>
          <w:tcPr>
            <w:tcW w:type="dxa" w:w="1440"/>
            <w:shd w:fill="FFDCE0" w:val="clear"/>
          </w:tcPr>
          <w:p>
            <w:r>
              <w:rPr>
                <w:b/>
                <w:sz w:val="17"/>
              </w:rPr>
              <w:t>38,078</w:t>
            </w:r>
          </w:p>
        </w:tc>
        <w:tc>
          <w:tcPr>
            <w:tcW w:type="dxa" w:w="1440"/>
            <w:shd w:fill="FFDCE0" w:val="clear"/>
          </w:tcPr>
          <w:p>
            <w:r>
              <w:rPr>
                <w:sz w:val="17"/>
              </w:rPr>
              <w:t>41,386</w:t>
            </w:r>
          </w:p>
        </w:tc>
        <w:tc>
          <w:tcPr>
            <w:tcW w:type="dxa" w:w="1440"/>
            <w:shd w:fill="FFDCE0" w:val="clear"/>
          </w:tcPr>
          <w:p>
            <w:r>
              <w:rPr>
                <w:b/>
                <w:color w:val="C00000"/>
                <w:sz w:val="17"/>
              </w:rPr>
              <w:t>-2.4%</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34,541</w:t>
            </w:r>
          </w:p>
        </w:tc>
        <w:tc>
          <w:tcPr>
            <w:tcW w:type="dxa" w:w="1440"/>
            <w:shd w:fill="FFDCE0" w:val="clear"/>
          </w:tcPr>
          <w:p>
            <w:r>
              <w:rPr>
                <w:b/>
                <w:sz w:val="17"/>
              </w:rPr>
              <w:t>38,023</w:t>
            </w:r>
          </w:p>
        </w:tc>
        <w:tc>
          <w:tcPr>
            <w:tcW w:type="dxa" w:w="1440"/>
            <w:shd w:fill="FFDCE0" w:val="clear"/>
          </w:tcPr>
          <w:p>
            <w:r>
              <w:rPr>
                <w:sz w:val="17"/>
              </w:rPr>
              <w:t>41,504</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1 213,33 milliards FCFA, SGBC figure parmi les poids lourds de la cote BRVM, ce qui en fait un titre incontournable pour les investisseurs institutionnels de la zone UEMOA. Le BPA de 3 258 FCFA par action signifie que chaque titre génère un bénéfice net de ce montant, tandis que le PER de 12,0x indique que les investisseurs paient 12 fois les bénéfices, un niveau modéré mais légèrement supérieur à la moyenne du marché BRVM (8-12x), traduisant une prime de qualité justifiée par le leadership de la banque. Le P/B de 2,45x montre que le marché valorise l'action à près de 2,5 fois sa valeur comptable, une prime de croissance accordée aux établissements les plus rentables du secteur. En revanche, l'EV/EBITDA de 24,7x apparaît très exigeant (seuil d'alerte &gt;15x), suggérant que la valeur d'entreprise intègre déjà une bonne partie des anticipations de performance, ce qui limite le potentiel de revalorisation à court terme.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SGBC affiche une progression totale de +13,04%, avec une dernière séance quasi stable (+0,03%), confirmant une dynamique haussière maîtrisée. Le cours actuel de 39 000 FCFA évolue dans un range de 34 500 FCFA (plus bas) à 39 300 FCFA (plus haut), soit une amplitude de 13,9%, et se situe à seulement 0,8% de son sommet, signalant une pression acheteuse persistante. La moyenne (38 150 FCFA) est légèrement inférieure à la médiane (38 495 FCFA), ce qui traduit une asymétrie négative confirmée par le skewness de -1,521 : le cours a passé plus de journées au-dessus de sa moyenne, avec quelques corrections ponctuelles marquées. L'écart-type de 1 080 FCFA et le coefficient de variation de 2,8% indiquent une dispersion très faible, donc une grande stabilité du cours. Le kurtosis de 1,933 (leptokurtique) signale des queues épaisses, donc un risque de pics de volatilité brutaux malgré la stabilité apparente. Enfin, la volatilité annualisée de 21,5% positionne le titre dans la catégorie modérée (15-30%), cohérente avec un profil défensif de valeur bancaire de qualité.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(38 620,5 FCFA) et la MM50 (38 477,2 FCFA) sont toutes deux inférieures au cours actuel (39 000 FCFA), et la MM20 se situe au-dessus de la MM50, configurant un croisement haussier classique. Cette configuration valide la décision d'**Achat**, le titre évoluant au-dessus de ses deux supports dynamiques.</w:t>
      </w:r>
    </w:p>
    <w:p>
      <w:pPr>
        <w:spacing w:after="120" w:line="276" w:lineRule="auto"/>
      </w:pPr>
      <w:r>
        <w:t>**Bandes de Bollinger** : Le cours (39 000 FCFA) évolue dans la partie haute du canal, entre la borne inférieure (37 839,3 FCFA) et la borne supérieure (39 401,7 FCFA), sans les franchir. Cette position médiane-haute, couplée à un canal relativement étroit, justifie la décision **Neutre** : le titre n'est ni en surachat extrême ni en survente, mais la proximité de la borne haute limite le potentiel immédiat.</w:t>
      </w:r>
    </w:p>
    <w:p>
      <w:pPr>
        <w:spacing w:after="120" w:line="276" w:lineRule="auto"/>
      </w:pPr>
      <w:r>
        <w:t>**MACD** : La valeur du MACD (89,274) est nettement supérieure à son signal (30,163), avec un histogramme positif et élargi, confirmant un momentum haussier solide. Cette divergence positive valide la décision d'**Achat**, le croisement étant déjà effectué et la dynamique favorable.</w:t>
      </w:r>
    </w:p>
    <w:p>
      <w:pPr>
        <w:spacing w:after="120" w:line="276" w:lineRule="auto"/>
      </w:pPr>
      <w:r>
        <w:t>**RSI** : À 52,934, le RSI se situe en zone neutre (30-70), sans signal de surachat (&gt;70) ni de survente (&lt;30). Cette position médiane justifie la décision **Neutre** : le titre conserve un potentiel de hausse sans être techniquement tendu.</w:t>
      </w:r>
    </w:p>
    <w:p>
      <w:pPr>
        <w:spacing w:after="120" w:line="276" w:lineRule="auto"/>
      </w:pPr>
      <w:r>
        <w:t>**Stochastique** : Le %K (100,0) est au maximum et le %D (96,944) est proche de son sommet, avec un croisement en zone de surachat extrême. Cette configuration justifie la décision **Vente** à court terme, signalant un risque de correction imminente après la forte progression récente.</w:t>
      </w:r>
    </w:p>
    <w:p>
      <w:pPr>
        <w:spacing w:after="120" w:line="276" w:lineRule="auto"/>
      </w:pPr>
      <w:r>
        <w:t>**Conclusion technique** : Les indicateurs sont majoritairement haussiers (MM, MACD) mais montrent des signes de fatigue (Stochastique en surachat, RSI neutre, Bollinger proche de la borne haute). La convergence MM/MACD soutient la tendance de fond, mais le Stochastique à 100 appelle à la prudence sur un horizon court terme. Le titre est techniquement solide mais vulnérable à une consolidation.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SGBC affiche un Produit Net Bancaire (équivalent du chiffre d'affaires pour une banque) de 276 048 millions FCFA, en croissance de +4,9% par rapport à 2024 (263 207 M FCFA), porté par la marge d'intérêt (230 313 M FCFA) et les revenus des titres à revenu variable (+64,3%). Le résultat net s'établit à 101 352 millions FCFA, quasi stable (+0,1%), franchissant pour la deuxième année consécutive le seuil des 100 milliards. La rentabilité reste excellente avec un ROE de 20,47% (&gt;15% = excellent) et un ROA de 2,69%, tandis que le coefficient d'exploitation de 38,75% place la banque parmi les plus efficaces du secteur UEMOA (&lt;60% = efficace, &lt;50% = excellente). Le ratio dépôts/crédits s'améliore à 87,6% (dépôts clientèle de 2 907,7 Mds FCFA contre créances clientèle de 2 546,3 Mds FCFA), renforçant la liquidité. Le coût du risque progresse toutefois de +29,2% à 46 829 M FCFA, avec un taux de NPL de 8,0% et un taux de couverture de 82%, signalant une vigilance accrue sur la qualité du portefeuille. La politique de dividende est généreuse : 2 606 FCFA par action, soit un taux de distribution de 80% du résultat net, offrant un rendement attractif au cours actuel de 39 000 FCFA (environ 6,7%). Les rapports trimestriels récents confirment cette dynamique : le T1 2026 (publié le 30 avril 2026) affiche un PNB de 65 644 M FCFA (-1%) et un résultat net de 23 976 M FCFA (-11%), impactés par la migration vers une nouvelle plateforme digitale et des investissements (rénovation du siège). Le S1 2026 (publié le 27 août 2026) montre une stabilisation avec un PNB de 134 059 M FCFA (+1,6%) et un résultat net de 53 350 M FCFA (+0,5%), le coefficient d'exploitation s'améliorant à 36,7%. Sur la base de ces tendances, on estime que l'exercice 2026 devrait clôturer avec un PNB autour de 280-285 Mds FCFA (+2-3%) et un résultat net proche de 102-105 Mds FCFA, la finalisation de la migration digitale et la normalisation des coûts devant soutenir la rentabilité au second semestre. La solidité bilancielle (ratio de solvabilité de 17,6% au S1 2026, bien au-dessus du seuil réglementaire de 12,5%) et la notation AAA (Bloomfield) confirment la qualité fondamentale du titre, malgré les pressions sur le coût du risque et la marge d'intérêt.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SGBC (Partie 0) apparaît raisonnable avec un PER de 12,0x et un P/B de 2,45x, mais l'EV/EBITDA de 24,7x suggère une certaine cherté opérationnelle, limitant le potentiel de surperformance à court terme. Le comportement du cours (Partie 1) est favorable (+13,04% sur 100 jours, volatilité modérée de 21,5%), mais le skewness négatif (-1,521) et le kurtosis élevé (1,933) signalent un risque de pics baissiers ponctuels. Les signaux techniques (Partie 2) sont mitigés : les MM et le MACD soutiennent la tendance haussière, mais le Stochastique en surachat extrême (%K=100) et le RSI neutre (52,9) appellent à la prudence à court terme. Les fondamentaux (Partie 3) restent solides : ROE de 20,47%, coefficient d'exploitation de 38,75%, dividende généreux (rendement ~6,7%), mais la stagnation du résultat net (+0,1% en 2025, +0,5% au S1 2026) et la hausse du coût du risque (+29,2%) limitent la dynamique bénéficiaire. Les prédictions IA (J+1 à J+10) anticipent une légère correction vers 38 253 FCFA (-1,9% par rapport au cours actuel), ce qui contredit partiellement les signaux haussiers des MM et du MACD, mais confirme le risque de consolidation identifié par le Stochastique. Sur la base de cette synthèse, la recommandation finale est **CONSERVER**, avec un niveau de confiance **Moyen** et un risque global **Faible à Moyen**. Le titre convient aux investisseurs recherchant rendement et stabilité sur un horizon **moyen à long terme (3-12 mois et au-delà)**, en attendant la confirmation de la reprise de la croissance bénéficiaire au second semestre 2026 et l'inflexion du coût du risque. Un passage à l'ACHAT serait justifié si le T3 2026 confirme l'accélération du PNB au-delà de 3% et la maîtrise des provisions.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144.90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4,985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+18.25%</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10.30% (Moyenne) — μ=2,253 FCFA, σ=232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β=0.9394 (Neutre (suit le marché)) — Cov=0.000065, Var(idx)=0.000069, ρ=0.292,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2,121</w:t>
            </w:r>
          </w:p>
        </w:tc>
        <w:tc>
          <w:tcPr>
            <w:tcW w:type="dxa" w:w="1440"/>
            <w:shd w:fill="FAFAFA" w:val="clear"/>
          </w:tcPr>
          <w:p>
            <w:r>
              <w:rPr>
                <w:b/>
                <w:sz w:val="17"/>
              </w:rPr>
              <w:t>2,318</w:t>
            </w:r>
          </w:p>
        </w:tc>
        <w:tc>
          <w:tcPr>
            <w:tcW w:type="dxa" w:w="1440"/>
            <w:shd w:fill="FAFAFA" w:val="clear"/>
          </w:tcPr>
          <w:p>
            <w:r>
              <w:rPr>
                <w:sz w:val="17"/>
              </w:rPr>
              <w:t>2,514</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2,080</w:t>
            </w:r>
          </w:p>
        </w:tc>
        <w:tc>
          <w:tcPr>
            <w:tcW w:type="dxa" w:w="1440"/>
            <w:shd w:fill="FAFAFA" w:val="clear"/>
          </w:tcPr>
          <w:p>
            <w:r>
              <w:rPr>
                <w:b/>
                <w:sz w:val="17"/>
              </w:rPr>
              <w:t>2,320</w:t>
            </w:r>
          </w:p>
        </w:tc>
        <w:tc>
          <w:tcPr>
            <w:tcW w:type="dxa" w:w="1440"/>
            <w:shd w:fill="FAFAFA" w:val="clear"/>
          </w:tcPr>
          <w:p>
            <w:r>
              <w:rPr>
                <w:sz w:val="17"/>
              </w:rPr>
              <w:t>2,561</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2,044</w:t>
            </w:r>
          </w:p>
        </w:tc>
        <w:tc>
          <w:tcPr>
            <w:tcW w:type="dxa" w:w="1440"/>
            <w:shd w:fill="FAFAFA" w:val="clear"/>
          </w:tcPr>
          <w:p>
            <w:r>
              <w:rPr>
                <w:b/>
                <w:sz w:val="17"/>
              </w:rPr>
              <w:t>2,322</w:t>
            </w:r>
          </w:p>
        </w:tc>
        <w:tc>
          <w:tcPr>
            <w:tcW w:type="dxa" w:w="1440"/>
            <w:shd w:fill="FAFAFA" w:val="clear"/>
          </w:tcPr>
          <w:p>
            <w:r>
              <w:rPr>
                <w:sz w:val="17"/>
              </w:rPr>
              <w:t>2,600</w:t>
            </w:r>
          </w:p>
        </w:tc>
        <w:tc>
          <w:tcPr>
            <w:tcW w:type="dxa" w:w="1440"/>
            <w:shd w:fill="FAFAFA" w:val="clear"/>
          </w:tcPr>
          <w:p>
            <w:r>
              <w:rPr>
                <w:b/>
                <w:color w:val="008000"/>
                <w:sz w:val="17"/>
              </w:rPr>
              <w:t>+1.0%</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2,012</w:t>
            </w:r>
          </w:p>
        </w:tc>
        <w:tc>
          <w:tcPr>
            <w:tcW w:type="dxa" w:w="1440"/>
            <w:shd w:fill="FAFAFA" w:val="clear"/>
          </w:tcPr>
          <w:p>
            <w:r>
              <w:rPr>
                <w:b/>
                <w:sz w:val="17"/>
              </w:rPr>
              <w:t>2,322</w:t>
            </w:r>
          </w:p>
        </w:tc>
        <w:tc>
          <w:tcPr>
            <w:tcW w:type="dxa" w:w="1440"/>
            <w:shd w:fill="FAFAFA" w:val="clear"/>
          </w:tcPr>
          <w:p>
            <w:r>
              <w:rPr>
                <w:sz w:val="17"/>
              </w:rPr>
              <w:t>2,633</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1,982</w:t>
            </w:r>
          </w:p>
        </w:tc>
        <w:tc>
          <w:tcPr>
            <w:tcW w:type="dxa" w:w="1440"/>
            <w:shd w:fill="FAFAFA" w:val="clear"/>
          </w:tcPr>
          <w:p>
            <w:r>
              <w:rPr>
                <w:b/>
                <w:sz w:val="17"/>
              </w:rPr>
              <w:t>2,322</w:t>
            </w:r>
          </w:p>
        </w:tc>
        <w:tc>
          <w:tcPr>
            <w:tcW w:type="dxa" w:w="1440"/>
            <w:shd w:fill="FAFAFA" w:val="clear"/>
          </w:tcPr>
          <w:p>
            <w:r>
              <w:rPr>
                <w:sz w:val="17"/>
              </w:rPr>
              <w:t>2,662</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1,953</w:t>
            </w:r>
          </w:p>
        </w:tc>
        <w:tc>
          <w:tcPr>
            <w:tcW w:type="dxa" w:w="1440"/>
            <w:shd w:fill="FAFAFA" w:val="clear"/>
          </w:tcPr>
          <w:p>
            <w:r>
              <w:rPr>
                <w:b/>
                <w:sz w:val="17"/>
              </w:rPr>
              <w:t>2,320</w:t>
            </w:r>
          </w:p>
        </w:tc>
        <w:tc>
          <w:tcPr>
            <w:tcW w:type="dxa" w:w="1440"/>
            <w:shd w:fill="FAFAFA" w:val="clear"/>
          </w:tcPr>
          <w:p>
            <w:r>
              <w:rPr>
                <w:sz w:val="17"/>
              </w:rPr>
              <w:t>2,688</w:t>
            </w:r>
          </w:p>
        </w:tc>
        <w:tc>
          <w:tcPr>
            <w:tcW w:type="dxa" w:w="1440"/>
            <w:shd w:fill="FAFAFA" w:val="clear"/>
          </w:tcPr>
          <w:p>
            <w:r>
              <w:rPr>
                <w:b/>
                <w:color w:val="008000"/>
                <w:sz w:val="17"/>
              </w:rPr>
              <w:t>+0.9%</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1,926</w:t>
            </w:r>
          </w:p>
        </w:tc>
        <w:tc>
          <w:tcPr>
            <w:tcW w:type="dxa" w:w="1440"/>
            <w:shd w:fill="FAFAFA" w:val="clear"/>
          </w:tcPr>
          <w:p>
            <w:r>
              <w:rPr>
                <w:b/>
                <w:sz w:val="17"/>
              </w:rPr>
              <w:t>2,319</w:t>
            </w:r>
          </w:p>
        </w:tc>
        <w:tc>
          <w:tcPr>
            <w:tcW w:type="dxa" w:w="1440"/>
            <w:shd w:fill="FAFAFA" w:val="clear"/>
          </w:tcPr>
          <w:p>
            <w:r>
              <w:rPr>
                <w:sz w:val="17"/>
              </w:rPr>
              <w:t>2,711</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1,901</w:t>
            </w:r>
          </w:p>
        </w:tc>
        <w:tc>
          <w:tcPr>
            <w:tcW w:type="dxa" w:w="1440"/>
            <w:shd w:fill="FAFAFA" w:val="clear"/>
          </w:tcPr>
          <w:p>
            <w:r>
              <w:rPr>
                <w:b/>
                <w:sz w:val="17"/>
              </w:rPr>
              <w:t>2,317</w:t>
            </w:r>
          </w:p>
        </w:tc>
        <w:tc>
          <w:tcPr>
            <w:tcW w:type="dxa" w:w="1440"/>
            <w:shd w:fill="FAFAFA" w:val="clear"/>
          </w:tcPr>
          <w:p>
            <w:r>
              <w:rPr>
                <w:sz w:val="17"/>
              </w:rPr>
              <w:t>2,733</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1,877</w:t>
            </w:r>
          </w:p>
        </w:tc>
        <w:tc>
          <w:tcPr>
            <w:tcW w:type="dxa" w:w="1440"/>
            <w:shd w:fill="FAFAFA" w:val="clear"/>
          </w:tcPr>
          <w:p>
            <w:r>
              <w:rPr>
                <w:b/>
                <w:sz w:val="17"/>
              </w:rPr>
              <w:t>2,315</w:t>
            </w:r>
          </w:p>
        </w:tc>
        <w:tc>
          <w:tcPr>
            <w:tcW w:type="dxa" w:w="1440"/>
            <w:shd w:fill="FAFAFA" w:val="clear"/>
          </w:tcPr>
          <w:p>
            <w:r>
              <w:rPr>
                <w:sz w:val="17"/>
              </w:rPr>
              <w:t>2,753</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144,90 milliards FCFA, SHEC se positionne comme une valeur de taille intermédiaire sur la BRVM, représentant un poids notable dans le compartiment des valeurs industrielles et de distribution pétrolière. Le BPA de 96 FCFA/action signifie que chaque titre génère près d'un dixième de son prix en bénéfice net annuel, ce qui, rapporté au cours actuel de 2 300 FCFA, aboutit à un PER de 24,0x — soit le double de la moyenne BRVM (8-12x), signalant que le marché intègre déjà une prime de croissance ou, à l'inverse, une possible surévaluation. Le P/B de 5,34x confirme cette exigence : les investisseurs paient plus de cinq fois la valeur comptable des fonds propres (27,16 Mds FCFA), une prime très supérieure au seuil de 4x généralement considéré comme élevé. Enfin, l'EV/EBITDA de 12,9x, dans la fourchette haute (10-15x), indique que la valeur d'entreprise (incluant la dette) reste chèrement valorisée par rapport à la capacité opérationnelle de génération de cash (EBE de 17,17 Mds FCFA). L'ensemble de ces ratios dresse le portrait d'un titre valorisé avec exigence, où toute déception sur les bénéfices pourrait entraîner une correction.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positive de +18,25%, mais la dernière séance (J-1) marque un repli de -2,54%, signalant une prise de profit après le rallye. Le titre a évolué dans un range large de 1 900 FCFA (plus bas) à 2 980 FCFA (plus haut), soit une amplitude de 56,8% — traduisant une forte nervosité. Le cours actuel de 2 300 FCFA se situe dans le bas de ce range, à environ 23% sous le plus haut, ce qui suggère une phase de consolidation après un sommet. Les statistiques descriptives révèlent une moyenne (2 253 FCFA) supérieure à la médiane et au mode (2 200 FCFA), confirmant une asymétrie positive (skewness de 0,974) : la distribution est tirée vers le haut par des pics haussiers, mais la majorité des séances se sont déroulées sous la moyenne — un profil typique de rallye suivi de repli. L'écart-type de 233 FCFA (CV de 10,3%) indique une dispersion modérée autour de la moyenne, mais le kurtosis de 1,094 (leptokurtique) signale des queues épaisses, donc un risque de mouvements brusques et de pics de volatilité. La volatilité annualisée de 42,3% classe le titre dans la catégorie **élevée** (&gt;30%), ce qui est cohérent avec un marché frontière peu liquide (volume moyen de 4 985 titres/jour) et un secteur pétrolier sensible aux cycles.</w:t>
      </w:r>
    </w:p>
    <w:p>
      <w:pPr>
        <w:spacing w:after="120" w:line="276" w:lineRule="auto"/>
      </w:pPr>
      <w:r>
        <w:t>---</w:t>
      </w:r>
    </w:p>
    <w:p>
      <w:pPr>
        <w:spacing w:after="120" w:line="276" w:lineRule="auto"/>
      </w:pPr>
      <w:r>
        <w:t>## PARTIE 2 : ANALYSE TECHNIQUE DÉTAILLÉE</w:t>
      </w:r>
    </w:p>
    <w:p>
      <w:pPr>
        <w:spacing w:after="120" w:line="276" w:lineRule="auto"/>
      </w:pPr>
      <w:r>
        <w:t>**Moyennes Mobiles** : La MM20 (2 575,75 FCFA) et la MM50 (2 419,80 FCFA) se situent toutes deux au-dessus du cours actuel (2 300 FCFA), ce qui place le titre en position de faiblesse relative à court et moyen terme. Cependant, la MM20 reste supérieure à la MM50, conservant une structure haussière de fond ; la décision « Achat » reflète cette configuration de croisement positif, mais le cours sous les deux moyennes invite à la prudence.</w:t>
      </w:r>
    </w:p>
    <w:p>
      <w:pPr>
        <w:spacing w:after="120" w:line="276" w:lineRule="auto"/>
      </w:pPr>
      <w:r>
        <w:t>**Bandes de Bollinger** : Le cours (2 300 FCFA) évolue dans la partie basse de la bande, entre la borne inférieure (2 142,21 FCFA) et la borne supérieure (3 009,29 FCFA), sans toucher les extrêmes. Cette position médiane-basse, combinée à une largeur de bande importante (867 FCFA), traduit une volatilité élevée et une absence de signal directionnel fort ; la décision « Neutre » est cohérente avec cette configuration d'attente.</w:t>
      </w:r>
    </w:p>
    <w:p>
      <w:pPr>
        <w:spacing w:after="120" w:line="276" w:lineRule="auto"/>
      </w:pPr>
      <w:r>
        <w:t>**MACD** : La valeur du MACD (-18,974) est nettement inférieure à son signal (38,622), générant un histogramme négatif et une divergence baissière marquée. Le momentum est clairement négatif, et la décision « Vente » confirme que la dynamique de court terme s'est retournée à la baisse, en contradiction avec la structure des moyennes mobiles.</w:t>
      </w:r>
    </w:p>
    <w:p>
      <w:pPr>
        <w:spacing w:after="120" w:line="276" w:lineRule="auto"/>
      </w:pPr>
      <w:r>
        <w:t>**RSI** : À 41,883, le RSI se situe en zone neutre (30-70), sans signal de surachat ni de survente. Cette valeur légèrement sous la barre des 50 indique une pression vendeuse modérée mais non excessive, justifiant la décision « Neutre » — le titre n'est ni à acheter en urgence, ni à vendre massivement.</w:t>
      </w:r>
    </w:p>
    <w:p>
      <w:pPr>
        <w:spacing w:after="120" w:line="276" w:lineRule="auto"/>
      </w:pPr>
      <w:r>
        <w:t>**Stochastique** : Les valeurs %K et %D sont toutes deux à 0,0, ce qui est un signal extrême de survente. Un tel niveau, bien que rare, suggère que le titre a été massivement vendu à court terme et qu'un rebond technique est possible ; la décision « Achat » découle de cette lecture contrarienne, mais la fiabilité du signal est limitée par l'absence de croisement confirmé.</w:t>
      </w:r>
    </w:p>
    <w:p>
      <w:pPr>
        <w:spacing w:after="120" w:line="276" w:lineRule="auto"/>
      </w:pPr>
      <w:r>
        <w:t>**Conclusion technique** : Les indicateurs sont divergents — les moyennes mobiles et le stochastique plaident pour un achat contrarien, tandis que le MACD et la position du cours sous les MM20/MM50 confirment une pression baissière de court terme. Le RSI neutre et les Bollinger sans signal directionnel renforcent l'incertitude. Dans ce contexte, la prudence est de mise : le titre pourrait rebondir techniquement (stochastique à 0), mais la faiblesse du momentum (MACD) et la position sous les moyennes mobiles suggèrent que tout rebond pourrait être limité.</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SHEC a réalisé un chiffre d'affaires de 604,978 milliards FCFA, en très légère hausse de +0,71% par rapport à 2024 (600,708 Mds FCFA), selon les états financiers annuels. Le résultat net s'établit à 6,028 milliards FCFA, en progression de +12,6% (contre 5,354 Mds en 2024), porté par une amélioration de la marge nette (1,00% contre 0,89%) et une réduction des charges financières (-17,7%). Le ROE atteint 22,20% — un niveau excellent (&gt;15%) — et le ROA 3,11%, reflétant la faible rotation des actifs (312,55%) et la structure très endettée de l'entreprise. La marge opérationnelle reste faible (1,93%), typique du secteur de distribution pétrolière à faible marge, mais le coefficient d'exploitation (52,72%) indique une bonne maîtrise des charges. **Adapté au secteur ENTREPRISE** : le BFR s'élève à 15,315 Mds FCFA (positif, donc défavorable), avec un délai client de 23,27 jours (risque de trésorerie modéré) et un délai fournisseur de 35,47 jours (favorable). La trésorerie nette est fortement négative (-65,264 Mds FCFA), et l'autonomie financière (14,03%) est très inférieure au seuil sain de 30%, tandis que la dépendance financière (85,97%) et le ratio d'endettement (43,95%) pèsent sur la structure. **Estimations basées sur les rapports trimestriels** : le rapport du 30 juin 2026 (publié en 2026) indique un CA de 305,038 Mds FCFA (-1%) et un résultat net de 3,016 Mds FCFA, avec un résultat d'exploitation en hausse de +17% à 6,133 Mds FCFA — suggérant que l'exercice 2026 devrait maintenir une rentabilité stable malgré un CA en léger recul. Le rapport du T1 2026 (analysé le 05/05/2026) confirme une baisse de -9% du CA (141,649 Mds FCFA) mais un résultat net quasi stable (+1% à 1,295 Mds FCFA), grâce à la maîtrise des charges. **Évolution pluriannuelle** : le résultat net progresse de 5,354 Mds (2024) à 6,028 Mds (2025), soit +12,6%, après une hausse de +33% en 2024 — la dynamique reste positive mais ralentit. **Recommandation fondamentale** : la société est solide opérationnellement (ROE &gt;20%, bénéfices en croissance, dividende attractif de 1 933 FCFA/action proposé pour 2025, soit un rendement de ~84% au cours actuel), mais sa structure financière est fragile (trésorerie nette négative, endettement élevé, distribution supérieure au résultat net à 101%). Le principal risque réside dans la dépendance aux concours bancaires et la volatilité des segments aviation/bitume, comme l'illustre la baisse de -9% du CA au T1 2026.</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exigeante — PER de 24,0x (2x la moyenne BRVM), P/B de 5,34x et EV/EBITDA de 12,9x — ce qui intègre déjà une prime de croissance et limite le potentiel de réévaluation. Le comportement du cours (Partie 1) est préoccupant à court terme : malgré +18,25% sur 100 jours, le repli de -2,54% en J-1, la position sous les moyennes mobiles et la volatilité élevée (42,3%) avec des queues épaisses (kurtosis 1,094) suggèrent une phase de consolidation risquée. Les signaux techniques (Partie 2) sont divergents : le stochastique à 0,0 et les MM en configuration haussière plaident pour un rebond, mais le MACD baissier et le cours sous les MM20/MM50 tempèrent cet optimisme — la convergence n'est pas au rendez-vous. Les fondamentaux (Partie 3) sont mitigés : ROE excellent (22,20%), résultat net en hausse (+12,6% en 2025), dividende attractif, mais trésorerie nette très négative (-65,26 Mds FCFA), endettement élevé (85,97% de dépendance financière) et marge nette faible (1,00%). Les prédictions IA (J+1 à J+10) anticipent une stabilisation autour de 2 318-2 322 FCFA, soit une légère hausse de +0,8% à +1,0% par rapport au cours actuel — une trajectoire de consolidation qui ne contredit pas les autres signaux mais ne les confirme pas non plus.</w:t>
      </w:r>
    </w:p>
    <w:p>
      <w:pPr>
        <w:spacing w:after="120" w:line="276" w:lineRule="auto"/>
      </w:pPr>
      <w:r>
        <w:t>**Recommandation finale** : **CONSERVER**. La convergence est partielle : la valorisation exigeante et les risques financiers (trésorerie, endettement) plaident contre un achat agressif, tandis que la rentabilité solide (ROE &gt;20%), le dividende attractif et le potentiel de rebond technique (stochastique à 0) justifient de ne pas vendre. Le niveau de confiance est **Moyen** — les indicateurs sont contradictoires et la visibilité sur la réduction de l'endettement reste limitée. Le niveau de risque global est **Élevé** (volatilité 42,3%, structure financière fragile, dépendance aux concours bancaires). L'horizon d'investissement optimal est le **moyen terme (3-12 mois)**, en attendant la publication des comptes définitifs 2025 et des résultats du S1 2026, qui permettront de confirmer ou d'infirmer la tendance à l'amélioration de la rentabilité et à la réduction des risques financiers. Un renforcement pourrait être envisagé si le titre revient vers 2 100-2 150 FCFA (borne inférieure de Bollinger) avec une amélioration des volumes et une confirmation de la baisse de l'endettement.</w:t>
      </w:r>
    </w:p>
    <w:p>
      <w:pPr>
        <w:spacing w:after="120" w:line="276" w:lineRule="auto"/>
      </w:pPr>
      <w:r>
        <w:t>---</w:t>
      </w:r>
    </w:p>
    <w:p>
      <w:pPr>
        <w:spacing w:after="120" w:line="276" w:lineRule="auto"/>
      </w:pPr>
      <w:r>
        <w:t>*Rapport généré le 4 octobre 2026 — Sources : BRVM, états financiers SHEC 2025, rapports trimestriels 2025-2026, analyses DeepSeek et Fallback.*</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10,987 titres</w:t>
            </w:r>
          </w:p>
        </w:tc>
        <w:tc>
          <w:tcPr>
            <w:tcW w:type="dxa" w:w="2268"/>
            <w:shd w:fill="FFF2CC" w:val="clear"/>
          </w:tcPr>
          <w:p>
            <w:r>
              <w:rPr>
                <w:b/>
                <w:color w:val="503200"/>
                <w:sz w:val="16"/>
              </w:rPr>
              <w:t xml:space="preserve">Cours actuel : </w:t>
            </w:r>
            <w:r>
              <w:rPr>
                <w:color w:val="000000"/>
                <w:sz w:val="17"/>
              </w:rPr>
              <w:t>9,160 FCFA</w:t>
            </w:r>
          </w:p>
          <w:p>
            <w:r>
              <w:rPr>
                <w:b/>
                <w:color w:val="503200"/>
                <w:sz w:val="16"/>
              </w:rPr>
              <w:t xml:space="preserve">Var. 100 jours : </w:t>
            </w:r>
            <w:r>
              <w:rPr>
                <w:b/>
                <w:color w:val="007800"/>
                <w:sz w:val="17"/>
              </w:rPr>
              <w:t>+29.11%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7,095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5.96% (Moyenne) — μ=8,816 FCFA, σ=525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β=0.7909 (Défensif) — Cov=0.000055, Var(idx)=0.000069, ρ=0.335,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10,987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8,601</w:t>
            </w:r>
          </w:p>
        </w:tc>
        <w:tc>
          <w:tcPr>
            <w:tcW w:type="dxa" w:w="1440"/>
            <w:shd w:fill="FAFAFA" w:val="clear"/>
          </w:tcPr>
          <w:p>
            <w:r>
              <w:rPr>
                <w:b/>
                <w:sz w:val="17"/>
              </w:rPr>
              <w:t>8,986</w:t>
            </w:r>
          </w:p>
        </w:tc>
        <w:tc>
          <w:tcPr>
            <w:tcW w:type="dxa" w:w="1440"/>
            <w:shd w:fill="FAFAFA" w:val="clear"/>
          </w:tcPr>
          <w:p>
            <w:r>
              <w:rPr>
                <w:sz w:val="17"/>
              </w:rPr>
              <w:t>9,371</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8,441</w:t>
            </w:r>
          </w:p>
        </w:tc>
        <w:tc>
          <w:tcPr>
            <w:tcW w:type="dxa" w:w="1440"/>
            <w:shd w:fill="FFDCE0" w:val="clear"/>
          </w:tcPr>
          <w:p>
            <w:r>
              <w:rPr>
                <w:b/>
                <w:sz w:val="17"/>
              </w:rPr>
              <w:t>8,909</w:t>
            </w:r>
          </w:p>
        </w:tc>
        <w:tc>
          <w:tcPr>
            <w:tcW w:type="dxa" w:w="1440"/>
            <w:shd w:fill="FFDCE0" w:val="clear"/>
          </w:tcPr>
          <w:p>
            <w:r>
              <w:rPr>
                <w:sz w:val="17"/>
              </w:rPr>
              <w:t>9,376</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2026-10-07</w:t>
            </w:r>
          </w:p>
        </w:tc>
        <w:tc>
          <w:tcPr>
            <w:tcW w:type="dxa" w:w="1440"/>
            <w:shd w:fill="FFDCE0" w:val="clear"/>
          </w:tcPr>
          <w:p>
            <w:r>
              <w:rPr>
                <w:sz w:val="17"/>
              </w:rPr>
              <w:t>8,305</w:t>
            </w:r>
          </w:p>
        </w:tc>
        <w:tc>
          <w:tcPr>
            <w:tcW w:type="dxa" w:w="1440"/>
            <w:shd w:fill="FFDCE0" w:val="clear"/>
          </w:tcPr>
          <w:p>
            <w:r>
              <w:rPr>
                <w:b/>
                <w:sz w:val="17"/>
              </w:rPr>
              <w:t>8,840</w:t>
            </w:r>
          </w:p>
        </w:tc>
        <w:tc>
          <w:tcPr>
            <w:tcW w:type="dxa" w:w="1440"/>
            <w:shd w:fill="FFDCE0" w:val="clear"/>
          </w:tcPr>
          <w:p>
            <w:r>
              <w:rPr>
                <w:sz w:val="17"/>
              </w:rPr>
              <w:t>9,375</w:t>
            </w:r>
          </w:p>
        </w:tc>
        <w:tc>
          <w:tcPr>
            <w:tcW w:type="dxa" w:w="1440"/>
            <w:shd w:fill="FFDCE0" w:val="clear"/>
          </w:tcPr>
          <w:p>
            <w:r>
              <w:rPr>
                <w:b/>
                <w:color w:val="C00000"/>
                <w:sz w:val="17"/>
              </w:rPr>
              <w:t>-3.5%</w:t>
            </w:r>
          </w:p>
        </w:tc>
      </w:tr>
      <w:tr>
        <w:tc>
          <w:tcPr>
            <w:tcW w:type="dxa" w:w="1440"/>
            <w:shd w:fill="FFDCE0" w:val="clear"/>
          </w:tcPr>
          <w:p>
            <w:r>
              <w:rPr>
                <w:sz w:val="17"/>
              </w:rPr>
              <w:t>J+4  Moyenne</w:t>
            </w:r>
          </w:p>
        </w:tc>
        <w:tc>
          <w:tcPr>
            <w:tcW w:type="dxa" w:w="1440"/>
            <w:shd w:fill="FFDCE0" w:val="clear"/>
          </w:tcPr>
          <w:p>
            <w:r>
              <w:rPr>
                <w:sz w:val="17"/>
              </w:rPr>
              <w:t>2026-10-08</w:t>
            </w:r>
          </w:p>
        </w:tc>
        <w:tc>
          <w:tcPr>
            <w:tcW w:type="dxa" w:w="1440"/>
            <w:shd w:fill="FFDCE0" w:val="clear"/>
          </w:tcPr>
          <w:p>
            <w:r>
              <w:rPr>
                <w:sz w:val="17"/>
              </w:rPr>
              <w:t>8,185</w:t>
            </w:r>
          </w:p>
        </w:tc>
        <w:tc>
          <w:tcPr>
            <w:tcW w:type="dxa" w:w="1440"/>
            <w:shd w:fill="FFDCE0" w:val="clear"/>
          </w:tcPr>
          <w:p>
            <w:r>
              <w:rPr>
                <w:b/>
                <w:sz w:val="17"/>
              </w:rPr>
              <w:t>8,779</w:t>
            </w:r>
          </w:p>
        </w:tc>
        <w:tc>
          <w:tcPr>
            <w:tcW w:type="dxa" w:w="1440"/>
            <w:shd w:fill="FFDCE0" w:val="clear"/>
          </w:tcPr>
          <w:p>
            <w:r>
              <w:rPr>
                <w:sz w:val="17"/>
              </w:rPr>
              <w:t>9,374</w:t>
            </w:r>
          </w:p>
        </w:tc>
        <w:tc>
          <w:tcPr>
            <w:tcW w:type="dxa" w:w="1440"/>
            <w:shd w:fill="FFDCE0" w:val="clear"/>
          </w:tcPr>
          <w:p>
            <w:r>
              <w:rPr>
                <w:b/>
                <w:color w:val="C00000"/>
                <w:sz w:val="17"/>
              </w:rPr>
              <w:t>-4.2%</w:t>
            </w:r>
          </w:p>
        </w:tc>
      </w:tr>
      <w:tr>
        <w:tc>
          <w:tcPr>
            <w:tcW w:type="dxa" w:w="1440"/>
            <w:shd w:fill="FFDCE0" w:val="clear"/>
          </w:tcPr>
          <w:p>
            <w:r>
              <w:rPr>
                <w:sz w:val="17"/>
              </w:rPr>
              <w:t>J+5  Moyenne</w:t>
            </w:r>
          </w:p>
        </w:tc>
        <w:tc>
          <w:tcPr>
            <w:tcW w:type="dxa" w:w="1440"/>
            <w:shd w:fill="FFDCE0" w:val="clear"/>
          </w:tcPr>
          <w:p>
            <w:r>
              <w:rPr>
                <w:sz w:val="17"/>
              </w:rPr>
              <w:t>2026-10-09</w:t>
            </w:r>
          </w:p>
        </w:tc>
        <w:tc>
          <w:tcPr>
            <w:tcW w:type="dxa" w:w="1440"/>
            <w:shd w:fill="FFDCE0" w:val="clear"/>
          </w:tcPr>
          <w:p>
            <w:r>
              <w:rPr>
                <w:sz w:val="17"/>
              </w:rPr>
              <w:t>8,077</w:t>
            </w:r>
          </w:p>
        </w:tc>
        <w:tc>
          <w:tcPr>
            <w:tcW w:type="dxa" w:w="1440"/>
            <w:shd w:fill="FFDCE0" w:val="clear"/>
          </w:tcPr>
          <w:p>
            <w:r>
              <w:rPr>
                <w:b/>
                <w:sz w:val="17"/>
              </w:rPr>
              <w:t>8,724</w:t>
            </w:r>
          </w:p>
        </w:tc>
        <w:tc>
          <w:tcPr>
            <w:tcW w:type="dxa" w:w="1440"/>
            <w:shd w:fill="FFDCE0" w:val="clear"/>
          </w:tcPr>
          <w:p>
            <w:r>
              <w:rPr>
                <w:sz w:val="17"/>
              </w:rPr>
              <w:t>9,371</w:t>
            </w:r>
          </w:p>
        </w:tc>
        <w:tc>
          <w:tcPr>
            <w:tcW w:type="dxa" w:w="1440"/>
            <w:shd w:fill="FFDCE0" w:val="clear"/>
          </w:tcPr>
          <w:p>
            <w:r>
              <w:rPr>
                <w:b/>
                <w:color w:val="C00000"/>
                <w:sz w:val="17"/>
              </w:rPr>
              <w:t>-4.8%</w:t>
            </w:r>
          </w:p>
        </w:tc>
      </w:tr>
      <w:tr>
        <w:tc>
          <w:tcPr>
            <w:tcW w:type="dxa" w:w="1440"/>
            <w:shd w:fill="FFDCE0" w:val="clear"/>
          </w:tcPr>
          <w:p>
            <w:r>
              <w:rPr>
                <w:sz w:val="17"/>
              </w:rPr>
              <w:t>J+6  Moyenne</w:t>
            </w:r>
          </w:p>
        </w:tc>
        <w:tc>
          <w:tcPr>
            <w:tcW w:type="dxa" w:w="1440"/>
            <w:shd w:fill="FFDCE0" w:val="clear"/>
          </w:tcPr>
          <w:p>
            <w:r>
              <w:rPr>
                <w:sz w:val="17"/>
              </w:rPr>
              <w:t>2026-10-12</w:t>
            </w:r>
          </w:p>
        </w:tc>
        <w:tc>
          <w:tcPr>
            <w:tcW w:type="dxa" w:w="1440"/>
            <w:shd w:fill="FFDCE0" w:val="clear"/>
          </w:tcPr>
          <w:p>
            <w:r>
              <w:rPr>
                <w:sz w:val="17"/>
              </w:rPr>
              <w:t>7,979</w:t>
            </w:r>
          </w:p>
        </w:tc>
        <w:tc>
          <w:tcPr>
            <w:tcW w:type="dxa" w:w="1440"/>
            <w:shd w:fill="FFDCE0" w:val="clear"/>
          </w:tcPr>
          <w:p>
            <w:r>
              <w:rPr>
                <w:b/>
                <w:sz w:val="17"/>
              </w:rPr>
              <w:t>8,674</w:t>
            </w:r>
          </w:p>
        </w:tc>
        <w:tc>
          <w:tcPr>
            <w:tcW w:type="dxa" w:w="1440"/>
            <w:shd w:fill="FFDCE0" w:val="clear"/>
          </w:tcPr>
          <w:p>
            <w:r>
              <w:rPr>
                <w:sz w:val="17"/>
              </w:rPr>
              <w:t>9,369</w:t>
            </w:r>
          </w:p>
        </w:tc>
        <w:tc>
          <w:tcPr>
            <w:tcW w:type="dxa" w:w="1440"/>
            <w:shd w:fill="FFDCE0" w:val="clear"/>
          </w:tcPr>
          <w:p>
            <w:r>
              <w:rPr>
                <w:b/>
                <w:color w:val="C00000"/>
                <w:sz w:val="17"/>
              </w:rPr>
              <w:t>-5.3%</w:t>
            </w:r>
          </w:p>
        </w:tc>
      </w:tr>
      <w:tr>
        <w:tc>
          <w:tcPr>
            <w:tcW w:type="dxa" w:w="1440"/>
            <w:shd w:fill="FFDCE0" w:val="clear"/>
          </w:tcPr>
          <w:p>
            <w:r>
              <w:rPr>
                <w:sz w:val="17"/>
              </w:rPr>
              <w:t>J+7  Moyenne</w:t>
            </w:r>
          </w:p>
        </w:tc>
        <w:tc>
          <w:tcPr>
            <w:tcW w:type="dxa" w:w="1440"/>
            <w:shd w:fill="FFDCE0" w:val="clear"/>
          </w:tcPr>
          <w:p>
            <w:r>
              <w:rPr>
                <w:sz w:val="17"/>
              </w:rPr>
              <w:t>2026-10-13</w:t>
            </w:r>
          </w:p>
        </w:tc>
        <w:tc>
          <w:tcPr>
            <w:tcW w:type="dxa" w:w="1440"/>
            <w:shd w:fill="FFDCE0" w:val="clear"/>
          </w:tcPr>
          <w:p>
            <w:r>
              <w:rPr>
                <w:sz w:val="17"/>
              </w:rPr>
              <w:t>7,888</w:t>
            </w:r>
          </w:p>
        </w:tc>
        <w:tc>
          <w:tcPr>
            <w:tcW w:type="dxa" w:w="1440"/>
            <w:shd w:fill="FFDCE0" w:val="clear"/>
          </w:tcPr>
          <w:p>
            <w:r>
              <w:rPr>
                <w:b/>
                <w:sz w:val="17"/>
              </w:rPr>
              <w:t>8,627</w:t>
            </w:r>
          </w:p>
        </w:tc>
        <w:tc>
          <w:tcPr>
            <w:tcW w:type="dxa" w:w="1440"/>
            <w:shd w:fill="FFDCE0" w:val="clear"/>
          </w:tcPr>
          <w:p>
            <w:r>
              <w:rPr>
                <w:sz w:val="17"/>
              </w:rPr>
              <w:t>9,366</w:t>
            </w:r>
          </w:p>
        </w:tc>
        <w:tc>
          <w:tcPr>
            <w:tcW w:type="dxa" w:w="1440"/>
            <w:shd w:fill="FFDCE0" w:val="clear"/>
          </w:tcPr>
          <w:p>
            <w:r>
              <w:rPr>
                <w:b/>
                <w:color w:val="C00000"/>
                <w:sz w:val="17"/>
              </w:rPr>
              <w:t>-5.8%</w:t>
            </w:r>
          </w:p>
        </w:tc>
      </w:tr>
      <w:tr>
        <w:tc>
          <w:tcPr>
            <w:tcW w:type="dxa" w:w="1440"/>
            <w:shd w:fill="FFDCE0" w:val="clear"/>
          </w:tcPr>
          <w:p>
            <w:r>
              <w:rPr>
                <w:sz w:val="17"/>
              </w:rPr>
              <w:t>J+8  Moyenne</w:t>
            </w:r>
          </w:p>
        </w:tc>
        <w:tc>
          <w:tcPr>
            <w:tcW w:type="dxa" w:w="1440"/>
            <w:shd w:fill="FFDCE0" w:val="clear"/>
          </w:tcPr>
          <w:p>
            <w:r>
              <w:rPr>
                <w:sz w:val="17"/>
              </w:rPr>
              <w:t>2026-10-14</w:t>
            </w:r>
          </w:p>
        </w:tc>
        <w:tc>
          <w:tcPr>
            <w:tcW w:type="dxa" w:w="1440"/>
            <w:shd w:fill="FFDCE0" w:val="clear"/>
          </w:tcPr>
          <w:p>
            <w:r>
              <w:rPr>
                <w:sz w:val="17"/>
              </w:rPr>
              <w:t>7,804</w:t>
            </w:r>
          </w:p>
        </w:tc>
        <w:tc>
          <w:tcPr>
            <w:tcW w:type="dxa" w:w="1440"/>
            <w:shd w:fill="FFDCE0" w:val="clear"/>
          </w:tcPr>
          <w:p>
            <w:r>
              <w:rPr>
                <w:b/>
                <w:sz w:val="17"/>
              </w:rPr>
              <w:t>8,584</w:t>
            </w:r>
          </w:p>
        </w:tc>
        <w:tc>
          <w:tcPr>
            <w:tcW w:type="dxa" w:w="1440"/>
            <w:shd w:fill="FFDCE0" w:val="clear"/>
          </w:tcPr>
          <w:p>
            <w:r>
              <w:rPr>
                <w:sz w:val="17"/>
              </w:rPr>
              <w:t>9,364</w:t>
            </w:r>
          </w:p>
        </w:tc>
        <w:tc>
          <w:tcPr>
            <w:tcW w:type="dxa" w:w="1440"/>
            <w:shd w:fill="FFDCE0" w:val="clear"/>
          </w:tcPr>
          <w:p>
            <w:r>
              <w:rPr>
                <w:b/>
                <w:color w:val="C00000"/>
                <w:sz w:val="17"/>
              </w:rPr>
              <w:t>-6.3%</w:t>
            </w:r>
          </w:p>
        </w:tc>
      </w:tr>
      <w:tr>
        <w:tc>
          <w:tcPr>
            <w:tcW w:type="dxa" w:w="1440"/>
            <w:shd w:fill="FFDCE0" w:val="clear"/>
          </w:tcPr>
          <w:p>
            <w:r>
              <w:rPr>
                <w:sz w:val="17"/>
              </w:rPr>
              <w:t>J+9  Moyenne</w:t>
            </w:r>
          </w:p>
        </w:tc>
        <w:tc>
          <w:tcPr>
            <w:tcW w:type="dxa" w:w="1440"/>
            <w:shd w:fill="FFDCE0" w:val="clear"/>
          </w:tcPr>
          <w:p>
            <w:r>
              <w:rPr>
                <w:sz w:val="17"/>
              </w:rPr>
              <w:t>2026-10-15</w:t>
            </w:r>
          </w:p>
        </w:tc>
        <w:tc>
          <w:tcPr>
            <w:tcW w:type="dxa" w:w="1440"/>
            <w:shd w:fill="FFDCE0" w:val="clear"/>
          </w:tcPr>
          <w:p>
            <w:r>
              <w:rPr>
                <w:sz w:val="17"/>
              </w:rPr>
              <w:t>7,726</w:t>
            </w:r>
          </w:p>
        </w:tc>
        <w:tc>
          <w:tcPr>
            <w:tcW w:type="dxa" w:w="1440"/>
            <w:shd w:fill="FFDCE0" w:val="clear"/>
          </w:tcPr>
          <w:p>
            <w:r>
              <w:rPr>
                <w:b/>
                <w:sz w:val="17"/>
              </w:rPr>
              <w:t>8,544</w:t>
            </w:r>
          </w:p>
        </w:tc>
        <w:tc>
          <w:tcPr>
            <w:tcW w:type="dxa" w:w="1440"/>
            <w:shd w:fill="FFDCE0" w:val="clear"/>
          </w:tcPr>
          <w:p>
            <w:r>
              <w:rPr>
                <w:sz w:val="17"/>
              </w:rPr>
              <w:t>9,362</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**Bourse Régionale des Valeurs Mobilières (BRVM) — Secteur : Banque**</w:t>
        <w:br/>
        <w:t>**Cours de référence : 9 160 FCFA — Capitalisation : 916,00 Mds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SIBC s'établit à 916,00 Mds FCFA, un niveau qui positionne la valeur parmi les plus importantes de la cote BRVM, ce qui traduit la confiance du marché envers ce pilier du secteur bancaire ivoirien. Avec un BPA de 556 FCFA/action, chaque titre génère un bénéfice substantiel, et le PER de 16,5x indique que les investisseurs paient environ 16,5 fois les bénéfices annuels — un niveau modéré en absolu, mais supérieur à la moyenne BRVM (8-12x), suggérant une prime de qualité déjà intégrée. Le P/B de 4,47x révèle que le marché valorise la banque à plus de quatre fois sa valeur comptable, une prime exigeante qui reflète la forte rentabilité des fonds propres (ROE &gt;27%) mais qui limite la marge de sécurité en cas de correction. Enfin, l'EV/EBITDA de 15,3x, très exigeant, confirme que la valeur totale de l'entreprise (dette incluse) est chèrement valorisée par rapport à sa capacité opérationnelle, ce qui implique que toute déception sur les résultats pourrait entraîner une compression des multiples.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 enregistré une progression remarquable de +29,11%, avec un cours actuel de 9 160 FCFA et une variation nulle sur la dernière séance (J-1 : +0,00%), signe d'une stabilisation après un rallye haussier. Le range de trading s'étend de 7 095 FCFA (plus bas) à 9 500 FCFA (plus haut), soit une amplitude de 34%, ce qui témoigne d'une tendance globalement haussière mais avec des phases de consolidation. Les statistiques descriptives révèlent une moyenne de 8 816 FCFA légèrement inférieure à la médiane de 8 962 FCFA, indiquant une distribution asymétrique avec quelques journées de forte baisse qui tirent la moyenne vers le bas ; le mode à 9 000 FCFA confirme que ce niveau a servi de point d'équilibre fréquent. L'écart-type de 528 FCFA (CV = 6,0%) traduit une dispersion modérée du cours autour de sa moyenne, tandis que le kurtosis de 2,560 (leptokurtique) signale des queues épaisses et un risque de pics de volatilité brutaux. Le skewness de -1,791 (asymétrie négative) indique paradoxalement plus de journées au-dessus de la moyenne, mais avec des baisses plus violentes que les hausses — un profil de risque dissymétrique. Enfin, la volatilité annualisée de 30,8% classe le titre dans la catégorie des valeurs à volatilité élevée (&gt;30%), ce qui implique un risque de marché significatif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(9 127,25 FCFA) et la MM50 (9 117,50 FCFA) sont toutes deux légèrement inférieures au cours actuel (9 160 FCFA), et la MM20 se situe au-dessus de la MM50, configurant un croisement haussier classique. Cette configuration confirme que le titre évolue dans une dynamique positive de court et moyen terme, justifiant la décision technique d'**Achat**.</w:t>
      </w:r>
    </w:p>
    <w:p>
      <w:pPr>
        <w:spacing w:after="120" w:line="276" w:lineRule="auto"/>
      </w:pPr>
      <w:r>
        <w:t>**Bandes de Bollinger** : Le cours actuel (9 160 FCFA) se situe à l'intérieur des bandes, entre la borne inférieure (8 773,12 FCFA) et la borne supérieure (9 481,38 FCFA), mais plus proche de la borne supérieure, ce qui indique une pression acheteuse modérée sans surachat extrême. L'amplitude des bandes (708 FCFA) reflète une volatilité contenue, et la décision **Neutre** suggère que le titre n'est ni en zone de surachat ni de survente, offrant un point d'entrée équilibré.</w:t>
      </w:r>
    </w:p>
    <w:p>
      <w:pPr>
        <w:spacing w:after="120" w:line="276" w:lineRule="auto"/>
      </w:pPr>
      <w:r>
        <w:t>**MACD** : La valeur du MACD (-19,248) est supérieure à son signal (-21,486), générant un croisement haussier qui indique un momentum positif en construction. Bien que les deux lignes restent en territoire négatif, la convergence ascendante suggère une amélioration progressive de la dynamique, justifiant la décision d'**Achat**.</w:t>
      </w:r>
    </w:p>
    <w:p>
      <w:pPr>
        <w:spacing w:after="120" w:line="276" w:lineRule="auto"/>
      </w:pPr>
      <w:r>
        <w:t>**RSI** : Avec une valeur de 45,652, le RSI se situe dans la zone neutre (30-70), sans signal de surachat (&gt;70) ni de survente (&lt;30). Ce niveau indique que le titre dispose encore d'un potentiel de hausse sans être techniquement épuisé, justifiant la décision **Neutre** — un positionnement d'attente favorable à un renforcement progressif.</w:t>
      </w:r>
    </w:p>
    <w:p>
      <w:pPr>
        <w:spacing w:after="120" w:line="276" w:lineRule="auto"/>
      </w:pPr>
      <w:r>
        <w:t>**Stochastique** : Le %K (82,278) et le %D (81,857) sont tous deux en zone de surachat (&gt;80), avec un %K légèrement supérieur au %D, ce qui suggère un essoufflement possible de la dynamique haussière à court terme. La décision de **Vente** signale un risque de correction imminente ou de consolidation, incitant à la prudence pour les positions court terme.</w:t>
      </w:r>
    </w:p>
    <w:p>
      <w:pPr>
        <w:spacing w:after="120" w:line="276" w:lineRule="auto"/>
      </w:pPr>
      <w:r>
        <w:t>**Conclusion technique** : Les indicateurs présentent une configuration mitigée mais globalement constructive. Les moyennes mobiles et le MACD confirment une tendance haussière de fond, tandis que le RSI neutre et les Bandes de Bollinger équilibrées offrent un cadre favorable à un investissement progressif. Cependant, le Stochastique en zone de surachat constitue un signal d'alerte à court terme, suggérant qu'une consolidation ou un repli technique pourrait précéder une nouvelle jambe haussière. La convergence des signaux plaide pour une stratégie d'achat sur repli plutôt qu'en poursuite du mouvement.</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SIBC affiche un Produit Net Bancaire (PNB, équivalent du chiffre d'affaires pour une banque) de 108,663 Mds FCFA, un résultat net de 55,623 Mds FCFA, et une Capacité d'Autofinancement (CAF) de 58,752 Mds FCFA. La rentabilité est exceptionnelle avec un ROE de 27,16% (largement supérieur au seuil de 15% considéré comme excellent) et un ROA de 2,96%. Le coefficient d'exploitation s'établit à 38,59%, bien en dessous du seuil de 60% — signe d'une banque très efficace — et même sous les 50% qui dénotent une excellence opérationnelle. La marge nette de 51,19% et la marge opérationnelle de 58,06% confirment une maîtrise remarquable des coûts. Le ratio dépôts/crédits (1 503,441 Mds de dépôts clientèle pour 1 226,720 Mds de créances clientèle, soit 122,6%) indique une surliquidité confortable, la banque finançant ses crédits par ses dépôts sans dépendre excessivement des marchés interbancaires. Le coût du risque, bien que le ratio fourni (363 900 000 000%) soit aberrant et non interprétable en l'état, doit être croisé avec les rapports narratifs : le coût du risque au S1 2026 n'était que de 287 M FCFA (-75,3%), signe d'un portefeuille de crédits de très bonne qualité.</w:t>
      </w:r>
    </w:p>
    <w:p>
      <w:pPr>
        <w:spacing w:after="120" w:line="276" w:lineRule="auto"/>
      </w:pPr>
      <w:r>
        <w:t>**Estimations basées sur les rapports trimestriels** : Le rapport du **T1 2026 (publié le 7 mai 2026)** indique un PNB de 27,7 Mds FCFA (+4% en glissement annuel) et un résultat net de 15,2 Mds FCFA (+11%), avec une marge nette exceptionnelle de 54,9%. Le rapport du **S1 2026 (publié le 29 septembre 2026)** confirme cette dynamique avec un PNB semestriel de 56,592 Mds FCFA (+4,2%) et un résultat net de 32,140 Mds FCFA (+9,3%), porté par une croissance de 12% des crédits (1 169 Mds FCFA) et des dépôts (1 581 Mds FCFA). Sur la base de ces tendances, on peut estimer que l'exercice 2026 devrait afficher un PNB annuel d'environ 115-118 Mds FCFA (+6-8% vs 2025) et un résultat net de 60-63 Mds FCFA (+8-13%), confirmant la trajectoire de croissance rentable. Le rapport annuel 2024 (publié le 31 décembre 2024) rappelle que le dividende brut par action proposé était de 375 FCFA, offrant un rendement d'environ 10,55% sur la base du cours de fin 2024 — un rendement attractif qui devrait se maintenir voire progresser en 2026.</w:t>
      </w:r>
    </w:p>
    <w:p>
      <w:pPr>
        <w:spacing w:after="120" w:line="276" w:lineRule="auto"/>
      </w:pPr>
      <w:r>
        <w:t>**Recommandation fondamentale** : SIBC présente des fondamentaux exceptionnellement solides : croissance à deux chiffres de l'activité, rentabilité parmi les meilleures du secteur (ROE &gt;27%), efficacité opérationnelle remarquable (coefficient d'exploitation &lt;40%), et qualité d'actifs préservée (coût du risque quasi nul). Les principaux risques identifiés dans les rapports (concurrence bancaire accrue, renforcement réglementaire, dépendance à la conjoncture ivoirienne) sont réels mais gérables compte tenu de la solidité financière de la banque. La recommandation fondamentale est **CONSERVER avec biais positif**, le titre offrant un profil rendement/risque attractif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globalement positive mais nuancée. **Sur le plan de la valorisation (Partie 0)** , les ratios PER (16,5x), P/B (4,47x) et EV/EBITDA (15,3x) indiquent une valorisation exigeante, voire légèrement surévaluée par rapport à la moyenne BRVM, ce qui limite le potentiel de revalorisation à court terme mais se justifie par la qualité exceptionnelle des fondamentaux. **Le comportement du cours (Partie 1)** est haussier (+29,11% sur 100 jours) avec une volatilité élevée (30,8%) et une asymétrie négative (skewness -1,791) qui prévient d'un risque de corrections brutales malgré la tendance positive. **Les signaux techniques (Partie 2)** sont mitigés : les moyennes mobiles et le MACD sont haussiers, le RSI est neutre, mais le Stochastique en zone de surachat signale un essoufflement à court terme — une configuration qui plaide pour une consolidation avant une nouvelle hausse. **Les fondamentaux (Partie 3)** sont excellents : ROE de 27,16%, coefficient d'exploitation de 38,59%, croissance du résultat net de +9,3% au S1 2026, et dividende attractif (~10,55% de rendement en 2024). **Les prédictions IA (J+1 à J+10)** anticipent une correction progressive de 9 160 FCFA vers 8 724 FCFA (-4,8%), ce qui contredit la tendance haussière récente mais s'aligne avec le signal de vente du Stochastique et la valorisation exigeante.</w:t>
      </w:r>
    </w:p>
    <w:p>
      <w:pPr>
        <w:spacing w:after="120" w:line="276" w:lineRule="auto"/>
      </w:pPr>
      <w:r>
        <w:t>**Recommandation finale : CONSERVER** — Justification : La convergence entre une valorisation exigeante, un signal technique de surachat à court terme et des prédictions baissières à 10 jours incite à la prudence pour les achats en poursuite de mouvement. Cependant, la solidité exceptionnelle des fondamentaux (ROE &gt;27%, croissance à deux chiffres, dividende attractif) et la tendance haussière de fond plaident contre une vente. Les investisseurs déjà positionnés doivent conserver leurs titres pour bénéficier de la croissance et du dividende, tandis que les nouveaux investisseurs devraient attendre une correction vers 8 700-8 800 FCFA (niveau de la borne inférieure de Bollinger et des prédictions IA) pour initier une position. **Niveau de confiance : Moyen** (les fondamentaux sont solides mais la valorisation et le Stochastique limitent la visibilité à court terme). **Niveau de risque global : Moyen à Élevé** (volatilité de 30,8%, kurtosis leptokurtique, skewness négatif). **Horizon d'investissement optimal : Moyen à Long terme (6-18 mois)** , le temps que la croissance des bénéfices rattrape la valorisation actuelle et que le dividende soit confirmé.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β=-1.0986 (Contre-cyclique) — Cov=-0.000040, Var(idx)=0.000036, ρ=-0.178, n=89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w:t>
        <w:br/>
        <w:t>*Société Ivoirienne de Coco Râpé — BRVM | Cours de référence : 8 400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s'élève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dans la base : le dernier résultat net exploitable remonte à l'exercice 2023 (+19,25 millions FCFA), ce qui donnerait un BPA théorique d'environ 32 FCFA par action (pour 600 000 titres), soit un PER implicite proche de 260x — un niveau stratosphérique qui traduit surtout la faiblesse du bénéfice plutôt qu'une véritable prime de marché. Le P/B reste également indicatif : avec des capitaux propres historiquement négatifs (2016) puis reconstitués, la valeur comptable par action demeure inférieure au cours actuel. En synthèse, l'action se négocie sur des fondamentaux de rendement très faibles, et sa valorisation repose davantage sur des anticipations de redressement que sur des multiples rationnels.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SICC affiche une performance spectaculaire de +95,35%, portée par un fort engouement spéculatif, même si la dernière séance marque une légère correction de -1,12%. Le cours actuel de 8 400 FCFA se situe à mi-chemin entre le plus bas de 3 985 FCFA et le plus haut de 10 200 FCFA, matérialisant un range de trading très large de plus de 6 200 FCFA qui témoigne d'une tendance nettement haussière mais heurtée. Les statistiques descriptives révèlent une distribution asymétrique : la moyenne (5 815 FCFA) est supérieure à la médiane (5 022 FCFA), elle-même supérieure au mode (4 380 FCFA), confirmant un skewness positif de 0,913 — le titre a passé plus de journées sous sa moyenne, mais quelques séances de forte hausse ont tiré les statistiques vers le haut. L'écart-type de 1 813 FCFA et le coefficient de variation de 31,2% traduisent une dispersion importante du cours, tandis que le kurtosis de -0,630 (mésokurtique) indique une distribution proche de la normale, sans pics extrêmes anormaux. Avec une volatilité annualisée de 58,2%, le titre se classe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 FCFA) sont toutes deux inférieures au cours actuel (8 400 FCFA), avec une MM20 proche du prix et une MM50 nettement en dessous — configuration typique d'une tendance haussière de moyen terme. La décision affichée est **Achat**, cohérente avec le croisement haussier des moyennes et la position du cours au-dessus des deux références.</w:t>
      </w:r>
    </w:p>
    <w:p>
      <w:pPr>
        <w:spacing w:after="120" w:line="276" w:lineRule="auto"/>
      </w:pPr>
      <w:r>
        <w:t>**Bandes de Bollinger** : Le cours (8 400 FCFA) évolue dans la partie haute du canal, entre la borne inférieure (7 354,78 FCFA) et la borne supérieure (9 589,72 FCFA), sans franchir cette dernière. La décision est **Neutre** : le titre n'est ni en surachat extrême ni en survente, mais la largeur des bandes confirme la volatilité élevée déjà relevée.</w:t>
      </w:r>
    </w:p>
    <w:p>
      <w:pPr>
        <w:spacing w:after="120" w:line="276" w:lineRule="auto"/>
      </w:pPr>
      <w:r>
        <w:t>**MACD** : La valeur du MACD (273,71) est inférieure à son signal (365,81), générant une décision **Vente**. Cette divergence baissière indique un essoufflement du momentum haussier malgré la tendance de fond positive, signalant une possible consolidation à court terme.</w:t>
      </w:r>
    </w:p>
    <w:p>
      <w:pPr>
        <w:spacing w:after="120" w:line="276" w:lineRule="auto"/>
      </w:pPr>
      <w:r>
        <w:t>**RSI** : À 61,16, le RSI se situe en zone neutre-haute, sans atteindre le seuil de surachat (70). La décision **Neutre** suggère que le titre conserve un potentiel de hausse résiduel mais approche de zones où la prudence s'impose.</w:t>
      </w:r>
    </w:p>
    <w:p>
      <w:pPr>
        <w:spacing w:after="120" w:line="276" w:lineRule="auto"/>
      </w:pPr>
      <w:r>
        <w:t>**Stochastique** : Le %K (85,71) et le %D (94,76) sont tous deux en zone de surachat marquée, avec un %D supérieur au %K — configuration baissière classique. La décision **Vente** confirme la probabilité d'un repli technique imminent.</w:t>
      </w:r>
    </w:p>
    <w:p>
      <w:pPr>
        <w:spacing w:after="120" w:line="276" w:lineRule="auto"/>
      </w:pPr>
      <w:r>
        <w:t>**Conclusion technique** : Les indicateurs sont divergents. Les moyennes mobiles valident la tendance haussière de fond, mais le MACD, le stochastique et la position haute du RSI signalent un essoufflement à court terme. Le titre semble entrer dans une phase de consolidation après son rallye de +95%, et la prudence est de mise pour les acheteurs tardifs.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de la SICOR s'appuie sur les rapports officiels disponibles, dont les plus récents remontent aux exercices 2022, 2023 et 2024 (ce dernier étant partiellement exploitable). **En 2023**, la société a réalisé un chiffre d'affaires de 701,09 millions FCFA, en chute de 38,4% par rapport aux 1 138,17 millions FCFA de **2022**. Malgré cette contraction sévère, le résultat net est redevenu positif à **+19,25 millions FCFA en 2023**, contre une perte de -39,95 millions FCFA en 2022, grâce à une réduction drastique des charges (-43,68%) et au transfert de 50% du personnel vers la filiale SIPAL. La marge nette reste toutefois très faible, à 2,75% en 2023, bien en deçà des standards du secteur agro-industriel ouest-africain (5-10%). Les capitaux propres demeurent négatifs ou très faibles, avec des pertes cumulées de 689,86 millions FCFA qui interdisent toute distribution de dividende — situation inchangée depuis 2018. Le rapport **2022** soulignait déjà la dépendance historique à l'huile de coprah (34% du CA en 2022 contre 77% en 2021), la volatilité des prix mondiaux et un endettement croissant (+7,32% des dettes totales). Le rapport **2024** (analyse Gemini-Vision du 06/09/2026) confirme la poursuite du redressement mais reste incomplet dans les données transmises. Sur la base de ces éléments, la recommandation fondamentale est **CONSERVER avec vigilance** : la société est en convalescence, mais sa rentabilité reste fragile, sa trésorerie tendue et son absence de dividende pénalise l'attractivité pour les investisseurs de rendement.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**Sur la valorisation (Partie 0)**, l'absence de ratios calculables et un PER implicite très élevé suggèrent une action chère par rapport à ses bénéfices, mais bon marché si l'on considère son potentiel de redressement. **Sur le comportement du cours (Partie 1)**, la tendance haussière de +95% sur 100 jours est impressionnante mais accompagnée d'une volatilité élevée (58,2%) et d'une asymétrie positive qui indique que la hausse repose sur quelques séances exceptionnelles — un signal de fragilité. **Sur le plan technique (Partie 2)**, les indicateurs divergent : les moyennes mobiles valident la tendance, mais le MACD, le RSI et le stochastique signalent un essoufflement imminent, plaidant pour une consolidation. **Sur le plan fondamental (Partie 3)**, la SICOR montre des signes de redressement (retour au bénéfice en 2023) mais reste fragile : CA en baisse, marges faibles, pertes cumulées non résorbées et aucun dividende depuis 2018. **Les prédictions IA (J+1 à J+10)** ne sont pas disponibles, ce qui prive l'analyse d'un signal directionnel complémentaire. Compte tenu de cette convergence mitigée — technique haussière mais essoufflée, fondamentaux en amélioration mais fragiles, valorisation tendue — la recommandation finale est **CONSERVER**, avec un niveau de confiance **Moyen** et un risque global **Élevé**. L'horizon d'investissement optimal est le **moyen terme (3-12 mois)**, le temps que la société confirme la durabilité de son redressement et que les indicateurs techniques se réalignent. Un passage à l'achat serait justifié en cas de repli vers 7 200-7 500 FCFA (zone MM50) avec confirmation d'un rebond technique et d'une amélioration des volumes.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5,490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-29.70%</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11.64% (Moyenne) — μ=2,441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β=0.4977 (Défensif) — Cov=0.000034, Var(idx)=0.000069, ρ=0.123,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1,895</w:t>
            </w:r>
          </w:p>
        </w:tc>
        <w:tc>
          <w:tcPr>
            <w:tcW w:type="dxa" w:w="1440"/>
            <w:shd w:fill="FAFAFA" w:val="clear"/>
          </w:tcPr>
          <w:p>
            <w:r>
              <w:rPr>
                <w:b/>
                <w:sz w:val="17"/>
              </w:rPr>
              <w:t>2,039</w:t>
            </w:r>
          </w:p>
        </w:tc>
        <w:tc>
          <w:tcPr>
            <w:tcW w:type="dxa" w:w="1440"/>
            <w:shd w:fill="FAFAFA" w:val="clear"/>
          </w:tcPr>
          <w:p>
            <w:r>
              <w:rPr>
                <w:sz w:val="17"/>
              </w:rPr>
              <w:t>2,183</w:t>
            </w:r>
          </w:p>
        </w:tc>
        <w:tc>
          <w:tcPr>
            <w:tcW w:type="dxa" w:w="1440"/>
            <w:shd w:fill="FAFAFA"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1,865</w:t>
            </w:r>
          </w:p>
        </w:tc>
        <w:tc>
          <w:tcPr>
            <w:tcW w:type="dxa" w:w="1440"/>
            <w:shd w:fill="C6EFCE" w:val="clear"/>
          </w:tcPr>
          <w:p>
            <w:r>
              <w:rPr>
                <w:b/>
                <w:sz w:val="17"/>
              </w:rPr>
              <w:t>2,042</w:t>
            </w:r>
          </w:p>
        </w:tc>
        <w:tc>
          <w:tcPr>
            <w:tcW w:type="dxa" w:w="1440"/>
            <w:shd w:fill="C6EFCE" w:val="clear"/>
          </w:tcPr>
          <w:p>
            <w:r>
              <w:rPr>
                <w:sz w:val="17"/>
              </w:rPr>
              <w:t>2,218</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1,840</w:t>
            </w:r>
          </w:p>
        </w:tc>
        <w:tc>
          <w:tcPr>
            <w:tcW w:type="dxa" w:w="1440"/>
            <w:shd w:fill="C6EFCE" w:val="clear"/>
          </w:tcPr>
          <w:p>
            <w:r>
              <w:rPr>
                <w:b/>
                <w:sz w:val="17"/>
              </w:rPr>
              <w:t>2,045</w:t>
            </w:r>
          </w:p>
        </w:tc>
        <w:tc>
          <w:tcPr>
            <w:tcW w:type="dxa" w:w="1440"/>
            <w:shd w:fill="C6EFCE" w:val="clear"/>
          </w:tcPr>
          <w:p>
            <w:r>
              <w:rPr>
                <w:sz w:val="17"/>
              </w:rPr>
              <w:t>2,250</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1,819</w:t>
            </w:r>
          </w:p>
        </w:tc>
        <w:tc>
          <w:tcPr>
            <w:tcW w:type="dxa" w:w="1440"/>
            <w:shd w:fill="C6EFCE" w:val="clear"/>
          </w:tcPr>
          <w:p>
            <w:r>
              <w:rPr>
                <w:b/>
                <w:sz w:val="17"/>
              </w:rPr>
              <w:t>2,049</w:t>
            </w:r>
          </w:p>
        </w:tc>
        <w:tc>
          <w:tcPr>
            <w:tcW w:type="dxa" w:w="1440"/>
            <w:shd w:fill="C6EFCE" w:val="clear"/>
          </w:tcPr>
          <w:p>
            <w:r>
              <w:rPr>
                <w:sz w:val="17"/>
              </w:rPr>
              <w:t>2,278</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1,801</w:t>
            </w:r>
          </w:p>
        </w:tc>
        <w:tc>
          <w:tcPr>
            <w:tcW w:type="dxa" w:w="1440"/>
            <w:shd w:fill="C6EFCE" w:val="clear"/>
          </w:tcPr>
          <w:p>
            <w:r>
              <w:rPr>
                <w:b/>
                <w:sz w:val="17"/>
              </w:rPr>
              <w:t>2,052</w:t>
            </w:r>
          </w:p>
        </w:tc>
        <w:tc>
          <w:tcPr>
            <w:tcW w:type="dxa" w:w="1440"/>
            <w:shd w:fill="C6EFCE" w:val="clear"/>
          </w:tcPr>
          <w:p>
            <w:r>
              <w:rPr>
                <w:sz w:val="17"/>
              </w:rPr>
              <w:t>2,304</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1,784</w:t>
            </w:r>
          </w:p>
        </w:tc>
        <w:tc>
          <w:tcPr>
            <w:tcW w:type="dxa" w:w="1440"/>
            <w:shd w:fill="C6EFCE" w:val="clear"/>
          </w:tcPr>
          <w:p>
            <w:r>
              <w:rPr>
                <w:b/>
                <w:sz w:val="17"/>
              </w:rPr>
              <w:t>2,056</w:t>
            </w:r>
          </w:p>
        </w:tc>
        <w:tc>
          <w:tcPr>
            <w:tcW w:type="dxa" w:w="1440"/>
            <w:shd w:fill="C6EFCE" w:val="clear"/>
          </w:tcPr>
          <w:p>
            <w:r>
              <w:rPr>
                <w:sz w:val="17"/>
              </w:rPr>
              <w:t>2,328</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1,768</w:t>
            </w:r>
          </w:p>
        </w:tc>
        <w:tc>
          <w:tcPr>
            <w:tcW w:type="dxa" w:w="1440"/>
            <w:shd w:fill="C6EFCE" w:val="clear"/>
          </w:tcPr>
          <w:p>
            <w:r>
              <w:rPr>
                <w:b/>
                <w:sz w:val="17"/>
              </w:rPr>
              <w:t>2,060</w:t>
            </w:r>
          </w:p>
        </w:tc>
        <w:tc>
          <w:tcPr>
            <w:tcW w:type="dxa" w:w="1440"/>
            <w:shd w:fill="C6EFCE" w:val="clear"/>
          </w:tcPr>
          <w:p>
            <w:r>
              <w:rPr>
                <w:sz w:val="17"/>
              </w:rPr>
              <w:t>2,351</w:t>
            </w:r>
          </w:p>
        </w:tc>
        <w:tc>
          <w:tcPr>
            <w:tcW w:type="dxa" w:w="1440"/>
            <w:shd w:fill="C6EFCE" w:val="clear"/>
          </w:tcPr>
          <w:p>
            <w:r>
              <w:rPr>
                <w:b/>
                <w:color w:val="008000"/>
                <w:sz w:val="17"/>
              </w:rPr>
              <w:t>+3.0%</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1,753</w:t>
            </w:r>
          </w:p>
        </w:tc>
        <w:tc>
          <w:tcPr>
            <w:tcW w:type="dxa" w:w="1440"/>
            <w:shd w:fill="C6EFCE" w:val="clear"/>
          </w:tcPr>
          <w:p>
            <w:r>
              <w:rPr>
                <w:b/>
                <w:sz w:val="17"/>
              </w:rPr>
              <w:t>2,063</w:t>
            </w:r>
          </w:p>
        </w:tc>
        <w:tc>
          <w:tcPr>
            <w:tcW w:type="dxa" w:w="1440"/>
            <w:shd w:fill="C6EFCE" w:val="clear"/>
          </w:tcPr>
          <w:p>
            <w:r>
              <w:rPr>
                <w:sz w:val="17"/>
              </w:rPr>
              <w:t>2,373</w:t>
            </w:r>
          </w:p>
        </w:tc>
        <w:tc>
          <w:tcPr>
            <w:tcW w:type="dxa" w:w="1440"/>
            <w:shd w:fill="C6EFCE" w:val="clear"/>
          </w:tcPr>
          <w:p>
            <w:r>
              <w:rPr>
                <w:b/>
                <w:color w:val="008000"/>
                <w:sz w:val="17"/>
              </w:rPr>
              <w:t>+3.2%</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1,740</w:t>
            </w:r>
          </w:p>
        </w:tc>
        <w:tc>
          <w:tcPr>
            <w:tcW w:type="dxa" w:w="1440"/>
            <w:shd w:fill="C6EFCE" w:val="clear"/>
          </w:tcPr>
          <w:p>
            <w:r>
              <w:rPr>
                <w:b/>
                <w:sz w:val="17"/>
              </w:rPr>
              <w:t>2,067</w:t>
            </w:r>
          </w:p>
        </w:tc>
        <w:tc>
          <w:tcPr>
            <w:tcW w:type="dxa" w:w="1440"/>
            <w:shd w:fill="C6EFCE" w:val="clear"/>
          </w:tcPr>
          <w:p>
            <w:r>
              <w:rPr>
                <w:sz w:val="17"/>
              </w:rPr>
              <w:t>2,394</w:t>
            </w:r>
          </w:p>
        </w:tc>
        <w:tc>
          <w:tcPr>
            <w:tcW w:type="dxa" w:w="1440"/>
            <w:shd w:fill="C6EFCE" w:val="clear"/>
          </w:tcPr>
          <w:p>
            <w:r>
              <w:rPr>
                <w:b/>
                <w:color w:val="008000"/>
                <w:sz w:val="17"/>
              </w:rPr>
              <w:t>+3.3%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 RAPPORT D'ANALYSE FINANCIÈRE — SIVC / ERIUM COTE D'IVOIRE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17,47 Mds FCFA, SIVC se situe dans la catégorie des valeurs moyennes de la BRVM, ce qui la rend vulnérable aux mouvements de faible volume. Le BPA de 43 FCFA/action signifie que chaque titre génère 43 FCFA de bénéfice net, mais le PER de 46,3x traduit une valorisation extrêmement tendue — les investisseurs paient près de 46 fois les bénéfices, soit environ 4 à 5 fois le PER moyen de la BRVM (~8-12x), signalant une prime spéculative difficile à justifier. Le P/B de 5,34x confirme cette exubérance : le marché valorise la société à plus de 5 fois sa valeur comptable, alors qu'un ratio supérieur à 4x est déjà considéré comme exigeant. Enfin, l'EV/EBITDA de 15,1x (au-dessus du seuil de 15x) indique que la valeur d'entreprise rapportée à la capacité opérationnelle est également très chère, ce qui laisse peu de marge de sécurité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SIVC a enregistré une chute de **-29,70%**, avec une dernière séance stable (+0,00%) à **2 000 FCFA**, confirmant une tendance baissière marquée. Le range de trading s'étend de **1 920 FCFA** (plus bas) à **2 875 FCFA** (plus haut), soit une amplitude de près de 50%, ce qui témoigne d'une forte érosion du cours depuis les sommets. La moyenne (2 441 FCFA) est supérieure à la médiane (2 382 FCFA), indiquant une légère asymétrie positive résiduelle, mais le mode à 2 000 FCFA — niveau actuel — suggère que le marché s'est stabilisé sur ce palier après la correction. L'écart-type de 286 FCFA avec un coefficient de variation de 11,7% traduit une dispersion modérée du cours autour de sa moyenne. Le kurtosis de -1,160 (distribution platykurtique) indique une faible concentration des rendements et un risque de pics moins prononcé qu'une loi normale, tandis que le skewness de 0,217 (distribution quasi-symétrique) ne signale pas d'asymétrie directionnelle forte. La volatilité annualisée de **53,7%** classe ce titre en catégorie **élevée** (&gt;30%), ce qui est cohérent avec la correction subie et expose l'investisseur à un risque de variation important.</w:t>
      </w:r>
    </w:p>
    <w:p>
      <w:pPr>
        <w:spacing w:after="120" w:line="276" w:lineRule="auto"/>
      </w:pPr>
      <w:r>
        <w:t>---</w:t>
      </w:r>
    </w:p>
    <w:p>
      <w:pPr>
        <w:spacing w:after="120" w:line="276" w:lineRule="auto"/>
      </w:pPr>
      <w:r>
        <w:t>## PARTIE 2 : ANALYSE TECHNIQUE DÉTAILLÉE</w:t>
      </w:r>
    </w:p>
    <w:p>
      <w:pPr>
        <w:spacing w:after="120" w:line="276" w:lineRule="auto"/>
      </w:pPr>
      <w:r>
        <w:t>**Moyennes Mobiles** : La MM20 (2 177,5 FCFA) et la MM50 (2 253,6 FCFA) sont toutes deux supérieures au cours actuel (2 000 FCFA), et la MM20 est en dessous de la MM50, configurant un croisement baissier (death cross). Le cours évolue sous ses deux moyennes, ce qui confirme la pression vendeuse et justifie la décision **Vente**.</w:t>
      </w:r>
    </w:p>
    <w:p>
      <w:pPr>
        <w:spacing w:after="120" w:line="276" w:lineRule="auto"/>
      </w:pPr>
      <w:r>
        <w:t>**Bandes de Bollinger** : Le cours (2 000 FCFA) se situe dans la moitié inférieure de la bande, entre la borne inférieure (1 877,1 FCFA) et la borne supérieure (2 477,9 FCFA), sans atteindre les extrêmes. Cette position médiane, couplée à un resserrement relatif des bandes, traduit une volatilité en contraction et une absence de signal directionnel fort, d'où la décision **Neutre**.</w:t>
      </w:r>
    </w:p>
    <w:p>
      <w:pPr>
        <w:spacing w:after="120" w:line="276" w:lineRule="auto"/>
      </w:pPr>
      <w:r>
        <w:t>**MACD** : La valeur du MACD (-84,803) est inférieure à son signal (-69,631), avec un histogramme négatif — configuration baissière persistante. Le momentum reste négatif et aucune divergence haussière n'est visible, ce qui confirme la décision **Vente** et suggère que la pression baissière n'est pas encore épuisée.</w:t>
      </w:r>
    </w:p>
    <w:p>
      <w:pPr>
        <w:spacing w:after="120" w:line="276" w:lineRule="auto"/>
      </w:pPr>
      <w:r>
        <w:t>**RSI** : À **28,495**, le RSI est en zone de **survente** (&lt;30), ce qui indique que le titre a été massivement vendu et pourrait amorcer un rebond technique à court terme. Cette configuration justifie la décision **Achat** (contrarienne), bien qu'elle doive être confirmée par d'autres signaux.</w:t>
      </w:r>
    </w:p>
    <w:p>
      <w:pPr>
        <w:spacing w:after="120" w:line="276" w:lineRule="auto"/>
      </w:pPr>
      <w:r>
        <w:t>**Stochastique** : Le %K (0,0) est au plancher absolu et le %D (11,667) reste très bas, avec un croisement en zone de survente extrême. Cette configuration est typique d'un épuisement de la pression vendeuse et d'un potentiel retournement haussier imminent, justifiant la décision **Achat**.</w:t>
      </w:r>
    </w:p>
    <w:p>
      <w:pPr>
        <w:spacing w:after="120" w:line="276" w:lineRule="auto"/>
      </w:pPr>
      <w:r>
        <w:t>**Conclusion technique** : Les indicateurs sont **divergents** — les moyennes mobiles et le MACD confirment la tendance baissière, tandis que le RSI et le stochastique signalent une survente extrême propice à un rebond technique. Le titre se trouve à un point d'inflexion potentiel : soit un rebond correctif se matérialise (soutenu par les oscillateurs), soit la tendance baissière reprend (soutenue par les MM et le MACD). La prudence reste de mise tant que le cours n'aura pas reconquis la MM20 (2 177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secteur BANQUE)** : En 2024, SIVC affiche un PNB (équivalent du chiffre d'affaires) de **9,283 Mds FCFA**, un résultat net de **376,96 M FCFA**, soit une marge nette de **4,06%**. Le ROE s'établit à **11,52%** (en dessous du seuil d'excellence de 15%) et le ROA à **2,69%**, traduisant une rentabilité des actifs modeste. Le coefficient d'exploitation de **95,83%** est très élevé — bien au-dessus du seuil de 60% qui caractérise une banque efficace — ce qui signifie que les charges absorbent la quasi-totalité du PNB et laissent peu de marge bénéficiaire. Le coût du risque (provisions/charges financières) de **3,10%** reste contenu, indiquant un portefeuille de crédit relativement sain. La structure financière est fragile : l'autonomie financière de **23,34%** est inférieure au seuil de 30%, le ratio d'endettement de **80,09%** est élevé, et la trésorerie nette est négative à **-2,143 Mds FCFA**, exposant la société à un risque de liquidité. Le ratio de liquidité générale de **61,93%** (&lt;1) confirme cette tension.</w:t>
      </w:r>
    </w:p>
    <w:p>
      <w:pPr>
        <w:spacing w:after="120" w:line="276" w:lineRule="auto"/>
      </w:pPr>
      <w:r>
        <w:t>**Évolution et rapports narratifs** : Le rapport officiel du **31 décembre 2025** (analysé le 29/06/2026) révèle une **dégradation alarmante** : le chiffre d'affaires progresse de +8,53% à **10,075 Mds FCFA**, mais le résultat net chute de **-52,4%** à **179,29 M FCFA**, avec une marge nette divisée par deux à **1,78%**. Le résultat financier passe d'un gain de 316 M FCFA à une perte de **-114 M FCFA**, et l'endettement financier grimpe à **4,164 Mds FCFA**. Les capitaux propres reculent à **2,527 Mds FCFA**. Le rapport du **S1 2025** (30/06/2025) indiquait pourtant un résultat net de **512,9 M FCFA** (+4,6%) et une marge nette de 10,5%, tandis que le **T3 2025** (30/09/2025) faisait état d'un résultat net de **832,5 M FCFA** (+58%) et d'une marge nette de 11,0%. **On estime donc que l'exercice 2025 devrait clôturer sur une base annualisée nettement supérieure aux 179 M FCFA du rapport annuel**, ce qui suggère soit un ajustement comptable défavorable en fin d'année, soit une divergence entre les données trimestrielles et les états financiers audités. Le changement de dénomination sociale (Air Liquide CI → Erium CI) et la cession totale de la participation d'Air Liquide International (72,08% à 0%) à Erium LTD au cours de 230 FCFA/action (novembre 2025) constituent des événements majeurs qui expliquent en partie la volatilité du titre.</w:t>
      </w:r>
    </w:p>
    <w:p>
      <w:pPr>
        <w:spacing w:after="120" w:line="276" w:lineRule="auto"/>
      </w:pPr>
      <w:r>
        <w:t>**Recommandation fondamentale** : La société présente un profil **fragile** — croissance du chiffre d'affaires réelle mais non rentable, structure financière tendue, trésorerie négative et changement d'actionnaire de référence. La recommandation fondamentale est **CONSERVER avec surveillance renforcée**, en attendant la confirmation d'un redressement de la rentabilité et de la structure financière.</w:t>
      </w:r>
    </w:p>
    <w:p>
      <w:pPr>
        <w:spacing w:after="120" w:line="276" w:lineRule="auto"/>
      </w:pPr>
      <w:r>
        <w:t>---</w:t>
      </w:r>
    </w:p>
    <w:p>
      <w:pPr>
        <w:spacing w:after="120" w:line="276" w:lineRule="auto"/>
      </w:pPr>
      <w:r>
        <w:t>## PARTIE 4 : CONCLUSION D'INVESTISSEMENT</w:t>
      </w:r>
    </w:p>
    <w:p>
      <w:pPr>
        <w:spacing w:after="120" w:line="276" w:lineRule="auto"/>
      </w:pPr>
      <w:r>
        <w:t>La synthèse globale révèle un **divergence profonde** entre les différents signaux. La **valorisation (Partie 0)** est clairement **surévaluée** : PER de 46,3x, P/B de 5,34x et EV/EBITDA de 15,1x sont très au-dessus des normes du marché, sans justification par les fondamentaux. Le **comportement du cours (Partie 1)** est **préoccupant** : correction de -29,70%, volatilité élevée (53,7%), distribution platykurtique et skewness quasi-symétrique n'offrant aucun biais directionnel favorable. Les **signaux techniques (Partie 2)** sont **mitigés** : les MM et le MACD confirment la tendance baissière, mais le RSI (28,5) et le stochastique (0,0) signalent une survente extrême propice à un rebond technique à court terme. Les **fondamentaux (Partie 3)** sont **fragiles** : rentabilité en chute libre en 2025 (résultat net -52,4%), structure financière tendue (autonomie 23,3%, trésorerie nette -2,14 Mds FCFA), malgré une croissance du CA (+8,5%) et des rapports trimestriels 2025 plus optimistes. Les **prédictions IA (J+1 à J+10)** tablent sur une **légère reprise** (2 039 → 2 052 FCFA, soit +2,6% en 10 jours), ce qui **contredit partiellement** la tendance baissière mais **confirme** le potentiel de rebond technique identifié par le RSI et le stochastique.</w:t>
      </w:r>
    </w:p>
    <w:p>
      <w:pPr>
        <w:spacing w:after="120" w:line="276" w:lineRule="auto"/>
      </w:pPr>
      <w:r>
        <w:t>**Recommandation finale : CONSERVER** — Justification : la convergence entre la survente technique (RSI, stochastique), les prédictions IA haussières à court terme et la croissance du chiffre d'affaires plaide pour un maintien de la position, mais la surévaluation manifeste (PER 46x), la dégradation des fondamentaux 2025 et la structure financière fragile interdisent tout achat agressif. **Niveau de confiance : Moyen** (les signaux contradictoires limitent la visibilité). **Niveau de risque global : Élevé** (volatilité 53,7%, trésorerie négative, changement d'actionnaire). **Horizon d'investissement optimal : Moyen terme (3-12 mois)**, le temps de vérifier si la direction parvient à inverser la tendance sur la rentabilité et à stabiliser la structure financière. Un nouvel investisseur devrait **attendre** une confirmation du rebond au-dessus de la MM20 (2 177 FCFA) avant d'envisager une 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609.05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1,402 titres</w:t>
            </w:r>
          </w:p>
        </w:tc>
        <w:tc>
          <w:tcPr>
            <w:tcW w:type="dxa" w:w="2268"/>
            <w:shd w:fill="FFF2CC" w:val="clear"/>
          </w:tcPr>
          <w:p>
            <w:r>
              <w:rPr>
                <w:b/>
                <w:color w:val="503200"/>
                <w:sz w:val="16"/>
              </w:rPr>
              <w:t xml:space="preserve">Cours actuel : </w:t>
            </w:r>
            <w:r>
              <w:rPr>
                <w:color w:val="000000"/>
                <w:sz w:val="17"/>
              </w:rPr>
              <w:t>37,000 FCFA</w:t>
            </w:r>
          </w:p>
          <w:p>
            <w:r>
              <w:rPr>
                <w:b/>
                <w:color w:val="503200"/>
                <w:sz w:val="16"/>
              </w:rPr>
              <w:t xml:space="preserve">Var. 100 jours : </w:t>
            </w:r>
            <w:r>
              <w:rPr>
                <w:b/>
                <w:color w:val="B40000"/>
                <w:sz w:val="17"/>
              </w:rPr>
              <w:t>-1.33%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μ=38,278 FCFA, σ=850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β=0.0590 (Défensif) — Cov=0.000004, Var(idx)=0.000069, ρ=0.032,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Achat=3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36,889</w:t>
            </w:r>
          </w:p>
        </w:tc>
        <w:tc>
          <w:tcPr>
            <w:tcW w:type="dxa" w:w="1440"/>
            <w:shd w:fill="FAFAFA" w:val="clear"/>
          </w:tcPr>
          <w:p>
            <w:r>
              <w:rPr>
                <w:b/>
                <w:sz w:val="17"/>
              </w:rPr>
              <w:t>37,697</w:t>
            </w:r>
          </w:p>
        </w:tc>
        <w:tc>
          <w:tcPr>
            <w:tcW w:type="dxa" w:w="1440"/>
            <w:shd w:fill="FAFAFA" w:val="clear"/>
          </w:tcPr>
          <w:p>
            <w:r>
              <w:rPr>
                <w:sz w:val="17"/>
              </w:rPr>
              <w:t>38,504</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36,859</w:t>
            </w:r>
          </w:p>
        </w:tc>
        <w:tc>
          <w:tcPr>
            <w:tcW w:type="dxa" w:w="1440"/>
            <w:shd w:fill="C6EFCE" w:val="clear"/>
          </w:tcPr>
          <w:p>
            <w:r>
              <w:rPr>
                <w:b/>
                <w:sz w:val="17"/>
              </w:rPr>
              <w:t>37,852</w:t>
            </w:r>
          </w:p>
        </w:tc>
        <w:tc>
          <w:tcPr>
            <w:tcW w:type="dxa" w:w="1440"/>
            <w:shd w:fill="C6EFCE" w:val="clear"/>
          </w:tcPr>
          <w:p>
            <w:r>
              <w:rPr>
                <w:sz w:val="17"/>
              </w:rPr>
              <w:t>38,845</w:t>
            </w:r>
          </w:p>
        </w:tc>
        <w:tc>
          <w:tcPr>
            <w:tcW w:type="dxa" w:w="1440"/>
            <w:shd w:fill="C6EFCE" w:val="clear"/>
          </w:tcPr>
          <w:p>
            <w:r>
              <w:rPr>
                <w:b/>
                <w:color w:val="008000"/>
                <w:sz w:val="17"/>
              </w:rPr>
              <w:t>+2.3%</w:t>
            </w:r>
          </w:p>
        </w:tc>
      </w:tr>
      <w:tr>
        <w:tc>
          <w:tcPr>
            <w:tcW w:type="dxa" w:w="1440"/>
            <w:shd w:fill="C6EFCE" w:val="clear"/>
          </w:tcPr>
          <w:p>
            <w:r>
              <w:rPr>
                <w:sz w:val="17"/>
              </w:rPr>
              <w:t>J+3  Moyenne</w:t>
            </w:r>
          </w:p>
        </w:tc>
        <w:tc>
          <w:tcPr>
            <w:tcW w:type="dxa" w:w="1440"/>
            <w:shd w:fill="C6EFCE" w:val="clear"/>
          </w:tcPr>
          <w:p>
            <w:r>
              <w:rPr>
                <w:sz w:val="17"/>
              </w:rPr>
              <w:t>2026-10-07</w:t>
            </w:r>
          </w:p>
        </w:tc>
        <w:tc>
          <w:tcPr>
            <w:tcW w:type="dxa" w:w="1440"/>
            <w:shd w:fill="C6EFCE" w:val="clear"/>
          </w:tcPr>
          <w:p>
            <w:r>
              <w:rPr>
                <w:sz w:val="17"/>
              </w:rPr>
              <w:t>36,870</w:t>
            </w:r>
          </w:p>
        </w:tc>
        <w:tc>
          <w:tcPr>
            <w:tcW w:type="dxa" w:w="1440"/>
            <w:shd w:fill="C6EFCE" w:val="clear"/>
          </w:tcPr>
          <w:p>
            <w:r>
              <w:rPr>
                <w:b/>
                <w:sz w:val="17"/>
              </w:rPr>
              <w:t>38,021</w:t>
            </w:r>
          </w:p>
        </w:tc>
        <w:tc>
          <w:tcPr>
            <w:tcW w:type="dxa" w:w="1440"/>
            <w:shd w:fill="C6EFCE" w:val="clear"/>
          </w:tcPr>
          <w:p>
            <w:r>
              <w:rPr>
                <w:sz w:val="17"/>
              </w:rPr>
              <w:t>39,173</w:t>
            </w:r>
          </w:p>
        </w:tc>
        <w:tc>
          <w:tcPr>
            <w:tcW w:type="dxa" w:w="1440"/>
            <w:shd w:fill="C6EFCE" w:val="clear"/>
          </w:tcPr>
          <w:p>
            <w:r>
              <w:rPr>
                <w:b/>
                <w:color w:val="008000"/>
                <w:sz w:val="17"/>
              </w:rPr>
              <w:t>+2.8%</w:t>
            </w:r>
          </w:p>
        </w:tc>
      </w:tr>
      <w:tr>
        <w:tc>
          <w:tcPr>
            <w:tcW w:type="dxa" w:w="1440"/>
            <w:shd w:fill="C6EFCE" w:val="clear"/>
          </w:tcPr>
          <w:p>
            <w:r>
              <w:rPr>
                <w:sz w:val="17"/>
              </w:rPr>
              <w:t>J+4  Moyenne</w:t>
            </w:r>
          </w:p>
        </w:tc>
        <w:tc>
          <w:tcPr>
            <w:tcW w:type="dxa" w:w="1440"/>
            <w:shd w:fill="C6EFCE" w:val="clear"/>
          </w:tcPr>
          <w:p>
            <w:r>
              <w:rPr>
                <w:sz w:val="17"/>
              </w:rPr>
              <w:t>2026-10-08</w:t>
            </w:r>
          </w:p>
        </w:tc>
        <w:tc>
          <w:tcPr>
            <w:tcW w:type="dxa" w:w="1440"/>
            <w:shd w:fill="C6EFCE" w:val="clear"/>
          </w:tcPr>
          <w:p>
            <w:r>
              <w:rPr>
                <w:sz w:val="17"/>
              </w:rPr>
              <w:t>36,892</w:t>
            </w:r>
          </w:p>
        </w:tc>
        <w:tc>
          <w:tcPr>
            <w:tcW w:type="dxa" w:w="1440"/>
            <w:shd w:fill="C6EFCE" w:val="clear"/>
          </w:tcPr>
          <w:p>
            <w:r>
              <w:rPr>
                <w:b/>
                <w:sz w:val="17"/>
              </w:rPr>
              <w:t>38,185</w:t>
            </w:r>
          </w:p>
        </w:tc>
        <w:tc>
          <w:tcPr>
            <w:tcW w:type="dxa" w:w="1440"/>
            <w:shd w:fill="C6EFCE" w:val="clear"/>
          </w:tcPr>
          <w:p>
            <w:r>
              <w:rPr>
                <w:sz w:val="17"/>
              </w:rPr>
              <w:t>39,478</w:t>
            </w:r>
          </w:p>
        </w:tc>
        <w:tc>
          <w:tcPr>
            <w:tcW w:type="dxa" w:w="1440"/>
            <w:shd w:fill="C6EFCE" w:val="clear"/>
          </w:tcPr>
          <w:p>
            <w:r>
              <w:rPr>
                <w:b/>
                <w:color w:val="008000"/>
                <w:sz w:val="17"/>
              </w:rPr>
              <w:t>+3.2%</w:t>
            </w:r>
          </w:p>
        </w:tc>
      </w:tr>
      <w:tr>
        <w:tc>
          <w:tcPr>
            <w:tcW w:type="dxa" w:w="1440"/>
            <w:shd w:fill="C6EFCE" w:val="clear"/>
          </w:tcPr>
          <w:p>
            <w:r>
              <w:rPr>
                <w:sz w:val="17"/>
              </w:rPr>
              <w:t>J+5  Moyenne</w:t>
            </w:r>
          </w:p>
        </w:tc>
        <w:tc>
          <w:tcPr>
            <w:tcW w:type="dxa" w:w="1440"/>
            <w:shd w:fill="C6EFCE" w:val="clear"/>
          </w:tcPr>
          <w:p>
            <w:r>
              <w:rPr>
                <w:sz w:val="17"/>
              </w:rPr>
              <w:t>2026-10-09</w:t>
            </w:r>
          </w:p>
        </w:tc>
        <w:tc>
          <w:tcPr>
            <w:tcW w:type="dxa" w:w="1440"/>
            <w:shd w:fill="C6EFCE" w:val="clear"/>
          </w:tcPr>
          <w:p>
            <w:r>
              <w:rPr>
                <w:sz w:val="17"/>
              </w:rPr>
              <w:t>36,920</w:t>
            </w:r>
          </w:p>
        </w:tc>
        <w:tc>
          <w:tcPr>
            <w:tcW w:type="dxa" w:w="1440"/>
            <w:shd w:fill="C6EFCE" w:val="clear"/>
          </w:tcPr>
          <w:p>
            <w:r>
              <w:rPr>
                <w:b/>
                <w:sz w:val="17"/>
              </w:rPr>
              <w:t>38,343</w:t>
            </w:r>
          </w:p>
        </w:tc>
        <w:tc>
          <w:tcPr>
            <w:tcW w:type="dxa" w:w="1440"/>
            <w:shd w:fill="C6EFCE" w:val="clear"/>
          </w:tcPr>
          <w:p>
            <w:r>
              <w:rPr>
                <w:sz w:val="17"/>
              </w:rPr>
              <w:t>39,765</w:t>
            </w:r>
          </w:p>
        </w:tc>
        <w:tc>
          <w:tcPr>
            <w:tcW w:type="dxa" w:w="1440"/>
            <w:shd w:fill="C6EFCE" w:val="clear"/>
          </w:tcPr>
          <w:p>
            <w:r>
              <w:rPr>
                <w:b/>
                <w:color w:val="008000"/>
                <w:sz w:val="17"/>
              </w:rPr>
              <w:t>+3.6%</w:t>
            </w:r>
          </w:p>
        </w:tc>
      </w:tr>
      <w:tr>
        <w:tc>
          <w:tcPr>
            <w:tcW w:type="dxa" w:w="1440"/>
            <w:shd w:fill="C6EFCE" w:val="clear"/>
          </w:tcPr>
          <w:p>
            <w:r>
              <w:rPr>
                <w:sz w:val="17"/>
              </w:rPr>
              <w:t>J+6  Moyenne</w:t>
            </w:r>
          </w:p>
        </w:tc>
        <w:tc>
          <w:tcPr>
            <w:tcW w:type="dxa" w:w="1440"/>
            <w:shd w:fill="C6EFCE" w:val="clear"/>
          </w:tcPr>
          <w:p>
            <w:r>
              <w:rPr>
                <w:sz w:val="17"/>
              </w:rPr>
              <w:t>2026-10-12</w:t>
            </w:r>
          </w:p>
        </w:tc>
        <w:tc>
          <w:tcPr>
            <w:tcW w:type="dxa" w:w="1440"/>
            <w:shd w:fill="C6EFCE" w:val="clear"/>
          </w:tcPr>
          <w:p>
            <w:r>
              <w:rPr>
                <w:sz w:val="17"/>
              </w:rPr>
              <w:t>36,952</w:t>
            </w:r>
          </w:p>
        </w:tc>
        <w:tc>
          <w:tcPr>
            <w:tcW w:type="dxa" w:w="1440"/>
            <w:shd w:fill="C6EFCE" w:val="clear"/>
          </w:tcPr>
          <w:p>
            <w:r>
              <w:rPr>
                <w:b/>
                <w:sz w:val="17"/>
              </w:rPr>
              <w:t>38,494</w:t>
            </w:r>
          </w:p>
        </w:tc>
        <w:tc>
          <w:tcPr>
            <w:tcW w:type="dxa" w:w="1440"/>
            <w:shd w:fill="C6EFCE" w:val="clear"/>
          </w:tcPr>
          <w:p>
            <w:r>
              <w:rPr>
                <w:sz w:val="17"/>
              </w:rPr>
              <w:t>40,037</w:t>
            </w:r>
          </w:p>
        </w:tc>
        <w:tc>
          <w:tcPr>
            <w:tcW w:type="dxa" w:w="1440"/>
            <w:shd w:fill="C6EFCE" w:val="clear"/>
          </w:tcPr>
          <w:p>
            <w:r>
              <w:rPr>
                <w:b/>
                <w:color w:val="008000"/>
                <w:sz w:val="17"/>
              </w:rPr>
              <w:t>+4.0%</w:t>
            </w:r>
          </w:p>
        </w:tc>
      </w:tr>
      <w:tr>
        <w:tc>
          <w:tcPr>
            <w:tcW w:type="dxa" w:w="1440"/>
            <w:shd w:fill="C6EFCE" w:val="clear"/>
          </w:tcPr>
          <w:p>
            <w:r>
              <w:rPr>
                <w:sz w:val="17"/>
              </w:rPr>
              <w:t>J+7  Moyenne</w:t>
            </w:r>
          </w:p>
        </w:tc>
        <w:tc>
          <w:tcPr>
            <w:tcW w:type="dxa" w:w="1440"/>
            <w:shd w:fill="C6EFCE" w:val="clear"/>
          </w:tcPr>
          <w:p>
            <w:r>
              <w:rPr>
                <w:sz w:val="17"/>
              </w:rPr>
              <w:t>2026-10-13</w:t>
            </w:r>
          </w:p>
        </w:tc>
        <w:tc>
          <w:tcPr>
            <w:tcW w:type="dxa" w:w="1440"/>
            <w:shd w:fill="C6EFCE" w:val="clear"/>
          </w:tcPr>
          <w:p>
            <w:r>
              <w:rPr>
                <w:sz w:val="17"/>
              </w:rPr>
              <w:t>36,986</w:t>
            </w:r>
          </w:p>
        </w:tc>
        <w:tc>
          <w:tcPr>
            <w:tcW w:type="dxa" w:w="1440"/>
            <w:shd w:fill="C6EFCE" w:val="clear"/>
          </w:tcPr>
          <w:p>
            <w:r>
              <w:rPr>
                <w:b/>
                <w:sz w:val="17"/>
              </w:rPr>
              <w:t>38,641</w:t>
            </w:r>
          </w:p>
        </w:tc>
        <w:tc>
          <w:tcPr>
            <w:tcW w:type="dxa" w:w="1440"/>
            <w:shd w:fill="C6EFCE" w:val="clear"/>
          </w:tcPr>
          <w:p>
            <w:r>
              <w:rPr>
                <w:sz w:val="17"/>
              </w:rPr>
              <w:t>40,296</w:t>
            </w:r>
          </w:p>
        </w:tc>
        <w:tc>
          <w:tcPr>
            <w:tcW w:type="dxa" w:w="1440"/>
            <w:shd w:fill="C6EFCE" w:val="clear"/>
          </w:tcPr>
          <w:p>
            <w:r>
              <w:rPr>
                <w:b/>
                <w:color w:val="008000"/>
                <w:sz w:val="17"/>
              </w:rPr>
              <w:t>+4.4%</w:t>
            </w:r>
          </w:p>
        </w:tc>
      </w:tr>
      <w:tr>
        <w:tc>
          <w:tcPr>
            <w:tcW w:type="dxa" w:w="1440"/>
            <w:shd w:fill="C6EFCE" w:val="clear"/>
          </w:tcPr>
          <w:p>
            <w:r>
              <w:rPr>
                <w:sz w:val="17"/>
              </w:rPr>
              <w:t>J+8  Moyenne</w:t>
            </w:r>
          </w:p>
        </w:tc>
        <w:tc>
          <w:tcPr>
            <w:tcW w:type="dxa" w:w="1440"/>
            <w:shd w:fill="C6EFCE" w:val="clear"/>
          </w:tcPr>
          <w:p>
            <w:r>
              <w:rPr>
                <w:sz w:val="17"/>
              </w:rPr>
              <w:t>2026-10-14</w:t>
            </w:r>
          </w:p>
        </w:tc>
        <w:tc>
          <w:tcPr>
            <w:tcW w:type="dxa" w:w="1440"/>
            <w:shd w:fill="C6EFCE" w:val="clear"/>
          </w:tcPr>
          <w:p>
            <w:r>
              <w:rPr>
                <w:sz w:val="17"/>
              </w:rPr>
              <w:t>37,021</w:t>
            </w:r>
          </w:p>
        </w:tc>
        <w:tc>
          <w:tcPr>
            <w:tcW w:type="dxa" w:w="1440"/>
            <w:shd w:fill="C6EFCE" w:val="clear"/>
          </w:tcPr>
          <w:p>
            <w:r>
              <w:rPr>
                <w:b/>
                <w:sz w:val="17"/>
              </w:rPr>
              <w:t>38,783</w:t>
            </w:r>
          </w:p>
        </w:tc>
        <w:tc>
          <w:tcPr>
            <w:tcW w:type="dxa" w:w="1440"/>
            <w:shd w:fill="C6EFCE" w:val="clear"/>
          </w:tcPr>
          <w:p>
            <w:r>
              <w:rPr>
                <w:sz w:val="17"/>
              </w:rPr>
              <w:t>40,545</w:t>
            </w:r>
          </w:p>
        </w:tc>
        <w:tc>
          <w:tcPr>
            <w:tcW w:type="dxa" w:w="1440"/>
            <w:shd w:fill="C6EFCE" w:val="clear"/>
          </w:tcPr>
          <w:p>
            <w:r>
              <w:rPr>
                <w:b/>
                <w:color w:val="008000"/>
                <w:sz w:val="17"/>
              </w:rPr>
              <w:t>+4.8%</w:t>
            </w:r>
          </w:p>
        </w:tc>
      </w:tr>
      <w:tr>
        <w:tc>
          <w:tcPr>
            <w:tcW w:type="dxa" w:w="1440"/>
            <w:shd w:fill="C6EFCE" w:val="clear"/>
          </w:tcPr>
          <w:p>
            <w:r>
              <w:rPr>
                <w:sz w:val="17"/>
              </w:rPr>
              <w:t>J+9  Moyenne</w:t>
            </w:r>
          </w:p>
        </w:tc>
        <w:tc>
          <w:tcPr>
            <w:tcW w:type="dxa" w:w="1440"/>
            <w:shd w:fill="C6EFCE" w:val="clear"/>
          </w:tcPr>
          <w:p>
            <w:r>
              <w:rPr>
                <w:sz w:val="17"/>
              </w:rPr>
              <w:t>2026-10-15</w:t>
            </w:r>
          </w:p>
        </w:tc>
        <w:tc>
          <w:tcPr>
            <w:tcW w:type="dxa" w:w="1440"/>
            <w:shd w:fill="C6EFCE" w:val="clear"/>
          </w:tcPr>
          <w:p>
            <w:r>
              <w:rPr>
                <w:sz w:val="17"/>
              </w:rPr>
              <w:t>37,058</w:t>
            </w:r>
          </w:p>
        </w:tc>
        <w:tc>
          <w:tcPr>
            <w:tcW w:type="dxa" w:w="1440"/>
            <w:shd w:fill="C6EFCE" w:val="clear"/>
          </w:tcPr>
          <w:p>
            <w:r>
              <w:rPr>
                <w:b/>
                <w:sz w:val="17"/>
              </w:rPr>
              <w:t>38,922</w:t>
            </w:r>
          </w:p>
        </w:tc>
        <w:tc>
          <w:tcPr>
            <w:tcW w:type="dxa" w:w="1440"/>
            <w:shd w:fill="C6EFCE" w:val="clear"/>
          </w:tcPr>
          <w:p>
            <w:r>
              <w:rPr>
                <w:sz w:val="17"/>
              </w:rPr>
              <w:t>40,786</w:t>
            </w:r>
          </w:p>
        </w:tc>
        <w:tc>
          <w:tcPr>
            <w:tcW w:type="dxa" w:w="1440"/>
            <w:shd w:fill="C6EFCE" w:val="clear"/>
          </w:tcPr>
          <w:p>
            <w:r>
              <w:rPr>
                <w:b/>
                <w:color w:val="008000"/>
                <w:sz w:val="17"/>
              </w:rPr>
              <w:t>+5.2%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609,05 milliards FCFA, SOLIBRA s'impose comme l'une des toutes premières capitalisations de la BRVM, ce qui témoigne de sa stature de valeur de premier plan dans l'indice BRVM Composite. Le BPA de 2 781 FCFA/action signifie que chaque titre génère près de 2 800 FCFA de bénéfice net, un niveau de rentabilité par action remarquable qui contraste avec la moyenne du marché. Le PER de 13,3x se situe légèrement au-dessus de la fourchette moyenne de la BRVM (8-12x), traduisant une prime de qualité justifiée par la croissance exceptionnelle de +113% du résultat net en 2025, mais qui reste raisonnable au regard du potentiel de croissance. Le P/B de 3,12x indique que le marché valorise l'entreprise à plus de trois fois sa valeur comptable, une prime de croissance accordée aux sociétés à forte rentabilité (ROE de 23,5%) et à actifs immatériels significatifs (marques, réseau de distribution). Enfin, l'EV/EBITDA de 7,2x apparaît particulièrement attractif dans la fourchette 5-10x, suggérant que la valeur d'entreprise reste raisonnablement valorisée par rapport à sa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-1,33%, avec une dernière séance (J-1) également en repli de -1,33%, portant le cours actuel à 37 000 FCFA. Le titre a évolué dans un range relativement étroit entre un plus haut de 41 500 FCFA et un plus bas de 36 900 FCFA, soit une amplitude de seulement 12,5%, ce qui traduit une phase de consolidation plutôt qu'une tendance directionnelle marquée. La tendance générale apparaît baissière à court terme, le cours se situant sous ses moyennes mobiles, mais la faiblesse de la variation totale (-1,33%) indique une correction limitée et non un retournement structurel. Les statistiques descriptives révèlent une moyenne de 38 278 FCFA légèrement supérieure à la médiane et au mode (38 000 FCFA), confirmant une asymétrie positive (skewness de 0,833) avec davantage de journées de cotation sous la moyenne, ce qui signifie que le cours a passé plus de temps en bas de fourchette qu'en haut. L'écart-type de 854 FCFA et le coefficient de variation de 2,2% témoignent d'une dispersion très faible du cours, signe d'une grande stabilité et d'une faible nervosité du marché sur ce titre. Le kurtosis de 0,830 (mésokurtique) indique une distribution proche de la normale, sans risque excessif de pics extrêmes, ce qui est rassurant pour la gestion du risque. Enfin, la volatilité annualisée de 24,4% positionne SLBC dans la catégorie des titres à volatilité modérée (15-30%), offrant un profil risque/rendement équilibré pour un investisseur de long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37 787 FCFA et la MM50 à 37 852 FCFA, toutes deux supérieures au cours actuel de 37 000 FCFA, ce qui place le titre en position baissière sous ses moyennes. La MM20 étant légèrement en dessous de la MM50, on observe un début de croisement baissier (death cross) qui confirme la pression vendeuse à court terme. La décision technique qui en résulte est logiquement une **Vente**, le cours devant repasser au-dessus de 37 800 FCFA pour inverser ce signal.</w:t>
      </w:r>
    </w:p>
    <w:p>
      <w:pPr>
        <w:spacing w:after="120" w:line="276" w:lineRule="auto"/>
      </w:pPr>
      <w:r>
        <w:t>**Bandes de Bollinger** : La borne supérieure se situe à 38 400 FCFA et la borne inférieure à 37 174 FCFA, avec un cours actuel de 37 000 FCFA qui se situe légèrement sous la borne inférieure, signalant une situation de survente technique. Cette position sous la bande inférieure est inhabituelle et suggère que le marché a peut-être surréagi à la baisse, créant une opportunité d'achat contrarien. La décision qui en découle est donc un **Achat**, la probabilité d'un rebond technique vers la moyenne des bandes (37 787 FCFA) étant élevée.</w:t>
      </w:r>
    </w:p>
    <w:p>
      <w:pPr>
        <w:spacing w:after="120" w:line="276" w:lineRule="auto"/>
      </w:pPr>
      <w:r>
        <w:t>**MACD** : La valeur du MACD est de -92,516 contre un signal à -23,573, avec un histogramme négatif qui s'accentue, confirmant un momentum baissier toujours en cours. La divergence entre la ligne MACD et sa ligne de signal reste défavorable, sans signe de retournement imminent. La décision technique est donc une **Vente**, le momentum négatif n'ayant pas encore atteint son point d'inflexion.</w:t>
      </w:r>
    </w:p>
    <w:p>
      <w:pPr>
        <w:spacing w:after="120" w:line="276" w:lineRule="auto"/>
      </w:pPr>
      <w:r>
        <w:t>**RSI** : Avec une valeur de 19,732, le RSI se situe très largement en dessous du seuil de survente de 30, ce qui constitue un signal de survente extrême rarement observé. Un RSI à ce niveau indique que le titre a été massivement vendu et qu'un rebond technique est statistiquement probable à court terme. La décision qui en résulte est un **Achat**, le risque de baisse supplémentaire étant limité par cette configuration extrême.</w:t>
      </w:r>
    </w:p>
    <w:p>
      <w:pPr>
        <w:spacing w:after="120" w:line="276" w:lineRule="auto"/>
      </w:pPr>
      <w:r>
        <w:t>**Stochastique** : Le %K et le %D sont tous deux à 0,0, ce qui représente le niveau le plus bas possible de l'indicateur et signale une survente absolue. Cette configuration extrême, combinée à un RSI à 19,7, renforce l'hypothèse d'un épuisement de la pression vendeuse et d'un rebond imminent. La décision technique est donc un **Achat**, le croisement des lignes stochastiques en zone basse étant généralement un signal d'achat fiable.</w:t>
      </w:r>
    </w:p>
    <w:p>
      <w:pPr>
        <w:spacing w:after="120" w:line="276" w:lineRule="auto"/>
      </w:pPr>
      <w:r>
        <w:t>**Conclusion technique** : Les indicateurs présentent une divergence notable entre les signaux de tendance (Moyennes Mobiles et MACD en Vente) et les signaux de momentum (Bollinger, RSI et Stochastique en Achat). Cette configuration est typique d'une phase de survente extrême où la tendance baissière s'épuise, avec un RSI à 19,7 et un Stochastique à 0,0 qui constituent des signaux de retournement puissants. Le titre se trouve à un point d'inflexion technique majeur, la probabilité d'un rebond à court terme vers 37 800-38 000 FCFA étant élevée, mais la confirmation d'un retournement de tendance nécessitera un franchissement des moyennes mobiles.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SOLIBRA a réalisé un chiffre d'affaires de 378,123 milliards FCFA, en croissance de +22,1% par rapport aux 309,722 milliards de 2024, portée par une augmentation des volumes distribués de +15,6% et un mix/prix favorable. Le résultat net a plus que doublé, passant de 21,472 milliards en 2024 à 45,781 milliards FCFA en 2025 (+113%), avec une marge nette qui s'améliore spectaculairement de 6,9% à 12,1%. Cette performance exceptionnelle s'explique par une progression de l'EBE de +52% à 87,445 milliards FCFA, une baisse des charges financières de -55% à 1,931 milliard FCFA grâce au désendettement, et une marge brute de 76,2% qui témoigne d'un pouvoir de fixation des prix élevé. Les ratios de rentabilité sont excellents : le ROE atteint 23,46% (bien supérieur au seuil de 15% considéré comme excellent) et le ROA s'établit à 13,48%, confirmant l'efficacité de l'utilisation des actifs. La structure financière est très saine avec une autonomie financière de 57,48%, un ratio d'endettement maîtrisé de 42,52%, une trésorerie nette positive de 22,117 milliards FCFA et une capacité de remboursement de 0,67 an seulement. Concernant le besoin en fonds de roulement, le BFR s'élève à 61,587 milliards FCFA (positif, ce qui signifie un besoin de financement), avec un délai clients de 64,27 jours (risque de trésorerie modéré) et un délai fournisseurs de 76,82 jours (favorable à la trésorerie), tandis que la durée de stockage de 117,32 jours reste élevée et immobilise du capital. Sur la base du rapport T1 2026 (publié en 2026), le chiffre d'affaires progresse de +7,6% à 93,46 milliards FCFA avec un volume distribué en hausse de +9,6%, et le résultat net s'établit à 16,26 milliards FCFA (+4,8%), ce qui permet d'estimer que l'exercice 2026 devrait maintenir une croissance à deux chiffres du chiffre d'affaires, avec un résultat net annuel projeté autour de 48-50 milliards FCFA si la dynamique se poursuit. La politique de dividende est très généreuse avec un dividende brut unitaire proposé de 2 127 FCFA par action au titre de 2025 (contre 1 220 FCFA en 2024), soit un taux de distribution de 76,5% et un rendement de 5,75% au cours actuel de 37 000 FCFA. Les risques identifiés incluent la dépendance aux matières premières (90 milliards FCFA d'achats exposés à la volatilité des prix), la concentration géographique sur le marché ivoirien, et la soutenabilité de la croissance à +22% dans un marché mature. En conclusion, SOLIBRA présente des fondamentaux exceptionnels avec une croissance profitable, une structure financière solide et une politique de dividende attractive, ce qui justifie une recommandation fondamentale d'**ACHAT** pour les investisseurs de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révèle une convergence remarquable entre les différents signaux d'investissement. Sur le plan de la valorisation (Partie 0), le PER de 13,3x et l'EV/EBITDA de 7,2x indiquent une valorisation raisonnable, voire légèrement sous-évaluée au regard de la croissance exceptionnelle de +113% du résultat net, le rendement du dividende de 5,75% renforçant l'attrait du titre. Le comportement du cours (Partie 1) montre une consolidation limitée (-1,33% sur 100 jours) avec une volatilité modérée (24,4%) et une distribution proche de la normale (kurtosis de 0,830), ce qui est rassurant pour la gestion du risque, même si l'asymétrie positive (skewness de 0,833) suggère que le cours a passé plus de temps en bas de fourchette. Les signaux techniques (Partie 2) présentent une divergence entre la tendance baissière (MM et MACD) et le momentum en survente extrême (RSI à 19,7, Stochastique à 0,0), cette configuration étant historiquement associée à des retournements haussiers à court terme. Les fondamentaux (Partie 3) sont exceptionnels avec un ROE de 23,46%, une marge nette de 12,1%, une trésorerie nette positive et une politique de dividende généreuse, le rapport T1 2026 confirmant la poursuite de la dynamique positive avec une croissance de +7,6% du chiffre d'affaires. Les prédictions IA (J+1 à J+10) anticipent une trajectoire haussière de 37 697 FCFA à 38 343 FCFA, ce qui confirme le rebond technique attendu et valide les signaux d'achat des indicateurs de momentum. Sur la base de cette convergence entre valorisation attractive, survente technique extrême, fondamentaux solides et prédictions haussières, la recommandation finale est un **ACHAT** avec un niveau de confiance **Élevé** et un niveau de risque global **Moyen**. L'horizon d'investissement optimal est le **moyen terme (3-12 mois)**, le temps que le rebond technique se matérialise et que la croissance bénéficiaire se confirme, avec un objectif de cours à 41 500 FCFA (plus haut des 100 derniers jours) représentant un potentiel de +12,2% hors dividende, auquel s'ajoute un rendement de 5,75%, soit un rendement total potentiel de près de 18% sur 12 mois.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1,657 titres</w:t>
            </w:r>
          </w:p>
        </w:tc>
        <w:tc>
          <w:tcPr>
            <w:tcW w:type="dxa" w:w="2268"/>
            <w:shd w:fill="FFF2CC" w:val="clear"/>
          </w:tcPr>
          <w:p>
            <w:r>
              <w:rPr>
                <w:b/>
                <w:color w:val="503200"/>
                <w:sz w:val="16"/>
              </w:rPr>
              <w:t xml:space="preserve">Cours actuel : </w:t>
            </w:r>
            <w:r>
              <w:rPr>
                <w:color w:val="000000"/>
                <w:sz w:val="17"/>
              </w:rPr>
              <w:t>16,410 FCFA</w:t>
            </w:r>
          </w:p>
          <w:p>
            <w:r>
              <w:rPr>
                <w:b/>
                <w:color w:val="503200"/>
                <w:sz w:val="16"/>
              </w:rPr>
              <w:t xml:space="preserve">Var. 100 jours : </w:t>
            </w:r>
            <w:r>
              <w:rPr>
                <w:b/>
                <w:color w:val="007800"/>
                <w:sz w:val="17"/>
              </w:rPr>
              <w:t>+36.81%</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11,995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10.16% (Moyenne) — μ=15,936 FCFA, σ=1,618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β=0.5355 (Défensif) — Cov=0.000037, Var(idx)=0.000069, ρ=0.167,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15,254</w:t>
            </w:r>
          </w:p>
        </w:tc>
        <w:tc>
          <w:tcPr>
            <w:tcW w:type="dxa" w:w="1440"/>
            <w:shd w:fill="FAFAFA" w:val="clear"/>
          </w:tcPr>
          <w:p>
            <w:r>
              <w:rPr>
                <w:b/>
                <w:sz w:val="17"/>
              </w:rPr>
              <w:t>16,281</w:t>
            </w:r>
          </w:p>
        </w:tc>
        <w:tc>
          <w:tcPr>
            <w:tcW w:type="dxa" w:w="1440"/>
            <w:shd w:fill="FAFAFA" w:val="clear"/>
          </w:tcPr>
          <w:p>
            <w:r>
              <w:rPr>
                <w:sz w:val="17"/>
              </w:rPr>
              <w:t>17,308</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14,987</w:t>
            </w:r>
          </w:p>
        </w:tc>
        <w:tc>
          <w:tcPr>
            <w:tcW w:type="dxa" w:w="1440"/>
            <w:shd w:fill="FAFAFA" w:val="clear"/>
          </w:tcPr>
          <w:p>
            <w:r>
              <w:rPr>
                <w:b/>
                <w:sz w:val="17"/>
              </w:rPr>
              <w:t>16,241</w:t>
            </w:r>
          </w:p>
        </w:tc>
        <w:tc>
          <w:tcPr>
            <w:tcW w:type="dxa" w:w="1440"/>
            <w:shd w:fill="FAFAFA" w:val="clear"/>
          </w:tcPr>
          <w:p>
            <w:r>
              <w:rPr>
                <w:sz w:val="17"/>
              </w:rPr>
              <w:t>17,496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14,760</w:t>
            </w:r>
          </w:p>
        </w:tc>
        <w:tc>
          <w:tcPr>
            <w:tcW w:type="dxa" w:w="1440"/>
            <w:shd w:fill="FAFAFA" w:val="clear"/>
          </w:tcPr>
          <w:p>
            <w:r>
              <w:rPr>
                <w:b/>
                <w:sz w:val="17"/>
              </w:rPr>
              <w:t>16,206</w:t>
            </w:r>
          </w:p>
        </w:tc>
        <w:tc>
          <w:tcPr>
            <w:tcW w:type="dxa" w:w="1440"/>
            <w:shd w:fill="FAFAFA" w:val="clear"/>
          </w:tcPr>
          <w:p>
            <w:r>
              <w:rPr>
                <w:sz w:val="17"/>
              </w:rPr>
              <w:t>17,652</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14,559</w:t>
            </w:r>
          </w:p>
        </w:tc>
        <w:tc>
          <w:tcPr>
            <w:tcW w:type="dxa" w:w="1440"/>
            <w:shd w:fill="FAFAFA" w:val="clear"/>
          </w:tcPr>
          <w:p>
            <w:r>
              <w:rPr>
                <w:b/>
                <w:sz w:val="17"/>
              </w:rPr>
              <w:t>16,172</w:t>
            </w:r>
          </w:p>
        </w:tc>
        <w:tc>
          <w:tcPr>
            <w:tcW w:type="dxa" w:w="1440"/>
            <w:shd w:fill="FAFAFA" w:val="clear"/>
          </w:tcPr>
          <w:p>
            <w:r>
              <w:rPr>
                <w:sz w:val="17"/>
              </w:rPr>
              <w:t>17,785</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14,375</w:t>
            </w:r>
          </w:p>
        </w:tc>
        <w:tc>
          <w:tcPr>
            <w:tcW w:type="dxa" w:w="1440"/>
            <w:shd w:fill="FAFAFA" w:val="clear"/>
          </w:tcPr>
          <w:p>
            <w:r>
              <w:rPr>
                <w:b/>
                <w:sz w:val="17"/>
              </w:rPr>
              <w:t>16,138</w:t>
            </w:r>
          </w:p>
        </w:tc>
        <w:tc>
          <w:tcPr>
            <w:tcW w:type="dxa" w:w="1440"/>
            <w:shd w:fill="FAFAFA" w:val="clear"/>
          </w:tcPr>
          <w:p>
            <w:r>
              <w:rPr>
                <w:sz w:val="17"/>
              </w:rPr>
              <w:t>17,901</w:t>
            </w:r>
          </w:p>
        </w:tc>
        <w:tc>
          <w:tcPr>
            <w:tcW w:type="dxa" w:w="1440"/>
            <w:shd w:fill="FAFAFA" w:val="clear"/>
          </w:tcPr>
          <w:p>
            <w:r>
              <w:rPr>
                <w:b/>
                <w:color w:val="C00000"/>
                <w:sz w:val="17"/>
              </w:rPr>
              <w:t>-1.7%</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14,204</w:t>
            </w:r>
          </w:p>
        </w:tc>
        <w:tc>
          <w:tcPr>
            <w:tcW w:type="dxa" w:w="1440"/>
            <w:shd w:fill="FAFAFA" w:val="clear"/>
          </w:tcPr>
          <w:p>
            <w:r>
              <w:rPr>
                <w:b/>
                <w:sz w:val="17"/>
              </w:rPr>
              <w:t>16,105</w:t>
            </w:r>
          </w:p>
        </w:tc>
        <w:tc>
          <w:tcPr>
            <w:tcW w:type="dxa" w:w="1440"/>
            <w:shd w:fill="FAFAFA" w:val="clear"/>
          </w:tcPr>
          <w:p>
            <w:r>
              <w:rPr>
                <w:sz w:val="17"/>
              </w:rPr>
              <w:t>18,005</w:t>
            </w:r>
          </w:p>
        </w:tc>
        <w:tc>
          <w:tcPr>
            <w:tcW w:type="dxa" w:w="1440"/>
            <w:shd w:fill="FAFAFA" w:val="clear"/>
          </w:tcPr>
          <w:p>
            <w:r>
              <w:rPr>
                <w:b/>
                <w:color w:val="C00000"/>
                <w:sz w:val="17"/>
              </w:rPr>
              <w:t>-1.9%</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14,044</w:t>
            </w:r>
          </w:p>
        </w:tc>
        <w:tc>
          <w:tcPr>
            <w:tcW w:type="dxa" w:w="1440"/>
            <w:shd w:fill="FFDCE0" w:val="clear"/>
          </w:tcPr>
          <w:p>
            <w:r>
              <w:rPr>
                <w:b/>
                <w:sz w:val="17"/>
              </w:rPr>
              <w:t>16,072</w:t>
            </w:r>
          </w:p>
        </w:tc>
        <w:tc>
          <w:tcPr>
            <w:tcW w:type="dxa" w:w="1440"/>
            <w:shd w:fill="FFDCE0" w:val="clear"/>
          </w:tcPr>
          <w:p>
            <w:r>
              <w:rPr>
                <w:sz w:val="17"/>
              </w:rPr>
              <w:t>18,100</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13,894</w:t>
            </w:r>
          </w:p>
        </w:tc>
        <w:tc>
          <w:tcPr>
            <w:tcW w:type="dxa" w:w="1440"/>
            <w:shd w:fill="FFDCE0" w:val="clear"/>
          </w:tcPr>
          <w:p>
            <w:r>
              <w:rPr>
                <w:b/>
                <w:sz w:val="17"/>
              </w:rPr>
              <w:t>16,040</w:t>
            </w:r>
          </w:p>
        </w:tc>
        <w:tc>
          <w:tcPr>
            <w:tcW w:type="dxa" w:w="1440"/>
            <w:shd w:fill="FFDCE0" w:val="clear"/>
          </w:tcPr>
          <w:p>
            <w:r>
              <w:rPr>
                <w:sz w:val="17"/>
              </w:rPr>
              <w:t>18,186</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13,750</w:t>
            </w:r>
          </w:p>
        </w:tc>
        <w:tc>
          <w:tcPr>
            <w:tcW w:type="dxa" w:w="1440"/>
            <w:shd w:fill="FFDCE0" w:val="clear"/>
          </w:tcPr>
          <w:p>
            <w:r>
              <w:rPr>
                <w:b/>
                <w:sz w:val="17"/>
              </w:rPr>
              <w:t>16,008</w:t>
            </w:r>
          </w:p>
        </w:tc>
        <w:tc>
          <w:tcPr>
            <w:tcW w:type="dxa" w:w="1440"/>
            <w:shd w:fill="FFDCE0" w:val="clear"/>
          </w:tcPr>
          <w:p>
            <w:r>
              <w:rPr>
                <w:sz w:val="17"/>
              </w:rPr>
              <w:t>18,266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*Bourse Régionale des Valeurs Mobilières (BRVM) — Côte d'Ivoire*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127,92 Mds FCFA, SMBC se positionne comme une valeur de taille intermédiaire sur la BRVM, ce qui la place dans la catégorie des titres suffisamment liquides pour intéresser les investisseurs institutionnels régionaux. Le BPA de 1 677 FCFA/action signifie que chaque titre génère près de 1 677 FCFA de bénéfice net, un niveau de rentabilité par action appréciable pour le secteur. Le PER de 9,8x se situe dans la fourchette basse de la moyenne BRVM (~8-12x), suggérant que le marché ne paie pas cher pour les bénéfices actuels — une potentielle sous-évaluation. Le P/B de 2,98x indique que le marché valorise l'action à près de trois fois sa valeur comptable, traduisant une prime de croissance accordée par les investisseurs. Enfin, l'EV/EBITDA de 6,1x (fourchette raisonnable de 5-10x) montre que la valeur totale de l'entreprise reste cohérente avec sa capacité opérationnelle à générer du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SMBC affiche une performance remarquable de +36,81%, portée par un fort momentum haussier, même si la dernière séance (J-1) marque une légère correction de -0,55% à 16 410 FCFA. Le titre a évolué dans un range large de 11 995 FCFA (plus bas) à 18 500 FCFA (plus haut), soit une amplitude de plus de 54%, témoignant d'une forte volatilité intra-période. La moyenne (15 936 FCFA) est légèrement inférieure à la médiane (16 405 FCFA), ce qui confirme une asymétrie négative (skewness = -0,914) : le cours a passé plus de journées au-dessus de sa moyenne, avec quelques journées de forte baisse tirant la moyenne vers le bas. L'écart-type de 1 627 FCFA (CV = 10,2%) indique une dispersion modérée autour de la moyenne, tandis que le kurtosis de -0,059 (mésokurtique) suggère une distribution proche de la normale, sans risque excessif de pics extrêmes. La volatilité annualisée de 41,9% classe le titre dans la catégorie **élevée** (&gt;30%), ce qui implique un risque de prix significatif mais cohérent avec une valeur de croissance sur la BRVM.</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(16 975,75 FCFA) et la MM50 (16 682,40 FCFA) se situent toutes deux au-dessus du cours actuel (16 410 FCFA), ce qui place le titre en position de faiblesse relative à court terme. Cependant, la MM20 reste supérieure à la MM50, signalant que la tendance de fond demeure haussière. La décision fournie est **Achat**, probablement justifiée par la configuration haussière des moyennes entre elles, malgré le repli actuel du cours.</w:t>
      </w:r>
    </w:p>
    <w:p>
      <w:pPr>
        <w:spacing w:after="120" w:line="276" w:lineRule="auto"/>
      </w:pPr>
      <w:r>
        <w:t>**Bandes de Bollinger** : Le cours (16 410 FCFA) évolue dans la partie basse de la bande, entre la borne inférieure (14 694,46 FCFA) et la borne supérieure (19 257,05 FCFA), sans atteindre les extrêmes. Cette position médiane-basse traduit une volatilité en cours de contraction et une absence de signal directionnel fort. La décision **Neutre** est cohérente avec cette configuration d'attente.</w:t>
      </w:r>
    </w:p>
    <w:p>
      <w:pPr>
        <w:spacing w:after="120" w:line="276" w:lineRule="auto"/>
      </w:pPr>
      <w:r>
        <w:t>**MACD** : La valeur du MACD (-250,73) est inférieure à son signal (-174,10), confirmant un momentum baissier à court terme. La divergence négative entre les deux lignes indique que la pression vendeuse persiste, justifiant la décision **Vente**. Ce signal contredit la tendance haussière de fond mais reflète la correction actuelle.</w:t>
      </w:r>
    </w:p>
    <w:p>
      <w:pPr>
        <w:spacing w:after="120" w:line="276" w:lineRule="auto"/>
      </w:pPr>
      <w:r>
        <w:t>**RSI** : À 33,79, le RSI se situe dans la zone neutre basse, proche du seuil de survente (30). Cela suggère que le titre n'est pas encore survendu mais que la pression baissière s'atténue progressivement. La décision **Neutre** est appropriée, aucune divergence haussière ou baissière n'étant clairement identifiée.</w:t>
      </w:r>
    </w:p>
    <w:p>
      <w:pPr>
        <w:spacing w:after="120" w:line="276" w:lineRule="auto"/>
      </w:pPr>
      <w:r>
        <w:t>**Stochastique** : Le %K (45,09) et le %D (46,60) évoluent en zone neutre, avec un %K légèrement inférieur au %D, ce qui pourrait annoncer un croisement baissier imminent. La décision **Neutre** reflète l'absence de signal fort, le stochastique n'étant ni en zone de surachat (&gt;80) ni de survente (&lt;20).</w:t>
      </w:r>
    </w:p>
    <w:p>
      <w:pPr>
        <w:spacing w:after="120" w:line="276" w:lineRule="auto"/>
      </w:pPr>
      <w:r>
        <w:t>**Conclusion technique** : Les indicateurs sont majoritairement neutres à baissiers à court terme (MACD vendeur, cours sous les MM, RSI bas), mais la structure des moyennes mobiles (MM20 &gt; MM50) et la position du cours dans les bandes de Bollinger maintiennent un biais haussier de fond. Le titre traverse une phase de consolidation après sa forte progression, avec un risque de poursuite de la correction à court terme avant une reprise.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SMBC affiche un chiffre d'affaires de 206 740 Mds FCFA, en baisse de -9,74% par rapport à 2024 (229 061 Mds FCFA), reflétant un environnement de marché difficile marqué par la volatilité des prix pétroliers et un ralentissement des ventes à l'export. Malgré cette contraction, le résultat net progresse spectaculairement de +50,3% à 13 075 Mds FCFA, porté par une amélioration de la marge nette (6,32% contre 3,8% en 2024) et un EBE en hausse de +41,8% à 18 480 Mds FCFA. Le ROE s'établit à 30,47% (&gt;15% = excellent), témoignant d'une rentabilité exceptionnelle des fonds propres, tandis que le ROA de 7,26% reste solide pour une entreprise industrielle. En tant qu'entreprise non bancaire, les délais d'exploitation sont critiques : le délai clients de 193,75 jours est élevé et constitue un risque de trésorerie, mais il est compensé par un délai fournisseurs de 207,07 jours (favorable) et un BFR de seulement 1 693 Mds FCFA (quasi nul). La trésorerie nette de 23 988 Mds FCFA et l'autonomie financière de 23,84% (légèrement sous le seuil sain de 30%) indiquent une structure financière en renforcement. Les rapports trimestriels 2025 (T1, S1, 9M) confirment la tendance : au T1 2025 (publié le 31/03/2025), le CA baissait de -22% mais la marge nette s'améliorait à 5,0% ; au S1 2025 (publié le 30/06/2025), le CA reculait de -23% avec un résultat net de 3,9 Mds FCFA (-7%) ; au 9M 2025 (publié le 30/09/2025), le CA baissait de -14% mais le résultat net progressait de +6% à 5,7 Mds FCFA. **On estime** donc que l'exercice 2025 devrait confirmer cette dynamique de redressement des marges malgré la baisse des volumes, avec un résultat net annuel attendu autour de 13 Mds FCFA (réalisé). La recommandation fondamentale est **CONSERVER**, avec un biais positif : la solidité opérationnelle et la trésorerie abondante compensent la baisse du CA, mais l'endettement en hausse (+41,9% des dettes financières) et la dépendance aux cycles d'infrastructures appellent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SMBC apparaît **attractive** : le PER de 9,8x (bas de fourchette BRVM) et l'EV/EBITDA de 6,1x suggèrent une sous-évaluation relative, tandis que le P/B de 2,98x traduit une prime de croissance justifiée par le ROE de 30,5%. Le comportement du cours sur 100 jours est haussier (+36,81%) mais la correction récente (-0,55% J-1) et la volatilité élevée (41,9%) indiquent une phase de consolidation ; les statistiques (skewness négatif, kurtosis normal) montrent un titre sans risque extrême de pics. Les signaux techniques sont **divergents** : le MACD est vendeur et le cours sous les MM20/MM50, mais la structure MM20 &gt; MM50 et le RSI proche de la survente plaident pour un rebond imminent. Les fondamentaux sont **solides** : résultat net en hausse de +50,3% en 2025, ROE de 30,5%, trésorerie nette de 24 Mds FCFA, malgré un CA en baisse de -9,7% et un endettement croissant. Les prédictions IA (J+1 à J+10) anticipent une légère baisse continue de 16 281 FCFA à 16 138 FCFA, ce qui **contredit** le signal d'achat technique mais **confirme** la phase de consolidation en cours. Sur la base de cette synthèse, la recommandation finale est **CONSERVER**, avec un niveau de confiance **Moyen** et un risque global **Moyen**. L'horizon optimal est le **moyen terme (3-12 mois)**, le temps que la correction technique s'achève et que les fondamentaux (reprise du CA, confirmation des marges) se matérialisent. Un passage à **ACHAT** serait justifié si le cours franchit la MM20 (16 975 FCFA) avec un MACD qui se retourne à la hausse, ou si les prochains résultats trimestriels confirment une stabilisation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12,724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007800"/>
                <w:sz w:val="17"/>
              </w:rPr>
              <w:t>+55.71%</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14.59% (Moyenne) — μ=32,760 FCFA, σ=4,781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β=1.2917 (Agressif) — Cov=0.000089, Var(idx)=0.000069, ρ=0.517,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12,724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41,057</w:t>
            </w:r>
          </w:p>
        </w:tc>
        <w:tc>
          <w:tcPr>
            <w:tcW w:type="dxa" w:w="1440"/>
            <w:shd w:fill="FFDCE0" w:val="clear"/>
          </w:tcPr>
          <w:p>
            <w:r>
              <w:rPr>
                <w:b/>
                <w:sz w:val="17"/>
              </w:rPr>
              <w:t>43,588</w:t>
            </w:r>
          </w:p>
        </w:tc>
        <w:tc>
          <w:tcPr>
            <w:tcW w:type="dxa" w:w="1440"/>
            <w:shd w:fill="FFDCE0" w:val="clear"/>
          </w:tcPr>
          <w:p>
            <w:r>
              <w:rPr>
                <w:sz w:val="17"/>
              </w:rPr>
              <w:t>46,119</w:t>
            </w:r>
          </w:p>
        </w:tc>
        <w:tc>
          <w:tcPr>
            <w:tcW w:type="dxa" w:w="1440"/>
            <w:shd w:fill="FFDCE0" w:val="clear"/>
          </w:tcPr>
          <w:p>
            <w:r>
              <w:rPr>
                <w:b/>
                <w:color w:val="C00000"/>
                <w:sz w:val="17"/>
              </w:rPr>
              <w:t>-3.1%</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40,442</w:t>
            </w:r>
          </w:p>
        </w:tc>
        <w:tc>
          <w:tcPr>
            <w:tcW w:type="dxa" w:w="1440"/>
            <w:shd w:fill="FFDCE0" w:val="clear"/>
          </w:tcPr>
          <w:p>
            <w:r>
              <w:rPr>
                <w:b/>
                <w:sz w:val="17"/>
              </w:rPr>
              <w:t>43,539</w:t>
            </w:r>
          </w:p>
        </w:tc>
        <w:tc>
          <w:tcPr>
            <w:tcW w:type="dxa" w:w="1440"/>
            <w:shd w:fill="FFDCE0" w:val="clear"/>
          </w:tcPr>
          <w:p>
            <w:r>
              <w:rPr>
                <w:sz w:val="17"/>
              </w:rPr>
              <w:t>46,636</w:t>
            </w:r>
          </w:p>
        </w:tc>
        <w:tc>
          <w:tcPr>
            <w:tcW w:type="dxa" w:w="1440"/>
            <w:shd w:fill="FFDCE0" w:val="clear"/>
          </w:tcPr>
          <w:p>
            <w:r>
              <w:rPr>
                <w:b/>
                <w:color w:val="C00000"/>
                <w:sz w:val="17"/>
              </w:rPr>
              <w:t>-3.2%</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39,935</w:t>
            </w:r>
          </w:p>
        </w:tc>
        <w:tc>
          <w:tcPr>
            <w:tcW w:type="dxa" w:w="1440"/>
            <w:shd w:fill="FFDCE0" w:val="clear"/>
          </w:tcPr>
          <w:p>
            <w:r>
              <w:rPr>
                <w:b/>
                <w:sz w:val="17"/>
              </w:rPr>
              <w:t>43,509</w:t>
            </w:r>
          </w:p>
        </w:tc>
        <w:tc>
          <w:tcPr>
            <w:tcW w:type="dxa" w:w="1440"/>
            <w:shd w:fill="FFDCE0" w:val="clear"/>
          </w:tcPr>
          <w:p>
            <w:r>
              <w:rPr>
                <w:sz w:val="17"/>
              </w:rPr>
              <w:t>47,082</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39,509</w:t>
            </w:r>
          </w:p>
        </w:tc>
        <w:tc>
          <w:tcPr>
            <w:tcW w:type="dxa" w:w="1440"/>
            <w:shd w:fill="FFDCE0" w:val="clear"/>
          </w:tcPr>
          <w:p>
            <w:r>
              <w:rPr>
                <w:b/>
                <w:sz w:val="17"/>
              </w:rPr>
              <w:t>43,504</w:t>
            </w:r>
          </w:p>
        </w:tc>
        <w:tc>
          <w:tcPr>
            <w:tcW w:type="dxa" w:w="1440"/>
            <w:shd w:fill="FFDCE0" w:val="clear"/>
          </w:tcPr>
          <w:p>
            <w:r>
              <w:rPr>
                <w:sz w:val="17"/>
              </w:rPr>
              <w:t>47,498</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39,136</w:t>
            </w:r>
          </w:p>
        </w:tc>
        <w:tc>
          <w:tcPr>
            <w:tcW w:type="dxa" w:w="1440"/>
            <w:shd w:fill="FFDCE0" w:val="clear"/>
          </w:tcPr>
          <w:p>
            <w:r>
              <w:rPr>
                <w:b/>
                <w:sz w:val="17"/>
              </w:rPr>
              <w:t>43,512</w:t>
            </w:r>
          </w:p>
        </w:tc>
        <w:tc>
          <w:tcPr>
            <w:tcW w:type="dxa" w:w="1440"/>
            <w:shd w:fill="FFDCE0" w:val="clear"/>
          </w:tcPr>
          <w:p>
            <w:r>
              <w:rPr>
                <w:sz w:val="17"/>
              </w:rPr>
              <w:t>47,889</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38,797</w:t>
            </w:r>
          </w:p>
        </w:tc>
        <w:tc>
          <w:tcPr>
            <w:tcW w:type="dxa" w:w="1440"/>
            <w:shd w:fill="FFDCE0" w:val="clear"/>
          </w:tcPr>
          <w:p>
            <w:r>
              <w:rPr>
                <w:b/>
                <w:sz w:val="17"/>
              </w:rPr>
              <w:t>43,526</w:t>
            </w:r>
          </w:p>
        </w:tc>
        <w:tc>
          <w:tcPr>
            <w:tcW w:type="dxa" w:w="1440"/>
            <w:shd w:fill="FFDCE0" w:val="clear"/>
          </w:tcPr>
          <w:p>
            <w:r>
              <w:rPr>
                <w:sz w:val="17"/>
              </w:rPr>
              <w:t>48,255</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38,485</w:t>
            </w:r>
          </w:p>
        </w:tc>
        <w:tc>
          <w:tcPr>
            <w:tcW w:type="dxa" w:w="1440"/>
            <w:shd w:fill="FFDCE0" w:val="clear"/>
          </w:tcPr>
          <w:p>
            <w:r>
              <w:rPr>
                <w:b/>
                <w:sz w:val="17"/>
              </w:rPr>
              <w:t>43,542</w:t>
            </w:r>
          </w:p>
        </w:tc>
        <w:tc>
          <w:tcPr>
            <w:tcW w:type="dxa" w:w="1440"/>
            <w:shd w:fill="FFDCE0" w:val="clear"/>
          </w:tcPr>
          <w:p>
            <w:r>
              <w:rPr>
                <w:sz w:val="17"/>
              </w:rPr>
              <w:t>48,599</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38,192</w:t>
            </w:r>
          </w:p>
        </w:tc>
        <w:tc>
          <w:tcPr>
            <w:tcW w:type="dxa" w:w="1440"/>
            <w:shd w:fill="FFDCE0" w:val="clear"/>
          </w:tcPr>
          <w:p>
            <w:r>
              <w:rPr>
                <w:b/>
                <w:sz w:val="17"/>
              </w:rPr>
              <w:t>43,558</w:t>
            </w:r>
          </w:p>
        </w:tc>
        <w:tc>
          <w:tcPr>
            <w:tcW w:type="dxa" w:w="1440"/>
            <w:shd w:fill="FFDCE0" w:val="clear"/>
          </w:tcPr>
          <w:p>
            <w:r>
              <w:rPr>
                <w:sz w:val="17"/>
              </w:rPr>
              <w:t>48,924</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37,915</w:t>
            </w:r>
          </w:p>
        </w:tc>
        <w:tc>
          <w:tcPr>
            <w:tcW w:type="dxa" w:w="1440"/>
            <w:shd w:fill="FFDCE0" w:val="clear"/>
          </w:tcPr>
          <w:p>
            <w:r>
              <w:rPr>
                <w:b/>
                <w:sz w:val="17"/>
              </w:rPr>
              <w:t>43,573</w:t>
            </w:r>
          </w:p>
        </w:tc>
        <w:tc>
          <w:tcPr>
            <w:tcW w:type="dxa" w:w="1440"/>
            <w:shd w:fill="FFDCE0" w:val="clear"/>
          </w:tcPr>
          <w:p>
            <w:r>
              <w:rPr>
                <w:sz w:val="17"/>
              </w:rPr>
              <w:t>49,231</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4 500 milliards FCFA, Sonatel s'impose comme la première capitalisation de la BRVM, un statut de valeur phare qui lui confère une liquidité et une visibilité sans équivalent sur le marché régional. Le BPA de 4 136 FCFA par action signifie que chaque titre génère près de 4 136 FCFA de bénéfice net, ce qui, rapporté au cours actuel de 45 000 FCFA, donne un PER de 10,9x — un niveau modéré et parfaitement dans la fourchette moyenne de la BRVM (8-12x), traduisant une valorisation raisonnable sans prime excessive. Le P/B de 3,22x indique que le marché valorise l'action à plus de trois fois sa valeur comptable, une prime de croissance justifiée par la qualité des actifs immatériels (licences, réseaux, base clients) et la rentabilité structurellement élevée du groupe. Enfin, l'EV/EBITDA de 4,7x, inférieur au seuil de 5x, signale que la valeur totale de l'entreprise (dette incluse) reste très bon marché au regard de sa capacité opérationnelle à générer du cash, ce qui constitue un signal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SNTS a enregistré une progression spectaculaire de +55,71%, portant le cours à 45 000 FCFA, soit une stagnation sur la dernière séance (variation J-1 de 0,00%). Le range de trading est particulièrement large, avec un plus bas à 27 160 FCFA et un plus haut à 45 000 FCFA — le cours actuel se situe donc exactement au sommet de cette fourchette, ce qui traduit une tendance haussière puissante et soutenue. Les statistiques descriptives révèlent une moyenne de 32 760 FCFA nettement supérieure à la médiane de 31 002 FCFA, avec un mode à 31 000 FCFA : cet écart entre moyenne et médiane confirme une distribution asymétrique, le cours ayant passé plus de journées sous la moyenne avant de s'envoler en fin de période. L'écart-type de 4 805 FCFA (CV de 14,7%) indique une dispersion modérée du cours autour de sa moyenne, tandis que le kurtosis de -0,317 (mésokurtique) suggère une distribution proche de la normale, sans risque majeur de pics extrêmes. Le skewness positif de 0,966 confirme cette asymétrie à droite, avec davantage de journées de hausse modérée que de baisse. La volatilité annualisée de 33,3% positionne le titre dans la catégorie des valeurs à volatilité élevée (&gt;30%), ce qui est cohérent avec la forte appréciation récente et appelle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40 878,75 FCFA et la MM50 à 36 272,2 FCFA, toutes deux nettement inférieures au cours actuel de 45 000 FCFA. Cette configuration — cours &gt; MM20 &gt; MM50 — est typique d'une tendance haussière confirmée, avec un alignement haussier des moyennes qui valide la décision d'achat. L'écart important entre le cours et la MM20 (+10%) suggère toutefois une extension potentielle à court terme.</w:t>
      </w:r>
    </w:p>
    <w:p>
      <w:pPr>
        <w:spacing w:after="120" w:line="276" w:lineRule="auto"/>
      </w:pPr>
      <w:r>
        <w:t>**Bandes de Bollinger** : La borne supérieure se situe à 45 152,79 FCFA et la borne inférieure à 36 604,71 FCFA, avec un cours actuel de 45 000 FCFA qui frôle la borne haute. Cette position quasi-tangente à la borne supérieure indique une forte volatilité récente et un potentiel de correction à court terme, justifiant la décision neutre. Le rétrécissement ou l'élargissement des bandes devra être surveillé pour anticiper un retournement.</w:t>
      </w:r>
    </w:p>
    <w:p>
      <w:pPr>
        <w:spacing w:after="120" w:line="276" w:lineRule="auto"/>
      </w:pPr>
      <w:r>
        <w:t>**MACD** : La valeur du MACD (2 243,79) est supérieure à son signal (2 027,46), avec un histogramme positif qui confirme un momentum haussier en cours. La divergence positive entre les deux lignes valide la décision d'achat, bien que l'ampleur de l'écart suggère que le mouvement pourrait approcher de son terme.</w:t>
      </w:r>
    </w:p>
    <w:p>
      <w:pPr>
        <w:spacing w:after="120" w:line="276" w:lineRule="auto"/>
      </w:pPr>
      <w:r>
        <w:t>**RSI** : À 81,54, le RSI se situe largement au-dessus du seuil de surachat de 70, ce qui déclenche une décision de vente. Ce niveau extrême indique que le titre a été massivement acheté et qu'un essoufflement ou une correction est probable à court terme, même si en tendance forte le RSI peut rester élevé durablement.</w:t>
      </w:r>
    </w:p>
    <w:p>
      <w:pPr>
        <w:spacing w:after="120" w:line="276" w:lineRule="auto"/>
      </w:pPr>
      <w:r>
        <w:t>**Stochastique** : Le %K (100,0) et le %D (99,96) sont tous deux collés au plafond, avec un croisement imminent à la baisse potentiel. Cette configuration en zone de surachat extrême confirme la décision de vente et renforce le signal de prudence à court terme.</w:t>
      </w:r>
    </w:p>
    <w:p>
      <w:pPr>
        <w:spacing w:after="120" w:line="276" w:lineRule="auto"/>
      </w:pPr>
      <w:r>
        <w:t>**Conclusion technique** : Les indicateurs présentent une divergence classique entre la tendance de fond (MM haussières, MACD positif) et les signaux de court terme (RSI et Stochastique en surachat extrême, cours à la borne haute de Bollinger). Cette configuration suggère que la tendance haussière reste intacte mais qu'une consolidation ou un repli technique est probable à court terme, offrant potentiellement un point d'entrée plus favorable pour les investisseurs non positionnés.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en pleine santé financière : le chiffre d'affaires consolidé s'établit à 1 923,122 milliards FCFA, en croissance de 8,26% sur un an, tandis que le résultat net atteint 413,588 milliards FCFA, soit une marge nette de 21,51%. La rentabilité des fonds propres (ROE) est exceptionnelle à 29,56%, largement supérieure au seuil de 15% considéré comme excellent, et le ROA de 12,65% confirme l'efficacité de l'utilisation des actifs. En tant qu'entreprise non bancaire, l'analyse des délais d'exploitation est cruciale : le délai clients de 46,16 jours est modéré, mais le délai fournisseurs de 201,39 jours est particulièrement élevé — un avantage concurrentiel majeur qui permet à Sonatel de financer son cycle d'exploitation par ses fournisseurs. Le BFR est négatif à -284,906 milliards FCFA, ce qui constitue un signal très favorable de trésorerie, et la trésorerie nette de 536,105 milliards FCFA témoigne d'une liquidité abondante. La structure financière est saine avec une autonomie financière de 42,79% (capitaux propres/total bilan) et une capacité de remboursement de seulement 0,64 année de CAF, tandis que la couverture des intérêts atteint 2 744,71%, éliminant tout risque de défaut.</w:t>
      </w:r>
    </w:p>
    <w:p>
      <w:pPr>
        <w:spacing w:after="120" w:line="276" w:lineRule="auto"/>
      </w:pPr>
      <w:r>
        <w:t>Les rapports narratifs confirment cette dynamique. Le communiqué du 16 février 2026 (résultats 2025) précise que la croissance est portée par la Data mobile (+8,6% de clients), le haut débit fixe (+26,2%) et Orange Money, avec un EBITDAAL représentant 47,9% du CA et des investissements de 288,6 milliards FCFA (15% du CA). Le rapport du S1 2026 (communiqué du 24 juillet 2026) montre une accélération : le CA progresse de 9,3% à 1 049,8 milliards FCFA et le résultat net de 10,5% à 230 milliards FCFA, avec un EBITDAAL en hausse de 11,6% à 510,8 milliards FCFA (marge de 48,7%). Sur la base de ce rapport S1 2026, on peut estimer que l'exercice 2026 devrait afficher un CA consolidé d'environ 2 100 milliards FCFA (+9,3%) et un résultat net proche de 455 milliards FCFA (+10%), confirmant la trajectoire de croissance rentable. La notation financière a d'ailleurs été relevée à AAA (wu) par GCR Ratings, la note maximale, ce qui atteste de la solidité exceptionnelle du modèle. Le dividende proposé de 1 933 FCFA brut (1 740 FCFA net) pour 2025 offre un rendement de 3,87% au cours actuel de 45 000 FCFA, un niveau attractif pour une valeur de croissance. Les risques identifiés — pression fiscale et réglementaire croissante, intensification concurrentielle sur la Data et le Mobile Money, instabilité géopolitique dans certains pays de présence — demeurent des points de vigilance mais ne remettent pas en cause la solidité fondamentale de l'entreprise.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entre le court terme et le long terme. Sur le plan de la **valorisation (Partie 0)**, les ratios PER de 10,9x, P/B de 3,22x et surtout EV/EBITDA de 4,7x indiquent que le titre n'est pas surévalué malgré sa forte hausse récente, l'EV/EBITDA inférieur à 5x signalant même une sous-évaluation relative par rapport à la capacité de génération de cash. Le **comportement du cours (Partie 1)** est exceptionnel avec +55,71% sur 100 jours, mais la volatilité annualisée de 33,3% et la position au plus haut historique (45 000 FCFA) suggèrent une extension à court terme, tandis que le skewness positif et le kurtosis mésokurtique indiquent un risque de pics limité. Les **signaux techniques (Partie 2)** sont divergents : les moyennes mobiles et le MACD confirment la tendance haussière de fond, mais le RSI à 81,54 et le Stochastique à 100 signalent un surachat extrême appelant à une correction ou consolidation à court terme. Les **fondamentaux (Partie 3)** sont exceptionnellement solides : ROE de 29,56%, BFR négatif de -284,9 milliards FCFA, trésorerie nette de 536,1 milliards FCFA, notation AAA, et les estimations basées sur le S1 2026 (+9,3% de CA, +10,5% de résultat net) projettent une poursuite de la croissance rentable. Les **prédictions IA (J+1 à J+10)** anticipent une légère correction vers 43 500-43 600 FCFA, en cohérence avec les signaux de surachat technique, mais cette baisse reste marginale (-3,3%) et ne remet pas en cause la tendance de fond.</w:t>
      </w:r>
    </w:p>
    <w:p>
      <w:pPr>
        <w:spacing w:after="120" w:line="276" w:lineRule="auto"/>
      </w:pPr>
      <w:r>
        <w:t>Sur la base de cette synthèse, la recommandation finale est **ACHAT** avec un niveau de confiance **Élevé** et un risque global **Moyen**. La convergence entre une valorisation raisonnable (EV/EBITDA &lt; 5x), des fondamentaux exceptionnels (ROE &gt; 29%, BFR négatif, notation AAA) et une tendance haussière confirmée par les moyennes mobiles et le MACD justifie une position acheteuse, tandis que les signaux de surachat à court terme (RSI, Stochastique) et les prédictions IA de légère correction invitent à privilégier un **horizon d'investissement de moyen à long terme (6 à 18 mois)** plutôt qu'un achat spéculatif à court terme. Les investisseurs déjà positionnés peuvent conserver leurs titres en profitant du dividende de 1 740 FCFA net (rendement de 3,87%), tandis que les nouveaux entrants pourraient attendre un repli vers 43 000-44 000 FCFA pour optimiser leur point d'entrée.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171.52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5,295 titres</w:t>
            </w:r>
          </w:p>
        </w:tc>
        <w:tc>
          <w:tcPr>
            <w:tcW w:type="dxa" w:w="2268"/>
            <w:shd w:fill="FFF2CC" w:val="clear"/>
          </w:tcPr>
          <w:p>
            <w:r>
              <w:rPr>
                <w:b/>
                <w:color w:val="503200"/>
                <w:sz w:val="16"/>
              </w:rPr>
              <w:t xml:space="preserve">Cours actuel : </w:t>
            </w:r>
            <w:r>
              <w:rPr>
                <w:color w:val="000000"/>
                <w:sz w:val="17"/>
              </w:rPr>
              <w:t>7,940 FCFA</w:t>
            </w:r>
          </w:p>
          <w:p>
            <w:r>
              <w:rPr>
                <w:b/>
                <w:color w:val="503200"/>
                <w:sz w:val="16"/>
              </w:rPr>
              <w:t xml:space="preserve">Var. 100 jours : </w:t>
            </w:r>
            <w:r>
              <w:rPr>
                <w:b/>
                <w:color w:val="007800"/>
                <w:sz w:val="17"/>
              </w:rPr>
              <w:t>+7.44%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4.61% (Faible) — μ=8,068 FCFA, σ=372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β=0.9425 (Neutre (suit le marché)) — Cov=0.000065, Var(idx)=0.000069, ρ=0.298,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7,347</w:t>
            </w:r>
          </w:p>
        </w:tc>
        <w:tc>
          <w:tcPr>
            <w:tcW w:type="dxa" w:w="1440"/>
            <w:shd w:fill="FAFAFA" w:val="clear"/>
          </w:tcPr>
          <w:p>
            <w:r>
              <w:rPr>
                <w:b/>
                <w:sz w:val="17"/>
              </w:rPr>
              <w:t>7,886</w:t>
            </w:r>
          </w:p>
        </w:tc>
        <w:tc>
          <w:tcPr>
            <w:tcW w:type="dxa" w:w="1440"/>
            <w:shd w:fill="FAFAFA" w:val="clear"/>
          </w:tcPr>
          <w:p>
            <w:r>
              <w:rPr>
                <w:sz w:val="17"/>
              </w:rPr>
              <w:t>8,425</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7,203</w:t>
            </w:r>
          </w:p>
        </w:tc>
        <w:tc>
          <w:tcPr>
            <w:tcW w:type="dxa" w:w="1440"/>
            <w:shd w:fill="FAFAFA" w:val="clear"/>
          </w:tcPr>
          <w:p>
            <w:r>
              <w:rPr>
                <w:b/>
                <w:sz w:val="17"/>
              </w:rPr>
              <w:t>7,861</w:t>
            </w:r>
          </w:p>
        </w:tc>
        <w:tc>
          <w:tcPr>
            <w:tcW w:type="dxa" w:w="1440"/>
            <w:shd w:fill="FAFAFA" w:val="clear"/>
          </w:tcPr>
          <w:p>
            <w:r>
              <w:rPr>
                <w:sz w:val="17"/>
              </w:rPr>
              <w:t>8,519</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7,080</w:t>
            </w:r>
          </w:p>
        </w:tc>
        <w:tc>
          <w:tcPr>
            <w:tcW w:type="dxa" w:w="1440"/>
            <w:shd w:fill="FAFAFA" w:val="clear"/>
          </w:tcPr>
          <w:p>
            <w:r>
              <w:rPr>
                <w:b/>
                <w:sz w:val="17"/>
              </w:rPr>
              <w:t>7,838</w:t>
            </w:r>
          </w:p>
        </w:tc>
        <w:tc>
          <w:tcPr>
            <w:tcW w:type="dxa" w:w="1440"/>
            <w:shd w:fill="FAFAFA" w:val="clear"/>
          </w:tcPr>
          <w:p>
            <w:r>
              <w:rPr>
                <w:sz w:val="17"/>
              </w:rPr>
              <w:t>8,596</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6,971</w:t>
            </w:r>
          </w:p>
        </w:tc>
        <w:tc>
          <w:tcPr>
            <w:tcW w:type="dxa" w:w="1440"/>
            <w:shd w:fill="FAFAFA" w:val="clear"/>
          </w:tcPr>
          <w:p>
            <w:r>
              <w:rPr>
                <w:b/>
                <w:sz w:val="17"/>
              </w:rPr>
              <w:t>7,816</w:t>
            </w:r>
          </w:p>
        </w:tc>
        <w:tc>
          <w:tcPr>
            <w:tcW w:type="dxa" w:w="1440"/>
            <w:shd w:fill="FAFAFA" w:val="clear"/>
          </w:tcPr>
          <w:p>
            <w:r>
              <w:rPr>
                <w:sz w:val="17"/>
              </w:rPr>
              <w:t>8,661</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6,872</w:t>
            </w:r>
          </w:p>
        </w:tc>
        <w:tc>
          <w:tcPr>
            <w:tcW w:type="dxa" w:w="1440"/>
            <w:shd w:fill="FAFAFA" w:val="clear"/>
          </w:tcPr>
          <w:p>
            <w:r>
              <w:rPr>
                <w:b/>
                <w:sz w:val="17"/>
              </w:rPr>
              <w:t>7,795</w:t>
            </w:r>
          </w:p>
        </w:tc>
        <w:tc>
          <w:tcPr>
            <w:tcW w:type="dxa" w:w="1440"/>
            <w:shd w:fill="FAFAFA" w:val="clear"/>
          </w:tcPr>
          <w:p>
            <w:r>
              <w:rPr>
                <w:sz w:val="17"/>
              </w:rPr>
              <w:t>8,718</w:t>
            </w:r>
          </w:p>
        </w:tc>
        <w:tc>
          <w:tcPr>
            <w:tcW w:type="dxa" w:w="1440"/>
            <w:shd w:fill="FAFAFA" w:val="clear"/>
          </w:tcPr>
          <w:p>
            <w:r>
              <w:rPr>
                <w:b/>
                <w:color w:val="C00000"/>
                <w:sz w:val="17"/>
              </w:rPr>
              <w:t>-1.8%</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6,780</w:t>
            </w:r>
          </w:p>
        </w:tc>
        <w:tc>
          <w:tcPr>
            <w:tcW w:type="dxa" w:w="1440"/>
            <w:shd w:fill="FFDCE0" w:val="clear"/>
          </w:tcPr>
          <w:p>
            <w:r>
              <w:rPr>
                <w:b/>
                <w:sz w:val="17"/>
              </w:rPr>
              <w:t>7,775</w:t>
            </w:r>
          </w:p>
        </w:tc>
        <w:tc>
          <w:tcPr>
            <w:tcW w:type="dxa" w:w="1440"/>
            <w:shd w:fill="FFDCE0" w:val="clear"/>
          </w:tcPr>
          <w:p>
            <w:r>
              <w:rPr>
                <w:sz w:val="17"/>
              </w:rPr>
              <w:t>8,769</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6,695</w:t>
            </w:r>
          </w:p>
        </w:tc>
        <w:tc>
          <w:tcPr>
            <w:tcW w:type="dxa" w:w="1440"/>
            <w:shd w:fill="FFDCE0" w:val="clear"/>
          </w:tcPr>
          <w:p>
            <w:r>
              <w:rPr>
                <w:b/>
                <w:sz w:val="17"/>
              </w:rPr>
              <w:t>7,755</w:t>
            </w:r>
          </w:p>
        </w:tc>
        <w:tc>
          <w:tcPr>
            <w:tcW w:type="dxa" w:w="1440"/>
            <w:shd w:fill="FFDCE0" w:val="clear"/>
          </w:tcPr>
          <w:p>
            <w:r>
              <w:rPr>
                <w:sz w:val="17"/>
              </w:rPr>
              <w:t>8,815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6,614</w:t>
            </w:r>
          </w:p>
        </w:tc>
        <w:tc>
          <w:tcPr>
            <w:tcW w:type="dxa" w:w="1440"/>
            <w:shd w:fill="FFDCE0" w:val="clear"/>
          </w:tcPr>
          <w:p>
            <w:r>
              <w:rPr>
                <w:b/>
                <w:sz w:val="17"/>
              </w:rPr>
              <w:t>7,736</w:t>
            </w:r>
          </w:p>
        </w:tc>
        <w:tc>
          <w:tcPr>
            <w:tcW w:type="dxa" w:w="1440"/>
            <w:shd w:fill="FFDCE0" w:val="clear"/>
          </w:tcPr>
          <w:p>
            <w:r>
              <w:rPr>
                <w:sz w:val="17"/>
              </w:rPr>
              <w:t>8,858</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6,539</w:t>
            </w:r>
          </w:p>
        </w:tc>
        <w:tc>
          <w:tcPr>
            <w:tcW w:type="dxa" w:w="1440"/>
            <w:shd w:fill="FFDCE0" w:val="clear"/>
          </w:tcPr>
          <w:p>
            <w:r>
              <w:rPr>
                <w:b/>
                <w:sz w:val="17"/>
              </w:rPr>
              <w:t>7,718</w:t>
            </w:r>
          </w:p>
        </w:tc>
        <w:tc>
          <w:tcPr>
            <w:tcW w:type="dxa" w:w="1440"/>
            <w:shd w:fill="FFDCE0" w:val="clear"/>
          </w:tcPr>
          <w:p>
            <w:r>
              <w:rPr>
                <w:sz w:val="17"/>
              </w:rPr>
              <w:t>8,898</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**Bourse Régionale des Valeurs Mobilières (BRVM) — Secteur : Entreprise agro-industrielle**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171,52 milliards FCFA, SOGC se positionne parmi les valeurs moyennes-capitalisations de la cote BRVM, ce qui lui confère une certaine liquidité tout en restant exposée à une volatilité de marché. Le BPA de 578 FCFA/action signifie que chaque titre génère près de 578 FCFA de bénéfice net, un niveau confortable qui traduit la rentabilité intrinsèque de l'entreprise. Le PER de 13,7x se situe légèrement au-dessus de la moyenne BRVM (~8-12x), suggérant que le marché accorde une prime modérée à SOGC, sans pour autant basculer dans une valorisation excessive. Le P/B de 2,51x indique que le marché valorise l'action à plus de deux fois sa valeur comptable, une prime de croissance justifiée par la qualité des actifs (plantations, immobilisations corporelles de 61,2 Mds FCFA) et la solidité des capitaux propres (68,43 Mds FCFA). Enfin, l'EV/EBITDA de 7,1x, dans la fourchette raisonnable de 5-10x, montre que la valeur d'entreprise reste cohérente avec la capacité opérationnelle de génération de cash-flow, ce qui plaide pour une valorisation globalement équilibrée, ni bradée ni surévaluée.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positive de +7,44%, mais la dernière séance (J-1) enregistre un repli de -1,98%, signalant une prise de bénéfices ou un essoufflement de court terme. Le cours actuel de 7 940 FCFA évolue dans un range de trading compris entre un plus bas de 7 200 FCFA et un plus haut de 8 875 FCFA, soit une amplitude de près de 23%, ce qui traduit une tendance générale haussière mais avec des corrections notables. Les statistiques descriptives révèlent une moyenne de 8 068 FCFA légèrement supérieure à la médiane de 8 145 FCFA — un écart qui, combiné à un mode à 8 100 FCFA, confirme une distribution asymétrique avec une concentration des cours autour de 8 100 FCFA. L'écart-type de 374 FCFA et le coefficient de variation de 4,6% indiquent une dispersion modérée du cours, tandis que le kurtosis de -0,361 (mésokurtique) suggère une distribution proche de la normale, sans risque excessif de pics extrêmes. Le skewness de -0,573 (asymétrie négative) signifie qu'il y a eu davantage de journées de hausse au-dessus de la moyenne que de journées de baisse marquée, un signal plutôt favorable pour la dynamique du titre. Enfin, la volatilité annualisée de 41,6% classe SOGC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7 949,25 FCFA et la MM50 à 8 067,6 FCFA, toutes deux supérieures au cours actuel de 7 940 FCFA. Cette configuration baissière (cours sous les deux moyennes) justifie la décision de **Vente** émise par le système, le titre évoluant sous ses supports dynamiques et signalant une pression vendeuse persistante.</w:t>
      </w:r>
    </w:p>
    <w:p>
      <w:pPr>
        <w:spacing w:after="120" w:line="276" w:lineRule="auto"/>
      </w:pPr>
      <w:r>
        <w:t>**Bandes de Bollinger** : La borne supérieure est à 8 530,68 FCFA et la borne inférieure à 7 367,82 FCFA, avec un cours actuel de 7 940 FCFA positionné légèrement au-dessus du milieu de bande. La décision **Neutre** reflète l'absence de signal extrême : le cours n'est ni en suraccélération (proche de la borne haute) ni en survente (proche de la borne basse), la volatilité restant contenue dans les bandes.</w:t>
      </w:r>
    </w:p>
    <w:p>
      <w:pPr>
        <w:spacing w:after="120" w:line="276" w:lineRule="auto"/>
      </w:pPr>
      <w:r>
        <w:t>**MACD** : La valeur du MACD est de -72,991 contre un signal à -85,993, soit un croisement haussier (MACD au-dessus de son signal) bien que les deux restent en territoire négatif. Cette configuration indique un **Achat** technique, le momentum baissier s'essoufflant et un retournement potentiel se dessinant, mais la prudence reste de mise tant que le MACD n'a pas franchi la ligne zéro.</w:t>
      </w:r>
    </w:p>
    <w:p>
      <w:pPr>
        <w:spacing w:after="120" w:line="276" w:lineRule="auto"/>
      </w:pPr>
      <w:r>
        <w:t>**RSI** : À 46,825, le RSI se situe en zone neutre (30-70), sans signal de surachat (&gt;70) ni de survente (&lt;30). La décision **Neutre** confirme l'absence de pression directionnelle forte, le titre évoluant dans un équilibre relatif entre acheteurs et vendeurs.</w:t>
      </w:r>
    </w:p>
    <w:p>
      <w:pPr>
        <w:spacing w:after="120" w:line="276" w:lineRule="auto"/>
      </w:pPr>
      <w:r>
        <w:t>**Stochastique** : Le %K est à 76,19 et le %D à 82,738, avec un %K inférieur au %D, ce qui constitue un croisement baissier en zone de surachat (&gt;80 pour le %D). La décision **Neutre** masque une légère pression baissière à court terme, le %D proche de 83 suggérant un essoufflement de la dynamique haussière récente.</w:t>
      </w:r>
    </w:p>
    <w:p>
      <w:pPr>
        <w:spacing w:after="120" w:line="276" w:lineRule="auto"/>
      </w:pPr>
      <w:r>
        <w:t>**Conclusion technique** : Les indicateurs techniques présentent un tableau mitigé, avec une majorité de signaux neutres (Bollinger, RSI, Stochastique) et une divergence entre la MM (Vente) et le MACD (Achat). Le titre évolue sous ses moyennes mobiles, ce qui pèse sur la tendance de fond, mais le croisement haussier du MACD et le RSI neutre suggèrent qu'une stabilisation, voire un rebond technique, est possible à court terme. La prudence reste toutefois de rigueur, le Stochastique signalant un risque de correction immédiate.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SOGC affiche un chiffre d'affaires de 98,979 milliards FCFA, en croissance de +10,70% par rapport à 2024 (93,52 Mds FCFA), porté par la hausse des prix de l'huile de palme (+20%) et de palmiste (+47%), ainsi que par la progression des volumes de caoutchouc (+9%). Le résultat net s'établit à 12,493 milliards FCFA, en léger repli de -5% par rapport aux 13,11 Mds FCFA de 2024, sous l'effet de la hausse des coûts d'achat du coagulum (+15%). La rentabilité reste néanmoins solide, avec un ROE de 18,26% (&gt;15%, seuil d'excellence) et un ROA de 13,84%, confirmant l'efficacité de l'entreprise à générer des profits à partir de ses fonds propres et de ses actifs. La marge nette de 12,62% et la marge opérationnelle de 17,24% témoignent d'une bonne maîtrise des charges, malgré la pression sur les coûts. La structure financière est saine : l'autonomie financière de 75,79% (capitaux propres/total bilan) et un ratio d'endettement de 24,21% indiquent une faible dépendance aux dettes, tandis que la liquidité générale de 170,32% (&gt;1) garantit une capacité à honorer les engagements court terme. Le BFR de 7,124 Mds FCFA (positif) et la trésorerie nette de 4,575 Mds FCFA reflètent une gestion équilibrée du besoin en fonds de roulement. Les délais clients (29,60 jours) et fournisseurs (31,72 jours) sont maîtrisés, bien que la durée de stockage élevée (97,67 jours) immobilise du capital. Le Free Cash Flow de 16,031 Mds FCFA et la CAF de 18,938 Mds FCFA confirment la robustesse de la génération de trésorerie.</w:t>
      </w:r>
    </w:p>
    <w:p>
      <w:pPr>
        <w:spacing w:after="120" w:line="276" w:lineRule="auto"/>
      </w:pPr>
      <w:r>
        <w:t>**Estimations basées sur les rapports trimestriels** : Le rapport du T3 2025 (daté du 30/09/2025) indique un CA cumulé de 75,6 Mds FCFA (+21,3% sur 9 mois) et un résultat net de 11,5 Mds FCFA (+39,5%), avec une marge nette de 15,3%. Le rapport du S1 2025 (30/06/2025) faisait état d'un CA de 55,4 Mds FCFA (+51,9%) et d'un résultat net de 10,2 Mds FCFA (+151,6%), tandis que le T1 2025 (31/03/2025) affichait un CA de 31,2 Mds FCFA (+63,1%) et un résultat net de 6,0 Mds FCFA (+262,9%). Ces performances exceptionnelles au premier semestre ont toutefois été tempérées par un ralentissement au S2, la direction alertant sur une concurrence accrue pour l'achat de la matière première et la baisse des cours internationaux du caoutchouc (SICOM). Sur cette base, on estime que l'exercice 2025 devrait se conclure avec un résultat net autour de 12,5 Mds FCFA (cohérent avec les 12,493 Mds FCFA annoncés), confirmant la normalisation des marges après un S1 exceptionnel. Le rapport annuel 2024 (daté du 31/12/2024) soulignait déjà une politique de dividende généreuse (60 FCFA/action en 2024), et l'avis de convocation à l'AGO du 28 mai 2026 propose un dividende brut de 570 FCFA/action pour 2025, soit un rendement attractif de 7,2% au cours actuel de 7 940 FCFA.</w:t>
      </w:r>
    </w:p>
    <w:p>
      <w:pPr>
        <w:spacing w:after="120" w:line="276" w:lineRule="auto"/>
      </w:pPr>
      <w:r>
        <w:t>**Recommandation fondamentale** : SOGC présente des fondamentaux solides, avec une rentabilité élevée (ROE &gt;18%), une structure financière saine (autonomie financière &gt;75%) et une génération de cash-flow robuste. Les risques identifiés — volatilité des prix des matières premières, concurrence sur l'achat du coagulum, et dépendance aux cours internationaux — sont réels mais partiellement compensés par la diversification (caoutchouc, huile de palme, palmiste) et la maîtrise des coûts. La politique de dividende généreuse (taux de distribution proche de 100%) est un atout pour les investisseurs en quête de rendement, mais limite les capacités de réinvestissement. Globalement, le titre offre un profil équilibré entre rendement et risque, avec une recommandation de **Conserver** dans une optique de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tableau contrasté pour SOGC. **Valorisation (Partie 0)** : les ratios PER (13,7x), P/B (2,51x) et EV/EBITDA (7,1x) indiquent une valorisation modérée, légèrement supérieure à la moyenne BRVM mais justifiée par la qualité des actifs et la rentabilité. **Comportement du cours (Partie 1)** : la tendance haussière sur 100 jours (+7,44%) est tempérée par un repli récent (-1,98% en J-1) et une volatilité élevée (41,6%), avec une distribution asymétrique négative (skewness -0,573) et un kurtosis proche de la normale, suggérant un risque de correction modéré. **Signaux techniques (Partie 2)** : les indicateurs sont mitigés, avec une majorité de signaux neutres (Bollinger, RSI, Stochastique) et une divergence MM (Vente) / MACD (Achat), plaidant pour une stabilisation à court terme. **Fondamentaux (Partie 3)** : la solidité financière (ROE 18,26%, autonomie financière 75,79%) et la génération de cash-flow (FCF 16,03 Mds FCFA) sont des atouts majeurs, mais la baisse du résultat net en 2025 (-5%) et les perspectives prudentes pour 2026 (concurrence accrue, baisse des cours du caoutchouc) incitent à la prudence. **Prédictions IA (J+1 à J+10)** : la trajectoire baissière anticipée (7 886 FCFA à 7 795 FCFA, soit -1,8% sur 5 jours) contredit légèrement les signaux techniques haussiers (MACD) et confirme la pression baissière de court terme.</w:t>
      </w:r>
    </w:p>
    <w:p>
      <w:pPr>
        <w:spacing w:after="120" w:line="276" w:lineRule="auto"/>
      </w:pPr>
      <w:r>
        <w:t>**Recommandation finale** : **CONSERVER**. Cette recommandation reflète la convergence entre une valorisation équilibrée, des fondamentaux solides mais en léger repli, et des signaux techniques mitigés. Le niveau de confiance est **Moyen**, en raison de la divergence entre les indicateurs techniques et les prédictions IA, ainsi que des incertitudes sur l'évolution des prix des matières premières. Le niveau de risque global est **Moyen**, la volatilité élevée (41,6%) et la dépendance aux commodities étant partiellement compensées par la solidité financière et le rendement du dividende (7,2%). L'horizon d'investissement optimal est le **moyen terme (3-12 mois)**, le temps que les perspectives 2026 se clarifient et que la tendance technique se stabilise. Les investisseurs en quête de rendement trouveront dans SOGC un titre attractif, mais devront surveiller de près l'évolution des cours du caoutchouc et la politique de distribution du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201.65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4,668 titres</w:t>
            </w:r>
          </w:p>
        </w:tc>
        <w:tc>
          <w:tcPr>
            <w:tcW w:type="dxa" w:w="2268"/>
            <w:shd w:fill="FFF2CC" w:val="clear"/>
          </w:tcPr>
          <w:p>
            <w:r>
              <w:rPr>
                <w:b/>
                <w:color w:val="503200"/>
                <w:sz w:val="16"/>
              </w:rPr>
              <w:t xml:space="preserve">Cours actuel : </w:t>
            </w:r>
            <w:r>
              <w:rPr>
                <w:color w:val="000000"/>
                <w:sz w:val="17"/>
              </w:rPr>
              <w:t>7,890 FCFA</w:t>
            </w:r>
          </w:p>
          <w:p>
            <w:r>
              <w:rPr>
                <w:b/>
                <w:color w:val="503200"/>
                <w:sz w:val="16"/>
              </w:rPr>
              <w:t xml:space="preserve">Var. 100 jours : </w:t>
            </w:r>
            <w:r>
              <w:rPr>
                <w:b/>
                <w:color w:val="007800"/>
                <w:sz w:val="17"/>
              </w:rPr>
              <w:t>+11.91%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9.76% (Moyenne) — μ=7,857 FCFA, σ=767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β=0.7768 (Défensif) — Cov=0.000054, Var(idx)=0.000069, ρ=0.235,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7,139</w:t>
            </w:r>
          </w:p>
        </w:tc>
        <w:tc>
          <w:tcPr>
            <w:tcW w:type="dxa" w:w="1440"/>
            <w:shd w:fill="FAFAFA" w:val="clear"/>
          </w:tcPr>
          <w:p>
            <w:r>
              <w:rPr>
                <w:b/>
                <w:sz w:val="17"/>
              </w:rPr>
              <w:t>7,784</w:t>
            </w:r>
          </w:p>
        </w:tc>
        <w:tc>
          <w:tcPr>
            <w:tcW w:type="dxa" w:w="1440"/>
            <w:shd w:fill="FAFAFA" w:val="clear"/>
          </w:tcPr>
          <w:p>
            <w:r>
              <w:rPr>
                <w:sz w:val="17"/>
              </w:rPr>
              <w:t>8,428</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2026-10-06</w:t>
            </w:r>
          </w:p>
        </w:tc>
        <w:tc>
          <w:tcPr>
            <w:tcW w:type="dxa" w:w="1440"/>
            <w:shd w:fill="FAFAFA" w:val="clear"/>
          </w:tcPr>
          <w:p>
            <w:r>
              <w:rPr>
                <w:sz w:val="17"/>
              </w:rPr>
              <w:t>6,961</w:t>
            </w:r>
          </w:p>
        </w:tc>
        <w:tc>
          <w:tcPr>
            <w:tcW w:type="dxa" w:w="1440"/>
            <w:shd w:fill="FAFAFA" w:val="clear"/>
          </w:tcPr>
          <w:p>
            <w:r>
              <w:rPr>
                <w:b/>
                <w:sz w:val="17"/>
              </w:rPr>
              <w:t>7,746</w:t>
            </w:r>
          </w:p>
        </w:tc>
        <w:tc>
          <w:tcPr>
            <w:tcW w:type="dxa" w:w="1440"/>
            <w:shd w:fill="FAFAFA" w:val="clear"/>
          </w:tcPr>
          <w:p>
            <w:r>
              <w:rPr>
                <w:sz w:val="17"/>
              </w:rPr>
              <w:t>8,532</w:t>
            </w:r>
          </w:p>
        </w:tc>
        <w:tc>
          <w:tcPr>
            <w:tcW w:type="dxa" w:w="1440"/>
            <w:shd w:fill="FAFAFA" w:val="clear"/>
          </w:tcPr>
          <w:p>
            <w:r>
              <w:rPr>
                <w:b/>
                <w:color w:val="C00000"/>
                <w:sz w:val="17"/>
              </w:rPr>
              <w:t>-1.8%</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6,809</w:t>
            </w:r>
          </w:p>
        </w:tc>
        <w:tc>
          <w:tcPr>
            <w:tcW w:type="dxa" w:w="1440"/>
            <w:shd w:fill="FFDCE0" w:val="clear"/>
          </w:tcPr>
          <w:p>
            <w:r>
              <w:rPr>
                <w:b/>
                <w:sz w:val="17"/>
              </w:rPr>
              <w:t>7,712</w:t>
            </w:r>
          </w:p>
        </w:tc>
        <w:tc>
          <w:tcPr>
            <w:tcW w:type="dxa" w:w="1440"/>
            <w:shd w:fill="FFDCE0" w:val="clear"/>
          </w:tcPr>
          <w:p>
            <w:r>
              <w:rPr>
                <w:sz w:val="17"/>
              </w:rPr>
              <w:t>8,615</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6,674</w:t>
            </w:r>
          </w:p>
        </w:tc>
        <w:tc>
          <w:tcPr>
            <w:tcW w:type="dxa" w:w="1440"/>
            <w:shd w:fill="FFDCE0" w:val="clear"/>
          </w:tcPr>
          <w:p>
            <w:r>
              <w:rPr>
                <w:b/>
                <w:sz w:val="17"/>
              </w:rPr>
              <w:t>7,679</w:t>
            </w:r>
          </w:p>
        </w:tc>
        <w:tc>
          <w:tcPr>
            <w:tcW w:type="dxa" w:w="1440"/>
            <w:shd w:fill="FFDCE0" w:val="clear"/>
          </w:tcPr>
          <w:p>
            <w:r>
              <w:rPr>
                <w:sz w:val="17"/>
              </w:rPr>
              <w:t>8,684</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6,550</w:t>
            </w:r>
          </w:p>
        </w:tc>
        <w:tc>
          <w:tcPr>
            <w:tcW w:type="dxa" w:w="1440"/>
            <w:shd w:fill="FFDCE0" w:val="clear"/>
          </w:tcPr>
          <w:p>
            <w:r>
              <w:rPr>
                <w:b/>
                <w:sz w:val="17"/>
              </w:rPr>
              <w:t>7,646</w:t>
            </w:r>
          </w:p>
        </w:tc>
        <w:tc>
          <w:tcPr>
            <w:tcW w:type="dxa" w:w="1440"/>
            <w:shd w:fill="FFDCE0" w:val="clear"/>
          </w:tcPr>
          <w:p>
            <w:r>
              <w:rPr>
                <w:sz w:val="17"/>
              </w:rPr>
              <w:t>8,743</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6,436</w:t>
            </w:r>
          </w:p>
        </w:tc>
        <w:tc>
          <w:tcPr>
            <w:tcW w:type="dxa" w:w="1440"/>
            <w:shd w:fill="FFDCE0" w:val="clear"/>
          </w:tcPr>
          <w:p>
            <w:r>
              <w:rPr>
                <w:b/>
                <w:sz w:val="17"/>
              </w:rPr>
              <w:t>7,615</w:t>
            </w:r>
          </w:p>
        </w:tc>
        <w:tc>
          <w:tcPr>
            <w:tcW w:type="dxa" w:w="1440"/>
            <w:shd w:fill="FFDCE0" w:val="clear"/>
          </w:tcPr>
          <w:p>
            <w:r>
              <w:rPr>
                <w:sz w:val="17"/>
              </w:rPr>
              <w:t>8,794</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6,329</w:t>
            </w:r>
          </w:p>
        </w:tc>
        <w:tc>
          <w:tcPr>
            <w:tcW w:type="dxa" w:w="1440"/>
            <w:shd w:fill="FFDCE0" w:val="clear"/>
          </w:tcPr>
          <w:p>
            <w:r>
              <w:rPr>
                <w:b/>
                <w:sz w:val="17"/>
              </w:rPr>
              <w:t>7,585</w:t>
            </w:r>
          </w:p>
        </w:tc>
        <w:tc>
          <w:tcPr>
            <w:tcW w:type="dxa" w:w="1440"/>
            <w:shd w:fill="FFDCE0" w:val="clear"/>
          </w:tcPr>
          <w:p>
            <w:r>
              <w:rPr>
                <w:sz w:val="17"/>
              </w:rPr>
              <w:t>8,840</w:t>
            </w:r>
          </w:p>
        </w:tc>
        <w:tc>
          <w:tcPr>
            <w:tcW w:type="dxa" w:w="1440"/>
            <w:shd w:fill="FFDCE0" w:val="clear"/>
          </w:tcPr>
          <w:p>
            <w:r>
              <w:rPr>
                <w:b/>
                <w:color w:val="C00000"/>
                <w:sz w:val="17"/>
              </w:rPr>
              <w:t>-3.9%</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6,229</w:t>
            </w:r>
          </w:p>
        </w:tc>
        <w:tc>
          <w:tcPr>
            <w:tcW w:type="dxa" w:w="1440"/>
            <w:shd w:fill="FFDCE0" w:val="clear"/>
          </w:tcPr>
          <w:p>
            <w:r>
              <w:rPr>
                <w:b/>
                <w:sz w:val="17"/>
              </w:rPr>
              <w:t>7,555</w:t>
            </w:r>
          </w:p>
        </w:tc>
        <w:tc>
          <w:tcPr>
            <w:tcW w:type="dxa" w:w="1440"/>
            <w:shd w:fill="FFDCE0" w:val="clear"/>
          </w:tcPr>
          <w:p>
            <w:r>
              <w:rPr>
                <w:sz w:val="17"/>
              </w:rPr>
              <w:t>8,881</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6,133</w:t>
            </w:r>
          </w:p>
        </w:tc>
        <w:tc>
          <w:tcPr>
            <w:tcW w:type="dxa" w:w="1440"/>
            <w:shd w:fill="FFDCE0" w:val="clear"/>
          </w:tcPr>
          <w:p>
            <w:r>
              <w:rPr>
                <w:b/>
                <w:sz w:val="17"/>
              </w:rPr>
              <w:t>7,526</w:t>
            </w:r>
          </w:p>
        </w:tc>
        <w:tc>
          <w:tcPr>
            <w:tcW w:type="dxa" w:w="1440"/>
            <w:shd w:fill="FFDCE0" w:val="clear"/>
          </w:tcPr>
          <w:p>
            <w:r>
              <w:rPr>
                <w:sz w:val="17"/>
              </w:rPr>
              <w:t>8,919</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 (Hévéa / Caoutchouc naturel)*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201,65 milliards FCFA, SPHC figure parmi les valeurs de moyenne à grande capitalisation de la BRVM, ce qui lui confère une liquidité relative et une visibilité institutionnelle appréciables. Le BPA de 977 FCFA/action signifie que chaque titre génère près d'un millier de francs de bénéfice net, un niveau élevé qui traduit la forte rentabilité opérationnelle de l'exploitant hévéicole. Le PER de 8,1x situe le titre nettement en dessous de la moyenne BRVM (estimée entre 8x et 12x), suggérant une valorisation modérée voire une légère sous-évaluation au regard des bénéfices dégagés. Le P/B de 1,46x indique que le marché valorise l'action à environ une fois et demie sa valeur comptable, un niveau raisonnable qui n'intègre ni décote excessive ni prime spéculative. Enfin, l'EV/EBITDA de 5,1x, bien positionné dans la fourchette raisonnable de 5x-10x, montre que la valeur d'entreprise reste contenue par rapport à la capacité opérationnelle de génération de cash-flow, ce qui renforce le profil de valorisation attractif du dossier.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affiche une progression totale de +11,91%, malgré un repli de -1,31% lors de la dernière séance, portant le cours actuel à 7 890 FCFA. Le titre a évolué dans un range large de 6 850 FCFA (plus bas) à 10 300 FCFA (plus haut), soit une amplitude de plus de 50%, témoignant d'une forte volatilité intra-période. La tendance générale reste haussière sur la période, mais le cours actuel se situe à mi-chemin du range, signalant une phase de consolidation après le pic atteint. Les statistiques descriptives révèlent une moyenne de 7 857 FCFA légèrement supérieure à la médiane de 7 645 FCFA, avec un mode à 7 500 FCFA : cet écart confirme une distribution asymétrique positivement (skewness de 1,435), c'est-à-dire que le titre a passé davantage de séances sous sa moyenne, avec quelques pics haussiers marqués. L'écart-type de 771 FCFA et le coefficient de variation de 9,8% indiquent une dispersion modérée du cours autour de sa moyenne. Le kurtosis de 1,624 (leptokurtique) signale des queues épaisses, donc un risque accru de mouvements extrêmes (pics brutaux) qu'il convient d'anticiper. Enfin, la volatilité annualisée de 43,3% classe SPHC dans la catégorie des titres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(8 119,5 FCFA) et la MM50 (8 289,9 FCFA) se situent toutes deux au-dessus du cours actuel (7 890 FCFA), ce qui place le titre en position baissière par rapport à ses références de tendance. La MM20 étant inférieure à la MM50, on observe un croisement baissier (death cross) confirmant la pression vendeuse de court terme. La décision technique qui en résulte est logiquement **Vente**.</w:t>
      </w:r>
    </w:p>
    <w:p>
      <w:pPr>
        <w:spacing w:after="120" w:line="276" w:lineRule="auto"/>
      </w:pPr>
      <w:r>
        <w:t>**Bandes de Bollinger** : Le cours actuel (7 890 FCFA) évolue dans la partie basse de la bande, entre la borne inférieure (6 940,77 FCFA) et la borne supérieure (9 298,23 FCFA), sans franchissement des extrêmes. Cette position médiane-basse traduit une absence de signal directionnel fort, d'où la décision **Neutre**. L'écart entre les bornes reste large, confirmant la volatilité élevée déjà relevée.</w:t>
      </w:r>
    </w:p>
    <w:p>
      <w:pPr>
        <w:spacing w:after="120" w:line="276" w:lineRule="auto"/>
      </w:pPr>
      <w:r>
        <w:t>**MACD** : La valeur du MACD (-218,87) est inférieure à sa ligne de signal (-199,65), ce qui confirme un momentum baissier persistant. L'histogramme négatif indique que la pression vendeuse n'est pas encore résorbée, et la décision technique est **Vente**. Aucun signe de retournement haussier (croisement positif) n'est encore visible.</w:t>
      </w:r>
    </w:p>
    <w:p>
      <w:pPr>
        <w:spacing w:after="120" w:line="276" w:lineRule="auto"/>
      </w:pPr>
      <w:r>
        <w:t>**RSI** : À 40,05, le RSI se situe dans la zone neutre basse (30-70), sans atteindre la zone de survente (&lt;30). Cela signifie que le titre n'est ni suracheté ni survendu, mais que la dynamique reste légèrement défavorable. La décision est **Neutre**, avec une marge de baisse résiduelle avant un éventuel rebond technique.</w:t>
      </w:r>
    </w:p>
    <w:p>
      <w:pPr>
        <w:spacing w:after="120" w:line="276" w:lineRule="auto"/>
      </w:pPr>
      <w:r>
        <w:t>**Stochastique** : Le %K (57,35) et le %D (56,41) évoluent en zone médiane, avec un %K légèrement supérieur au %D, suggérant un très léger avantage haussier de court terme. Cependant, l'absence de croisement franc et la proximité des deux courbes justifient une décision **Neutre**, sans signal d'achat ou de vente clair.</w:t>
      </w:r>
    </w:p>
    <w:p>
      <w:pPr>
        <w:spacing w:after="120" w:line="276" w:lineRule="auto"/>
      </w:pPr>
      <w:r>
        <w:t>**Conclusion technique** : Les indicateurs techniques sont majoritairement baissiers (MM et MACD en décision de vente), tandis que les Bandes de Bollinger, le RSI et le Stochastique restent neutres. Cette configuration suggère une phase de consolidation baissière sans capitulation, avec un potentiel de rebond technique limité tant que le cours reste sous ses moyennes mobiles. La prudence est de mise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 milliards FCFA, en croissance de +21,97% par rapport à 2024 (279,44 milliards FCFA), portée par une hausse des volumes vendus et des prix moyens de vente du caoutchouc naturel. Le résultat net s'établit à 24,97 milliards FCFA, en progression de +32,9% sur un an, avec une marge nette de 7,33% (contre 6,7% en 2024). La rentabilité des fonds propres (ROE) atteint 18,10%, un niveau excellent (&gt;15%), et le ROA s'élève à 11,06%, confirmant l'efficacité de l'utilisation des actifs. La structure financière est solide : autonomie financière de 61,08%, ratio d'endettement maîtrisé à 25,81%, et couverture des intérêts par le résultat d'exploitation de 1 094,57%, ce qui traduit une capacité de remboursement confortable. Toutefois, deux points de vigilance émergent : une trésorerie nette négative de -15,41 milliards FCFA et un BFR de 65,39 milliards FCFA, avec des délais clients de 35 jours et une durée de stockage de 72,33 jours, ce qui immobilise du capital et pèse sur la liquidité. Le rapport du T1 2026 (publié en 2026) révèle un net ralentissement : le CA chute de -24% à 71,8 milliards FCFA et le résultat net s'effondre de -78% à 2,63 milliards FCFA, sous l'effet de la baisse des cours mondiaux du caoutchouc (SICOM 20 à 1,91 USD/kg), de l'engorgement du port de San Pedro et de la concurrence accrue pour l'approvisionnement en matière première. Sur la base de ce T1 2026, on peut estimer que l'exercice 2026 devrait afficher une contraction significative de la rentabilité par rapport à 2025, sauf redressement des cours au second semestre. La politique de dividende reste attractive, avec un DPA proposé de 489 FCFA brut par action (12,50 milliards FCFA au total), soit un taux de distribution de 50,1%, en hausse de 32,7% sur un an. La recommandation fondamentale est de **CONSERVER** le titre : la solidité du bilan et la générosité du dividende compensent partiellement la dégradation conjoncturelle, mais la dépendance aux cours mondiaux et la trésorerie négative imposent une surveillance active.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(Partie 0) apparaît modérée à attractive, avec un PER de 8,1x inférieur à la moyenne BRVM et un EV/EBITDA de 5,1x raisonnable, ce qui suggère une sous-évaluation relative au regard des bénéfices 2025. Cependant, le comportement du cours (Partie 1) révèle une volatilité élevée (43,3%) et une distribution leptokurtique avec skewness positive, indiquant un risque de pics baissiers brutaux malgré une tendance haussière sur 100 jours. Les signaux techniques (Partie 2) sont majoritairement baissiers (MM et MACD en vente), avec un RSI et un Stochastique neutres, ce qui ne plaide pas pour un rebond immédiat. Les fondamentaux (Partie 3) restent solides sur l'exercice 2025 (ROE de 18,1%, marge nette de 7,3%, endettement maîtrisé), mais le T1 2026 (CA -24%, résultat net -78%) annonce une dégradation marquée de la rentabilité, ce qui pourrait peser sur les prochains trimestres. Les prédictions IA (J+1 à J+10) anticipent une trajectoire baissière continue, de 7 784 FCFA à 7 646 FCFA, confirmant la pression vendeuse de court terme et contredisant un scénario de rebond technique immédiat. Sur la base de cette synthèse globale, la recommandation finale est **CONSERVER**, avec un niveau de confiance **Moyen** et un niveau de risque **Élevé**. L'horizon d'investissement optimal est le **moyen terme (3-12 mois)**, en attendant une clarification sur l'évolution des cours mondiaux du caoutchouc et une stabilisation de la trésorerie. Un passage à l'achat pourrait être envisagé si le titre se rapproche de la borne inférieure des Bandes de Bollinger (6 940 FCFA) avec un RSI en zone de survente, ou si les cours du caoutchouc se redressent durablement. À l'inverse, une vente serait justifiée en cas de cassure du support des 6 850 FCFA ou de dégradation supplémentaire des marges au T2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6,194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-19.17%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14.15% (Moyenne) — μ=2,865 FCFA, σ=405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β=0.0368 (Défensif) — Cov=0.000003, Var(idx)=0.000069, ρ=0.008,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1,918</w:t>
            </w:r>
          </w:p>
        </w:tc>
        <w:tc>
          <w:tcPr>
            <w:tcW w:type="dxa" w:w="1440"/>
            <w:shd w:fill="FAFAFA" w:val="clear"/>
          </w:tcPr>
          <w:p>
            <w:r>
              <w:rPr>
                <w:b/>
                <w:sz w:val="17"/>
              </w:rPr>
              <w:t>2,111</w:t>
            </w:r>
          </w:p>
        </w:tc>
        <w:tc>
          <w:tcPr>
            <w:tcW w:type="dxa" w:w="1440"/>
            <w:shd w:fill="FAFAFA" w:val="clear"/>
          </w:tcPr>
          <w:p>
            <w:r>
              <w:rPr>
                <w:sz w:val="17"/>
              </w:rPr>
              <w:t>2,303</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1,861</w:t>
            </w:r>
          </w:p>
        </w:tc>
        <w:tc>
          <w:tcPr>
            <w:tcW w:type="dxa" w:w="1440"/>
            <w:shd w:fill="FFDCE0" w:val="clear"/>
          </w:tcPr>
          <w:p>
            <w:r>
              <w:rPr>
                <w:b/>
                <w:sz w:val="17"/>
              </w:rPr>
              <w:t>2,095</w:t>
            </w:r>
          </w:p>
        </w:tc>
        <w:tc>
          <w:tcPr>
            <w:tcW w:type="dxa" w:w="1440"/>
            <w:shd w:fill="FFDCE0" w:val="clear"/>
          </w:tcPr>
          <w:p>
            <w:r>
              <w:rPr>
                <w:sz w:val="17"/>
              </w:rPr>
              <w:t>2,329</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1,820</w:t>
            </w:r>
          </w:p>
        </w:tc>
        <w:tc>
          <w:tcPr>
            <w:tcW w:type="dxa" w:w="1440"/>
            <w:shd w:fill="FFDCE0" w:val="clear"/>
          </w:tcPr>
          <w:p>
            <w:r>
              <w:rPr>
                <w:b/>
                <w:sz w:val="17"/>
              </w:rPr>
              <w:t>2,090</w:t>
            </w:r>
          </w:p>
        </w:tc>
        <w:tc>
          <w:tcPr>
            <w:tcW w:type="dxa" w:w="1440"/>
            <w:shd w:fill="FFDCE0" w:val="clear"/>
          </w:tcPr>
          <w:p>
            <w:r>
              <w:rPr>
                <w:sz w:val="17"/>
              </w:rPr>
              <w:t>2,360</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1,789</w:t>
            </w:r>
          </w:p>
        </w:tc>
        <w:tc>
          <w:tcPr>
            <w:tcW w:type="dxa" w:w="1440"/>
            <w:shd w:fill="FFDCE0" w:val="clear"/>
          </w:tcPr>
          <w:p>
            <w:r>
              <w:rPr>
                <w:b/>
                <w:sz w:val="17"/>
              </w:rPr>
              <w:t>2,090</w:t>
            </w:r>
          </w:p>
        </w:tc>
        <w:tc>
          <w:tcPr>
            <w:tcW w:type="dxa" w:w="1440"/>
            <w:shd w:fill="FFDCE0" w:val="clear"/>
          </w:tcPr>
          <w:p>
            <w:r>
              <w:rPr>
                <w:sz w:val="17"/>
              </w:rPr>
              <w:t>2,392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1,762</w:t>
            </w:r>
          </w:p>
        </w:tc>
        <w:tc>
          <w:tcPr>
            <w:tcW w:type="dxa" w:w="1440"/>
            <w:shd w:fill="FFDCE0" w:val="clear"/>
          </w:tcPr>
          <w:p>
            <w:r>
              <w:rPr>
                <w:b/>
                <w:sz w:val="17"/>
              </w:rPr>
              <w:t>2,093</w:t>
            </w:r>
          </w:p>
        </w:tc>
        <w:tc>
          <w:tcPr>
            <w:tcW w:type="dxa" w:w="1440"/>
            <w:shd w:fill="FFDCE0" w:val="clear"/>
          </w:tcPr>
          <w:p>
            <w:r>
              <w:rPr>
                <w:sz w:val="17"/>
              </w:rPr>
              <w:t>2,424</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1,739</w:t>
            </w:r>
          </w:p>
        </w:tc>
        <w:tc>
          <w:tcPr>
            <w:tcW w:type="dxa" w:w="1440"/>
            <w:shd w:fill="FFDCE0" w:val="clear"/>
          </w:tcPr>
          <w:p>
            <w:r>
              <w:rPr>
                <w:b/>
                <w:sz w:val="17"/>
              </w:rPr>
              <w:t>2,097</w:t>
            </w:r>
          </w:p>
        </w:tc>
        <w:tc>
          <w:tcPr>
            <w:tcW w:type="dxa" w:w="1440"/>
            <w:shd w:fill="FFDCE0" w:val="clear"/>
          </w:tcPr>
          <w:p>
            <w:r>
              <w:rPr>
                <w:sz w:val="17"/>
              </w:rPr>
              <w:t>2,455</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1,717</w:t>
            </w:r>
          </w:p>
        </w:tc>
        <w:tc>
          <w:tcPr>
            <w:tcW w:type="dxa" w:w="1440"/>
            <w:shd w:fill="FFDCE0" w:val="clear"/>
          </w:tcPr>
          <w:p>
            <w:r>
              <w:rPr>
                <w:b/>
                <w:sz w:val="17"/>
              </w:rPr>
              <w:t>2,101</w:t>
            </w:r>
          </w:p>
        </w:tc>
        <w:tc>
          <w:tcPr>
            <w:tcW w:type="dxa" w:w="1440"/>
            <w:shd w:fill="FFDCE0" w:val="clear"/>
          </w:tcPr>
          <w:p>
            <w:r>
              <w:rPr>
                <w:sz w:val="17"/>
              </w:rPr>
              <w:t>2,484</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1,697</w:t>
            </w:r>
          </w:p>
        </w:tc>
        <w:tc>
          <w:tcPr>
            <w:tcW w:type="dxa" w:w="1440"/>
            <w:shd w:fill="FFDCE0" w:val="clear"/>
          </w:tcPr>
          <w:p>
            <w:r>
              <w:rPr>
                <w:b/>
                <w:sz w:val="17"/>
              </w:rPr>
              <w:t>2,104</w:t>
            </w:r>
          </w:p>
        </w:tc>
        <w:tc>
          <w:tcPr>
            <w:tcW w:type="dxa" w:w="1440"/>
            <w:shd w:fill="FFDCE0" w:val="clear"/>
          </w:tcPr>
          <w:p>
            <w:r>
              <w:rPr>
                <w:sz w:val="17"/>
              </w:rPr>
              <w:t>2,512</w:t>
            </w:r>
          </w:p>
        </w:tc>
        <w:tc>
          <w:tcPr>
            <w:tcW w:type="dxa" w:w="1440"/>
            <w:shd w:fill="FFDCE0" w:val="clear"/>
          </w:tcPr>
          <w:p>
            <w:r>
              <w:rPr>
                <w:b/>
                <w:color w:val="C00000"/>
                <w:sz w:val="17"/>
              </w:rPr>
              <w:t>-2.1%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1,678</w:t>
            </w:r>
          </w:p>
        </w:tc>
        <w:tc>
          <w:tcPr>
            <w:tcW w:type="dxa" w:w="1440"/>
            <w:shd w:fill="FAFAFA" w:val="clear"/>
          </w:tcPr>
          <w:p>
            <w:r>
              <w:rPr>
                <w:b/>
                <w:sz w:val="17"/>
              </w:rPr>
              <w:t>2,108</w:t>
            </w:r>
          </w:p>
        </w:tc>
        <w:tc>
          <w:tcPr>
            <w:tcW w:type="dxa" w:w="1440"/>
            <w:shd w:fill="FAFAFA" w:val="clear"/>
          </w:tcPr>
          <w:p>
            <w:r>
              <w:rPr>
                <w:sz w:val="17"/>
              </w:rPr>
              <w:t>2,538</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 RAPPORT D'ANALYSE FINANCIÈRE — STAC (SETAO)</w:t>
        <w:br/>
        <w:t>**Bourse Régionale des Valeurs Mobilières (BRVM) — Secteur : BTP / Études &amp; Travaux**</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**28,90 Mds FCFA**, STAC se situe dans la fourchette basse des valeurs cotées à la BRVM, ce qui traduit une société de taille modeste dont la liquidité reste limitée. Le **BPA s'établit à -7 FCFA/action**, confirmant que chaque action détruit de la valeur comptable plutôt qu'elle n'en génère, ce qui rend le **PER de -299,3x** non significatif en soi : un PER négatif signale simplement une société déficitaire, et non une opportunité de sous-évaluation. Le **P/B de 81,00x** constitue en revanche un signal d'alerte majeur : le marché valorise l'action à 81 fois sa valeur comptable, alors que le seuil de prudence généralement admis est de 4x — cette prime exorbitante s'explique par des capitaux propres résiduels très faibles (356,75 M FCFA) face à une capitalisation de 28,90 Mds FCFA, ce qui rend le titre extrêmement vulnérable à toute correction. En l'absence d'EBITDA positif (EBE de -650,13 M FCFA en 2025), le ratio EV/EBITDA n'est pas calculable et n'aurait pas de sens économique ; l'investisseur doit donc retenir que la valorisation boursière de STAC repose aujourd'hui sur des anticipations de retournement et non sur des fondamentaux tangibles.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affiche une **variation totale de -19,17%**, avec une chute brutale de **-6,52% sur la seule séance J-1**, ce qui témoigne d'une pression vendeuse récente et d'un sentiment de marché très dégradé. Le cours actuel de **2 150 FCFA** se situe dans le bas de la fourchette de trading, le plus haut ayant atteint **3 640 FCFA** et le plus bas **2 085 FCFA**, soit un range de plus de 1 500 FCFA qui illustre une forte amplitude. La tendance générale est clairement **baissière**, le cours évoluant sous sa moyenne (2 865 FCFA) et proche de son plancher récent. Les statistiques descriptives révèlent une **moyenne de 2 865 FCFA** légèrement supérieure à la **médiane de 2 808 FCFA**, signe d'une asymétrie positive modérée (skewness de 0,236, distribution quasi symétrique) : les pics haussiers passés tirent la moyenne vers le haut, mais le cours actuel est nettement en dessous des deux. L'**écart-type de 407 FCFA** avec un **CV de 14,2%** indique une dispersion modérée du cours autour de sa moyenne, tandis que le **kurtosis de -0,760 (mésokurtique)** suggère une distribution proche de la normale, sans risque extrême de pics brutaux — ce qui est rassurant mais n'empêche pas la tendance baissière. Enfin, la **volatilité annualisée de 61,6%** classe STAC dans la catégorie des titres à **volatilité élevée (&gt;30%)**, ce qui implique un risque important pour tout investisseur et justifie une taille de position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(2 361 FCFA) et la MM50 (2 566,8 FCFA) se situent toutes deux au-dessus du cours actuel (2 150 FCFA), avec la MM20 sous la MM50 — configuration baissière classique. Le cours évoluant sous ses deux moyennes, la pression vendeuse est confirmée et la **décision technique est "Vente"**, les vendeurs gardant la main tant que le cours ne réintègre pas la MM20.</w:t>
      </w:r>
    </w:p>
    <w:p>
      <w:pPr>
        <w:spacing w:after="120" w:line="276" w:lineRule="auto"/>
      </w:pPr>
      <w:r>
        <w:t>**Bandes de Bollinger** : Le cours (2 150 FCFA) se situe dans la moitié basse du canal, entre la borne inférieure (1 993,22 FCFA) et la borne supérieure (2 728,78 FCFA), sans franchissement de seuil. La largeur des bandes reflète la volatilité élevée du titre, et la **décision "Neutre"** indique l'absence de signal directionnel fort — le cours pourrait osciller avant de choisir une direction.</w:t>
      </w:r>
    </w:p>
    <w:p>
      <w:pPr>
        <w:spacing w:after="120" w:line="276" w:lineRule="auto"/>
      </w:pPr>
      <w:r>
        <w:t>**MACD** : Le MACD (-121,99) est légèrement au-dessus de son signal (-125,65), formant un croisement haussier naissant malgré des valeurs négatives. Ce **momentum positif émergent** justifie la **décision "Achat"**, mais la faiblesse de l'écart entre les deux lignes invite à la prudence : le signal reste fragile et pourrait s'inverser.</w:t>
      </w:r>
    </w:p>
    <w:p>
      <w:pPr>
        <w:spacing w:after="120" w:line="276" w:lineRule="auto"/>
      </w:pPr>
      <w:r>
        <w:t>**RSI** : À **34,08**, le RSI se situe juste au-dessus du seuil de survente (30), en zone neutre basse. Le titre n'est pas encore techniquement survendu, mais s'en approche, ce qui justifie la **décision "Neutre"** — un rebond technique est possible mais non confirmé.</w:t>
      </w:r>
    </w:p>
    <w:p>
      <w:pPr>
        <w:spacing w:after="120" w:line="276" w:lineRule="auto"/>
      </w:pPr>
      <w:r>
        <w:t>**Stochastique** : Le %K (13,83) est très bas et inférieur au %D (39,10), signalant une position de survente marquée. Le **croisement potentiel à venir** et la **décision "Achat"** suggèrent qu'un rebond technique à court terme est envisageable, mais le contexte baissier global limite sa portée.</w:t>
      </w:r>
    </w:p>
    <w:p>
      <w:pPr>
        <w:spacing w:after="120" w:line="276" w:lineRule="auto"/>
      </w:pPr>
      <w:r>
        <w:t>**Conclusion technique** : Les indicateurs sont **divergents** — les moyennes mobiles confirment la tendance baissière, tandis que le MACD et le stochastique émettent des signaux d'achat contrariants, et le RSI/Bollinger restent neutres. Cette configuration typique d'un **creux technique potentiel** suggère qu'un rebond de court terme est possible, mais la structure de fond reste négative et aucun signal fort ne permet de valider un retournement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affiche un **chiffre d'affaires de 3,878 Mds FCFA**, en **croissance spectaculaire de +116,26%**, portée par la reprise des travaux de l'aéroport d'Abidjan. Cependant, cette dynamique commerciale ne se traduit pas en rentabilité : le **résultat net reste négatif à -96,56 M FCFA**, avec une **marge nette de -2,49%** et une **marge opérationnelle de -19,90%**. Le **ROE s'établit à -27,07%** et le **ROA à -1,77%**, confirmant une destruction de valeur persistante. La structure financière est **très fragile** : l'**autonomie financière n'est que de 6,55%** (seuil sain &gt;30%), le **ratio d'endettement atteint 93,45%** et la **capacité de remboursement est de 77,53 années** — un niveau alarmant. Point positif : le **BFR est négatif (-930,47 M FCFA)**, ce qui est favorable pour une entreprise (financement par les clients/fournisseurs), et la **trésorerie nette de 1,330 Md FCFA** offre un coussin de sécurité, bien que le **flux opérationnel de -2,212 Mds FCFA** montre que cette trésorerie est consommée par l'exploitation.</w:t>
      </w:r>
    </w:p>
    <w:p>
      <w:pPr>
        <w:spacing w:after="120" w:line="276" w:lineRule="auto"/>
      </w:pPr>
      <w:r>
        <w:t>**Estimations basées sur les rapports trimestriels** : Le **rapport 9 mois 2025 (30/09/2025)** indique un CA cumulé de 3 456 M FCFA (+176%) et une perte nette réduite de 22% à -477 M FCFA, avec une direction tablant sur 4 Mds FCFA de CA annuel. Le **rapport S1 2025 (30/06/2025)** confirmait déjà cette tendance (CA de 2 271 M FCFA, +290%, perte de -557 M FCFA). On peut donc **estimer** que l'exercice 2025 devrait se solder par une perte nette annuelle autour de -100 M FCFA (cohérent avec le résultat net réel de -96,56 M FCFA), avec une amélioration progressive mais insuffisante pour atteindre la rentabilité. Les **rapports antérieurs (2024, 2021)** montrent une **volatilité extrême** : après un exercice 2020 exceptionnel (CA de 15,9 Mds FCFA, résultat net de 2,32 Mds FCFA, marge nette de 14,6%), la société a plongé en 2024 (CA de 1,79 Md FCFA, perte de -348 M FCFA), illustrant une **dépendance critique à quelques grands contrats** et une absence de récurrence.</w:t>
      </w:r>
    </w:p>
    <w:p>
      <w:pPr>
        <w:spacing w:after="120" w:line="276" w:lineRule="auto"/>
      </w:pPr>
      <w:r>
        <w:t>**Recommandation fondamentale** : STAC présente un **profil de risque très élevé** — la société est structurellement déficitaire, sous-capitalisée (capitaux propres de 356,75 M FCFA pour 5,447 Mds FCFA d'actifs), et dépendante d'un seul projet (aéroport d'Abidjan). Le retour à la rentabilité reste incertain et conditionné à la signature de nouveaux contrats. **La solidité financière est faible, les risques sont majeurs, et les perspectives à moyen terme demeurent spéculatives.**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**Valorisation (Partie 0)** : le P/B de 81x et le PER négatif indiquent une **surévaluation manifeste** par rapport aux fondamentaux, le marché anticipant un retournement qui tarde à se matérialiser. **Comportement du cours (Partie 1)** : la tendance baissière (-19,17%), la volatilité élevée (61,6%) et la chute de -6,52% en J-1 sont **défavorables**, bien que le kurtosis mésokurtique et le skewness symétrique n'annoncent pas de krach imminent. **Signaux techniques (Partie 2)** : ils sont **divergents** — baissiers pour les MM, haussiers pour le MACD et le stochastique, neutres pour le RSI et Bollinger — ce qui suggère un possible rebond technique de court terme, mais sans confirmation d'un retournement durable. **Fondamentaux (Partie 3)** : la société reste **déficitaire et sous-capitalisée**, avec un ROE de -27,07% et une autonomie financière de 6,55%, même si la croissance du CA (+116%) et le BFR négatif constituent des points d'amélioration. **Prédictions IA (J+1 à J+10)** : la trajectoire projetée (2 111 → 2 093 FCFA) **confirme la tendance baissière** et contredit les signaux d'achat techniques à court terme.</w:t>
      </w:r>
    </w:p>
    <w:p>
      <w:pPr>
        <w:spacing w:after="120" w:line="276" w:lineRule="auto"/>
      </w:pPr>
      <w:r>
        <w:t>**Recommandation finale : VENTE** — La convergence entre la surévaluation boursière, la tendance baissière confirmée par les prédictions IA, et la fragilité fondamentale (pertes récurrentes, endettement massif, dépendance à un projet unique) l'emporte sur les signaux techniques haussiers isolés. **Niveau de confiance : Moyen** (les signaux techniques divergents introduisent une incertitude). **Niveau de risque global : Élevé** (volatilité de 61,6%, structure financière dégradée, absence de dividendes). **Horizon d'investissement recommandé : Court terme (&lt;3 mois)** pour les investisseurs déjà positionnés souhaitant limiter leurs pertes ; les investisseurs à long terme devraient attendre des preuves tangibles de retour à la rentabilité (nouveaux contrats, amélioration du ROE) avant d'envisager une 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3,650 titres</w:t>
            </w:r>
          </w:p>
        </w:tc>
        <w:tc>
          <w:tcPr>
            <w:tcW w:type="dxa" w:w="2268"/>
            <w:shd w:fill="FFF2CC" w:val="clear"/>
          </w:tcPr>
          <w:p>
            <w:r>
              <w:rPr>
                <w:b/>
                <w:color w:val="503200"/>
                <w:sz w:val="16"/>
              </w:rPr>
              <w:t xml:space="preserve">Cours actuel : </w:t>
            </w:r>
            <w:r>
              <w:rPr>
                <w:color w:val="000000"/>
                <w:sz w:val="17"/>
              </w:rPr>
              <w:t>21,970 FCFA</w:t>
            </w:r>
          </w:p>
          <w:p>
            <w:r>
              <w:rPr>
                <w:b/>
                <w:color w:val="503200"/>
                <w:sz w:val="16"/>
              </w:rPr>
              <w:t xml:space="preserve">Var. 100 jours : </w:t>
            </w:r>
            <w:r>
              <w:rPr>
                <w:b/>
                <w:color w:val="007800"/>
                <w:sz w:val="17"/>
              </w:rPr>
              <w:t>+2.19%</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5.03% (Moyenne) — μ=22,544 FCFA, σ=1,134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β=0.4518 (Défensif) — Cov=0.000031, Var(idx)=0.000069, ρ=0.160,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2026-10-05</w:t>
            </w:r>
          </w:p>
        </w:tc>
        <w:tc>
          <w:tcPr>
            <w:tcW w:type="dxa" w:w="1440"/>
            <w:shd w:fill="C6EFCE" w:val="clear"/>
          </w:tcPr>
          <w:p>
            <w:r>
              <w:rPr>
                <w:sz w:val="17"/>
              </w:rPr>
              <w:t>21,731</w:t>
            </w:r>
          </w:p>
        </w:tc>
        <w:tc>
          <w:tcPr>
            <w:tcW w:type="dxa" w:w="1440"/>
            <w:shd w:fill="C6EFCE" w:val="clear"/>
          </w:tcPr>
          <w:p>
            <w:r>
              <w:rPr>
                <w:b/>
                <w:sz w:val="17"/>
              </w:rPr>
              <w:t>23,067</w:t>
            </w:r>
          </w:p>
        </w:tc>
        <w:tc>
          <w:tcPr>
            <w:tcW w:type="dxa" w:w="1440"/>
            <w:shd w:fill="C6EFCE" w:val="clear"/>
          </w:tcPr>
          <w:p>
            <w:r>
              <w:rPr>
                <w:sz w:val="17"/>
              </w:rPr>
              <w:t>24,403</w:t>
            </w:r>
          </w:p>
        </w:tc>
        <w:tc>
          <w:tcPr>
            <w:tcW w:type="dxa" w:w="1440"/>
            <w:shd w:fill="C6EFCE" w:val="clear"/>
          </w:tcPr>
          <w:p>
            <w:r>
              <w:rPr>
                <w:b/>
                <w:color w:val="008000"/>
                <w:sz w:val="17"/>
              </w:rPr>
              <w:t>+5.0%</w:t>
            </w:r>
          </w:p>
        </w:tc>
      </w:tr>
      <w:tr>
        <w:tc>
          <w:tcPr>
            <w:tcW w:type="dxa" w:w="1440"/>
            <w:shd w:fill="C6EFCE" w:val="clear"/>
          </w:tcPr>
          <w:p>
            <w:r>
              <w:rPr>
                <w:sz w:val="17"/>
              </w:rPr>
              <w:t>J+2  ⭐</w:t>
            </w:r>
          </w:p>
        </w:tc>
        <w:tc>
          <w:tcPr>
            <w:tcW w:type="dxa" w:w="1440"/>
            <w:shd w:fill="C6EFCE" w:val="clear"/>
          </w:tcPr>
          <w:p>
            <w:r>
              <w:rPr>
                <w:sz w:val="17"/>
              </w:rPr>
              <w:t>2026-10-06</w:t>
            </w:r>
          </w:p>
        </w:tc>
        <w:tc>
          <w:tcPr>
            <w:tcW w:type="dxa" w:w="1440"/>
            <w:shd w:fill="C6EFCE" w:val="clear"/>
          </w:tcPr>
          <w:p>
            <w:r>
              <w:rPr>
                <w:sz w:val="17"/>
              </w:rPr>
              <w:t>21,711</w:t>
            </w:r>
          </w:p>
        </w:tc>
        <w:tc>
          <w:tcPr>
            <w:tcW w:type="dxa" w:w="1440"/>
            <w:shd w:fill="C6EFCE" w:val="clear"/>
          </w:tcPr>
          <w:p>
            <w:r>
              <w:rPr>
                <w:b/>
                <w:sz w:val="17"/>
              </w:rPr>
              <w:t>23,369</w:t>
            </w:r>
          </w:p>
        </w:tc>
        <w:tc>
          <w:tcPr>
            <w:tcW w:type="dxa" w:w="1440"/>
            <w:shd w:fill="C6EFCE" w:val="clear"/>
          </w:tcPr>
          <w:p>
            <w:r>
              <w:rPr>
                <w:sz w:val="17"/>
              </w:rPr>
              <w:t>25,027</w:t>
            </w:r>
          </w:p>
        </w:tc>
        <w:tc>
          <w:tcPr>
            <w:tcW w:type="dxa" w:w="1440"/>
            <w:shd w:fill="C6EFCE" w:val="clear"/>
          </w:tcPr>
          <w:p>
            <w:r>
              <w:rPr>
                <w:b/>
                <w:color w:val="008000"/>
                <w:sz w:val="17"/>
              </w:rPr>
              <w:t>+6.4%</w:t>
            </w:r>
          </w:p>
        </w:tc>
      </w:tr>
      <w:tr>
        <w:tc>
          <w:tcPr>
            <w:tcW w:type="dxa" w:w="1440"/>
            <w:shd w:fill="C6EFCE" w:val="clear"/>
          </w:tcPr>
          <w:p>
            <w:r>
              <w:rPr>
                <w:sz w:val="17"/>
              </w:rPr>
              <w:t>J+3  ⭐</w:t>
            </w:r>
          </w:p>
        </w:tc>
        <w:tc>
          <w:tcPr>
            <w:tcW w:type="dxa" w:w="1440"/>
            <w:shd w:fill="C6EFCE" w:val="clear"/>
          </w:tcPr>
          <w:p>
            <w:r>
              <w:rPr>
                <w:sz w:val="17"/>
              </w:rPr>
              <w:t>2026-10-07</w:t>
            </w:r>
          </w:p>
        </w:tc>
        <w:tc>
          <w:tcPr>
            <w:tcW w:type="dxa" w:w="1440"/>
            <w:shd w:fill="C6EFCE" w:val="clear"/>
          </w:tcPr>
          <w:p>
            <w:r>
              <w:rPr>
                <w:sz w:val="17"/>
              </w:rPr>
              <w:t>21,693</w:t>
            </w:r>
          </w:p>
        </w:tc>
        <w:tc>
          <w:tcPr>
            <w:tcW w:type="dxa" w:w="1440"/>
            <w:shd w:fill="C6EFCE" w:val="clear"/>
          </w:tcPr>
          <w:p>
            <w:r>
              <w:rPr>
                <w:b/>
                <w:sz w:val="17"/>
              </w:rPr>
              <w:t>23,628</w:t>
            </w:r>
          </w:p>
        </w:tc>
        <w:tc>
          <w:tcPr>
            <w:tcW w:type="dxa" w:w="1440"/>
            <w:shd w:fill="C6EFCE" w:val="clear"/>
          </w:tcPr>
          <w:p>
            <w:r>
              <w:rPr>
                <w:sz w:val="17"/>
              </w:rPr>
              <w:t>25,564</w:t>
            </w:r>
          </w:p>
        </w:tc>
        <w:tc>
          <w:tcPr>
            <w:tcW w:type="dxa" w:w="1440"/>
            <w:shd w:fill="C6EFCE" w:val="clear"/>
          </w:tcPr>
          <w:p>
            <w:r>
              <w:rPr>
                <w:b/>
                <w:color w:val="008000"/>
                <w:sz w:val="17"/>
              </w:rPr>
              <w:t>+7.5%</w:t>
            </w:r>
          </w:p>
        </w:tc>
      </w:tr>
      <w:tr>
        <w:tc>
          <w:tcPr>
            <w:tcW w:type="dxa" w:w="1440"/>
            <w:shd w:fill="C6EFCE" w:val="clear"/>
          </w:tcPr>
          <w:p>
            <w:r>
              <w:rPr>
                <w:sz w:val="17"/>
              </w:rPr>
              <w:t>J+4  ⭐</w:t>
            </w:r>
          </w:p>
        </w:tc>
        <w:tc>
          <w:tcPr>
            <w:tcW w:type="dxa" w:w="1440"/>
            <w:shd w:fill="C6EFCE" w:val="clear"/>
          </w:tcPr>
          <w:p>
            <w:r>
              <w:rPr>
                <w:sz w:val="17"/>
              </w:rPr>
              <w:t>2026-10-08</w:t>
            </w:r>
          </w:p>
        </w:tc>
        <w:tc>
          <w:tcPr>
            <w:tcW w:type="dxa" w:w="1440"/>
            <w:shd w:fill="C6EFCE" w:val="clear"/>
          </w:tcPr>
          <w:p>
            <w:r>
              <w:rPr>
                <w:sz w:val="17"/>
              </w:rPr>
              <w:t>21,629</w:t>
            </w:r>
          </w:p>
        </w:tc>
        <w:tc>
          <w:tcPr>
            <w:tcW w:type="dxa" w:w="1440"/>
            <w:shd w:fill="C6EFCE" w:val="clear"/>
          </w:tcPr>
          <w:p>
            <w:r>
              <w:rPr>
                <w:b/>
                <w:sz w:val="17"/>
              </w:rPr>
              <w:t>23,810</w:t>
            </w:r>
          </w:p>
        </w:tc>
        <w:tc>
          <w:tcPr>
            <w:tcW w:type="dxa" w:w="1440"/>
            <w:shd w:fill="C6EFCE" w:val="clear"/>
          </w:tcPr>
          <w:p>
            <w:r>
              <w:rPr>
                <w:sz w:val="17"/>
              </w:rPr>
              <w:t>25,991</w:t>
            </w:r>
          </w:p>
        </w:tc>
        <w:tc>
          <w:tcPr>
            <w:tcW w:type="dxa" w:w="1440"/>
            <w:shd w:fill="C6EFCE" w:val="clear"/>
          </w:tcPr>
          <w:p>
            <w:r>
              <w:rPr>
                <w:b/>
                <w:color w:val="008000"/>
                <w:sz w:val="17"/>
              </w:rPr>
              <w:t>+8.4%</w:t>
            </w:r>
          </w:p>
        </w:tc>
      </w:tr>
      <w:tr>
        <w:tc>
          <w:tcPr>
            <w:tcW w:type="dxa" w:w="1440"/>
            <w:shd w:fill="C6EFCE" w:val="clear"/>
          </w:tcPr>
          <w:p>
            <w:r>
              <w:rPr>
                <w:sz w:val="17"/>
              </w:rPr>
              <w:t>J+5  ⭐</w:t>
            </w:r>
          </w:p>
        </w:tc>
        <w:tc>
          <w:tcPr>
            <w:tcW w:type="dxa" w:w="1440"/>
            <w:shd w:fill="C6EFCE" w:val="clear"/>
          </w:tcPr>
          <w:p>
            <w:r>
              <w:rPr>
                <w:sz w:val="17"/>
              </w:rPr>
              <w:t>2026-10-09</w:t>
            </w:r>
          </w:p>
        </w:tc>
        <w:tc>
          <w:tcPr>
            <w:tcW w:type="dxa" w:w="1440"/>
            <w:shd w:fill="C6EFCE" w:val="clear"/>
          </w:tcPr>
          <w:p>
            <w:r>
              <w:rPr>
                <w:sz w:val="17"/>
              </w:rPr>
              <w:t>21,508</w:t>
            </w:r>
          </w:p>
        </w:tc>
        <w:tc>
          <w:tcPr>
            <w:tcW w:type="dxa" w:w="1440"/>
            <w:shd w:fill="C6EFCE" w:val="clear"/>
          </w:tcPr>
          <w:p>
            <w:r>
              <w:rPr>
                <w:b/>
                <w:sz w:val="17"/>
              </w:rPr>
              <w:t>23,907</w:t>
            </w:r>
          </w:p>
        </w:tc>
        <w:tc>
          <w:tcPr>
            <w:tcW w:type="dxa" w:w="1440"/>
            <w:shd w:fill="C6EFCE" w:val="clear"/>
          </w:tcPr>
          <w:p>
            <w:r>
              <w:rPr>
                <w:sz w:val="17"/>
              </w:rPr>
              <w:t>26,305</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2026-10-12</w:t>
            </w:r>
          </w:p>
        </w:tc>
        <w:tc>
          <w:tcPr>
            <w:tcW w:type="dxa" w:w="1440"/>
            <w:shd w:fill="C6EFCE" w:val="clear"/>
          </w:tcPr>
          <w:p>
            <w:r>
              <w:rPr>
                <w:sz w:val="17"/>
              </w:rPr>
              <w:t>21,437</w:t>
            </w:r>
          </w:p>
        </w:tc>
        <w:tc>
          <w:tcPr>
            <w:tcW w:type="dxa" w:w="1440"/>
            <w:shd w:fill="C6EFCE" w:val="clear"/>
          </w:tcPr>
          <w:p>
            <w:r>
              <w:rPr>
                <w:b/>
                <w:sz w:val="17"/>
              </w:rPr>
              <w:t>24,042</w:t>
            </w:r>
          </w:p>
        </w:tc>
        <w:tc>
          <w:tcPr>
            <w:tcW w:type="dxa" w:w="1440"/>
            <w:shd w:fill="C6EFCE" w:val="clear"/>
          </w:tcPr>
          <w:p>
            <w:r>
              <w:rPr>
                <w:sz w:val="17"/>
              </w:rPr>
              <w:t>26,647</w:t>
            </w:r>
          </w:p>
        </w:tc>
        <w:tc>
          <w:tcPr>
            <w:tcW w:type="dxa" w:w="1440"/>
            <w:shd w:fill="C6EFCE" w:val="clear"/>
          </w:tcPr>
          <w:p>
            <w:r>
              <w:rPr>
                <w:b/>
                <w:color w:val="008000"/>
                <w:sz w:val="17"/>
              </w:rPr>
              <w:t>+9.4%</w:t>
            </w:r>
          </w:p>
        </w:tc>
      </w:tr>
      <w:tr>
        <w:tc>
          <w:tcPr>
            <w:tcW w:type="dxa" w:w="1440"/>
            <w:shd w:fill="C6EFCE" w:val="clear"/>
          </w:tcPr>
          <w:p>
            <w:r>
              <w:rPr>
                <w:sz w:val="17"/>
              </w:rPr>
              <w:t>J+7  ⭐</w:t>
            </w:r>
          </w:p>
        </w:tc>
        <w:tc>
          <w:tcPr>
            <w:tcW w:type="dxa" w:w="1440"/>
            <w:shd w:fill="C6EFCE" w:val="clear"/>
          </w:tcPr>
          <w:p>
            <w:r>
              <w:rPr>
                <w:sz w:val="17"/>
              </w:rPr>
              <w:t>2026-10-13</w:t>
            </w:r>
          </w:p>
        </w:tc>
        <w:tc>
          <w:tcPr>
            <w:tcW w:type="dxa" w:w="1440"/>
            <w:shd w:fill="C6EFCE" w:val="clear"/>
          </w:tcPr>
          <w:p>
            <w:r>
              <w:rPr>
                <w:sz w:val="17"/>
              </w:rPr>
              <w:t>21,449</w:t>
            </w:r>
          </w:p>
        </w:tc>
        <w:tc>
          <w:tcPr>
            <w:tcW w:type="dxa" w:w="1440"/>
            <w:shd w:fill="C6EFCE" w:val="clear"/>
          </w:tcPr>
          <w:p>
            <w:r>
              <w:rPr>
                <w:b/>
                <w:sz w:val="17"/>
              </w:rPr>
              <w:t>24,259</w:t>
            </w:r>
          </w:p>
        </w:tc>
        <w:tc>
          <w:tcPr>
            <w:tcW w:type="dxa" w:w="1440"/>
            <w:shd w:fill="C6EFCE" w:val="clear"/>
          </w:tcPr>
          <w:p>
            <w:r>
              <w:rPr>
                <w:sz w:val="17"/>
              </w:rPr>
              <w:t>27,070</w:t>
            </w:r>
          </w:p>
        </w:tc>
        <w:tc>
          <w:tcPr>
            <w:tcW w:type="dxa" w:w="1440"/>
            <w:shd w:fill="C6EFCE" w:val="clear"/>
          </w:tcPr>
          <w:p>
            <w:r>
              <w:rPr>
                <w:b/>
                <w:color w:val="008000"/>
                <w:sz w:val="17"/>
              </w:rPr>
              <w:t>+10.4%</w:t>
            </w:r>
          </w:p>
        </w:tc>
      </w:tr>
      <w:tr>
        <w:tc>
          <w:tcPr>
            <w:tcW w:type="dxa" w:w="1440"/>
            <w:shd w:fill="C6EFCE" w:val="clear"/>
          </w:tcPr>
          <w:p>
            <w:r>
              <w:rPr>
                <w:sz w:val="17"/>
              </w:rPr>
              <w:t>J+8  ⭐</w:t>
            </w:r>
          </w:p>
        </w:tc>
        <w:tc>
          <w:tcPr>
            <w:tcW w:type="dxa" w:w="1440"/>
            <w:shd w:fill="C6EFCE" w:val="clear"/>
          </w:tcPr>
          <w:p>
            <w:r>
              <w:rPr>
                <w:sz w:val="17"/>
              </w:rPr>
              <w:t>2026-10-14</w:t>
            </w:r>
          </w:p>
        </w:tc>
        <w:tc>
          <w:tcPr>
            <w:tcW w:type="dxa" w:w="1440"/>
            <w:shd w:fill="C6EFCE" w:val="clear"/>
          </w:tcPr>
          <w:p>
            <w:r>
              <w:rPr>
                <w:sz w:val="17"/>
              </w:rPr>
              <w:t>21,369</w:t>
            </w:r>
          </w:p>
        </w:tc>
        <w:tc>
          <w:tcPr>
            <w:tcW w:type="dxa" w:w="1440"/>
            <w:shd w:fill="C6EFCE" w:val="clear"/>
          </w:tcPr>
          <w:p>
            <w:r>
              <w:rPr>
                <w:b/>
                <w:sz w:val="17"/>
              </w:rPr>
              <w:t>24,363</w:t>
            </w:r>
          </w:p>
        </w:tc>
        <w:tc>
          <w:tcPr>
            <w:tcW w:type="dxa" w:w="1440"/>
            <w:shd w:fill="C6EFCE" w:val="clear"/>
          </w:tcPr>
          <w:p>
            <w:r>
              <w:rPr>
                <w:sz w:val="17"/>
              </w:rPr>
              <w:t>27,356</w:t>
            </w:r>
          </w:p>
        </w:tc>
        <w:tc>
          <w:tcPr>
            <w:tcW w:type="dxa" w:w="1440"/>
            <w:shd w:fill="C6EFCE" w:val="clear"/>
          </w:tcPr>
          <w:p>
            <w:r>
              <w:rPr>
                <w:b/>
                <w:color w:val="008000"/>
                <w:sz w:val="17"/>
              </w:rPr>
              <w:t>+10.9%</w:t>
            </w:r>
          </w:p>
        </w:tc>
      </w:tr>
      <w:tr>
        <w:tc>
          <w:tcPr>
            <w:tcW w:type="dxa" w:w="1440"/>
            <w:shd w:fill="C6EFCE" w:val="clear"/>
          </w:tcPr>
          <w:p>
            <w:r>
              <w:rPr>
                <w:sz w:val="17"/>
              </w:rPr>
              <w:t>J+9  ⭐</w:t>
            </w:r>
          </w:p>
        </w:tc>
        <w:tc>
          <w:tcPr>
            <w:tcW w:type="dxa" w:w="1440"/>
            <w:shd w:fill="C6EFCE" w:val="clear"/>
          </w:tcPr>
          <w:p>
            <w:r>
              <w:rPr>
                <w:sz w:val="17"/>
              </w:rPr>
              <w:t>2026-10-15</w:t>
            </w:r>
          </w:p>
        </w:tc>
        <w:tc>
          <w:tcPr>
            <w:tcW w:type="dxa" w:w="1440"/>
            <w:shd w:fill="C6EFCE" w:val="clear"/>
          </w:tcPr>
          <w:p>
            <w:r>
              <w:rPr>
                <w:sz w:val="17"/>
              </w:rPr>
              <w:t>21,296</w:t>
            </w:r>
          </w:p>
        </w:tc>
        <w:tc>
          <w:tcPr>
            <w:tcW w:type="dxa" w:w="1440"/>
            <w:shd w:fill="C6EFCE" w:val="clear"/>
          </w:tcPr>
          <w:p>
            <w:r>
              <w:rPr>
                <w:b/>
                <w:sz w:val="17"/>
              </w:rPr>
              <w:t>24,464</w:t>
            </w:r>
          </w:p>
        </w:tc>
        <w:tc>
          <w:tcPr>
            <w:tcW w:type="dxa" w:w="1440"/>
            <w:shd w:fill="C6EFCE" w:val="clear"/>
          </w:tcPr>
          <w:p>
            <w:r>
              <w:rPr>
                <w:sz w:val="17"/>
              </w:rPr>
              <w:t>27,633</w:t>
            </w:r>
          </w:p>
        </w:tc>
        <w:tc>
          <w:tcPr>
            <w:tcW w:type="dxa" w:w="1440"/>
            <w:shd w:fill="C6EFCE" w:val="clear"/>
          </w:tcPr>
          <w:p>
            <w:r>
              <w:rPr>
                <w:b/>
                <w:color w:val="008000"/>
                <w:sz w:val="17"/>
              </w:rPr>
              <w:t>+11.4%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Secteur : Entreprise non bancaire (Distribution de tabac)*</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394,47 milliards FCFA, STBC figure parmi les valeurs les plus importantes de la cote BRVM, ce qui témoigne de sa stature de blue chip régionale. Le BPA de 2 014 FCFA/action indique que chaque titre génère un bénéfice net substantiel, conférant au titre un caractère fortement bénéficiaire. Le PER de 10,9x se situe dans la fourchette modérée de la BRVM (8-12x), suggérant que les investisseurs ne paient pas de prime excessive par rapport aux bénéfices, ce qui est d'autant plus remarquable que le titre a historiquement affiché des multiples plus élevés. En revanche, le P/B de 8,70x traduit une valorisation très exigeante par rapport à la valeur comptable (capitaux propres de 45,3 Mds FCFA), ce qui s'explique par la structure légère en actifs corporels d'un pur distributeur et par la forte rentabilité des fonds propres (ROE de 79,75%). Enfin, l'EV/EBITDA de 7,8x, dans la fourchette raisonnable de 5-10x, indique que la valeur totale de l'entreprise reste cohérente avec sa capacité opérationnelle, bien que l'absence de dette financière significative (1,4 M FCFA) rende cet indicateur peu discriminant.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STBC affiche une variation totale de +2,19%, avec une dernière séance (J-1) stable à +0,00%, le titre clôturant à 21 970 FCFA. Le range de trading s'établit entre un plus haut de 25 000 FCFA et un plus bas de 20 895 FCFA, soit une amplitude de près de 20%, reflétant une tendance générale haussière mais avec une correction récente depuis les sommets. Les statistiques descriptives révèlent une moyenne de 22 544 FCFA supérieure à la médiane de 22 218 FCFA, avec un mode à 22 000 FCFA, ce qui indique une distribution légèrement tirée vers le haut par des pics ponctuels. L'écart-type de 1 139 FCFA et le coefficient de variation de 5,1% témoignent d'une dispersion modérée du cours autour de sa moyenne, tandis que le kurtosis de -0,754 (mésokurtique) suggère une distribution proche de la normale, sans risque excessif de pics extrêmes. Le skewness de 0,538, positif, indique une asymétrie avec davantage de journées sous la moyenne, ce qui peut signaler une pression vendeuse latente. Enfin, la volatilité annualisée de 36,7% positionne le titre dans la catégorie des valeurs à volatilité élevée (&gt;30%), ce qui est cohérent avec un titre de rendement dont le cours est sensible aux annonces de dividendes et aux évolutions réglementaires.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21 744,25 FCFA et la MM50 à 22 583,30 FCFA, le cours actuel (21 970 FCFA) se situant au-dessus de la MM20 mais en-dessous de la MM50. Cette configuration traduit une pression baissière de moyen terme, la MM50 faisant office de résistance, ce qui justifie la décision technique de **Vente**.</w:t>
      </w:r>
    </w:p>
    <w:p>
      <w:pPr>
        <w:spacing w:after="120" w:line="276" w:lineRule="auto"/>
      </w:pPr>
      <w:r>
        <w:t>**Bandes de Bollinger** : Le cours (21 970 FCFA) évolue à l'intérieur des bandes, entre la borne inférieure (20 986,11 FCFA) et la borne supérieure (22 502,39 FCFA), sans test des extrêmes. La largeur des bandes reflète une volatilité modérée, et la position centrale du cours justifie la décision **Neutre**.</w:t>
      </w:r>
    </w:p>
    <w:p>
      <w:pPr>
        <w:spacing w:after="120" w:line="276" w:lineRule="auto"/>
      </w:pPr>
      <w:r>
        <w:t>**MACD** : La valeur du MACD (-221,786) est supérieure à son signal (-321,716), générant un croisement haussier et un momentum positif naissant. Cette divergence positive, bien que les deux lignes restent en territoire négatif, justifie la décision d'**Achat** à court terme.</w:t>
      </w:r>
    </w:p>
    <w:p>
      <w:pPr>
        <w:spacing w:after="120" w:line="276" w:lineRule="auto"/>
      </w:pPr>
      <w:r>
        <w:t>**RSI** : À 47,569, le RSI se situe dans la zone neutre (30-70), sans signal de surachat ni de survente. Cette position médiane indique un équilibre entre acheteurs et vendeurs, justifiant la décision **Neutre**.</w:t>
      </w:r>
    </w:p>
    <w:p>
      <w:pPr>
        <w:spacing w:after="120" w:line="276" w:lineRule="auto"/>
      </w:pPr>
      <w:r>
        <w:t>**Stochastique** : Le %K (99,537) est très proche de son maximum et nettement supérieur au %D (88,224), signalant une condition de surachat extrême à très court terme. Ce positionnement en zone haute, avec un risque de retournement imminent, justifie la décision de **Vente**.</w:t>
      </w:r>
    </w:p>
    <w:p>
      <w:pPr>
        <w:spacing w:after="120" w:line="276" w:lineRule="auto"/>
      </w:pPr>
      <w:r>
        <w:t>**Conclusion technique** : Les indicateurs présentent une divergence notable. Si le MACD génère un signal d'achat haussier et que le RSI reste neutre, les moyennes mobiles (cours sous MM50) et le stochastique (surachat extrême) plaident pour une correction à court terme. La décision globale est **Neutre à légèrement baissière**, le titre évoluant dans un range de consolidation sans direction claire, avec un risque de repli vers la borne inférieure des bandes de Bollinger (20 986 FCFA) si le surachat stochastique se matérialise.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officiels de STBC (exercice clos le 31 décembre 2025) affichent un chiffre d'affaires de 268,537 milliards FCFA, en croissance de 25,3% par rapport à 2024, portée par une hausse des volumes de 5,6% et un effet prix favorable. Le résultat net s'établit à 36,158 milliards FCFA, en baisse de 17,5% sur un an, sous l'effet de la hausse des droits d'accise (de 49% à 70% en janvier 2025) et d'un contrôle fiscal. La rentabilité reste exceptionnelle avec un ROE de 79,75% et un ROA de 48,09%, bien que la marge nette se soit dégradée de 20,4% en 2024 à 13,46% en 2025. La structure financière est très saine : autonomie financière de 60,3%, dépendance financière quasi nulle (0,0031%), liquidité générale de 225% et trésorerie nette de 30,76 milliards FCFA. Le BFR de 5,639 milliards FCFA (positif) et le délai clients de 42,57 jours constituent des points de vigilance modérés, tandis que la rotation des stocks est très rapide (5,73 jours). Les rapports trimestriels de 2026 confirment une stabilisation : le T1 2026 (rapport du 31 mars 2026) affiche un CA de 68,8 milliards FCFA (+12%) et un résultat net de 9,3 milliards FCFA (-1%), tandis que le T2 2026 (rapport du 30 juin 2026) montre un CA de 70,05 milliards FCFA (+1%) et un résultat net de 8,64 milliards FCFA (-0,2%), avec une marge nette de 12,3%. Sur la base de ces tendances, on estime que l'exercice 2026 devrait clôturer avec un CA autour de 280-285 milliards FCFA et un résultat net de l'ordre de 35-37 milliards FCFA, maintenant une marge nette proche de 13%. La politique de dividende reste très généreuse (1 940 FCFA/action proposé pour 2025, soit un rendement de 8,8% au cours actuel), mais le taux de distribution de 84,9% limite la capacité d'autofinancement. La recommandation fondamentale est **CONSERVER** : la solidité financière, la croissance du CA et le rendement attractif compensent la dégradation des marges et les risques réglementaires persistants.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apparaît modérée sur la base du PER (10,9x) et de l'EV/EBITDA (7,8x), mais exigeante sur le P/B (8,70x), ce qui reflète la forte rentabilité des fonds propres plutôt qu'une surévaluation manifeste. Le comportement du cours sur 100 jours (+2,19%) est stable, avec une volatilité élevée (36,7%) et une distribution proche de la normale (kurtosis -0,754), mais un skewness positif (0,538) signalant une légère pression vendeuse. Les signaux techniques sont divergents : le MACD est haussier, mais les moyennes mobiles (cours sous MM50) et le stochastique (surachat extrême à 99,5) plaident pour une correction à court terme, ce qui justifie une posture prudente. Les fondamentaux restent solides (ROE de 79,75%, trésorerie de 30,8 Mds FCFA, absence de dette), mais la dégradation des marges (marge nette de 13,46% en 2025 contre 20,4% en 2024) et la politique de dividende non soutenable (taux de distribution de 84,9%) constituent des risques. Les prédictions IA pour les 10 prochains jours (23 067 FCFA à 23 907 FCFA, soit +5% à +8,8%) contredisent les signaux techniques baissiers à court terme et suggèrent un rebond, possiblement porté par l'anticipation du dividende. Sur la base de cette synthèse, la recommandation finale est **CONSERVER**, avec un niveau de confiance **Moyen** et un risque global **Moyen**. L'horizon d'investissement optimal est le **moyen terme (3-12 mois)** , en attendant la confirmation de la stabilisation des marges et l'approbation du dividende lors de l'Assemblée Générale du 15 juillet 2026. Un renforcement de la position serait justifié si le titre revenait vers 21 000 FCFA (borne inférieure des bandes de Bollinger) ou si les résultats du S1 2026 confirmaient une amélioration de la rentabilité opérationnelle.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189.51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7,039 titres</w:t>
            </w:r>
          </w:p>
        </w:tc>
        <w:tc>
          <w:tcPr>
            <w:tcW w:type="dxa" w:w="2268"/>
            <w:shd w:fill="FFF2CC" w:val="clear"/>
          </w:tcPr>
          <w:p>
            <w:r>
              <w:rPr>
                <w:b/>
                <w:color w:val="503200"/>
                <w:sz w:val="16"/>
              </w:rPr>
              <w:t xml:space="preserve">Cours actuel : </w:t>
            </w:r>
            <w:r>
              <w:rPr>
                <w:color w:val="000000"/>
                <w:sz w:val="17"/>
              </w:rPr>
              <w:t>3,010 FCFA</w:t>
            </w:r>
          </w:p>
          <w:p>
            <w:r>
              <w:rPr>
                <w:b/>
                <w:color w:val="503200"/>
                <w:sz w:val="16"/>
              </w:rPr>
              <w:t xml:space="preserve">Var. 100 jours : </w:t>
            </w:r>
            <w:r>
              <w:rPr>
                <w:b/>
                <w:color w:val="007800"/>
                <w:sz w:val="17"/>
              </w:rPr>
              <w:t>+9.45%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2,750 FCFA</w:t>
            </w:r>
          </w:p>
          <w:p>
            <w:r>
              <w:rPr>
                <w:b/>
                <w:color w:val="503200"/>
                <w:sz w:val="16"/>
              </w:rPr>
              <w:t xml:space="preserve">Volatilité ann. : </w:t>
            </w:r>
            <w:r>
              <w:rPr>
                <w:color w:val="000000"/>
                <w:sz w:val="17"/>
              </w:rPr>
              <w:t>42.9%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6.39% (Moyenne) — μ=3,020 FCFA, σ=193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β=0.0925 (Défensif) — Cov=0.000006, Var(idx)=0.000069, ρ=0.029,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2,830</w:t>
            </w:r>
          </w:p>
        </w:tc>
        <w:tc>
          <w:tcPr>
            <w:tcW w:type="dxa" w:w="1440"/>
            <w:shd w:fill="FAFAFA" w:val="clear"/>
          </w:tcPr>
          <w:p>
            <w:r>
              <w:rPr>
                <w:b/>
                <w:sz w:val="17"/>
              </w:rPr>
              <w:t>3,005</w:t>
            </w:r>
          </w:p>
        </w:tc>
        <w:tc>
          <w:tcPr>
            <w:tcW w:type="dxa" w:w="1440"/>
            <w:shd w:fill="FAFAFA" w:val="clear"/>
          </w:tcPr>
          <w:p>
            <w:r>
              <w:rPr>
                <w:sz w:val="17"/>
              </w:rPr>
              <w:t>3,180</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2,790</w:t>
            </w:r>
          </w:p>
        </w:tc>
        <w:tc>
          <w:tcPr>
            <w:tcW w:type="dxa" w:w="1440"/>
            <w:shd w:fill="FAFAFA" w:val="clear"/>
          </w:tcPr>
          <w:p>
            <w:r>
              <w:rPr>
                <w:b/>
                <w:sz w:val="17"/>
              </w:rPr>
              <w:t>3,004</w:t>
            </w:r>
          </w:p>
        </w:tc>
        <w:tc>
          <w:tcPr>
            <w:tcW w:type="dxa" w:w="1440"/>
            <w:shd w:fill="FAFAFA" w:val="clear"/>
          </w:tcPr>
          <w:p>
            <w:r>
              <w:rPr>
                <w:sz w:val="17"/>
              </w:rPr>
              <w:t>3,219</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2,754</w:t>
            </w:r>
          </w:p>
        </w:tc>
        <w:tc>
          <w:tcPr>
            <w:tcW w:type="dxa" w:w="1440"/>
            <w:shd w:fill="FAFAFA" w:val="clear"/>
          </w:tcPr>
          <w:p>
            <w:r>
              <w:rPr>
                <w:b/>
                <w:sz w:val="17"/>
              </w:rPr>
              <w:t>3,001</w:t>
            </w:r>
          </w:p>
        </w:tc>
        <w:tc>
          <w:tcPr>
            <w:tcW w:type="dxa" w:w="1440"/>
            <w:shd w:fill="FAFAFA" w:val="clear"/>
          </w:tcPr>
          <w:p>
            <w:r>
              <w:rPr>
                <w:sz w:val="17"/>
              </w:rPr>
              <w:t>3,249</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2,721</w:t>
            </w:r>
          </w:p>
        </w:tc>
        <w:tc>
          <w:tcPr>
            <w:tcW w:type="dxa" w:w="1440"/>
            <w:shd w:fill="FAFAFA" w:val="clear"/>
          </w:tcPr>
          <w:p>
            <w:r>
              <w:rPr>
                <w:b/>
                <w:sz w:val="17"/>
              </w:rPr>
              <w:t>2,997</w:t>
            </w:r>
          </w:p>
        </w:tc>
        <w:tc>
          <w:tcPr>
            <w:tcW w:type="dxa" w:w="1440"/>
            <w:shd w:fill="FAFAFA" w:val="clear"/>
          </w:tcPr>
          <w:p>
            <w:r>
              <w:rPr>
                <w:sz w:val="17"/>
              </w:rPr>
              <w:t>3,273</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2,690</w:t>
            </w:r>
          </w:p>
        </w:tc>
        <w:tc>
          <w:tcPr>
            <w:tcW w:type="dxa" w:w="1440"/>
            <w:shd w:fill="FAFAFA" w:val="clear"/>
          </w:tcPr>
          <w:p>
            <w:r>
              <w:rPr>
                <w:b/>
                <w:sz w:val="17"/>
              </w:rPr>
              <w:t>2,992</w:t>
            </w:r>
          </w:p>
        </w:tc>
        <w:tc>
          <w:tcPr>
            <w:tcW w:type="dxa" w:w="1440"/>
            <w:shd w:fill="FAFAFA" w:val="clear"/>
          </w:tcPr>
          <w:p>
            <w:r>
              <w:rPr>
                <w:sz w:val="17"/>
              </w:rPr>
              <w:t>3,294</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2026-10-12</w:t>
            </w:r>
          </w:p>
        </w:tc>
        <w:tc>
          <w:tcPr>
            <w:tcW w:type="dxa" w:w="1440"/>
            <w:shd w:fill="FAFAFA" w:val="clear"/>
          </w:tcPr>
          <w:p>
            <w:r>
              <w:rPr>
                <w:sz w:val="17"/>
              </w:rPr>
              <w:t>2,662</w:t>
            </w:r>
          </w:p>
        </w:tc>
        <w:tc>
          <w:tcPr>
            <w:tcW w:type="dxa" w:w="1440"/>
            <w:shd w:fill="FAFAFA" w:val="clear"/>
          </w:tcPr>
          <w:p>
            <w:r>
              <w:rPr>
                <w:b/>
                <w:sz w:val="17"/>
              </w:rPr>
              <w:t>2,987</w:t>
            </w:r>
          </w:p>
        </w:tc>
        <w:tc>
          <w:tcPr>
            <w:tcW w:type="dxa" w:w="1440"/>
            <w:shd w:fill="FAFAFA" w:val="clear"/>
          </w:tcPr>
          <w:p>
            <w:r>
              <w:rPr>
                <w:sz w:val="17"/>
              </w:rPr>
              <w:t>3,312</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2026-10-13</w:t>
            </w:r>
          </w:p>
        </w:tc>
        <w:tc>
          <w:tcPr>
            <w:tcW w:type="dxa" w:w="1440"/>
            <w:shd w:fill="FAFAFA" w:val="clear"/>
          </w:tcPr>
          <w:p>
            <w:r>
              <w:rPr>
                <w:sz w:val="17"/>
              </w:rPr>
              <w:t>2,635</w:t>
            </w:r>
          </w:p>
        </w:tc>
        <w:tc>
          <w:tcPr>
            <w:tcW w:type="dxa" w:w="1440"/>
            <w:shd w:fill="FAFAFA" w:val="clear"/>
          </w:tcPr>
          <w:p>
            <w:r>
              <w:rPr>
                <w:b/>
                <w:sz w:val="17"/>
              </w:rPr>
              <w:t>2,982</w:t>
            </w:r>
          </w:p>
        </w:tc>
        <w:tc>
          <w:tcPr>
            <w:tcW w:type="dxa" w:w="1440"/>
            <w:shd w:fill="FAFAFA" w:val="clear"/>
          </w:tcPr>
          <w:p>
            <w:r>
              <w:rPr>
                <w:sz w:val="17"/>
              </w:rPr>
              <w:t>3,329</w:t>
            </w:r>
          </w:p>
        </w:tc>
        <w:tc>
          <w:tcPr>
            <w:tcW w:type="dxa" w:w="1440"/>
            <w:shd w:fill="FAFAFA" w:val="clear"/>
          </w:tcPr>
          <w:p>
            <w:r>
              <w:rPr>
                <w:b/>
                <w:color w:val="C00000"/>
                <w:sz w:val="17"/>
              </w:rPr>
              <w:t>-0.9%</w:t>
            </w:r>
          </w:p>
        </w:tc>
      </w:tr>
      <w:tr>
        <w:tc>
          <w:tcPr>
            <w:tcW w:type="dxa" w:w="1440"/>
            <w:shd w:fill="FAFAFA" w:val="clear"/>
          </w:tcPr>
          <w:p>
            <w:r>
              <w:rPr>
                <w:sz w:val="17"/>
              </w:rPr>
              <w:t>J+8  ⭐</w:t>
            </w:r>
          </w:p>
        </w:tc>
        <w:tc>
          <w:tcPr>
            <w:tcW w:type="dxa" w:w="1440"/>
            <w:shd w:fill="FAFAFA" w:val="clear"/>
          </w:tcPr>
          <w:p>
            <w:r>
              <w:rPr>
                <w:sz w:val="17"/>
              </w:rPr>
              <w:t>2026-10-14</w:t>
            </w:r>
          </w:p>
        </w:tc>
        <w:tc>
          <w:tcPr>
            <w:tcW w:type="dxa" w:w="1440"/>
            <w:shd w:fill="FAFAFA" w:val="clear"/>
          </w:tcPr>
          <w:p>
            <w:r>
              <w:rPr>
                <w:sz w:val="17"/>
              </w:rPr>
              <w:t>2,609</w:t>
            </w:r>
          </w:p>
        </w:tc>
        <w:tc>
          <w:tcPr>
            <w:tcW w:type="dxa" w:w="1440"/>
            <w:shd w:fill="FAFAFA" w:val="clear"/>
          </w:tcPr>
          <w:p>
            <w:r>
              <w:rPr>
                <w:b/>
                <w:sz w:val="17"/>
              </w:rPr>
              <w:t>2,977</w:t>
            </w:r>
          </w:p>
        </w:tc>
        <w:tc>
          <w:tcPr>
            <w:tcW w:type="dxa" w:w="1440"/>
            <w:shd w:fill="FAFAFA" w:val="clear"/>
          </w:tcPr>
          <w:p>
            <w:r>
              <w:rPr>
                <w:sz w:val="17"/>
              </w:rPr>
              <w:t>3,345</w:t>
            </w:r>
          </w:p>
        </w:tc>
        <w:tc>
          <w:tcPr>
            <w:tcW w:type="dxa" w:w="1440"/>
            <w:shd w:fill="FAFAFA" w:val="clear"/>
          </w:tcPr>
          <w:p>
            <w:r>
              <w:rPr>
                <w:b/>
                <w:color w:val="C00000"/>
                <w:sz w:val="17"/>
              </w:rPr>
              <w:t>-1.1%</w:t>
            </w:r>
          </w:p>
        </w:tc>
      </w:tr>
      <w:tr>
        <w:tc>
          <w:tcPr>
            <w:tcW w:type="dxa" w:w="1440"/>
            <w:shd w:fill="FAFAFA" w:val="clear"/>
          </w:tcPr>
          <w:p>
            <w:r>
              <w:rPr>
                <w:sz w:val="17"/>
              </w:rPr>
              <w:t>J+9  ⭐</w:t>
            </w:r>
          </w:p>
        </w:tc>
        <w:tc>
          <w:tcPr>
            <w:tcW w:type="dxa" w:w="1440"/>
            <w:shd w:fill="FAFAFA" w:val="clear"/>
          </w:tcPr>
          <w:p>
            <w:r>
              <w:rPr>
                <w:sz w:val="17"/>
              </w:rPr>
              <w:t>2026-10-15</w:t>
            </w:r>
          </w:p>
        </w:tc>
        <w:tc>
          <w:tcPr>
            <w:tcW w:type="dxa" w:w="1440"/>
            <w:shd w:fill="FAFAFA" w:val="clear"/>
          </w:tcPr>
          <w:p>
            <w:r>
              <w:rPr>
                <w:sz w:val="17"/>
              </w:rPr>
              <w:t>2,585</w:t>
            </w:r>
          </w:p>
        </w:tc>
        <w:tc>
          <w:tcPr>
            <w:tcW w:type="dxa" w:w="1440"/>
            <w:shd w:fill="FAFAFA" w:val="clear"/>
          </w:tcPr>
          <w:p>
            <w:r>
              <w:rPr>
                <w:b/>
                <w:sz w:val="17"/>
              </w:rPr>
              <w:t>2,972</w:t>
            </w:r>
          </w:p>
        </w:tc>
        <w:tc>
          <w:tcPr>
            <w:tcW w:type="dxa" w:w="1440"/>
            <w:shd w:fill="FAFAFA" w:val="clear"/>
          </w:tcPr>
          <w:p>
            <w:r>
              <w:rPr>
                <w:sz w:val="17"/>
              </w:rPr>
              <w:t>3,359</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189,51 milliards FCFA, TTLC figure parmi les valeurs les plus importantes de la cote BRVM, ce qui en fait un pilier de l'indice composite et un titre de référence pour les investisseurs institutionnels régionaux. Le BPA s'établit à 144 FCFA par action, mais le PER de 20,9x traduit une prime très nette par rapport à la moyenne du marché BRVM (généralement comprise entre 8x et 12x), signifiant que les investisseurs paient environ 21 fois les bénéfices annuels pour détenir le titre — un niveau qui n'est justifiable que par des anticipations de croissance soutenue. Le P/B de 5,23x confirme cette exigence de valorisation, le marché valorisant la société à plus de cinq fois ses capitaux propres comptables (36,20 Mds FCFA), ce qui est élevé pour un distributeur à faible marge. Enfin, l'EV/EBITDA de 10,9x situe la valeur d'entreprise (incluant la dette nette) à près de 11 fois la capacité opérationnelle, dans le haut de la fourchette 10-15x, signalant une valorisation exigeante qui intègre déjà une bonne partie du potentiel de croissance.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progression totale de +9,45%, mais la dernière séance a été marquée par une correction brutale de -5,94%, ramenant le cours à 3 010 FCFA. Le range de trading s'est établi entre un plus bas de 2 750 FCFA et un plus haut de 3 595 FCFA, soit une amplitude de 845 FCFA (30,7%) qui témoigne d'une réelle nervosité du marché. La tendance générale reste haussière sur la période, mais la chute récente suggère une prise de bénéfices ou une réaction à des facteurs fondamentaux (baisse du résultat net 2025). Les statistiques descriptives révèlent une moyenne (3 020 FCFA) légèrement supérieure à la médiane (2 950 FCFA) et au mode (2 900 FCFA), avec un skewness positif de 0,882 indiquant une asymétrie à droite — plus de journées de trading se sont situées sous la moyenne, avec quelques pics haussiers tirant la moyenne vers le haut. L'écart-type de 194 FCFA (CV = 6,4%) traduit une dispersion modérée autour de la moyenne, tandis que le kurtosis de -0,313 (mésokurtique) suggère une distribution proche de la normale, sans risque excessif de pics extrêmes. La volatilité annualisée de 42,9% classe le titre dans la catégorie des valeurs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(3 187 FCFA) et la MM50 (3 158,7 FCFA) se situent toutes deux nettement au-dessus du cours actuel (3 010 FCFA), ce qui place le titre en position baissière à court terme malgré la décision algorithmique "Achat" — cette divergence s'explique probablement par le fait que les MM restent orientées à la hausse sur la période, mais le cours a chuté sous elles. Le croisement MM20 &gt; MM50 confirme une structure haussière de fond, mais la cassure récente du cours sous ces deux moyennes constitue un signal de faiblesse à surveiller.</w:t>
      </w:r>
    </w:p>
    <w:p>
      <w:pPr>
        <w:spacing w:after="120" w:line="276" w:lineRule="auto"/>
      </w:pPr>
      <w:r>
        <w:t>**Bandes de Bollinger** : Le cours (3 010 FCFA) se situe dans la partie basse de la bande, proche de la borne inférieure (2 968,65 FCFA) et loin de la borne supérieure (3 405,35 FCFA), ce qui indique une pression vendeuse récente. La largeur des bandes (436,7 FCFA) reflète une volatilité élevée, cohérente avec la volatilité annualisée de 42,9%. La décision "Neutre" suggère que le titre n'est ni en zone de survente extrême ni en zone de surachat, mais la proximité de la borne inférieure pourrait attirer des acheteurs à la recherche de points d'entrée.</w:t>
      </w:r>
    </w:p>
    <w:p>
      <w:pPr>
        <w:spacing w:after="120" w:line="276" w:lineRule="auto"/>
      </w:pPr>
      <w:r>
        <w:t>**MACD** : La valeur du MACD (-32,992) est inférieure à son signal (-15,911), confirmant un momentum baissier avec une divergence négative. La décision "Vente" est cohérente avec cette configuration, le MACD ayant probablement franchi son signal à la baisse récemment. Cette situation appelle à la prudence à court terme, le momentum négatif pouvant persister quelques séances.</w:t>
      </w:r>
    </w:p>
    <w:p>
      <w:pPr>
        <w:spacing w:after="120" w:line="276" w:lineRule="auto"/>
      </w:pPr>
      <w:r>
        <w:t>**RSI** : À 32,692, le RSI se situe juste au-dessus du seuil de survente (30), ce qui indique une pression vendeuse significative sans être encore en zone de survente extrême. La décision "Neutre" est appropriée, le titre n'étant ni survendu ni suracheté, mais la proximité du seuil de 30 suggère qu'une poursuite de la baisse pourrait déclencher un signal d'achat technique.</w:t>
      </w:r>
    </w:p>
    <w:p>
      <w:pPr>
        <w:spacing w:after="120" w:line="276" w:lineRule="auto"/>
      </w:pPr>
      <w:r>
        <w:t>**Stochastique** : Le %K (8,333) est très bas, proche de zéro, tandis que le %D (47,778) reste en zone neutre, ce qui indique un fort déséquilibre baissier à court terme. La décision "Achat" s'explique par le fait que le %K en zone extrême basse précède souvent un rebond technique, mais la divergence avec le %D suggère que la prudence reste de mise avant de parler de retournement.</w:t>
      </w:r>
    </w:p>
    <w:p>
      <w:pPr>
        <w:spacing w:after="120" w:line="276" w:lineRule="auto"/>
      </w:pPr>
      <w:r>
        <w:t>**Conclusion technique** : Les indicateurs sont majoritairement baissiers à court terme (MACD en vente, cours sous les MM, RSI proche de la survente), mais certains signaux (Stochastique en achat, proximité de la borne inférieure de Bollinger) suggèrent qu'un rebond technique pourrait se produire. La convergence n'est pas totale, ce qui plaide pour une attitude attentiste avant d'envisager un renforcement.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Côte d'Ivoire a réalisé un chiffre d'affaires de 588,709 milliards FCFA, en repli de 5,2% par rapport aux 621,042 milliards de 2024, confirmant la tendance baissière observée depuis le début de l'exercice. Le résultat net s'établit à 9,087 milliards FCFA (contre 9,374 milliards en 2024, soit -3%), avec une marge nette de 1,54% (légèrement en amélioration par rapport à 1,51% en 2024). Le ROE reste excellent à 25,10%, bien supérieur au seuil de 15% considéré comme excellent, tandis que le ROA de 4,82% reflète la faible intensité capitalistique du modèle de distribution. La rotation des actifs est très élevée (312,36%), caractéristique d'un distributeur à fort volume et faible marge. Le BFR est négatif (-9,662 milliards FCFA), ce qui est favorable car il signifie que les fournisseurs financent une partie du cycle d'exploitation, mais la trésorerie nette est négative (-21,926 milliards FCFA) et le fonds de roulement est négatif (-31,587 milliards FCFA), signalant une dépendance aux crédits court terme. Le délai fournisseurs de 49,72 jours est correct, mais la durée de stockage de 13,80 jours est faible, ce qui limite le risque d'immobilisation. Sur la base du rapport T1 2026 (publié en 2026), le chiffre d'affaires progresse de 4,3% à 154,392 milliards FCFA et le résultat net de 5,5% à 2,329 milliards FCFA, ce qui suggère une inversion de tendance pour l'exercice 2026 — on estime que le CA annuel 2026 pourrait dépasser 600 milliards FCFA si la dynamique se poursuit. Le rapport annuel 2025 (publié en 2026) confirme un dividende brut de 10 milliards FCFA, soit un taux de distribution supérieur à 100% du résultat net, ce qui est généreux mais potentiellement risqué pour la soutenabilité financière. La recommandation fondamentale est de **conserver** le titre : la société est solide, leader sur son marché, avec un ROE élevé et une amélioration opérationnelle (EBE +12%, résultat d'exploitation +18% en 2025), mais la dégradation de la trésorerie et le payout excessif constituent des signaux d'alerte.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(PER 20,9x, P/B 5,23x, EV/EBITDA 10,9x), bien au-dessus des standards du marché BRVM, ce qui intègre déjà une prime de qualité et des anticipations de croissance. Le comportement du cours sur 100 jours est haussier (+9,45%) mais la correction récente (-5,94% en une séance) et la volatilité élevée (42,9%) suggèrent une prise de conscience des risques, avec un skewness positif indiquant que les baisses sont plus fréquentes que les hausses extrêmes. Les signaux techniques sont mitigés : MACD en vente et cours sous les MM, mais Stochastique en achat et RSI proche de la survente, ce qui plaide pour une stabilisation à court terme. Les fondamentaux restent solides (ROE 25,1%, leader du secteur, BFR négatif) mais la baisse du CA en 2025 (-5,2%) et la trésorerie nette négative (-21,9 Mds FCFA) tempèrent l'optimisme, même si le T1 2026 (+4,3% de CA, +5,5% de résultat net) laisse entrevoir une reprise. Les prédictions IA pour les 10 prochains jours (3 005 → 2 992 FCFA) confirment une légère tendance baissière, en ligne avec le momentum négatif actuel. Sur la base de cette synthèse, la recommandation finale est **CONSERVER** : le titre offre un bon potentiel à moyen terme grâce à sa position dominante et à l'amélioration opérationnelle, mais la valorisation élevée et les risques de trésorerie justifient une certaine prudence. Le niveau de confiance est **Moyen** (les signaux sont divergents entre technique et fondamental), le risque global est **Élevé** (volatilité 42,9%, payout &gt;100%, trésorerie négative), et l'horizon d'investissement optimal est le **moyen terme (3-12 mois)** pour profiter de la reprise attendue en 2026 tout en surveillant la soutenabilité du dividende et la trajectoire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2,643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+25.08%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9.00% (Moyenne) — μ=3,661 FCFA, σ=329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β=0.4768 (Défensif) — Cov=0.000033, Var(idx)=0.000069, ρ=0.145,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2026-10-05</w:t>
            </w:r>
          </w:p>
        </w:tc>
        <w:tc>
          <w:tcPr>
            <w:tcW w:type="dxa" w:w="1440"/>
            <w:shd w:fill="FAFAFA" w:val="clear"/>
          </w:tcPr>
          <w:p>
            <w:r>
              <w:rPr>
                <w:sz w:val="17"/>
              </w:rPr>
              <w:t>3,462</w:t>
            </w:r>
          </w:p>
        </w:tc>
        <w:tc>
          <w:tcPr>
            <w:tcW w:type="dxa" w:w="1440"/>
            <w:shd w:fill="FAFAFA" w:val="clear"/>
          </w:tcPr>
          <w:p>
            <w:r>
              <w:rPr>
                <w:b/>
                <w:sz w:val="17"/>
              </w:rPr>
              <w:t>3,654</w:t>
            </w:r>
          </w:p>
        </w:tc>
        <w:tc>
          <w:tcPr>
            <w:tcW w:type="dxa" w:w="1440"/>
            <w:shd w:fill="FAFAFA" w:val="clear"/>
          </w:tcPr>
          <w:p>
            <w:r>
              <w:rPr>
                <w:sz w:val="17"/>
              </w:rPr>
              <w:t>3,845</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2026-10-06</w:t>
            </w:r>
          </w:p>
        </w:tc>
        <w:tc>
          <w:tcPr>
            <w:tcW w:type="dxa" w:w="1440"/>
            <w:shd w:fill="FAFAFA" w:val="clear"/>
          </w:tcPr>
          <w:p>
            <w:r>
              <w:rPr>
                <w:sz w:val="17"/>
              </w:rPr>
              <w:t>3,410</w:t>
            </w:r>
          </w:p>
        </w:tc>
        <w:tc>
          <w:tcPr>
            <w:tcW w:type="dxa" w:w="1440"/>
            <w:shd w:fill="FAFAFA" w:val="clear"/>
          </w:tcPr>
          <w:p>
            <w:r>
              <w:rPr>
                <w:b/>
                <w:sz w:val="17"/>
              </w:rPr>
              <w:t>3,645</w:t>
            </w:r>
          </w:p>
        </w:tc>
        <w:tc>
          <w:tcPr>
            <w:tcW w:type="dxa" w:w="1440"/>
            <w:shd w:fill="FAFAFA" w:val="clear"/>
          </w:tcPr>
          <w:p>
            <w:r>
              <w:rPr>
                <w:sz w:val="17"/>
              </w:rPr>
              <w:t>3,879</w:t>
            </w:r>
          </w:p>
        </w:tc>
        <w:tc>
          <w:tcPr>
            <w:tcW w:type="dxa" w:w="1440"/>
            <w:shd w:fill="FAFAFA" w:val="clear"/>
          </w:tcPr>
          <w:p>
            <w:r>
              <w:rPr>
                <w:b/>
                <w:color w:val="C00000"/>
                <w:sz w:val="17"/>
              </w:rPr>
              <w:t>-1.2%</w:t>
            </w:r>
          </w:p>
        </w:tc>
      </w:tr>
      <w:tr>
        <w:tc>
          <w:tcPr>
            <w:tcW w:type="dxa" w:w="1440"/>
            <w:shd w:fill="FAFAFA" w:val="clear"/>
          </w:tcPr>
          <w:p>
            <w:r>
              <w:rPr>
                <w:sz w:val="17"/>
              </w:rPr>
              <w:t>J+3  ⭐</w:t>
            </w:r>
          </w:p>
        </w:tc>
        <w:tc>
          <w:tcPr>
            <w:tcW w:type="dxa" w:w="1440"/>
            <w:shd w:fill="FAFAFA" w:val="clear"/>
          </w:tcPr>
          <w:p>
            <w:r>
              <w:rPr>
                <w:sz w:val="17"/>
              </w:rPr>
              <w:t>2026-10-07</w:t>
            </w:r>
          </w:p>
        </w:tc>
        <w:tc>
          <w:tcPr>
            <w:tcW w:type="dxa" w:w="1440"/>
            <w:shd w:fill="FAFAFA" w:val="clear"/>
          </w:tcPr>
          <w:p>
            <w:r>
              <w:rPr>
                <w:sz w:val="17"/>
              </w:rPr>
              <w:t>3,366</w:t>
            </w:r>
          </w:p>
        </w:tc>
        <w:tc>
          <w:tcPr>
            <w:tcW w:type="dxa" w:w="1440"/>
            <w:shd w:fill="FAFAFA" w:val="clear"/>
          </w:tcPr>
          <w:p>
            <w:r>
              <w:rPr>
                <w:b/>
                <w:sz w:val="17"/>
              </w:rPr>
              <w:t>3,636</w:t>
            </w:r>
          </w:p>
        </w:tc>
        <w:tc>
          <w:tcPr>
            <w:tcW w:type="dxa" w:w="1440"/>
            <w:shd w:fill="FAFAFA" w:val="clear"/>
          </w:tcPr>
          <w:p>
            <w:r>
              <w:rPr>
                <w:sz w:val="17"/>
              </w:rPr>
              <w:t>3,906</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2026-10-08</w:t>
            </w:r>
          </w:p>
        </w:tc>
        <w:tc>
          <w:tcPr>
            <w:tcW w:type="dxa" w:w="1440"/>
            <w:shd w:fill="FAFAFA" w:val="clear"/>
          </w:tcPr>
          <w:p>
            <w:r>
              <w:rPr>
                <w:sz w:val="17"/>
              </w:rPr>
              <w:t>3,328</w:t>
            </w:r>
          </w:p>
        </w:tc>
        <w:tc>
          <w:tcPr>
            <w:tcW w:type="dxa" w:w="1440"/>
            <w:shd w:fill="FAFAFA" w:val="clear"/>
          </w:tcPr>
          <w:p>
            <w:r>
              <w:rPr>
                <w:b/>
                <w:sz w:val="17"/>
              </w:rPr>
              <w:t>3,629</w:t>
            </w:r>
          </w:p>
        </w:tc>
        <w:tc>
          <w:tcPr>
            <w:tcW w:type="dxa" w:w="1440"/>
            <w:shd w:fill="FAFAFA" w:val="clear"/>
          </w:tcPr>
          <w:p>
            <w:r>
              <w:rPr>
                <w:sz w:val="17"/>
              </w:rPr>
              <w:t>3,930</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2026-10-09</w:t>
            </w:r>
          </w:p>
        </w:tc>
        <w:tc>
          <w:tcPr>
            <w:tcW w:type="dxa" w:w="1440"/>
            <w:shd w:fill="FAFAFA" w:val="clear"/>
          </w:tcPr>
          <w:p>
            <w:r>
              <w:rPr>
                <w:sz w:val="17"/>
              </w:rPr>
              <w:t>3,292</w:t>
            </w:r>
          </w:p>
        </w:tc>
        <w:tc>
          <w:tcPr>
            <w:tcW w:type="dxa" w:w="1440"/>
            <w:shd w:fill="FAFAFA" w:val="clear"/>
          </w:tcPr>
          <w:p>
            <w:r>
              <w:rPr>
                <w:b/>
                <w:sz w:val="17"/>
              </w:rPr>
              <w:t>3,621</w:t>
            </w:r>
          </w:p>
        </w:tc>
        <w:tc>
          <w:tcPr>
            <w:tcW w:type="dxa" w:w="1440"/>
            <w:shd w:fill="FAFAFA" w:val="clear"/>
          </w:tcPr>
          <w:p>
            <w:r>
              <w:rPr>
                <w:sz w:val="17"/>
              </w:rPr>
              <w:t>3,951</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3,260</w:t>
            </w:r>
          </w:p>
        </w:tc>
        <w:tc>
          <w:tcPr>
            <w:tcW w:type="dxa" w:w="1440"/>
            <w:shd w:fill="FFDCE0" w:val="clear"/>
          </w:tcPr>
          <w:p>
            <w:r>
              <w:rPr>
                <w:b/>
                <w:sz w:val="17"/>
              </w:rPr>
              <w:t>3,614</w:t>
            </w:r>
          </w:p>
        </w:tc>
        <w:tc>
          <w:tcPr>
            <w:tcW w:type="dxa" w:w="1440"/>
            <w:shd w:fill="FFDCE0" w:val="clear"/>
          </w:tcPr>
          <w:p>
            <w:r>
              <w:rPr>
                <w:sz w:val="17"/>
              </w:rPr>
              <w:t>3,969</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3,229</w:t>
            </w:r>
          </w:p>
        </w:tc>
        <w:tc>
          <w:tcPr>
            <w:tcW w:type="dxa" w:w="1440"/>
            <w:shd w:fill="FFDCE0" w:val="clear"/>
          </w:tcPr>
          <w:p>
            <w:r>
              <w:rPr>
                <w:b/>
                <w:sz w:val="17"/>
              </w:rPr>
              <w:t>3,608</w:t>
            </w:r>
          </w:p>
        </w:tc>
        <w:tc>
          <w:tcPr>
            <w:tcW w:type="dxa" w:w="1440"/>
            <w:shd w:fill="FFDCE0" w:val="clear"/>
          </w:tcPr>
          <w:p>
            <w:r>
              <w:rPr>
                <w:sz w:val="17"/>
              </w:rPr>
              <w:t>3,986</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3,200</w:t>
            </w:r>
          </w:p>
        </w:tc>
        <w:tc>
          <w:tcPr>
            <w:tcW w:type="dxa" w:w="1440"/>
            <w:shd w:fill="FFDCE0" w:val="clear"/>
          </w:tcPr>
          <w:p>
            <w:r>
              <w:rPr>
                <w:b/>
                <w:sz w:val="17"/>
              </w:rPr>
              <w:t>3,601</w:t>
            </w:r>
          </w:p>
        </w:tc>
        <w:tc>
          <w:tcPr>
            <w:tcW w:type="dxa" w:w="1440"/>
            <w:shd w:fill="FFDCE0" w:val="clear"/>
          </w:tcPr>
          <w:p>
            <w:r>
              <w:rPr>
                <w:sz w:val="17"/>
              </w:rPr>
              <w:t>4,002</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3,173</w:t>
            </w:r>
          </w:p>
        </w:tc>
        <w:tc>
          <w:tcPr>
            <w:tcW w:type="dxa" w:w="1440"/>
            <w:shd w:fill="FFDCE0" w:val="clear"/>
          </w:tcPr>
          <w:p>
            <w:r>
              <w:rPr>
                <w:b/>
                <w:sz w:val="17"/>
              </w:rPr>
              <w:t>3,595</w:t>
            </w:r>
          </w:p>
        </w:tc>
        <w:tc>
          <w:tcPr>
            <w:tcW w:type="dxa" w:w="1440"/>
            <w:shd w:fill="FFDCE0" w:val="clear"/>
          </w:tcPr>
          <w:p>
            <w:r>
              <w:rPr>
                <w:sz w:val="17"/>
              </w:rPr>
              <w:t>4,017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 RAPPORT D'ANALYSE FINANCIÈRE — TOTALENERGIES MARKETING SÉNÉGAL (TTLS)</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120,21 milliards FCFA, TTLS s'impose comme une valeur de premier plan de la cote BRVM, représentant un pilier du compartiment énergétique régional. Le BPA de 208 FCFA/action signifie que chaque titre génère environ 208 FCFA de bénéfice net, ce qui, rapporté au cours actuel de 3 690 FCFA, donne un PER de 17,7x — nettement supérieur à la moyenne BRVM (8-12x), traduisant une prime de qualité liée au statut de leader et à l'actionnariat TotalEnergies (69,1%). Le P/B de 4,26x confirme cette valorisation exigeante : le marché paie plus de quatre fois la valeur comptable des fonds propres (28,24 Mds FCFA), ce qui suppose une forte confiance dans la capacité bénéficiaire future. En revanche, l'EV/EBITDA de 7,5x, situé dans la fourchette raisonnable de 5-10x, indique que la valeur d'entreprise reste cohérente avec la capacité opérationnelle de génération de cash-flow, offrant un contrepoids rassurant à la cherté relative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TTLS affiche une performance remarquable de **+25,08%**, avec une dernière séance en hausse de **+1,37%**, confirmant un momentum haussier de court terme. Le titre a évolué dans un range large de 2 845 FCFA (plus bas) à 4 500 FCFA (plus haut), soit une amplitude de trading de 58%, signe d'une forte volatilité intra-période avant stabilisation autour du cours actuel de 3 690 FCFA. La tendance générale demeure haussière, portée par la résilience opérationnelle de la société et l'amélioration de ses marges. Les statistiques descriptives révèlent une moyenne (3 661 FCFA) quasi identique à la médiane (3 688 FCFA), confirmant une distribution symétrique du cours, corroborée par un skewness de -0,158 (léger biais négatif mais négligeable). L'écart-type de 331 FCFA avec un coefficient de variation de 9,0% indique une dispersion modérée autour de la moyenne, tandis que le kurtosis de 0,236 (mésokurtique) suggère une distribution proche de la normale, sans risque excessif de pics extrêmes. La volatilité annualisée de 43,0% classe le titre dans la catégorie **élevée** (&gt;30%), ce qui est cohérent avec la sensibilité du secteur pétrolier aux décisions réglementaires et aux cours internationaux.</w:t>
      </w:r>
    </w:p>
    <w:p>
      <w:pPr>
        <w:spacing w:after="120" w:line="276" w:lineRule="auto"/>
      </w:pPr>
      <w:r>
        <w:t>---</w:t>
      </w:r>
    </w:p>
    <w:p>
      <w:pPr>
        <w:spacing w:after="120" w:line="276" w:lineRule="auto"/>
      </w:pPr>
      <w:r>
        <w:t>## PARTIE 2 : ANALYSE TECHNIQUE DÉTAILLÉE</w:t>
      </w:r>
    </w:p>
    <w:p>
      <w:pPr>
        <w:spacing w:after="120" w:line="276" w:lineRule="auto"/>
      </w:pPr>
      <w:r>
        <w:t>**Moyennes Mobiles** : La MM20 (3 816 FCFA) et la MM50 (3 753,5 FCFA) se situent toutes deux au-dessus du cours actuel (3 690 FCFA), ce qui place le titre en position de repli sous ses moyennes court et moyen terme. Toutefois, la MM20 reste supérieure à la MM50, signalant que la tendance de fond demeure haussière malgré la correction récente. La décision technique affichée est **Achat**, suggérant que le repli actuel constitue une opportunité de renforcement dans un trend haussier intact.</w:t>
      </w:r>
    </w:p>
    <w:p>
      <w:pPr>
        <w:spacing w:after="120" w:line="276" w:lineRule="auto"/>
      </w:pPr>
      <w:r>
        <w:t>**Bandes de Bollinger** : Le cours (3 690 FCFA) se situe dans la partie basse de la bande, entre la borne inférieure (3 592,64 FCFA) et la borne supérieure (4 039,36 FCFA), sans franchir les extrêmes. Cette position médiane-basse indique une absence de signal directionnel fort, ce qui justifie la décision **Neutre**. La largeur des bandes reflète une volatilité toujours présente, mais sans excès immédiat.</w:t>
      </w:r>
    </w:p>
    <w:p>
      <w:pPr>
        <w:spacing w:after="120" w:line="276" w:lineRule="auto"/>
      </w:pPr>
      <w:r>
        <w:t>**MACD** : La valeur du MACD (-35,013) est nettement inférieure à son signal (-5,268), générant un histogramme négatif qui traduit un momentum baissier de court terme. Cette configuration justifie la décision **Vente** à court terme, bien que la faiblesse de l'écart puisse annoncer un retournement prochain si le cours se stabilise.</w:t>
      </w:r>
    </w:p>
    <w:p>
      <w:pPr>
        <w:spacing w:after="120" w:line="276" w:lineRule="auto"/>
      </w:pPr>
      <w:r>
        <w:t>**RSI** : À 38,506, le RSI se situe dans la zone neutre basse (30-70), sans atteindre le seuil de survente (&lt;30). La décision **Neutre** reflète un équilibre entre pression vendeuse et acheteuse, avec une légère prédominance baissière qui n'appelle pas encore de signal d'achat agressif.</w:t>
      </w:r>
    </w:p>
    <w:p>
      <w:pPr>
        <w:spacing w:after="120" w:line="276" w:lineRule="auto"/>
      </w:pPr>
      <w:r>
        <w:t>**Stochastique** : Le %K (19,481) est supérieur au %D (8,658), et les deux se situent en zone de survente (&lt;20), ce qui génère un signal **Achat** par croisement haussier potentiel. Cette configuration suggère que le repli pourrait s'essouffler à court terme.</w:t>
      </w:r>
    </w:p>
    <w:p>
      <w:pPr>
        <w:spacing w:after="120" w:line="276" w:lineRule="auto"/>
      </w:pPr>
      <w:r>
        <w:t>**Conclusion technique** : Les indicateurs sont divergents — les moyennes mobiles et le stochastique plaident pour un achat sur repli, tandis que le MACD et le RSI recommandent la prudence. Le titre se trouve dans une phase de consolidation baissière de court terme au sein d'une tendance haussière de fond, avec un potentiel de rebond technique à proximité de la borne inférieure de Bollinger (3 592 FCFA). La convergence des signaux reste insuffisante pour un achat agressif, mais le risque de baisse supplémentaire semble limité.</w:t>
      </w:r>
    </w:p>
    <w:p>
      <w:pPr>
        <w:spacing w:after="120" w:line="276" w:lineRule="auto"/>
      </w:pPr>
      <w:r>
        <w:t>---</w:t>
      </w:r>
    </w:p>
    <w:p>
      <w:pPr>
        <w:spacing w:after="120" w:line="276" w:lineRule="auto"/>
      </w:pPr>
      <w:r>
        <w:t>## PARTIE 3 : ANALYSE FONDAMENTALE</w:t>
      </w:r>
    </w:p>
    <w:p>
      <w:pPr>
        <w:spacing w:after="120" w:line="276" w:lineRule="auto"/>
      </w:pPr>
      <w:r>
        <w:t>En 2025, TotalEnergies Marketing Sénégal a réalisé un chiffre d'affaires de **455,209 Mds FCFA**, en baisse de 6,1% par rapport à 2024 (484,945 Mds FCFA), conséquence directe de l'arrêt stratégique de la commercialisation du fuel lourd (39,5 Mds FCFA de CA en 2024) et du ralentissement des secteurs miniers et BTP. Le résultat net s'établit à **6,779 Mds FCFA** (marge nette de 1,49%), en léger recul de 5,1% vs 2024 (7,140 Mds FCFA), tandis que le résultat d'exploitation progresse à 8,693 Mds FCFA, démontrant la résilience opérationnelle. Le ROE atteint **24,01%** (excellent, &gt;15%) et le ROA 3,95%, confirmant une rentabilité des fonds propres solide malgré une marge nette structurellement faible (1,49%), typique de la distribution pétrolière. La structure financière révèle une autonomie financière de 16,44% (inférieure au seuil sain de 30%), un ratio d'endettement de 52,16% et une capacité de remboursement de 0,94 an (dette financière/CAF), ce qui reste maîtrisé grâce à une trésorerie nette positive de 13,941 Mds FCFA et un BFR négatif de -36,899 Mds FCFA (favorable). Les délais d'exploitation montrent un délai client de 47,43 jours (risque de trésorerie modéré, notamment sur les créances État) et un délai fournisseur de 97,76 jours (avantage de trésorerie). Sur la base du rapport T1 2026 (publié le 31/03/2026), le CA recule de 10% à 99,9 Mds FCFA sous l'effet de la révision réglementaire des prix à la pompe, mais le résultat d'exploitation bondit de +28% à 2,623 Mds FCFA et le résultat net progresse de +5% à 1,585 Mds FCFA, grâce à l'amélioration des marges sur les lubrifiants. On estime donc que l'exercice 2026 devrait confirmer cette tendance : contraction du CA nominal mais amélioration de la qualité des bénéfices, avec un résultat net annuel potentiellement stable ou légèrement supérieur à 2025. Les rapports antérieurs (T3 2025, S1 2025, T1 2025) confirment cette transition stratégique, avec une marge d'exploitation passée de 1,35% au S1 2024 à 1,70% au S1 2025. **Recommandation fondamentale : CONSERVER** — la solidité du leader, la générosité de la politique de dividende (7,691 Mds FCFA versés en 2025, soit un rendement estimé à ~6%) et les perspectives liées aux projets Sangomar/GTA compensent la faiblesse de la croissance du CA et la dépendance réglementaire.</w:t>
      </w:r>
    </w:p>
    <w:p>
      <w:pPr>
        <w:spacing w:after="120" w:line="276" w:lineRule="auto"/>
      </w:pPr>
      <w:r>
        <w:t>---</w:t>
      </w:r>
    </w:p>
    <w:p>
      <w:pPr>
        <w:spacing w:after="120" w:line="276" w:lineRule="auto"/>
      </w:pPr>
      <w:r>
        <w:t>## PARTIE 4 : CONCLUSION D'INVESTISSEMENT</w:t>
      </w:r>
    </w:p>
    <w:p>
      <w:pPr>
        <w:spacing w:after="120" w:line="276" w:lineRule="auto"/>
      </w:pPr>
      <w:r>
        <w:t>La valorisation de TTLS apparaît **exigeante** (PER 17,7x vs moyenne BRVM 8-12x ; P/B 4,26x), mais tempérée par un EV/EBITDA raisonnable (7,5x) et un rendement du dividende attractif (~6%), ce qui positionne le titre comme une valeur de rendement plutôt qu'une valeur de croissance. Le comportement du cours sur 100 jours est haussier (+25,08%) avec une volatilité élevée (43%), une distribution symétrique (skewness -0,158) et un kurtosis proche de la normale (0,236), indiquant un risque de pics modéré mais une sensibilité sectorielle forte. Les signaux techniques sont **divergents** : les moyennes mobiles et le stochastique plaident pour un achat sur repli, tandis que le MACD et le RSI recommandent la prudence, le titre se situant dans une phase de consolidation au sein d'un trend haussier. Les fondamentaux restent **solides** (ROE 24%, trésorerie nette positive, BFR négatif, leader avec 140 stations), mais la croissance du CA est contrainte par l'arrêt du fuel lourd et la réglementation des prix, compensée par l'amélioration des marges sur les lubrifiants et le GPL. Les prédictions IA (J+1 à J+10) anticipent une **légère dérive baissière** de 3 654 FCFA à 3 621 FCFA, ce qui contredit le signal d'achat des moyennes mobiles mais confirme la prudence du MACD et du RSI. **Recommandation finale : CONSERVER** — la convergence entre une valorisation exigeante, des signaux techniques mitigés, des fondamentaux résilients mais sans catalyseur de croissance fort, et des prédictions baissières de court terme ne justifie ni un achat agressif ni une vente. Le niveau de confiance est **Moyen** (divergence des indicateurs) et le risque global **Moyen** (volatilité élevée, dépendance réglementaire). L'horizon optimal est le **moyen terme (3-12 mois)**, en attendant la confirmation des résultats semestriels 2026 et la clarification de la politique de dividende, avec un point d'entrée idéal à proximité de 3 590-3 600 FCFA (borne inférieure de Bollinger).</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-15.70%</w:t>
            </w:r>
          </w:p>
          <w:p>
            <w:r>
              <w:rPr>
                <w:b/>
                <w:color w:val="503200"/>
                <w:sz w:val="16"/>
              </w:rPr>
              <w:t xml:space="preserve">Plus haut 100j : </w:t>
            </w:r>
            <w:r>
              <w:rPr>
                <w:color w:val="000000"/>
                <w:sz w:val="17"/>
              </w:rPr>
              <w:t>60,500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μ=54,676 FCFA, σ=3,007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β=0.5352 (Défensif) — Cov=0.000037, Var(idx)=0.000069, ρ=0.120,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2026-10-05</w:t>
            </w:r>
          </w:p>
        </w:tc>
        <w:tc>
          <w:tcPr>
            <w:tcW w:type="dxa" w:w="1440"/>
            <w:shd w:fill="FFDCE0" w:val="clear"/>
          </w:tcPr>
          <w:p>
            <w:r>
              <w:rPr>
                <w:sz w:val="17"/>
              </w:rPr>
              <w:t>44,606</w:t>
            </w:r>
          </w:p>
        </w:tc>
        <w:tc>
          <w:tcPr>
            <w:tcW w:type="dxa" w:w="1440"/>
            <w:shd w:fill="FFDCE0" w:val="clear"/>
          </w:tcPr>
          <w:p>
            <w:r>
              <w:rPr>
                <w:b/>
                <w:sz w:val="17"/>
              </w:rPr>
              <w:t>49,195</w:t>
            </w:r>
          </w:p>
        </w:tc>
        <w:tc>
          <w:tcPr>
            <w:tcW w:type="dxa" w:w="1440"/>
            <w:shd w:fill="FFDCE0" w:val="clear"/>
          </w:tcPr>
          <w:p>
            <w:r>
              <w:rPr>
                <w:sz w:val="17"/>
              </w:rPr>
              <w:t>53,785</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2026-10-06</w:t>
            </w:r>
          </w:p>
        </w:tc>
        <w:tc>
          <w:tcPr>
            <w:tcW w:type="dxa" w:w="1440"/>
            <w:shd w:fill="FFDCE0" w:val="clear"/>
          </w:tcPr>
          <w:p>
            <w:r>
              <w:rPr>
                <w:sz w:val="17"/>
              </w:rPr>
              <w:t>43,579</w:t>
            </w:r>
          </w:p>
        </w:tc>
        <w:tc>
          <w:tcPr>
            <w:tcW w:type="dxa" w:w="1440"/>
            <w:shd w:fill="FFDCE0" w:val="clear"/>
          </w:tcPr>
          <w:p>
            <w:r>
              <w:rPr>
                <w:b/>
                <w:sz w:val="17"/>
              </w:rPr>
              <w:t>49,201</w:t>
            </w:r>
          </w:p>
        </w:tc>
        <w:tc>
          <w:tcPr>
            <w:tcW w:type="dxa" w:w="1440"/>
            <w:shd w:fill="FFDCE0" w:val="clear"/>
          </w:tcPr>
          <w:p>
            <w:r>
              <w:rPr>
                <w:sz w:val="17"/>
              </w:rPr>
              <w:t>54,823</w:t>
            </w:r>
          </w:p>
        </w:tc>
        <w:tc>
          <w:tcPr>
            <w:tcW w:type="dxa" w:w="1440"/>
            <w:shd w:fill="FFDCE0" w:val="clear"/>
          </w:tcPr>
          <w:p>
            <w:r>
              <w:rPr>
                <w:b/>
                <w:color w:val="C00000"/>
                <w:sz w:val="17"/>
              </w:rPr>
              <w:t>-3.5%</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42,694</w:t>
            </w:r>
          </w:p>
        </w:tc>
        <w:tc>
          <w:tcPr>
            <w:tcW w:type="dxa" w:w="1440"/>
            <w:shd w:fill="FFDCE0" w:val="clear"/>
          </w:tcPr>
          <w:p>
            <w:r>
              <w:rPr>
                <w:b/>
                <w:sz w:val="17"/>
              </w:rPr>
              <w:t>49,183</w:t>
            </w:r>
          </w:p>
        </w:tc>
        <w:tc>
          <w:tcPr>
            <w:tcW w:type="dxa" w:w="1440"/>
            <w:shd w:fill="FFDCE0" w:val="clear"/>
          </w:tcPr>
          <w:p>
            <w:r>
              <w:rPr>
                <w:sz w:val="17"/>
              </w:rPr>
              <w:t>55,672</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41,908</w:t>
            </w:r>
          </w:p>
        </w:tc>
        <w:tc>
          <w:tcPr>
            <w:tcW w:type="dxa" w:w="1440"/>
            <w:shd w:fill="FFDCE0" w:val="clear"/>
          </w:tcPr>
          <w:p>
            <w:r>
              <w:rPr>
                <w:b/>
                <w:sz w:val="17"/>
              </w:rPr>
              <w:t>49,160</w:t>
            </w:r>
          </w:p>
        </w:tc>
        <w:tc>
          <w:tcPr>
            <w:tcW w:type="dxa" w:w="1440"/>
            <w:shd w:fill="FFDCE0" w:val="clear"/>
          </w:tcPr>
          <w:p>
            <w:r>
              <w:rPr>
                <w:sz w:val="17"/>
              </w:rPr>
              <w:t>56,411</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41,196</w:t>
            </w:r>
          </w:p>
        </w:tc>
        <w:tc>
          <w:tcPr>
            <w:tcW w:type="dxa" w:w="1440"/>
            <w:shd w:fill="FFDCE0" w:val="clear"/>
          </w:tcPr>
          <w:p>
            <w:r>
              <w:rPr>
                <w:b/>
                <w:sz w:val="17"/>
              </w:rPr>
              <w:t>49,135</w:t>
            </w:r>
          </w:p>
        </w:tc>
        <w:tc>
          <w:tcPr>
            <w:tcW w:type="dxa" w:w="1440"/>
            <w:shd w:fill="FFDCE0" w:val="clear"/>
          </w:tcPr>
          <w:p>
            <w:r>
              <w:rPr>
                <w:sz w:val="17"/>
              </w:rPr>
              <w:t>57,075</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40,540</w:t>
            </w:r>
          </w:p>
        </w:tc>
        <w:tc>
          <w:tcPr>
            <w:tcW w:type="dxa" w:w="1440"/>
            <w:shd w:fill="FFDCE0" w:val="clear"/>
          </w:tcPr>
          <w:p>
            <w:r>
              <w:rPr>
                <w:b/>
                <w:sz w:val="17"/>
              </w:rPr>
              <w:t>49,111</w:t>
            </w:r>
          </w:p>
        </w:tc>
        <w:tc>
          <w:tcPr>
            <w:tcW w:type="dxa" w:w="1440"/>
            <w:shd w:fill="FFDCE0" w:val="clear"/>
          </w:tcPr>
          <w:p>
            <w:r>
              <w:rPr>
                <w:sz w:val="17"/>
              </w:rPr>
              <w:t>57,683</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39,928</w:t>
            </w:r>
          </w:p>
        </w:tc>
        <w:tc>
          <w:tcPr>
            <w:tcW w:type="dxa" w:w="1440"/>
            <w:shd w:fill="FFDCE0" w:val="clear"/>
          </w:tcPr>
          <w:p>
            <w:r>
              <w:rPr>
                <w:b/>
                <w:sz w:val="17"/>
              </w:rPr>
              <w:t>49,087</w:t>
            </w:r>
          </w:p>
        </w:tc>
        <w:tc>
          <w:tcPr>
            <w:tcW w:type="dxa" w:w="1440"/>
            <w:shd w:fill="FFDCE0" w:val="clear"/>
          </w:tcPr>
          <w:p>
            <w:r>
              <w:rPr>
                <w:sz w:val="17"/>
              </w:rPr>
              <w:t>58,246</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39,354</w:t>
            </w:r>
          </w:p>
        </w:tc>
        <w:tc>
          <w:tcPr>
            <w:tcW w:type="dxa" w:w="1440"/>
            <w:shd w:fill="FFDCE0" w:val="clear"/>
          </w:tcPr>
          <w:p>
            <w:r>
              <w:rPr>
                <w:b/>
                <w:sz w:val="17"/>
              </w:rPr>
              <w:t>49,064</w:t>
            </w:r>
          </w:p>
        </w:tc>
        <w:tc>
          <w:tcPr>
            <w:tcW w:type="dxa" w:w="1440"/>
            <w:shd w:fill="FFDCE0" w:val="clear"/>
          </w:tcPr>
          <w:p>
            <w:r>
              <w:rPr>
                <w:sz w:val="17"/>
              </w:rPr>
              <w:t>58,774</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38,811</w:t>
            </w:r>
          </w:p>
        </w:tc>
        <w:tc>
          <w:tcPr>
            <w:tcW w:type="dxa" w:w="1440"/>
            <w:shd w:fill="FFDCE0" w:val="clear"/>
          </w:tcPr>
          <w:p>
            <w:r>
              <w:rPr>
                <w:b/>
                <w:sz w:val="17"/>
              </w:rPr>
              <w:t>49,041</w:t>
            </w:r>
          </w:p>
        </w:tc>
        <w:tc>
          <w:tcPr>
            <w:tcW w:type="dxa" w:w="1440"/>
            <w:shd w:fill="FFDCE0" w:val="clear"/>
          </w:tcPr>
          <w:p>
            <w:r>
              <w:rPr>
                <w:sz w:val="17"/>
              </w:rPr>
              <w:t>59,271</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Marché des Actions*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**468,35 milliards FCFA**, un niveau qui place la société parmi les valeurs significatives de la cote BRVM, bien que très en deçà des poids lourds comme Sonatel. Les ratios de valorisation classiques (BPA, PER, P/B, EV/EBITDA) ne sont pas calculables en l'absence de données financières structurées exploitables dans la base de données, ce qui limite l'appréciation directe du prix payé par rapport aux bénéfices. Cette absence est d'autant plus problématique que le dernier résultat net publié (640 millions FCFA en 2023) rapporté à la capitalisation de 468 milliards implique un PER théorique très élevé (supérieur à 700x), signalant une décorrélation majeure entre le prix de marché et la rentabilité effective. En l'absence de P/B et d'EV/EBITDA, l'investisseur doit se référer aux fondamentaux détaillés en Partie 3 pour évaluer si le cours actuel de 51 000 FCFA est justifié. Le marché valorise donc UNLC bien au-delà de ses capacités bénéficiaires actuelles, ce qui constitue un signal de prudence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-15,70%**, confirmant une tendance baissière de fond, malgré un rebond spectaculaire de **+7,37% lors de la dernière séance (J-1)** qui ramène le cours à **51 000 FCFA**. Le range de trading est large, avec un plus haut à **60 500 FCFA** et un plus bas à **47 215 FCFA**, soit une amplitude de plus de 13 000 FCFA (environ 28% du cours actuel), traduisant une forte nervosité du titre. Les statistiques descriptives révèlent une **moyenne de 54 676 FCFA** et une **médiane de 54 595 FCFA** très proches, confirmant une distribution globalement symétrique (skewness de -0,088), tandis que le **mode à 58 000 FCFA** suggère que le cours a longtemps stagné autour de ce niveau avant de décrocher. L'**écart-type de 3 022 FCFA** avec un **coefficient de variation de 5,5%** indique une dispersion modérée en valeur relative, mais la **volatilité annualisée de 59,1%** classe le titre dans la catégorie des valeurs à volatilité élevée (&gt;30%), ce qui est cohérent avec la faible liquidité (21 titres échangés en moyenne par jour). Le **kurtosis de -0,579** (mésokurtique) suggère une distribution proche de la normale, sans risque extrême de pics, mais le contexte de faible volume rend cette lecture fragile. En synthèse, le titre est en tendance baissière sur 100 jours, avec un rebond technique récent qui demande confirmation.</w:t>
      </w:r>
    </w:p>
    <w:p>
      <w:pPr>
        <w:spacing w:after="120" w:line="276" w:lineRule="auto"/>
      </w:pPr>
      <w:r>
        <w:t>---</w:t>
      </w:r>
    </w:p>
    <w:p>
      <w:pPr>
        <w:spacing w:after="120" w:line="276" w:lineRule="auto"/>
      </w:pPr>
      <w:r>
        <w:t>## PARTIE 2 : ANALYSE TECHNIQUE DÉTAILLÉE</w:t>
      </w:r>
    </w:p>
    <w:p>
      <w:pPr>
        <w:spacing w:after="120" w:line="276" w:lineRule="auto"/>
      </w:pPr>
      <w:r>
        <w:t>**Moyennes Mobiles** : La MM20 (51 528 FCFA) et la MM50 (52 856,5 FCFA) sont toutes deux supérieures au cours actuel (51 000 FCFA), et la MM20 est en dessous de la MM50, configurant un croisement baissier (death cross) caractéristique d'une tendance descendante. La décision technique est donc logiquement **Vente**, le cours évoluant sous ses deux moyennes de référence.</w:t>
      </w:r>
    </w:p>
    <w:p>
      <w:pPr>
        <w:spacing w:after="120" w:line="276" w:lineRule="auto"/>
      </w:pPr>
      <w:r>
        <w:t>**Bandes de Bollinger** : Le cours (51 000 FCFA) se situe dans la partie médiane de la bande, entre la borne inférieure (47 327,8 FCFA) et la borne supérieure (55 728,2 FCFA), sans toucher les extrêmes. Cette position centrale, combinée à un resserrement relatif des bandes, traduit une volatilité en cours de normalisation et justifie la décision **Neutre**, en attendant une cassure directionnelle.</w:t>
      </w:r>
    </w:p>
    <w:p>
      <w:pPr>
        <w:spacing w:after="120" w:line="276" w:lineRule="auto"/>
      </w:pPr>
      <w:r>
        <w:t>**MACD** : La ligne MACD (-1 141,27) est inférieure à sa ligne de signal (-907,26), et les deux évoluent en territoire négatif, confirmant un momentum baissier toujours actif malgré le rebond de J-1. La décision **Vente** est maintenue tant que le MACD ne repasse pas au-dessus de son signal.</w:t>
      </w:r>
    </w:p>
    <w:p>
      <w:pPr>
        <w:spacing w:after="120" w:line="276" w:lineRule="auto"/>
      </w:pPr>
      <w:r>
        <w:t>**RSI** : À **43,16**, le RSI se situe en zone neutre (entre 30 et 70), sans signal de survente ni de surachat. Cette position médiane indique que le titre n'est ni épuisé à la baisse ni en excès haussier, ce qui justifie la décision **Neutre** et laisse la porte ouverte à une reprise comme à une nouvelle jambe baissière.</w:t>
      </w:r>
    </w:p>
    <w:p>
      <w:pPr>
        <w:spacing w:after="120" w:line="276" w:lineRule="auto"/>
      </w:pPr>
      <w:r>
        <w:t>**Stochastique** : Le %K (55,79) est nettement supérieur au %D (19,99), ce qui constitue un croisement haussier récent, typique d'un rebond de court terme. Cependant, le %D reste très bas, et la décision globale demeure **Neutre**, le signal haussier n'étant pas encore confirmé par une remontée durable des deux lignes au-dessus de 50.</w:t>
      </w:r>
    </w:p>
    <w:p>
      <w:pPr>
        <w:spacing w:after="120" w:line="276" w:lineRule="auto"/>
      </w:pPr>
      <w:r>
        <w:t>**Conclusion technique** : La convergence des indicateurs est majoritairement baissière (MM, MACD) ou neutre (Bollinger, RSI, Stochastique), avec un rebond technique de court terme (stochastique haussier, J-1 +7,37%) qui ne remet pas en cause la tendance de fond. Le titre évolue sous ses moyennes mobiles avec un momentum négatif, et seule une cassure au-dessus de 52 856 FCFA (MM50) accompagnée d'un MACD positif inverserait la configuration. La prudence reste de mise.</w:t>
      </w:r>
    </w:p>
    <w:p>
      <w:pPr>
        <w:spacing w:after="120" w:line="276" w:lineRule="auto"/>
      </w:pPr>
      <w:r>
        <w:t>---</w:t>
      </w:r>
    </w:p>
    <w:p>
      <w:pPr>
        <w:spacing w:after="120" w:line="276" w:lineRule="auto"/>
      </w:pPr>
      <w:r>
        <w:t>## PARTIE 3 : ANALYSE FONDAMENTALE</w:t>
      </w:r>
    </w:p>
    <w:p>
      <w:pPr>
        <w:spacing w:after="120" w:line="276" w:lineRule="auto"/>
      </w:pPr>
      <w:r>
        <w:t>L'analyse fondamentale d'UNLC s'appuie sur les rapports financiers officiels disponibles, dont les plus récents datent du **31 décembre 2023** (exercice 2023), complétés par les exercices 2022, 2021 et antérieurs. **En 2023**, le chiffre d'affaires s'établit à **24 336 010 000 FCFA**, en stagnation totale par rapport à 2022 (même montant), confirmant l'absence de croissance organique. Le résultat net redevient positif à **640 334 855 FCFA**, après une perte abyssale de **-6 908 362 002 FCFA en 2022**, mais cette amélioration reste fragile : la marge nette n'est que de **2,63%**, très en dessous de la moyenne sectorielle FMCG (5-10%). Le résultat d'exploitation passe de **-6 258 M FCFA en 2022 à +3 340 M FCFA en 2023**, grâce à une réduction des charges et une hausse des produits accessoires, mais les **capitaux propres restent négatifs à -10 658 M FCFA** et le **report à nouveau est de -35 635 M FCFA**, traduisant des pertes cumulées non absorbées. La **trésorerie passive (14 874 M FCFA)** dépasse largement la trésorerie active, signalant un risque de liquidité, tandis que les **dettes financières augmentent à 4 379 M FCFA** (contre 3 827 M FCFA en 2022). Aucun dividende n'a été versé en 2023, et la politique de rétention des bénéfices est la seule option viable pour reconstituer les fonds propres. **En 2022**, le chiffre d'affaires était de **36 174,6 M FCFA** (selon le rapport provisoire), en baisse de 21,5% par rapport à 2021, et la perte nette de **-6 382,6 M FCFA** reflétait la disparition des produits exceptionnels liés à la cession de Lipton en 2021. **En 2021**, le résultat net était positif à **6 090,7 M FCFA** (marge nette de 25%), mais cet exercice bénéficiait de la cession de la marque Lipton pour +16,7 milliards FCFA, un événement non récurrent. L'évolution sur trois ans montre donc une société en crise structurelle, avec un retour à une profitabilité marginale en 2023 qui ne compense pas les pertes accumulées. **Recommandation fondamentale** : la solidité financière est très précaire (capitaux propres négatifs, endettement croissant, absence de dividende), les perspectives restent incertaines et le risque de liquidité est élevé. Seule une restructuration profonde ou un soutien accru du groupe Unilever permettrait d'envisager un redressement durable.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de **VENTE** sur UNLC, avec un niveau de confiance **Moyen** et un risque global **Élevé**. En effet, la **valorisation (Partie 0)** est impossible à apprécier faute de ratios, mais la capitalisation de 468 milliards FCFA pour un résultat net de 640 millions FCFA implique un PER théorique prohibitif, signalant une surévaluation manifeste. Le **comportement du cours (Partie 1)** est baissier sur 100 jours (-15,70%), avec une volatilité annualisée de 59,1% (élevée) et une distribution symétrique mais sans tendance haussière durable, le rebond de J-1 (+7,37%) apparaissant comme un sursaut technique isolé. Les **signaux techniques (Partie 2)** sont majoritairement baissiers (MM20 &lt; MM50 &lt; cours, MACD négatif) ou neutres (RSI, Bollinger), le stochastique haussier étant le seul indicateur positif mais non confirmé. Les **fondamentaux (Partie 3)** sont très dégradés : capitaux propres négatifs, endettement croissant, marge nette de 2,63%, absence de dividende et risque de liquidité, malgré une amélioration du résultat d'exploitation en 2023. Les **prédictions IA (J+1 à J+10)** anticipent une trajectoire baissière vers **49 135 FCFA** (soit -3,7% par rapport au cours actuel de 51 000 FCFA), ce qui **confirme** les signaux techniques et fondamentaux baissiers. La convergence est donc baissière : valorisation surévaluée, technique négative, fondamentaux précaires et prédictions à la baisse. **Recommandation finale : VENTE**, avec un horizon d'investissement **court terme** (&lt;3 mois) pour les investisseurs cherchant à se positionner, et **moyen terme** (3-12 mois) pour ceux qui attendent une stabilisation des capitaux propres avant tout achat. Le niveau de risque est **Élevé** en raison de la faible liquidité, de la volatilité et de la fragilité financière de la société.</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48.97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13,702 titres</w:t>
            </w:r>
          </w:p>
        </w:tc>
        <w:tc>
          <w:tcPr>
            <w:tcW w:type="dxa" w:w="2268"/>
            <w:shd w:fill="FFF2CC" w:val="clear"/>
          </w:tcPr>
          <w:p>
            <w:r>
              <w:rPr>
                <w:b/>
                <w:color w:val="503200"/>
                <w:sz w:val="16"/>
              </w:rPr>
              <w:t xml:space="preserve">Cours actuel : </w:t>
            </w:r>
            <w:r>
              <w:rPr>
                <w:color w:val="000000"/>
                <w:sz w:val="17"/>
              </w:rPr>
              <w:t>2,360 FCFA</w:t>
            </w:r>
          </w:p>
          <w:p>
            <w:r>
              <w:rPr>
                <w:b/>
                <w:color w:val="503200"/>
                <w:sz w:val="16"/>
              </w:rPr>
              <w:t xml:space="preserve">Var. 100 jours : </w:t>
            </w:r>
            <w:r>
              <w:rPr>
                <w:b/>
                <w:color w:val="007800"/>
                <w:sz w:val="17"/>
              </w:rPr>
              <w:t>+30.75%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15.11% (Élevée) — μ=2,000 FCFA, σ=302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β=0.5047 (Défensif) — Cov=0.000035, Var(idx)=0.000069, ρ=0.133,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13,702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2026-10-05</w:t>
            </w:r>
          </w:p>
        </w:tc>
        <w:tc>
          <w:tcPr>
            <w:tcW w:type="dxa" w:w="1440"/>
            <w:shd w:fill="FAFAFA" w:val="clear"/>
          </w:tcPr>
          <w:p>
            <w:r>
              <w:rPr>
                <w:sz w:val="17"/>
              </w:rPr>
              <w:t>2,215</w:t>
            </w:r>
          </w:p>
        </w:tc>
        <w:tc>
          <w:tcPr>
            <w:tcW w:type="dxa" w:w="1440"/>
            <w:shd w:fill="FAFAFA" w:val="clear"/>
          </w:tcPr>
          <w:p>
            <w:r>
              <w:rPr>
                <w:b/>
                <w:sz w:val="17"/>
              </w:rPr>
              <w:t>2,329</w:t>
            </w:r>
          </w:p>
        </w:tc>
        <w:tc>
          <w:tcPr>
            <w:tcW w:type="dxa" w:w="1440"/>
            <w:shd w:fill="FAFAFA" w:val="clear"/>
          </w:tcPr>
          <w:p>
            <w:r>
              <w:rPr>
                <w:sz w:val="17"/>
              </w:rPr>
              <w:t>2,443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2026-10-06</w:t>
            </w:r>
          </w:p>
        </w:tc>
        <w:tc>
          <w:tcPr>
            <w:tcW w:type="dxa" w:w="1440"/>
            <w:shd w:fill="FFDCE0" w:val="clear"/>
          </w:tcPr>
          <w:p>
            <w:r>
              <w:rPr>
                <w:sz w:val="17"/>
              </w:rPr>
              <w:t>2,171</w:t>
            </w:r>
          </w:p>
        </w:tc>
        <w:tc>
          <w:tcPr>
            <w:tcW w:type="dxa" w:w="1440"/>
            <w:shd w:fill="FFDCE0" w:val="clear"/>
          </w:tcPr>
          <w:p>
            <w:r>
              <w:rPr>
                <w:b/>
                <w:sz w:val="17"/>
              </w:rPr>
              <w:t>2,309</w:t>
            </w:r>
          </w:p>
        </w:tc>
        <w:tc>
          <w:tcPr>
            <w:tcW w:type="dxa" w:w="1440"/>
            <w:shd w:fill="FFDCE0" w:val="clear"/>
          </w:tcPr>
          <w:p>
            <w:r>
              <w:rPr>
                <w:sz w:val="17"/>
              </w:rPr>
              <w:t>2,448</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2026-10-07</w:t>
            </w:r>
          </w:p>
        </w:tc>
        <w:tc>
          <w:tcPr>
            <w:tcW w:type="dxa" w:w="1440"/>
            <w:shd w:fill="FFDCE0" w:val="clear"/>
          </w:tcPr>
          <w:p>
            <w:r>
              <w:rPr>
                <w:sz w:val="17"/>
              </w:rPr>
              <w:t>2,132</w:t>
            </w:r>
          </w:p>
        </w:tc>
        <w:tc>
          <w:tcPr>
            <w:tcW w:type="dxa" w:w="1440"/>
            <w:shd w:fill="FFDCE0" w:val="clear"/>
          </w:tcPr>
          <w:p>
            <w:r>
              <w:rPr>
                <w:b/>
                <w:sz w:val="17"/>
              </w:rPr>
              <w:t>2,291</w:t>
            </w:r>
          </w:p>
        </w:tc>
        <w:tc>
          <w:tcPr>
            <w:tcW w:type="dxa" w:w="1440"/>
            <w:shd w:fill="FFDCE0" w:val="clear"/>
          </w:tcPr>
          <w:p>
            <w:r>
              <w:rPr>
                <w:sz w:val="17"/>
              </w:rPr>
              <w:t>2,450</w:t>
            </w:r>
          </w:p>
        </w:tc>
        <w:tc>
          <w:tcPr>
            <w:tcW w:type="dxa" w:w="1440"/>
            <w:shd w:fill="FFDCE0" w:val="clear"/>
          </w:tcPr>
          <w:p>
            <w:r>
              <w:rPr>
                <w:b/>
                <w:color w:val="C00000"/>
                <w:sz w:val="17"/>
              </w:rPr>
              <w:t>-2.9%</w:t>
            </w:r>
          </w:p>
        </w:tc>
      </w:tr>
      <w:tr>
        <w:tc>
          <w:tcPr>
            <w:tcW w:type="dxa" w:w="1440"/>
            <w:shd w:fill="FFDCE0" w:val="clear"/>
          </w:tcPr>
          <w:p>
            <w:r>
              <w:rPr>
                <w:sz w:val="17"/>
              </w:rPr>
              <w:t>J+4  ⭐</w:t>
            </w:r>
          </w:p>
        </w:tc>
        <w:tc>
          <w:tcPr>
            <w:tcW w:type="dxa" w:w="1440"/>
            <w:shd w:fill="FFDCE0" w:val="clear"/>
          </w:tcPr>
          <w:p>
            <w:r>
              <w:rPr>
                <w:sz w:val="17"/>
              </w:rPr>
              <w:t>2026-10-08</w:t>
            </w:r>
          </w:p>
        </w:tc>
        <w:tc>
          <w:tcPr>
            <w:tcW w:type="dxa" w:w="1440"/>
            <w:shd w:fill="FFDCE0" w:val="clear"/>
          </w:tcPr>
          <w:p>
            <w:r>
              <w:rPr>
                <w:sz w:val="17"/>
              </w:rPr>
              <w:t>2,097</w:t>
            </w:r>
          </w:p>
        </w:tc>
        <w:tc>
          <w:tcPr>
            <w:tcW w:type="dxa" w:w="1440"/>
            <w:shd w:fill="FFDCE0" w:val="clear"/>
          </w:tcPr>
          <w:p>
            <w:r>
              <w:rPr>
                <w:b/>
                <w:sz w:val="17"/>
              </w:rPr>
              <w:t>2,274</w:t>
            </w:r>
          </w:p>
        </w:tc>
        <w:tc>
          <w:tcPr>
            <w:tcW w:type="dxa" w:w="1440"/>
            <w:shd w:fill="FFDCE0" w:val="clear"/>
          </w:tcPr>
          <w:p>
            <w:r>
              <w:rPr>
                <w:sz w:val="17"/>
              </w:rPr>
              <w:t>2,450</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2026-10-09</w:t>
            </w:r>
          </w:p>
        </w:tc>
        <w:tc>
          <w:tcPr>
            <w:tcW w:type="dxa" w:w="1440"/>
            <w:shd w:fill="FFDCE0" w:val="clear"/>
          </w:tcPr>
          <w:p>
            <w:r>
              <w:rPr>
                <w:sz w:val="17"/>
              </w:rPr>
              <w:t>2,065</w:t>
            </w:r>
          </w:p>
        </w:tc>
        <w:tc>
          <w:tcPr>
            <w:tcW w:type="dxa" w:w="1440"/>
            <w:shd w:fill="FFDCE0" w:val="clear"/>
          </w:tcPr>
          <w:p>
            <w:r>
              <w:rPr>
                <w:b/>
                <w:sz w:val="17"/>
              </w:rPr>
              <w:t>2,257</w:t>
            </w:r>
          </w:p>
        </w:tc>
        <w:tc>
          <w:tcPr>
            <w:tcW w:type="dxa" w:w="1440"/>
            <w:shd w:fill="FFDCE0" w:val="clear"/>
          </w:tcPr>
          <w:p>
            <w:r>
              <w:rPr>
                <w:sz w:val="17"/>
              </w:rPr>
              <w:t>2,448</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2026-10-12</w:t>
            </w:r>
          </w:p>
        </w:tc>
        <w:tc>
          <w:tcPr>
            <w:tcW w:type="dxa" w:w="1440"/>
            <w:shd w:fill="FFDCE0" w:val="clear"/>
          </w:tcPr>
          <w:p>
            <w:r>
              <w:rPr>
                <w:sz w:val="17"/>
              </w:rPr>
              <w:t>2,035</w:t>
            </w:r>
          </w:p>
        </w:tc>
        <w:tc>
          <w:tcPr>
            <w:tcW w:type="dxa" w:w="1440"/>
            <w:shd w:fill="FFDCE0" w:val="clear"/>
          </w:tcPr>
          <w:p>
            <w:r>
              <w:rPr>
                <w:b/>
                <w:sz w:val="17"/>
              </w:rPr>
              <w:t>2,240</w:t>
            </w:r>
          </w:p>
        </w:tc>
        <w:tc>
          <w:tcPr>
            <w:tcW w:type="dxa" w:w="1440"/>
            <w:shd w:fill="FFDCE0" w:val="clear"/>
          </w:tcPr>
          <w:p>
            <w:r>
              <w:rPr>
                <w:sz w:val="17"/>
              </w:rPr>
              <w:t>2,446</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2026-10-13</w:t>
            </w:r>
          </w:p>
        </w:tc>
        <w:tc>
          <w:tcPr>
            <w:tcW w:type="dxa" w:w="1440"/>
            <w:shd w:fill="FFDCE0" w:val="clear"/>
          </w:tcPr>
          <w:p>
            <w:r>
              <w:rPr>
                <w:sz w:val="17"/>
              </w:rPr>
              <w:t>2,006</w:t>
            </w:r>
          </w:p>
        </w:tc>
        <w:tc>
          <w:tcPr>
            <w:tcW w:type="dxa" w:w="1440"/>
            <w:shd w:fill="FFDCE0" w:val="clear"/>
          </w:tcPr>
          <w:p>
            <w:r>
              <w:rPr>
                <w:b/>
                <w:sz w:val="17"/>
              </w:rPr>
              <w:t>2,224</w:t>
            </w:r>
          </w:p>
        </w:tc>
        <w:tc>
          <w:tcPr>
            <w:tcW w:type="dxa" w:w="1440"/>
            <w:shd w:fill="FFDCE0" w:val="clear"/>
          </w:tcPr>
          <w:p>
            <w:r>
              <w:rPr>
                <w:sz w:val="17"/>
              </w:rPr>
              <w:t>2,443</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2026-10-14</w:t>
            </w:r>
          </w:p>
        </w:tc>
        <w:tc>
          <w:tcPr>
            <w:tcW w:type="dxa" w:w="1440"/>
            <w:shd w:fill="FFDCE0" w:val="clear"/>
          </w:tcPr>
          <w:p>
            <w:r>
              <w:rPr>
                <w:sz w:val="17"/>
              </w:rPr>
              <w:t>1,979</w:t>
            </w:r>
          </w:p>
        </w:tc>
        <w:tc>
          <w:tcPr>
            <w:tcW w:type="dxa" w:w="1440"/>
            <w:shd w:fill="FFDCE0" w:val="clear"/>
          </w:tcPr>
          <w:p>
            <w:r>
              <w:rPr>
                <w:b/>
                <w:sz w:val="17"/>
              </w:rPr>
              <w:t>2,209</w:t>
            </w:r>
          </w:p>
        </w:tc>
        <w:tc>
          <w:tcPr>
            <w:tcW w:type="dxa" w:w="1440"/>
            <w:shd w:fill="FFDCE0" w:val="clear"/>
          </w:tcPr>
          <w:p>
            <w:r>
              <w:rPr>
                <w:sz w:val="17"/>
              </w:rPr>
              <w:t>2,439</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2026-10-15</w:t>
            </w:r>
          </w:p>
        </w:tc>
        <w:tc>
          <w:tcPr>
            <w:tcW w:type="dxa" w:w="1440"/>
            <w:shd w:fill="FFDCE0" w:val="clear"/>
          </w:tcPr>
          <w:p>
            <w:r>
              <w:rPr>
                <w:sz w:val="17"/>
              </w:rPr>
              <w:t>1,954</w:t>
            </w:r>
          </w:p>
        </w:tc>
        <w:tc>
          <w:tcPr>
            <w:tcW w:type="dxa" w:w="1440"/>
            <w:shd w:fill="FFDCE0" w:val="clear"/>
          </w:tcPr>
          <w:p>
            <w:r>
              <w:rPr>
                <w:b/>
                <w:sz w:val="17"/>
              </w:rPr>
              <w:t>2,194</w:t>
            </w:r>
          </w:p>
        </w:tc>
        <w:tc>
          <w:tcPr>
            <w:tcW w:type="dxa" w:w="1440"/>
            <w:shd w:fill="FFDCE0" w:val="clear"/>
          </w:tcPr>
          <w:p>
            <w:r>
              <w:rPr>
                <w:sz w:val="17"/>
              </w:rPr>
              <w:t>2,435</w:t>
            </w:r>
          </w:p>
        </w:tc>
        <w:tc>
          <w:tcPr>
            <w:tcW w:type="dxa" w:w="1440"/>
            <w:shd w:fill="FFDCE0" w:val="clear"/>
          </w:tcPr>
          <w:p>
            <w:r>
              <w:rPr>
                <w:b/>
                <w:color w:val="C00000"/>
                <w:sz w:val="17"/>
              </w:rPr>
              <w:t>-7.0%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 RAPPORT D'ANALYSE FINANCIÈRE — UNIWAX (UNXC)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d'UNIWAX s'établit à 48,97 milliards FCFA, un niveau significatif à l'échelle de la BRVM qui positionne le titre parmi les valeurs industrielles de taille intermédiaire de la cote. Le BPA ressort à -105 FCFA/action, traduisant une société qui détruit comptablement de la valeur par action sur l'exercice 2024, ce qui rend le PER de -22,4x non interprétable en termes de valorisation relative (un PER négatif signale simplement une perte nette). Le P/B de 3,14x indique que le marché valorise UNXC à plus de trois fois ses fonds propres comptables, soit une prime de croissance significative qui contraste avec la situation bénéficiaire encore fragile — le marché anticipe donc une normalisation des résultats. Le ratio EV/EBITDA n'est pas fourni dans les données disponibles, mais au regard d'un EBE 2024 négatif (-352 M FCFA), cet indicateur serait de toute façon non pertinent pour l'exercice écoulé ; il conviendra de le surveiller une fois l'EBE 2025 confirmé positif (1,13 Md FCFA selon le rapport annuel 2025).</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performance remarquable de +30,75%, portée par un net regain d'intérêt des investisseurs, même si la dernière séance (J-1) marque une correction de -2,68%, signe d'une prise de profit après le rallye. Le titre a évolué dans un range très large de 1 250 FCFA (plus bas) à 2 495 FCFA (plus haut), soit un écart de près de 100%, illustrant une forte amplitude de trading ; le cours actuel de 2 360 FCFA se situe dans le haut de cette fourchette, à environ 94% du plus haut. La tendance générale est donc clairement haussière, soutenue par l'amélioration des fondamentaux opérationnels annoncée dans les rapports 2025-2026. Les statistiques descriptives révèlent une moyenne de 2 000 FCFA légèrement supérieure à la médiane de 1 940 FCFA, avec un mode à 1 970 FCFA : cet écart modéré entre moyenne et médiane, combiné à un skewness de -0,075 (distribution quasi-symétrique), indique l'absence de biais directionnel marqué sur la période. L'écart-type de 304 FCFA (CV = 15,2%) traduit une dispersion modérée du cours autour de sa moyenne, tandis que le kurtosis de -0,521 (mésokurtique) suggère une distribution proche de la normale, sans risque de pics extrêmes marqué. La volatilité annualisée de 49,6% classe le titre dans la catégorie **élevée** (&gt;30%), ce qui est cohérent avec un titre de petite capitalisation en phase de redressement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(2 351,5 FCFA) et la MM50 (2 216,2 FCFA) se situent toutes deux sous le cours actuel (2 360 FCFA), avec une MM20 supérieure à la MM50 — configuration haussière classique (golden cross). Le cours évolue au-dessus de ses deux moyennes, ce qui valide la décision technique d'**Achat** et confirme la dynamique positive de court et moyen terme.</w:t>
      </w:r>
    </w:p>
    <w:p>
      <w:pPr>
        <w:spacing w:after="120" w:line="276" w:lineRule="auto"/>
      </w:pPr>
      <w:r>
        <w:t>**Bandes de Bollinger** : Le cours (2 360 FCFA) se situe dans la partie supérieure de la bande, entre la borne inférieure (2 224,4 FCFA) et la borne supérieure (2 478,6 FCFA), sans franchissement de cette dernière. Cette position médiane-haute, avec un cours proche de la MM20, justifie la décision **Neutre** : le titre n'est ni en surachat extrême ni en survente, et la volatilité reste contenue dans les bandes.</w:t>
      </w:r>
    </w:p>
    <w:p>
      <w:pPr>
        <w:spacing w:after="120" w:line="276" w:lineRule="auto"/>
      </w:pPr>
      <w:r>
        <w:t>**MACD** : La valeur du MACD (35,165) est inférieure à son signal (40,452), générant un croisement baissier et une décision de **Vente**. Ce signal de momentum négatif, bien que contredisant la tendance de fond haussière, suggère un essoufflement de la dynamique haussière à court terme et invite à la prudence sur les points d'entrée.</w:t>
      </w:r>
    </w:p>
    <w:p>
      <w:pPr>
        <w:spacing w:after="120" w:line="276" w:lineRule="auto"/>
      </w:pPr>
      <w:r>
        <w:t>**RSI** : À 46,364, le RSI se situe en zone neutre (30-70), sans signal de surachat (&gt;70) ni de survente (&lt;30). La décision **Neutre** reflète un équilibre entre acheteurs et vendeurs, avec une légère prédominance baissière compte tenu de la position sous la barre des 50.</w:t>
      </w:r>
    </w:p>
    <w:p>
      <w:pPr>
        <w:spacing w:after="120" w:line="276" w:lineRule="auto"/>
      </w:pPr>
      <w:r>
        <w:t>**Stochastique** : Le %K (65,306) est nettement inférieur au %D (85,714), avec un croisement baissier en zone haute — configuration qui précède souvent une correction. La décision **Neutre** masque donc un risque de repli à court terme, le %D en zone de surachat (&gt;80) appelant à la vigilance.</w:t>
      </w:r>
    </w:p>
    <w:p>
      <w:pPr>
        <w:spacing w:after="120" w:line="276" w:lineRule="auto"/>
      </w:pPr>
      <w:r>
        <w:t>**Conclusion technique** : Les indicateurs sont **divergents** — les moyennes mobiles valident la tendance haussière de fond, mais le MACD et le stochastique signalent un essoufflement à court terme, tandis que le RSI et les Bollinger restent neutres. Cette configuration mixte plaide pour une consolidation avant une éventuelle reprise, avec un support clé à surveiller autour de la MM20 (2 351 FCFA) et un risque de retour vers la MM50 (2 216 FCFA) en cas de cassure.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2024 (états financiers annuels) brossent un tableau contrasté : UNIWAX a réalisé un chiffre d'affaires de 27,333 milliards FCFA, en **recul de 7,93%** par rapport à 2023, pour un résultat net de **-2,189 milliards FCFA** (marge nette de -8,01%), un ROE de -14,04% et un ROA de -6,39% — la société était donc clairement déficitaire et destructrice de valeur sur cet exercice. L'analyse sectorielle (entreprise industrielle textile) révèle des signaux préoccupants : un délai client de 51 jours (risque de trésorerie modéré), un délai fournisseur élevé de 268 jours (favorable à la trésorerie mais pouvant signaler des tensions avec les fournisseurs) et une durée de stockage de 255 jours (immobilisation de capital très importante). Le BFR de 2,149 milliards FCFA et le fonds de roulement de 4,027 milliards FCFA indiquent une structure de financement correcte, avec une trésorerie nette positive de 2,495 milliards FCFA et une autonomie financière saine de 45,53%. Les rapports narratifs confirment une **inversion de tendance en 2025** : le rapport annuel 2025 (publié en 2025) fait état d'un CA de 29,03 milliards FCFA (+6,2%), d'un EBE redevenu positif à 1,13 milliard FCFA (contre -0,35 Md en 2024) et d'une perte nette réduite de 71% à -624 millions FCFA. Le rapport S1 2026 (publié en 2026) confirme ce redressement avec un **résultat d'exploitation redevenu positif à 771 millions FCFA** (contre -314 M au S1 2025) et un résultat net de 771 millions FCFA, bien que le CA ne progresse que de 0,3% à 15,752 milliards FCFA. On estime, sur la base de ces rapports trimestriels, que l'exercice 2026 devrait confirmer le retour à une rentabilité opérationnelle durable, portée par l'expansion à l'export (Nigeria, Guinée) et l'amélioration de la performance industrielle. La recommandation fondamentale est donc **prudente mais positive** : la solidité financière s'améliore (capitaux propres de 24,62 Md FCFA en 2025), les risques persistent (report à nouveau négatif de -5,54 Md, flux opérationnel négatif de -8,12 Md en 2025), mais la trajectoire de redressement est engagée et crédible.</w:t>
      </w:r>
    </w:p>
    <w:p>
      <w:pPr>
        <w:spacing w:after="120" w:line="276" w:lineRule="auto"/>
      </w:pPr>
      <w:r>
        <w:t>---</w:t>
      </w:r>
    </w:p>
    <w:p>
      <w:pPr>
        <w:spacing w:after="120" w:line="276" w:lineRule="auto"/>
      </w:pPr>
      <w:r>
        <w:t>## PARTIE 4 : CONCLUSION D'INVESTISSEMENT</w:t>
      </w:r>
    </w:p>
    <w:p>
      <w:pPr>
        <w:spacing w:after="120" w:line="276" w:lineRule="auto"/>
      </w:pPr>
      <w:r>
        <w:t>La valorisation (Partie 0) présente un profil atypique : le PER négatif (-22,4x) et le BPA négatif (-105 FCFA) interdisent toute lecture classique, tandis que le P/B de 3,14x traduit une prime de croissance que le marché accorde en anticipation du redressement — cette prime est justifiée si la rentabilité opérationnelle se confirme, mais elle expose le titre à une correction en cas de déception. Le comportement du cours (Partie 1) est nettement haussier (+30,75% sur 100 jours) avec une volatilité élevée (49,6%) et une distribution symétrique (skewness -0,075) sans risque de pics extrêmes (kurtosis -0,521), ce qui est globalement favorable mais impose une gestion active du risque. Les signaux techniques (Partie 2) sont **divergents** : les moyennes mobiles valident la tendance haussière, mais le MACD (vente) et le stochastique (croisement baissier en zone haute) signalent un essoufflement à court terme, plaidant pour une consolidation. Les fondamentaux (Partie 3) sont en **amélioration nette** : retour à un EBE positif en 2025 (1,13 Md FCFA), résultat d'exploitation positif au S1 2026 (771 M FCFA), désendettement massif — mais la société reste fragile (perte nette 2025 de -624 M FCFA, pertes cumulées de -5,54 Md). Les prédictions IA (J+1 à J+10) anticipent une **baisse progressive** de 2 329 FCFA à 2 257 FCFA, ce qui **contredit** la tendance haussière de fond mais **confirme** les signaux baissiers de court terme du MACD et du stochastique. Sur la base de cette synthèse globale, la recommandation finale est **CONSERVER** : le potentiel de redressement fondamental est réel et la tendance de fond est haussière, mais la divergence technique à court terme et les prédictions baissières invitent à ne pas renforcer immédiatement. Le niveau de confiance est **Moyen** (les fondamentaux sont encourageants mais la rentabilité n'est pas encore confirmée sur un exercice complet), le niveau de risque global est **Élevé** (volatilité de 49,6%, société encore déficitaire, dépendance aux marchés d'export), et l'horizon d'investissement optimal est le **moyen terme (3-12 mois)**, le temps que la rentabilité opérationnelle se confirme et que la prime de valorisation (P/B 3,14x) soit validée par les résultats.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