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05/08/2026 à 06:51</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44 ACHAT  |  1 NEUTRE  |  2 VENTE  (sur 47 sociétés)</w:t>
      </w:r>
    </w:p>
    <w:p>
      <w:pPr>
        <w:spacing w:before="20" w:after="20"/>
        <w:ind w:left="360" w:right="360"/>
        <w:shd w:val="clear" w:color="auto" w:fill="EBF5FB"/>
      </w:pPr>
      <w:r>
        <w:rPr>
          <w:b/>
          <w:sz w:val="19"/>
        </w:rPr>
        <w:t xml:space="preserve">Top opportunité :  </w:t>
      </w:r>
      <w:r>
        <w:rPr>
          <w:color w:val="008000"/>
          <w:sz w:val="19"/>
        </w:rPr>
        <w:t>SIVC  (score 78/100)</w:t>
      </w:r>
    </w:p>
    <w:p>
      <w:pPr>
        <w:spacing w:before="20" w:after="20"/>
        <w:ind w:left="360" w:right="360"/>
        <w:shd w:val="clear" w:color="auto" w:fill="EBF5FB"/>
      </w:pPr>
      <w:r>
        <w:rPr>
          <w:b/>
          <w:sz w:val="19"/>
        </w:rPr>
        <w:t xml:space="preserve">Secteur surperformant :  </w:t>
      </w:r>
      <w:r>
        <w:rPr>
          <w:color w:val="008000"/>
          <w:sz w:val="19"/>
        </w:rPr>
        <w:t>SERVICES PUBLICS  (+51.6%)</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15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485.89 points </w:t>
      </w:r>
      <w:r>
        <w:rPr>
          <w:color w:val="008000"/>
        </w:rPr>
        <w:t>(+0.09%)</w:t>
      </w:r>
      <w:r>
        <w:t xml:space="preserve"> sur la séance. </w:t>
      </w:r>
      <w:r>
        <w:t>La capitalisation globale du marché atteint 18 718,133 milliards FCFA.</w:t>
      </w:r>
    </w:p>
    <w:p/>
    <w:p>
      <w:pPr>
        <w:pStyle w:val="Heading3"/>
      </w:pPr>
      <w:r>
        <w:t>📊 Évolution de l'indice BRVM Composite (100 derniers jours)</w:t>
      </w:r>
    </w:p>
    <w:p>
      <w:r>
        <w:rPr>
          <w:b/>
        </w:rPr>
        <w:t xml:space="preserve">BRVM Composite — </w:t>
      </w:r>
      <w:r>
        <w:t xml:space="preserve">Sur les 99 derniers jours de cotation (2026-03-09 au 2026-08-04), l'indice BRVM Composite a évolué de </w:t>
      </w:r>
      <w:r>
        <w:rPr>
          <w:b/>
          <w:color w:val="008000"/>
        </w:rPr>
        <w:t>+17.45%</w:t>
      </w:r>
      <w:r>
        <w:t>, passant de 413.71 pts à 485.89 pts. Le plus haut atteint est 485.89 pts et le plus bas 397.33 pts. Sur l'ensemble de la période, la moyenne de l'indice s'établit à 432.06 pts, la médiane à 421.55 pts et le mode à 403.36 pts</w:t>
      </w:r>
      <w:r>
        <w:t xml:space="preserve"> — l'écart entre moyenne et médiane (10.51 pts) révèle une distribution asymétrique (asymétrie positive — plus de jours sous la moyenne). </w:t>
      </w:r>
      <w:r>
        <w:t xml:space="preserve">L'écart-type de 29.14 pts (CV=6.7%) traduit une faible dispersion des cotations. Le kurtosis de -1.11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+17.35%</w:t>
      </w:r>
      <w:r>
        <w:t xml:space="preserve"> sur la période, passant de 15 950,878 Mds FCFA à 18 718,133 Mds FCFA. Le pic de capitalisation observé est de 18 718,133 Mds FCFA et le plancher de 15 319,235 Mds FCFA. La moyenne de la capitalisation sur la période s'établit à 16 651,582 Mds FCFA, la médiane à 16 250,637 Mds FCFA et le mode à 15 319,235 Mds FCFA</w:t>
      </w:r>
      <w:r>
        <w:t xml:space="preserve"> — l'écart moyenne/médiane (400,945 Mds) signale une distribution asymétrie positive. </w:t>
      </w:r>
      <w:r>
        <w:t>L'écart-type de 1 117,292 Mds FCFA (CV=6.7%) reflète une faible variabilité de la valorisation du marché. Le kurtosis de -1.10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ONTBF - ONTBF - ONATEL BURKINA FASO</w:t>
      </w:r>
      <w:r>
        <w:t xml:space="preserve"> | Prix: 2940 FCFA | </w:t>
      </w:r>
      <w:r>
        <w:rPr>
          <w:b/>
          <w:color w:val="008000"/>
        </w:rPr>
        <w:t>ACHAT FORT</w:t>
      </w:r>
      <w:r>
        <w:t xml:space="preserve"> | Confiance: Faible | Risque: Faible</w:t>
      </w:r>
    </w:p>
    <w:p>
      <w:pPr>
        <w:pStyle w:val="ListNumber"/>
      </w:pPr>
      <w:r>
        <w:rPr>
          <w:b/>
        </w:rPr>
        <w:t>BICB - BIIC BN - Banque internationale pour le commerce du benin</w:t>
      </w:r>
      <w:r>
        <w:t xml:space="preserve"> | Prix: 7690 FCFA | </w:t>
      </w:r>
      <w:r>
        <w:rPr>
          <w:b/>
          <w:color w:val="008000"/>
        </w:rPr>
        <w:t>ACHAT</w:t>
      </w:r>
      <w:r>
        <w:t xml:space="preserve"> | Confiance: Moyen | Risque: Faible</w:t>
      </w:r>
    </w:p>
    <w:p>
      <w:pPr>
        <w:pStyle w:val="ListNumber"/>
      </w:pPr>
      <w:r>
        <w:rPr>
          <w:b/>
        </w:rPr>
        <w:t>BICC - BICI CI - Banque internationale pour le commerce et l'industrie de la Côte d'Ivoire</w:t>
      </w:r>
      <w:r>
        <w:t xml:space="preserve"> | Prix: 29000 FCFA | </w:t>
      </w:r>
      <w:r>
        <w:rPr>
          <w:b/>
          <w:color w:val="008000"/>
        </w:rPr>
        <w:t>ACHAT</w:t>
      </w:r>
      <w:r>
        <w:t xml:space="preserve"> | Confiance: Faible | Risque: Moyen</w:t>
      </w:r>
    </w:p>
    <w:p>
      <w:pPr>
        <w:pStyle w:val="ListNumber"/>
      </w:pPr>
      <w:r>
        <w:rPr>
          <w:b/>
        </w:rPr>
        <w:t>BNBC - BNBC - BERNABE CI</w:t>
      </w:r>
      <w:r>
        <w:t xml:space="preserve"> | Prix: 1930 FCFA | </w:t>
      </w:r>
      <w:r>
        <w:rPr>
          <w:b/>
          <w:color w:val="008000"/>
        </w:rPr>
        <w:t>ACHAT</w:t>
      </w:r>
      <w:r>
        <w:t xml:space="preserve"> | Confiance: Moyen | Risque: Moyen</w:t>
      </w:r>
    </w:p>
    <w:p>
      <w:pPr>
        <w:pStyle w:val="ListNumber"/>
      </w:pPr>
      <w:r>
        <w:rPr>
          <w:b/>
        </w:rPr>
        <w:t>BOAB - BANK OF AFRICA BENIN</w:t>
      </w:r>
      <w:r>
        <w:t xml:space="preserve"> | Prix: 8720 FCFA | </w:t>
      </w:r>
      <w:r>
        <w:rPr>
          <w:b/>
          <w:color w:val="008000"/>
        </w:rPr>
        <w:t>ACHAT</w:t>
      </w:r>
      <w:r>
        <w:t xml:space="preserve"> | Confiance: Moyen | Risque: Moyen</w:t>
      </w:r>
    </w:p>
    <w:p>
      <w:pPr>
        <w:pStyle w:val="ListNumber"/>
      </w:pPr>
      <w:r>
        <w:rPr>
          <w:b/>
        </w:rPr>
        <w:t>BOABF - BANK OF AFRICA BURKINA FASO</w:t>
      </w:r>
      <w:r>
        <w:t xml:space="preserve"> | Prix: 7200 FCFA | </w:t>
      </w:r>
      <w:r>
        <w:rPr>
          <w:b/>
          <w:color w:val="008000"/>
        </w:rPr>
        <w:t>ACHAT</w:t>
      </w:r>
      <w:r>
        <w:t xml:space="preserve"> | Confiance: Faible | Risque: Faible</w:t>
      </w:r>
    </w:p>
    <w:p>
      <w:pPr>
        <w:pStyle w:val="ListNumber"/>
      </w:pPr>
      <w:r>
        <w:rPr>
          <w:b/>
        </w:rPr>
        <w:t>BOAC - BANK OF AFRICA COTE D'IVOIRE</w:t>
      </w:r>
      <w:r>
        <w:t xml:space="preserve"> | Prix: 11600 FCFA | </w:t>
      </w:r>
      <w:r>
        <w:rPr>
          <w:b/>
          <w:color w:val="008000"/>
        </w:rPr>
        <w:t>ACHAT</w:t>
      </w:r>
      <w:r>
        <w:t xml:space="preserve"> | Confiance: Faible | Risque: Faible</w:t>
      </w:r>
    </w:p>
    <w:p>
      <w:pPr>
        <w:pStyle w:val="ListNumber"/>
      </w:pPr>
      <w:r>
        <w:rPr>
          <w:b/>
        </w:rPr>
        <w:t>BOAM - BANK OF AFRICA MALI</w:t>
      </w:r>
      <w:r>
        <w:t xml:space="preserve"> | Prix: 5590 FCFA | </w:t>
      </w:r>
      <w:r>
        <w:rPr>
          <w:b/>
          <w:color w:val="008000"/>
        </w:rPr>
        <w:t>ACHAT</w:t>
      </w:r>
      <w:r>
        <w:t xml:space="preserve"> | Confiance: Moyen | Risque: Faible</w:t>
      </w:r>
    </w:p>
    <w:p>
      <w:pPr>
        <w:pStyle w:val="ListNumber"/>
      </w:pPr>
      <w:r>
        <w:rPr>
          <w:b/>
        </w:rPr>
        <w:t>BOAN - BANK OF AFRICA NIGER</w:t>
      </w:r>
      <w:r>
        <w:t xml:space="preserve"> | Prix: 5100 FCFA | </w:t>
      </w:r>
      <w:r>
        <w:rPr>
          <w:b/>
          <w:color w:val="008000"/>
        </w:rPr>
        <w:t>ACHAT</w:t>
      </w:r>
      <w:r>
        <w:t xml:space="preserve"> | Confiance: Élevée | Risque: Moyen</w:t>
      </w:r>
    </w:p>
    <w:p>
      <w:pPr>
        <w:pStyle w:val="ListNumber"/>
      </w:pPr>
      <w:r>
        <w:rPr>
          <w:b/>
        </w:rPr>
        <w:t>BOAS - BANK OF AFRICA SENEGAL</w:t>
      </w:r>
      <w:r>
        <w:t xml:space="preserve"> | Prix: 7700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STAC - STAC - SETAO COTE D'IVOIRE</w:t>
      </w:r>
      <w:r>
        <w:t xml:space="preserve"> | Prix: 2800 FCFA | </w:t>
      </w:r>
      <w:r>
        <w:rPr>
          <w:b/>
          <w:color w:val="C00000"/>
        </w:rPr>
        <w:t>VENTE FORTE</w:t>
      </w:r>
      <w:r>
        <w:t xml:space="preserve"> | Confiance: Faible | Risque: Moyen</w:t>
      </w:r>
    </w:p>
    <w:p>
      <w:pPr>
        <w:pStyle w:val="ListNumber"/>
      </w:pPr>
      <w:r>
        <w:rPr>
          <w:b/>
        </w:rPr>
        <w:t>ABJC - ABJC - SERVAIR ABIDJAN CI</w:t>
      </w:r>
      <w:r>
        <w:t xml:space="preserve"> | Prix: 3000 FCFA | </w:t>
      </w:r>
      <w:r>
        <w:rPr>
          <w:b/>
          <w:color w:val="C00000"/>
        </w:rPr>
        <w:t>VENTE</w:t>
      </w:r>
      <w:r>
        <w:t xml:space="preserve"> | Confiance: Moyen | Risque: Moyen</w:t>
      </w:r>
    </w:p>
    <w:p>
      <w:pPr>
        <w:pStyle w:val="ListNumber"/>
      </w:pPr>
      <w:r>
        <w:rPr>
          <w:b/>
        </w:rPr>
        <w:t>SGBC - SGBC - SOCIETE GENERALE COTE D'IVOIRE</w:t>
      </w:r>
      <w:r>
        <w:t xml:space="preserve"> | Prix: 38000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51.60%</w:t>
      </w:r>
      <w:r>
        <w:t xml:space="preserve">  |  </w:t>
      </w:r>
      <w:r>
        <w:rPr>
          <w:b/>
        </w:rPr>
        <w:t xml:space="preserve">vs BRVM Composite: </w:t>
      </w:r>
      <w:r>
        <w:rPr>
          <w:b/>
          <w:color w:val="008000"/>
        </w:rPr>
        <w:t>+34.15%  🟢 Surperformance</w:t>
      </w:r>
      <w:r>
        <w:br/>
      </w:r>
      <w:r>
        <w:rPr>
          <w:b/>
        </w:rPr>
        <w:t xml:space="preserve">Sentiment général: </w:t>
      </w:r>
      <w:r>
        <w:t xml:space="preserve">ACHAT  |  </w:t>
      </w:r>
      <w:r>
        <w:rPr>
          <w:b/>
        </w:rPr>
        <w:t xml:space="preserve">Risque moyen: </w:t>
      </w:r>
      <w:r>
        <w:t xml:space="preserve">Moyen  |  </w:t>
      </w:r>
      <w:r>
        <w:rPr>
          <w:b/>
        </w:rPr>
        <w:t xml:space="preserve">Prix moyen: </w:t>
      </w:r>
      <w:r>
        <w:t>8448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37.57%</w:t>
      </w:r>
      <w:r>
        <w:t xml:space="preserve">  |  </w:t>
      </w:r>
      <w:r>
        <w:rPr>
          <w:b/>
        </w:rPr>
        <w:t xml:space="preserve">vs BRVM Composite: </w:t>
      </w:r>
      <w:r>
        <w:rPr>
          <w:b/>
          <w:color w:val="008000"/>
        </w:rPr>
        <w:t>+20.12%  🟢 Surperformance</w:t>
      </w:r>
      <w:r>
        <w:br/>
      </w:r>
      <w:r>
        <w:rPr>
          <w:b/>
        </w:rPr>
        <w:t xml:space="preserve">Sentiment général: </w:t>
      </w:r>
      <w:r>
        <w:t xml:space="preserve">ACHAT  |  </w:t>
      </w:r>
      <w:r>
        <w:rPr>
          <w:b/>
        </w:rPr>
        <w:t xml:space="preserve">Risque moyen: </w:t>
      </w:r>
      <w:r>
        <w:t xml:space="preserve">Faible  |  </w:t>
      </w:r>
      <w:r>
        <w:rPr>
          <w:b/>
        </w:rPr>
        <w:t xml:space="preserve">Prix moyen: </w:t>
      </w:r>
      <w:r>
        <w:t>12916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24.90%</w:t>
      </w:r>
      <w:r>
        <w:t xml:space="preserve">  |  </w:t>
      </w:r>
      <w:r>
        <w:rPr>
          <w:b/>
        </w:rPr>
        <w:t xml:space="preserve">vs BRVM Composite: </w:t>
      </w:r>
      <w:r>
        <w:rPr>
          <w:b/>
          <w:color w:val="008000"/>
        </w:rPr>
        <w:t>+7.46%  🟢 Surperformance</w:t>
      </w:r>
      <w:r>
        <w:br/>
      </w:r>
      <w:r>
        <w:rPr>
          <w:b/>
        </w:rPr>
        <w:t xml:space="preserve">Sentiment général: </w:t>
      </w:r>
      <w:r>
        <w:t xml:space="preserve">ACHAT  |  </w:t>
      </w:r>
      <w:r>
        <w:rPr>
          <w:b/>
        </w:rPr>
        <w:t xml:space="preserve">Risque moyen: </w:t>
      </w:r>
      <w:r>
        <w:t xml:space="preserve">Moyen  |  </w:t>
      </w:r>
      <w:r>
        <w:rPr>
          <w:b/>
        </w:rPr>
        <w:t xml:space="preserve">Prix moyen: </w:t>
      </w:r>
      <w:r>
        <w:t>18704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7.37%</w:t>
      </w:r>
      <w:r>
        <w:t xml:space="preserve">  |  </w:t>
      </w:r>
      <w:r>
        <w:rPr>
          <w:b/>
        </w:rPr>
        <w:t xml:space="preserve">vs BRVM Composite: </w:t>
      </w:r>
      <w:r>
        <w:rPr>
          <w:b/>
          <w:color w:val="C00000"/>
        </w:rPr>
        <w:t>-10.08%  🔴 Sous-performance</w:t>
      </w:r>
      <w:r>
        <w:br/>
      </w:r>
      <w:r>
        <w:rPr>
          <w:b/>
        </w:rPr>
        <w:t xml:space="preserve">Sentiment général: </w:t>
      </w:r>
      <w:r>
        <w:t xml:space="preserve">ACHAT  |  </w:t>
      </w:r>
      <w:r>
        <w:rPr>
          <w:b/>
        </w:rPr>
        <w:t xml:space="preserve">Risque moyen: </w:t>
      </w:r>
      <w:r>
        <w:t xml:space="preserve">Moyen  |  </w:t>
      </w:r>
      <w:r>
        <w:rPr>
          <w:b/>
        </w:rPr>
        <w:t xml:space="preserve">Prix moyen: </w:t>
      </w:r>
      <w:r>
        <w:t>6108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7.03%</w:t>
      </w:r>
      <w:r>
        <w:t xml:space="preserve">  |  </w:t>
      </w:r>
      <w:r>
        <w:rPr>
          <w:b/>
        </w:rPr>
        <w:t xml:space="preserve">vs BRVM Composite: </w:t>
      </w:r>
      <w:r>
        <w:rPr>
          <w:b/>
          <w:color w:val="C00000"/>
        </w:rPr>
        <w:t>-10.42%  🔴 Sous-performance</w:t>
      </w:r>
      <w:r>
        <w:br/>
      </w:r>
      <w:r>
        <w:rPr>
          <w:b/>
        </w:rPr>
        <w:t xml:space="preserve">Sentiment général: </w:t>
      </w:r>
      <w:r>
        <w:t xml:space="preserve">ACHAT  |  </w:t>
      </w:r>
      <w:r>
        <w:rPr>
          <w:b/>
        </w:rPr>
        <w:t xml:space="preserve">Risque moyen: </w:t>
      </w:r>
      <w:r>
        <w:t xml:space="preserve">Moyen  |  </w:t>
      </w:r>
      <w:r>
        <w:rPr>
          <w:b/>
        </w:rPr>
        <w:t xml:space="preserve">Prix moyen: </w:t>
      </w:r>
      <w:r>
        <w:t>2796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6.16%</w:t>
      </w:r>
      <w:r>
        <w:t xml:space="preserve">  |  </w:t>
      </w:r>
      <w:r>
        <w:rPr>
          <w:b/>
        </w:rPr>
        <w:t xml:space="preserve">vs BRVM Composite: </w:t>
      </w:r>
      <w:r>
        <w:rPr>
          <w:b/>
          <w:color w:val="C00000"/>
        </w:rPr>
        <w:t>-11.29%  🔴 Sous-performance</w:t>
      </w:r>
      <w:r>
        <w:br/>
      </w:r>
      <w:r>
        <w:rPr>
          <w:b/>
        </w:rPr>
        <w:t xml:space="preserve">Sentiment général: </w:t>
      </w:r>
      <w:r>
        <w:t xml:space="preserve">ACHAT  |  </w:t>
      </w:r>
      <w:r>
        <w:rPr>
          <w:b/>
        </w:rPr>
        <w:t xml:space="preserve">Risque moyen: </w:t>
      </w:r>
      <w:r>
        <w:t xml:space="preserve">Faible  |  </w:t>
      </w:r>
      <w:r>
        <w:rPr>
          <w:b/>
        </w:rPr>
        <w:t xml:space="preserve">Prix moyen: </w:t>
      </w:r>
      <w:r>
        <w:t>17113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C00000"/>
        </w:rPr>
        <w:t>-3.64%</w:t>
      </w:r>
      <w:r>
        <w:t xml:space="preserve">  |  </w:t>
      </w:r>
      <w:r>
        <w:rPr>
          <w:b/>
        </w:rPr>
        <w:t xml:space="preserve">vs BRVM Composite: </w:t>
      </w:r>
      <w:r>
        <w:rPr>
          <w:b/>
          <w:color w:val="C00000"/>
        </w:rPr>
        <w:t>-21.09%  🔴 Sous-performance</w:t>
      </w:r>
      <w:r>
        <w:br/>
      </w:r>
      <w:r>
        <w:rPr>
          <w:b/>
        </w:rPr>
        <w:t xml:space="preserve">Sentiment général: </w:t>
      </w:r>
      <w:r>
        <w:t xml:space="preserve">ACHAT  |  </w:t>
      </w:r>
      <w:r>
        <w:rPr>
          <w:b/>
        </w:rPr>
        <w:t xml:space="preserve">Risque moyen: </w:t>
      </w:r>
      <w:r>
        <w:t xml:space="preserve">Moyen  |  </w:t>
      </w:r>
      <w:r>
        <w:rPr>
          <w:b/>
        </w:rPr>
        <w:t xml:space="preserve">Prix moyen: </w:t>
      </w:r>
      <w:r>
        <w:t>2403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BOAN, BOAS, CIEC, ETIT, LNBB, NEIC, PALC, PRSC, SAFC, SDSC, SIVC, SLBC, SNTS,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BNBC, BOAB, BOAM, CBIBF, FTSC, ORAC, SCRC, SEMC, SHEC, SIBC, SMBC, SPHC, TTLC, UNLC,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BICC, BOABF, BOAC, CABC, CFAC, ECOC, NSBC, NTLC, ONTBF, ORGT, SDCC, SICC, SOGC, STBC</w:t>
            </w:r>
          </w:p>
        </w:tc>
        <w:tc>
          <w:tcPr>
            <w:tcW w:type="dxa" w:w="2160"/>
            <w:shd w:fill="FFC7CE" w:val="clear"/>
          </w:tcPr>
          <w:p>
            <w:pPr>
              <w:spacing w:before="40" w:after="40"/>
            </w:pPr>
            <w:r/>
            <w:r>
              <w:rPr>
                <w:b w:val="0"/>
                <w:sz w:val="16"/>
              </w:rPr>
              <w:t>SGBC</w:t>
            </w:r>
          </w:p>
        </w:tc>
        <w:tc>
          <w:tcPr>
            <w:tcW w:type="dxa" w:w="2160"/>
            <w:shd w:fill="FF0000" w:val="clear"/>
          </w:tcPr>
          <w:p>
            <w:pPr>
              <w:spacing w:before="40" w:after="40"/>
            </w:pPr>
            <w:r/>
            <w:r>
              <w:rPr>
                <w:b w:val="0"/>
                <w:sz w:val="16"/>
              </w:rPr>
              <w:t>ABJC, STAC</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2661511</w:t>
            </w:r>
          </w:p>
        </w:tc>
        <w:tc>
          <w:tcPr>
            <w:tcW w:type="dxa" w:w="1728"/>
          </w:tcPr>
          <w:p>
            <w:r>
              <w:t>178204625 FCFA</w:t>
            </w:r>
          </w:p>
        </w:tc>
        <w:tc>
          <w:tcPr>
            <w:tcW w:type="dxa" w:w="1728"/>
          </w:tcPr>
          <w:p>
            <w:r>
              <w:t>100.00%</w:t>
            </w:r>
          </w:p>
        </w:tc>
        <w:tc>
          <w:tcPr>
            <w:tcW w:type="dxa" w:w="1728"/>
          </w:tcPr>
          <w:p>
            <w:r>
              <w:t>ACHAT</w:t>
            </w:r>
          </w:p>
        </w:tc>
      </w:tr>
      <w:tr>
        <w:tc>
          <w:tcPr>
            <w:tcW w:type="dxa" w:w="1728"/>
          </w:tcPr>
          <w:p>
            <w:r>
              <w:t>UNXC (UNXC - UNIWAX COTE D'IVOIRE)</w:t>
            </w:r>
          </w:p>
        </w:tc>
        <w:tc>
          <w:tcPr>
            <w:tcW w:type="dxa" w:w="1728"/>
          </w:tcPr>
          <w:p>
            <w:r>
              <w:t>16714</w:t>
            </w:r>
          </w:p>
        </w:tc>
        <w:tc>
          <w:tcPr>
            <w:tcW w:type="dxa" w:w="1728"/>
          </w:tcPr>
          <w:p>
            <w:r>
              <w:t>27091049 FCFA</w:t>
            </w:r>
          </w:p>
        </w:tc>
        <w:tc>
          <w:tcPr>
            <w:tcW w:type="dxa" w:w="1728"/>
          </w:tcPr>
          <w:p>
            <w:r>
              <w:t>-16.00%</w:t>
            </w:r>
          </w:p>
        </w:tc>
        <w:tc>
          <w:tcPr>
            <w:tcW w:type="dxa" w:w="1728"/>
          </w:tcPr>
          <w:p>
            <w:r>
              <w:t>ACHAT</w:t>
            </w:r>
          </w:p>
        </w:tc>
      </w:tr>
      <w:tr>
        <w:tc>
          <w:tcPr>
            <w:tcW w:type="dxa" w:w="1728"/>
          </w:tcPr>
          <w:p>
            <w:r>
              <w:t>SDSC (SDSC - AFRICA GLOBAL LOGISTICS CI)</w:t>
            </w:r>
          </w:p>
        </w:tc>
        <w:tc>
          <w:tcPr>
            <w:tcW w:type="dxa" w:w="1728"/>
          </w:tcPr>
          <w:p>
            <w:r>
              <w:t>14159</w:t>
            </w:r>
          </w:p>
        </w:tc>
        <w:tc>
          <w:tcPr>
            <w:tcW w:type="dxa" w:w="1728"/>
          </w:tcPr>
          <w:p>
            <w:r>
              <w:t>36156818 FCFA</w:t>
            </w:r>
          </w:p>
        </w:tc>
        <w:tc>
          <w:tcPr>
            <w:tcW w:type="dxa" w:w="1728"/>
          </w:tcPr>
          <w:p>
            <w:r>
              <w:t>21.48%</w:t>
            </w:r>
          </w:p>
        </w:tc>
        <w:tc>
          <w:tcPr>
            <w:tcW w:type="dxa" w:w="1728"/>
          </w:tcPr>
          <w:p>
            <w:r>
              <w:t>ACHAT</w:t>
            </w:r>
          </w:p>
        </w:tc>
      </w:tr>
      <w:tr>
        <w:tc>
          <w:tcPr>
            <w:tcW w:type="dxa" w:w="1728"/>
          </w:tcPr>
          <w:p>
            <w:r>
              <w:t>SNTS (SNTS - SONATEL SN)</w:t>
            </w:r>
          </w:p>
        </w:tc>
        <w:tc>
          <w:tcPr>
            <w:tcW w:type="dxa" w:w="1728"/>
          </w:tcPr>
          <w:p>
            <w:r>
              <w:t>12631</w:t>
            </w:r>
          </w:p>
        </w:tc>
        <w:tc>
          <w:tcPr>
            <w:tcW w:type="dxa" w:w="1728"/>
          </w:tcPr>
          <w:p>
            <w:r>
              <w:t>392332827 FCFA</w:t>
            </w:r>
          </w:p>
        </w:tc>
        <w:tc>
          <w:tcPr>
            <w:tcW w:type="dxa" w:w="1728"/>
          </w:tcPr>
          <w:p>
            <w:r>
              <w:t>8.46%</w:t>
            </w:r>
          </w:p>
        </w:tc>
        <w:tc>
          <w:tcPr>
            <w:tcW w:type="dxa" w:w="1728"/>
          </w:tcPr>
          <w:p>
            <w:r>
              <w:t>ACHAT</w:t>
            </w:r>
          </w:p>
        </w:tc>
      </w:tr>
      <w:tr>
        <w:tc>
          <w:tcPr>
            <w:tcW w:type="dxa" w:w="1728"/>
          </w:tcPr>
          <w:p>
            <w:r>
              <w:t>BOAN (BANK OF AFRICA NIGER)</w:t>
            </w:r>
          </w:p>
        </w:tc>
        <w:tc>
          <w:tcPr>
            <w:tcW w:type="dxa" w:w="1728"/>
          </w:tcPr>
          <w:p>
            <w:r>
              <w:t>10385</w:t>
            </w:r>
          </w:p>
        </w:tc>
        <w:tc>
          <w:tcPr>
            <w:tcW w:type="dxa" w:w="1728"/>
          </w:tcPr>
          <w:p>
            <w:r>
              <w:t>49114939 FCFA</w:t>
            </w:r>
          </w:p>
        </w:tc>
        <w:tc>
          <w:tcPr>
            <w:tcW w:type="dxa" w:w="1728"/>
          </w:tcPr>
          <w:p>
            <w:r>
              <w:t>83.45%</w:t>
            </w:r>
          </w:p>
        </w:tc>
        <w:tc>
          <w:tcPr>
            <w:tcW w:type="dxa" w:w="1728"/>
          </w:tcPr>
          <w:p>
            <w:r>
              <w:t>ACHAT</w:t>
            </w:r>
          </w:p>
        </w:tc>
      </w:tr>
      <w:tr>
        <w:tc>
          <w:tcPr>
            <w:tcW w:type="dxa" w:w="1728"/>
          </w:tcPr>
          <w:p>
            <w:r>
              <w:t>BOAS (BANK OF AFRICA SENEGAL)</w:t>
            </w:r>
          </w:p>
        </w:tc>
        <w:tc>
          <w:tcPr>
            <w:tcW w:type="dxa" w:w="1728"/>
          </w:tcPr>
          <w:p>
            <w:r>
              <w:t>9793</w:t>
            </w:r>
          </w:p>
        </w:tc>
        <w:tc>
          <w:tcPr>
            <w:tcW w:type="dxa" w:w="1728"/>
          </w:tcPr>
          <w:p>
            <w:r>
              <w:t>72525425 FCFA</w:t>
            </w:r>
          </w:p>
        </w:tc>
        <w:tc>
          <w:tcPr>
            <w:tcW w:type="dxa" w:w="1728"/>
          </w:tcPr>
          <w:p>
            <w:r>
              <w:t>16.67%</w:t>
            </w:r>
          </w:p>
        </w:tc>
        <w:tc>
          <w:tcPr>
            <w:tcW w:type="dxa" w:w="1728"/>
          </w:tcPr>
          <w:p>
            <w:r>
              <w:t>ACHAT</w:t>
            </w:r>
          </w:p>
        </w:tc>
      </w:tr>
      <w:tr>
        <w:tc>
          <w:tcPr>
            <w:tcW w:type="dxa" w:w="1728"/>
          </w:tcPr>
          <w:p>
            <w:r>
              <w:t>SIBC (SIBC - SOCIETE IVOIRIENNE DE BANQUE)</w:t>
            </w:r>
          </w:p>
        </w:tc>
        <w:tc>
          <w:tcPr>
            <w:tcW w:type="dxa" w:w="1728"/>
          </w:tcPr>
          <w:p>
            <w:r>
              <w:t>9618</w:t>
            </w:r>
          </w:p>
        </w:tc>
        <w:tc>
          <w:tcPr>
            <w:tcW w:type="dxa" w:w="1728"/>
          </w:tcPr>
          <w:p>
            <w:r>
              <w:t>85485868 FCFA</w:t>
            </w:r>
          </w:p>
        </w:tc>
        <w:tc>
          <w:tcPr>
            <w:tcW w:type="dxa" w:w="1728"/>
          </w:tcPr>
          <w:p>
            <w:r>
              <w:t>36.76%</w:t>
            </w:r>
          </w:p>
        </w:tc>
        <w:tc>
          <w:tcPr>
            <w:tcW w:type="dxa" w:w="1728"/>
          </w:tcPr>
          <w:p>
            <w:r>
              <w:t>ACHAT</w:t>
            </w:r>
          </w:p>
        </w:tc>
      </w:tr>
      <w:tr>
        <w:tc>
          <w:tcPr>
            <w:tcW w:type="dxa" w:w="1728"/>
          </w:tcPr>
          <w:p>
            <w:r>
              <w:t>BICB (BIIC BN - Banque internationale pour le commerce du benin)</w:t>
            </w:r>
          </w:p>
        </w:tc>
        <w:tc>
          <w:tcPr>
            <w:tcW w:type="dxa" w:w="1728"/>
          </w:tcPr>
          <w:p>
            <w:r>
              <w:t>8809</w:t>
            </w:r>
          </w:p>
        </w:tc>
        <w:tc>
          <w:tcPr>
            <w:tcW w:type="dxa" w:w="1728"/>
          </w:tcPr>
          <w:p>
            <w:r>
              <w:t>62066321 FCFA</w:t>
            </w:r>
          </w:p>
        </w:tc>
        <w:tc>
          <w:tcPr>
            <w:tcW w:type="dxa" w:w="1728"/>
          </w:tcPr>
          <w:p>
            <w:r>
              <w:t>47.74%</w:t>
            </w:r>
          </w:p>
        </w:tc>
        <w:tc>
          <w:tcPr>
            <w:tcW w:type="dxa" w:w="1728"/>
          </w:tcPr>
          <w:p>
            <w:r>
              <w:t>ACHAT</w:t>
            </w:r>
          </w:p>
        </w:tc>
      </w:tr>
      <w:tr>
        <w:tc>
          <w:tcPr>
            <w:tcW w:type="dxa" w:w="1728"/>
          </w:tcPr>
          <w:p>
            <w:r>
              <w:t>ONTBF (ONTBF - ONATEL BURKINA FASO)</w:t>
            </w:r>
          </w:p>
        </w:tc>
        <w:tc>
          <w:tcPr>
            <w:tcW w:type="dxa" w:w="1728"/>
          </w:tcPr>
          <w:p>
            <w:r>
              <w:t>8377</w:t>
            </w:r>
          </w:p>
        </w:tc>
        <w:tc>
          <w:tcPr>
            <w:tcW w:type="dxa" w:w="1728"/>
          </w:tcPr>
          <w:p>
            <w:r>
              <w:t>22914949 FCFA</w:t>
            </w:r>
          </w:p>
        </w:tc>
        <w:tc>
          <w:tcPr>
            <w:tcW w:type="dxa" w:w="1728"/>
          </w:tcPr>
          <w:p>
            <w:r>
              <w:t>1.38%</w:t>
            </w:r>
          </w:p>
        </w:tc>
        <w:tc>
          <w:tcPr>
            <w:tcW w:type="dxa" w:w="1728"/>
          </w:tcPr>
          <w:p>
            <w:r>
              <w:t>ACHAT FORT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STBC (STBC - SITAB COTE D'IVOIRE)</w:t>
            </w:r>
          </w:p>
        </w:tc>
        <w:tc>
          <w:tcPr>
            <w:tcW w:type="dxa" w:w="1728"/>
          </w:tcPr>
          <w:p>
            <w:r>
              <w:t>3470</w:t>
            </w:r>
          </w:p>
        </w:tc>
        <w:tc>
          <w:tcPr>
            <w:tcW w:type="dxa" w:w="1728"/>
          </w:tcPr>
          <w:p>
            <w:r>
              <w:t>81960271 FCFA</w:t>
            </w:r>
          </w:p>
        </w:tc>
        <w:tc>
          <w:tcPr>
            <w:tcW w:type="dxa" w:w="1728"/>
          </w:tcPr>
          <w:p>
            <w:r>
              <w:t>12.17%</w:t>
            </w:r>
          </w:p>
        </w:tc>
        <w:tc>
          <w:tcPr>
            <w:tcW w:type="dxa" w:w="1728"/>
          </w:tcPr>
          <w:p>
            <w:r>
              <w:t>ACHAT</w:t>
            </w:r>
          </w:p>
        </w:tc>
      </w:tr>
      <w:tr>
        <w:tc>
          <w:tcPr>
            <w:tcW w:type="dxa" w:w="1728"/>
          </w:tcPr>
          <w:p>
            <w:r>
              <w:t>SGBC (SGBC - SOCIETE GENERALE COTE D'IVOIRE)</w:t>
            </w:r>
          </w:p>
        </w:tc>
        <w:tc>
          <w:tcPr>
            <w:tcW w:type="dxa" w:w="1728"/>
          </w:tcPr>
          <w:p>
            <w:r>
              <w:t>3441</w:t>
            </w:r>
          </w:p>
        </w:tc>
        <w:tc>
          <w:tcPr>
            <w:tcW w:type="dxa" w:w="1728"/>
          </w:tcPr>
          <w:p>
            <w:r>
              <w:t>131385267 FCFA</w:t>
            </w:r>
          </w:p>
        </w:tc>
        <w:tc>
          <w:tcPr>
            <w:tcW w:type="dxa" w:w="1728"/>
          </w:tcPr>
          <w:p>
            <w:r>
              <w:t>6.15%</w:t>
            </w:r>
          </w:p>
        </w:tc>
        <w:tc>
          <w:tcPr>
            <w:tcW w:type="dxa" w:w="1728"/>
          </w:tcPr>
          <w:p>
            <w:r>
              <w:t>CONSERVER</w:t>
            </w:r>
          </w:p>
        </w:tc>
      </w:tr>
      <w:tr>
        <w:tc>
          <w:tcPr>
            <w:tcW w:type="dxa" w:w="1728"/>
          </w:tcPr>
          <w:p>
            <w:r>
              <w:t>ABJC (ABJC - SERVAIR ABIDJAN CI)</w:t>
            </w:r>
          </w:p>
        </w:tc>
        <w:tc>
          <w:tcPr>
            <w:tcW w:type="dxa" w:w="1728"/>
          </w:tcPr>
          <w:p>
            <w:r>
              <w:t>3401</w:t>
            </w:r>
          </w:p>
        </w:tc>
        <w:tc>
          <w:tcPr>
            <w:tcW w:type="dxa" w:w="1728"/>
          </w:tcPr>
          <w:p>
            <w:r>
              <w:t>10310266 FCFA</w:t>
            </w:r>
          </w:p>
        </w:tc>
        <w:tc>
          <w:tcPr>
            <w:tcW w:type="dxa" w:w="1728"/>
          </w:tcPr>
          <w:p>
            <w:r>
              <w:t>-11.63%</w:t>
            </w:r>
          </w:p>
        </w:tc>
        <w:tc>
          <w:tcPr>
            <w:tcW w:type="dxa" w:w="1728"/>
          </w:tcPr>
          <w:p>
            <w:r>
              <w:t>VENTE</w:t>
            </w:r>
          </w:p>
        </w:tc>
      </w:tr>
      <w:tr>
        <w:tc>
          <w:tcPr>
            <w:tcW w:type="dxa" w:w="1728"/>
          </w:tcPr>
          <w:p>
            <w:r>
              <w:t>SOGC (SOGC - Société des caoutchoucs de Grand-Béréby)</w:t>
            </w:r>
          </w:p>
        </w:tc>
        <w:tc>
          <w:tcPr>
            <w:tcW w:type="dxa" w:w="1728"/>
          </w:tcPr>
          <w:p>
            <w:r>
              <w:t>3321</w:t>
            </w:r>
          </w:p>
        </w:tc>
        <w:tc>
          <w:tcPr>
            <w:tcW w:type="dxa" w:w="1728"/>
          </w:tcPr>
          <w:p>
            <w:r>
              <w:t>27277654 FCFA</w:t>
            </w:r>
          </w:p>
        </w:tc>
        <w:tc>
          <w:tcPr>
            <w:tcW w:type="dxa" w:w="1728"/>
          </w:tcPr>
          <w:p>
            <w:r>
              <w:t>-9.71%</w:t>
            </w:r>
          </w:p>
        </w:tc>
        <w:tc>
          <w:tcPr>
            <w:tcW w:type="dxa" w:w="1728"/>
          </w:tcPr>
          <w:p>
            <w:r>
              <w:t>ACHAT</w:t>
            </w:r>
          </w:p>
        </w:tc>
      </w:tr>
      <w:tr>
        <w:tc>
          <w:tcPr>
            <w:tcW w:type="dxa" w:w="1728"/>
          </w:tcPr>
          <w:p>
            <w:r>
              <w:t>CABC (CABC - SICABLE COTE D'IVOIRE)</w:t>
            </w:r>
          </w:p>
        </w:tc>
        <w:tc>
          <w:tcPr>
            <w:tcW w:type="dxa" w:w="1728"/>
          </w:tcPr>
          <w:p>
            <w:r>
              <w:t>3063</w:t>
            </w:r>
          </w:p>
        </w:tc>
        <w:tc>
          <w:tcPr>
            <w:tcW w:type="dxa" w:w="1728"/>
          </w:tcPr>
          <w:p>
            <w:r>
              <w:t>11425994 FCFA</w:t>
            </w:r>
          </w:p>
        </w:tc>
        <w:tc>
          <w:tcPr>
            <w:tcW w:type="dxa" w:w="1728"/>
          </w:tcPr>
          <w:p>
            <w:r>
              <w:t>-12.69%</w:t>
            </w:r>
          </w:p>
        </w:tc>
        <w:tc>
          <w:tcPr>
            <w:tcW w:type="dxa" w:w="1728"/>
          </w:tcPr>
          <w:p>
            <w:r>
              <w:t>ACHAT</w:t>
            </w:r>
          </w:p>
        </w:tc>
      </w:tr>
      <w:tr>
        <w:tc>
          <w:tcPr>
            <w:tcW w:type="dxa" w:w="1728"/>
          </w:tcPr>
          <w:p>
            <w:r>
              <w:t>LNBB (LNBB - LOTERIE NATIONALE DU BENIN)</w:t>
            </w:r>
          </w:p>
        </w:tc>
        <w:tc>
          <w:tcPr>
            <w:tcW w:type="dxa" w:w="1728"/>
          </w:tcPr>
          <w:p>
            <w:r>
              <w:t>2942</w:t>
            </w:r>
          </w:p>
        </w:tc>
        <w:tc>
          <w:tcPr>
            <w:tcW w:type="dxa" w:w="1728"/>
          </w:tcPr>
          <w:p>
            <w:r>
              <w:t>12756478 FCFA</w:t>
            </w:r>
          </w:p>
        </w:tc>
        <w:tc>
          <w:tcPr>
            <w:tcW w:type="dxa" w:w="1728"/>
          </w:tcPr>
          <w:p>
            <w:r>
              <w:t>15.64%</w:t>
            </w:r>
          </w:p>
        </w:tc>
        <w:tc>
          <w:tcPr>
            <w:tcW w:type="dxa" w:w="1728"/>
          </w:tcPr>
          <w:p>
            <w:r>
              <w:t>ACHAT</w:t>
            </w:r>
          </w:p>
        </w:tc>
      </w:tr>
      <w:tr>
        <w:tc>
          <w:tcPr>
            <w:tcW w:type="dxa" w:w="1728"/>
          </w:tcPr>
          <w:p>
            <w:r>
              <w:t>SLBC (SLBC - SOLIBRA COTE D'IVOIRE)</w:t>
            </w:r>
          </w:p>
        </w:tc>
        <w:tc>
          <w:tcPr>
            <w:tcW w:type="dxa" w:w="1728"/>
          </w:tcPr>
          <w:p>
            <w:r>
              <w:t>2672</w:t>
            </w:r>
          </w:p>
        </w:tc>
        <w:tc>
          <w:tcPr>
            <w:tcW w:type="dxa" w:w="1728"/>
          </w:tcPr>
          <w:p>
            <w:r>
              <w:t>105106200 FCFA</w:t>
            </w:r>
          </w:p>
        </w:tc>
        <w:tc>
          <w:tcPr>
            <w:tcW w:type="dxa" w:w="1728"/>
          </w:tcPr>
          <w:p>
            <w:r>
              <w:t>5.50%</w:t>
            </w:r>
          </w:p>
        </w:tc>
        <w:tc>
          <w:tcPr>
            <w:tcW w:type="dxa" w:w="1728"/>
          </w:tcPr>
          <w:p>
            <w:r>
              <w:t>ACHAT</w:t>
            </w:r>
          </w:p>
        </w:tc>
      </w:tr>
      <w:tr>
        <w:tc>
          <w:tcPr>
            <w:tcW w:type="dxa" w:w="1728"/>
          </w:tcPr>
          <w:p>
            <w:r>
              <w:t>SMBC (SMBC - Société Multinationale de Bitumes COTE D'IVOIRE)</w:t>
            </w:r>
          </w:p>
        </w:tc>
        <w:tc>
          <w:tcPr>
            <w:tcW w:type="dxa" w:w="1728"/>
          </w:tcPr>
          <w:p>
            <w:r>
              <w:t>2356</w:t>
            </w:r>
          </w:p>
        </w:tc>
        <w:tc>
          <w:tcPr>
            <w:tcW w:type="dxa" w:w="1728"/>
          </w:tcPr>
          <w:p>
            <w:r>
              <w:t>38252527 FCFA</w:t>
            </w:r>
          </w:p>
        </w:tc>
        <w:tc>
          <w:tcPr>
            <w:tcW w:type="dxa" w:w="1728"/>
          </w:tcPr>
          <w:p>
            <w:r>
              <w:t>17.21%</w:t>
            </w:r>
          </w:p>
        </w:tc>
        <w:tc>
          <w:tcPr>
            <w:tcW w:type="dxa" w:w="1728"/>
          </w:tcPr>
          <w:p>
            <w:r>
              <w:t>ACHAT</w:t>
            </w:r>
          </w:p>
        </w:tc>
      </w:tr>
      <w:tr>
        <w:tc>
          <w:tcPr>
            <w:tcW w:type="dxa" w:w="1728"/>
          </w:tcPr>
          <w:p>
            <w:r>
              <w:t>NEIC (NEIC - NEI-CEDA CI)</w:t>
            </w:r>
          </w:p>
        </w:tc>
        <w:tc>
          <w:tcPr>
            <w:tcW w:type="dxa" w:w="1728"/>
          </w:tcPr>
          <w:p>
            <w:r>
              <w:t>2031</w:t>
            </w:r>
          </w:p>
        </w:tc>
        <w:tc>
          <w:tcPr>
            <w:tcW w:type="dxa" w:w="1728"/>
          </w:tcPr>
          <w:p>
            <w:r>
              <w:t>4446404 FCFA</w:t>
            </w:r>
          </w:p>
        </w:tc>
        <w:tc>
          <w:tcPr>
            <w:tcW w:type="dxa" w:w="1728"/>
          </w:tcPr>
          <w:p>
            <w:r>
              <w:t>62.59%</w:t>
            </w:r>
          </w:p>
        </w:tc>
        <w:tc>
          <w:tcPr>
            <w:tcW w:type="dxa" w:w="1728"/>
          </w:tcPr>
          <w:p>
            <w:r>
              <w:t>ACHAT</w:t>
            </w:r>
          </w:p>
        </w:tc>
      </w:tr>
      <w:tr>
        <w:tc>
          <w:tcPr>
            <w:tcW w:type="dxa" w:w="1728"/>
          </w:tcPr>
          <w:p>
            <w:r>
              <w:t>SPHC (SPHC - Société Africaine de Plantation d'Hévéas de Côte d'Ivoire)</w:t>
            </w:r>
          </w:p>
        </w:tc>
        <w:tc>
          <w:tcPr>
            <w:tcW w:type="dxa" w:w="1728"/>
          </w:tcPr>
          <w:p>
            <w:r>
              <w:t>1869</w:t>
            </w:r>
          </w:p>
        </w:tc>
        <w:tc>
          <w:tcPr>
            <w:tcW w:type="dxa" w:w="1728"/>
          </w:tcPr>
          <w:p>
            <w:r>
              <w:t>13947329 FCFA</w:t>
            </w:r>
          </w:p>
        </w:tc>
        <w:tc>
          <w:tcPr>
            <w:tcW w:type="dxa" w:w="1728"/>
          </w:tcPr>
          <w:p>
            <w:r>
              <w:t>-7.04%</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NSBC - NSBC - NSIA BANQUE COTE D'IVOIRE</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NTLC - NTLC - NESTLE COTE D'IVOIRE</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3. SDCC - SDCC - Société de Distribution d'Eau de Côte d'Ivoire</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4. BICC - BICI CI - Banque internationale pour le commerce et l'industrie de la Côte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5. BOABF - BANK OF AFRICA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6. BOAC - BANK OF AFRICA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CFAC - CFAC - CFAO MOTORS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ONTBF - ONTBF - ONATEL BURKINA FASO</w:t>
      </w:r>
    </w:p>
    <w:p>
      <w:r>
        <w:rPr>
          <w:b/>
        </w:rPr>
        <w:t xml:space="preserve">Score de divergence: </w:t>
      </w:r>
      <w:r>
        <w:t>4/8</w:t>
        <w:br/>
      </w:r>
      <w:r>
        <w:rPr>
          <w:b/>
        </w:rPr>
        <w:t xml:space="preserve">Description: </w:t>
      </w:r>
      <w:r>
        <w:t>Signaux d'achat: MACD | Signaux de vente: MM, Stochastique | Recommandation finale: ACHAT FORT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22</w:t>
            </w:r>
          </w:p>
        </w:tc>
        <w:tc>
          <w:tcPr>
            <w:tcW w:type="dxa" w:w="2160"/>
          </w:tcPr>
          <w:p>
            <w:r>
              <w:t>0</w:t>
            </w:r>
          </w:p>
        </w:tc>
      </w:tr>
      <w:tr>
        <w:tc>
          <w:tcPr>
            <w:tcW w:type="dxa" w:w="2160"/>
          </w:tcPr>
          <w:p>
            <w:r>
              <w:t>Risque Moyen</w:t>
            </w:r>
          </w:p>
        </w:tc>
        <w:tc>
          <w:tcPr>
            <w:tcW w:type="dxa" w:w="2160"/>
          </w:tcPr>
          <w:p>
            <w:r>
              <w:t>0</w:t>
            </w:r>
          </w:p>
        </w:tc>
        <w:tc>
          <w:tcPr>
            <w:tcW w:type="dxa" w:w="2160"/>
          </w:tcPr>
          <w:p>
            <w:r>
              <w:t>25</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SHEC (SHEC - VIVO ENERGY COTE D'IVOIRE)</w:t>
      </w:r>
    </w:p>
    <w:p>
      <w:pPr>
        <w:pStyle w:val="ListBullet"/>
      </w:pPr>
      <w:r>
        <w:t>• SICC (SICC - SICOR COTE D'IVOIRE)</w:t>
      </w:r>
    </w:p>
    <w:p>
      <w:pPr>
        <w:pStyle w:val="ListBullet"/>
      </w:pPr>
      <w:r>
        <w:t>• SIVC (SIVC - ERIUM CI (Ex AIR LIQUIDECI))</w:t>
      </w:r>
    </w:p>
    <w:p>
      <w:pPr>
        <w:pStyle w:val="ListBullet"/>
      </w:pPr>
      <w:r>
        <w:t>• SMBC (SMBC - Société Multinationale de Bitumes COTE D'IVOIRE)</w:t>
      </w:r>
    </w:p>
    <w:p>
      <w:pPr>
        <w:pStyle w:val="ListBullet"/>
      </w:pPr>
      <w:r>
        <w:t>• SPHC (SPHC - Société Africaine de Plantation d'Hévéas de Côte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La chute des prix du pétrole a entraîné une baisse de l'indice MXV (matières premières) pendant trois séances consécutives, signalant une pression vendeuse sur les matières premières. En parallèle, l'annonce d'un cessez-le-feu en Iran a provoqué une forte baisse des taux d'intérêt en Europe, la BCE pouvant désormais temporiser ses décisions de politique monétaire. Les capitaux se sont dirigés vers les valeurs refuges, reflétant une prudence persistante des investisseurs.</w:t>
      </w:r>
    </w:p>
    <w:p>
      <w:pPr>
        <w:pStyle w:val="Heading3"/>
      </w:pPr>
      <w:r>
        <w:rPr>
          <w:color w:val="500050"/>
        </w:rPr>
        <w:t>⚡ Impact estimé sur la BRVM</w:t>
      </w:r>
    </w:p>
    <w:p>
      <w:pPr>
        <w:spacing w:before="20" w:after="40"/>
        <w:ind w:left="280"/>
      </w:pPr>
      <w:r>
        <w:rPr>
          <w:i/>
          <w:sz w:val="18"/>
        </w:rPr>
        <w:t>La baisse des prix du pétrole est défavorable au secteur ÉNERGIE, impactant potentiellement TTLS. La détente des taux en Europe est positive pour les marchés émergents, pouvant attirer des flux vers la BRVM. La prudence sur les matières premières pourrait affecter les valeurs industrielles comme SIVC et SDSC, dépendantes des coûts des intrants.</w:t>
      </w:r>
    </w:p>
    <w:p>
      <w:pPr>
        <w:pStyle w:val="Heading2"/>
      </w:pPr>
      <w:r>
        <w:rPr>
          <w:color w:val="006E32"/>
        </w:rPr>
        <w:t>🌍 Plan Africain</w:t>
      </w:r>
    </w:p>
    <w:p>
      <w:pPr>
        <w:spacing w:before="20" w:after="40"/>
        <w:ind w:left="0"/>
      </w:pPr>
      <w:r>
        <w:rPr>
          <w:sz w:val="18"/>
        </w:rPr>
        <w:t>L'investissement dans l'économie des soins est présenté comme un "levier de croissance stratégique" par un officiel sénégalais, soulignant le potentiel du secteur de la santé en Afrique de l'Ouest. La Senelec a émis 108 milliards de FCFA de dette verte à la Bourse de Luxembourg, illustrant l'appétit des institutions africaines pour les financements internationaux. L'OMS recommande l'investissement privé dans la santé en Mauritanie.</w:t>
      </w:r>
    </w:p>
    <w:p>
      <w:pPr>
        <w:pStyle w:val="Heading3"/>
      </w:pPr>
      <w:r>
        <w:rPr>
          <w:color w:val="500050"/>
        </w:rPr>
        <w:t>⚡ Impact estimé sur la BRVM</w:t>
      </w:r>
    </w:p>
    <w:p>
      <w:pPr>
        <w:spacing w:before="20" w:after="40"/>
        <w:ind w:left="280"/>
      </w:pPr>
      <w:r>
        <w:rPr>
          <w:i/>
          <w:sz w:val="18"/>
        </w:rPr>
        <w:t>Ces initiatives confirment une dynamique positive pour le secteur de la santé, mais aucune société cotée BRVM n'est directement exposée à ce secteur. L'émission de dette verte par Senelec démontre la capacité des entités régionales à accéder aux marchés internationaux, ce qui renforce la crédibilité de la zone. L'impact direct sur les sociétés cotées reste limité à court terme.</w:t>
      </w:r>
    </w:p>
    <w:p>
      <w:pPr>
        <w:pStyle w:val="Heading2"/>
      </w:pPr>
      <w:r>
        <w:rPr>
          <w:color w:val="145A28"/>
        </w:rPr>
        <w:t>🌍 Plan Afrique de l'Ouest</w:t>
      </w:r>
    </w:p>
    <w:p>
      <w:pPr>
        <w:spacing w:before="20" w:after="40"/>
        <w:ind w:left="0"/>
      </w:pPr>
      <w:r>
        <w:rPr>
          <w:sz w:val="18"/>
        </w:rPr>
        <w:t>Le calendrier de l'entrée en vigueur de la monnaie unique Eco est confirmé pour 2027, mais avec une adhésion à géométrie variable des pays membres. L'économiste Serigne Momar Seck affirme que la coexistence de plusieurs monnaies ne freinera pas le commerce régional. La Guinée a décidé de privilégier le franc guinéen plutôt que l'Eco, reflétant une prudence face à ce projet.</w:t>
      </w:r>
    </w:p>
    <w:p>
      <w:pPr>
        <w:pStyle w:val="Heading3"/>
      </w:pPr>
      <w:r>
        <w:rPr>
          <w:color w:val="500050"/>
        </w:rPr>
        <w:t>⚡ Impact estimé sur la BRVM</w:t>
      </w:r>
    </w:p>
    <w:p>
      <w:pPr>
        <w:spacing w:before="20" w:after="40"/>
        <w:ind w:left="280"/>
      </w:pPr>
      <w:r>
        <w:rPr>
          <w:i/>
          <w:sz w:val="18"/>
        </w:rPr>
        <w:t>L'incertitude sur la monnaie unique Eco pourrait maintenir une certaine volatilité sur les anticipations des investisseurs. La coexistence monétaire n'étant pas un frein au commerce, les sociétés cotées opérant dans plusieurs pays de la CEDEAO (comme les banques BOAC, BOAN, BOAS, ETIT) ne devraient pas subir d'impact négatif majeur. La décision guinéenne n'affecte pas directement la BRVM, la Guinée n'étant pas membre de l'UEMOA.</w:t>
      </w:r>
    </w:p>
    <w:p>
      <w:pPr>
        <w:pStyle w:val="Heading2"/>
      </w:pPr>
      <w:r>
        <w:rPr>
          <w:color w:val="8C4600"/>
        </w:rPr>
        <w:t>🏦 Plan UEMOA / Zone Franc</w:t>
      </w:r>
    </w:p>
    <w:p>
      <w:pPr>
        <w:spacing w:before="20" w:after="40"/>
        <w:ind w:left="0"/>
      </w:pPr>
      <w:r>
        <w:rPr>
          <w:sz w:val="18"/>
        </w:rPr>
        <w:t>Les données spécifiques à la BCEAO, l'inflation dans la zone, le FCFA et la liquidité bancaire sont insuffisantes dans les actualités fournies. Aucune décision de politique monétaire de la BCEAO n'a été rapportée. Les matières premières clés comme le cacao et le caoutchouc ne font pas l'objet d'actualités spécifiques dans les données collectées.</w:t>
      </w:r>
    </w:p>
    <w:p>
      <w:pPr>
        <w:pStyle w:val="Heading3"/>
      </w:pPr>
      <w:r>
        <w:rPr>
          <w:color w:val="500050"/>
        </w:rPr>
        <w:t>⚡ Impact estimé sur la BRVM</w:t>
      </w:r>
    </w:p>
    <w:p>
      <w:pPr>
        <w:spacing w:before="20" w:after="40"/>
        <w:ind w:left="280"/>
      </w:pPr>
      <w:r>
        <w:rPr>
          <w:i/>
          <w:sz w:val="18"/>
        </w:rPr>
        <w:t>Données insuffisantes pour évaluer précisément l'impact des décisions BCEAO sur les secteurs bancaires et agro-industriels. Les banques cotées (SGBC, BICB, BOAC, BOAN, BOAS) restent dépendantes de la politique monétaire régionale, mais aucune information récente ne permet d'anticiper un changement. Les valeurs agro-industrielles comme PALC et SLBC devront être suivies en fonction des cours du cacao et du caoutchouc.</w:t>
      </w:r>
    </w:p>
    <w:p>
      <w:pPr>
        <w:pStyle w:val="Heading2"/>
      </w:pPr>
      <w:r>
        <w:rPr>
          <w:color w:val="003366"/>
        </w:rPr>
        <w:t>📈 Plan BRVM</w:t>
      </w:r>
    </w:p>
    <w:p>
      <w:pPr>
        <w:spacing w:before="20" w:after="40"/>
        <w:ind w:left="0"/>
      </w:pPr>
      <w:r>
        <w:rPr>
          <w:sz w:val="18"/>
        </w:rPr>
        <w:t>La Tribune rapporte des résultats encourageants des sociétés cotées ivoiriennes à la BRVM (daté du 9 juin 2026). L'indice BRVM Composite se situe à 485.89 points. Aucune information récente sur les volumes, les IPO ou les dividendes n'est disponible dans les actualités fournies.</w:t>
      </w:r>
    </w:p>
    <w:p>
      <w:pPr>
        <w:pStyle w:val="Heading3"/>
      </w:pPr>
      <w:r>
        <w:rPr>
          <w:color w:val="500050"/>
        </w:rPr>
        <w:t>⚡ Impact estimé sur la BRVM</w:t>
      </w:r>
    </w:p>
    <w:p>
      <w:pPr>
        <w:spacing w:before="20" w:after="40"/>
        <w:ind w:left="280"/>
      </w:pPr>
      <w:r>
        <w:rPr>
          <w:i/>
          <w:sz w:val="18"/>
        </w:rPr>
        <w:t>Les résultats encourageants des sociétés ivoiriennes soutiennent la confiance des investisseurs dans le marché. Cette dynamique positive pourrait bénéficier à l'ensemble des valeurs, notamment les bancaires (SGBC, BICB, ETIT) et les industrielles (SIVC, SDSC). Les investisseurs devraient surveiller les prochaines publications de résultats pour confirmer cette tendance.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 cessez-le-feu en Iran a réduit les tensions géopolitiques mondiales, entraînant une baisse des taux en Europe. La chute des prix du pétrole est directement liée à cette détente géopolitique. Ces évolutions réduisent les pressions inflationnistes mondiales.</w:t>
      </w:r>
    </w:p>
    <w:p>
      <w:pPr>
        <w:pStyle w:val="Heading3"/>
      </w:pPr>
      <w:r>
        <w:rPr>
          <w:color w:val="500050"/>
        </w:rPr>
        <w:t>⚡ Impact estimé sur la BRVM</w:t>
      </w:r>
    </w:p>
    <w:p>
      <w:pPr>
        <w:spacing w:before="20" w:after="40"/>
        <w:ind w:left="280"/>
      </w:pPr>
      <w:r>
        <w:rPr>
          <w:i/>
          <w:sz w:val="18"/>
        </w:rPr>
        <w:t>La réduction des tensions géopolitiques mondiales est positive pour l'appétit au risque des investisseurs, pouvant favoriser les flux vers les marchés émergents comme la BRVM. La baisse des prix du pétrole est défavorable au secteur ÉNERGIE (TTLS) mais bénéfique pour les entreprises consommatrices d'énergie (SIVC, SDSC, PALC).</w:t>
      </w:r>
    </w:p>
    <w:p>
      <w:pPr>
        <w:pStyle w:val="Heading2"/>
      </w:pPr>
      <w:r>
        <w:rPr>
          <w:color w:val="006E32"/>
        </w:rPr>
        <w:t>🌍 Plan Africain</w:t>
      </w:r>
    </w:p>
    <w:p>
      <w:pPr>
        <w:spacing w:before="20" w:after="40"/>
        <w:ind w:left="0"/>
      </w:pPr>
      <w:r>
        <w:rPr>
          <w:sz w:val="18"/>
        </w:rPr>
        <w:t>Les actualités politiques africaines sont dominées par des sujets économiques et sociaux plutôt que par des crises politiques majeures. Le limogeage du sélectionneur de football sénégalais et la condamnation d'un blogueur malien sont des faits divers sans impact économique direct. La CEDEAO impose un front uni face à l'AES et bannit le bilatéral.</w:t>
      </w:r>
    </w:p>
    <w:p>
      <w:pPr>
        <w:pStyle w:val="Heading3"/>
      </w:pPr>
      <w:r>
        <w:rPr>
          <w:color w:val="500050"/>
        </w:rPr>
        <w:t>⚡ Impact estimé sur la BRVM</w:t>
      </w:r>
    </w:p>
    <w:p>
      <w:pPr>
        <w:spacing w:before="20" w:after="40"/>
        <w:ind w:left="280"/>
      </w:pPr>
      <w:r>
        <w:rPr>
          <w:i/>
          <w:sz w:val="18"/>
        </w:rPr>
        <w:t>La stabilité politique relative en Afrique de l'Ouest est favorable à la confiance des investisseurs. La position ferme de la CEDEAO face à l'AES pourrait créer des tensions régionales, mais sans impact direct identifié sur les sociétés cotées. Les banques panafricaines (BOAC, BOAN, BOAS) ne semblent pas exposées à des risques politiques immédiats.</w:t>
      </w:r>
    </w:p>
    <w:p>
      <w:pPr>
        <w:pStyle w:val="Heading2"/>
      </w:pPr>
      <w:r>
        <w:rPr>
          <w:color w:val="145A28"/>
        </w:rPr>
        <w:t>🌍 Plan Afrique de l'Ouest</w:t>
      </w:r>
    </w:p>
    <w:p>
      <w:pPr>
        <w:spacing w:before="20" w:after="40"/>
        <w:ind w:left="0"/>
      </w:pPr>
      <w:r>
        <w:rPr>
          <w:sz w:val="18"/>
        </w:rPr>
        <w:t>La CEDEAO a décidé de présenter un front uni face à l'Alliance des États du Sahel (AES), en interdisant toute négociation bilatérale avec les pays membres de l'AES. Cette décision intervient dans un contexte de relations régionales tendues. La Guinée maintient sa préférence pour le franc guinéen face au projet Eco.</w:t>
      </w:r>
    </w:p>
    <w:p>
      <w:pPr>
        <w:pStyle w:val="Heading3"/>
      </w:pPr>
      <w:r>
        <w:rPr>
          <w:color w:val="500050"/>
        </w:rPr>
        <w:t>⚡ Impact estimé sur la BRVM</w:t>
      </w:r>
    </w:p>
    <w:p>
      <w:pPr>
        <w:spacing w:before="20" w:after="40"/>
        <w:ind w:left="280"/>
      </w:pPr>
      <w:r>
        <w:rPr>
          <w:i/>
          <w:sz w:val="18"/>
        </w:rPr>
        <w:t>Les tensions entre la CEDEAO et l'AES pourraient créer des incertitudes pour les sociétés cotées opérant dans les pays de l'AES (Mali, Burkina Faso, Niger). Les banques comme BOAC, BOAN, BOAS et ETIT, présentes dans ces pays, pourraient subir des risques opérationnels accrus. La position de la Guinée n'affecte pas directement la BRVM.</w:t>
      </w:r>
    </w:p>
    <w:p>
      <w:pPr>
        <w:pStyle w:val="Heading2"/>
      </w:pPr>
      <w:r>
        <w:rPr>
          <w:color w:val="8C4600"/>
        </w:rPr>
        <w:t>🏦 Plan UEMOA / Zone Franc</w:t>
      </w:r>
    </w:p>
    <w:p>
      <w:pPr>
        <w:spacing w:before="20" w:after="40"/>
        <w:ind w:left="0"/>
      </w:pPr>
      <w:r>
        <w:rPr>
          <w:sz w:val="18"/>
        </w:rPr>
        <w:t>Les actualités politiques dans les pays membres de l'UEMOA sont limitées à des faits divers (condamnation d'un blogueur malien, limogeage d'un sélectionneur sénégalais). L'Agence Ivoirienne de Presse évoque les élections dans la zone sans fournir de détails spécifiques. Aucune réforme institutionnelle majeure n'est rapportée.</w:t>
      </w:r>
    </w:p>
    <w:p>
      <w:pPr>
        <w:pStyle w:val="Heading3"/>
      </w:pPr>
      <w:r>
        <w:rPr>
          <w:color w:val="500050"/>
        </w:rPr>
        <w:t>⚡ Impact estimé sur la BRVM</w:t>
      </w:r>
    </w:p>
    <w:p>
      <w:pPr>
        <w:spacing w:before="20" w:after="40"/>
        <w:ind w:left="280"/>
      </w:pPr>
      <w:r>
        <w:rPr>
          <w:i/>
          <w:sz w:val="18"/>
        </w:rPr>
        <w:t>L'absence de crises politiques majeures dans la zone UEMOA est un facteur de stabilité pour la BRVM. Les risques réglementaires et politiques directs semblent limités. Les investisseurs peuvent maintenir leurs positions sans craindre de chocs politiques immédiats dans la zone.</w:t>
      </w:r>
    </w:p>
    <w:p>
      <w:pPr>
        <w:pStyle w:val="Heading2"/>
      </w:pPr>
      <w:r>
        <w:rPr>
          <w:color w:val="003366"/>
        </w:rPr>
        <w:t>📈 Plan BRVM</w:t>
      </w:r>
    </w:p>
    <w:p>
      <w:pPr>
        <w:spacing w:before="20" w:after="40"/>
        <w:ind w:left="0"/>
      </w:pPr>
      <w:r>
        <w:rPr>
          <w:sz w:val="18"/>
        </w:rPr>
        <w:t>Aucune actualité spécifique sur la réglementation CREPMF, les nouvelles cotations ou la gouvernance des sociétés cotées n'est disponible dans les données fournies.</w:t>
      </w:r>
    </w:p>
    <w:p>
      <w:pPr>
        <w:pStyle w:val="Heading3"/>
      </w:pPr>
      <w:r>
        <w:rPr>
          <w:color w:val="500050"/>
        </w:rPr>
        <w:t>⚡ Impact estimé sur la BRVM</w:t>
      </w:r>
    </w:p>
    <w:p>
      <w:pPr>
        <w:spacing w:before="20" w:after="40"/>
        <w:ind w:left="280"/>
      </w:pPr>
      <w:r>
        <w:rPr>
          <w:i/>
          <w:sz w:val="18"/>
        </w:rPr>
        <w:t>Données insuffisantes pour évaluer les effets des décisions réglementaires sur le marché. Les investisseurs doivent rester attentifs aux communications du CREPMF et aux éventuelles nouvelles cotations.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chute des prix du pétrole a entraîné une baisse de l'indice MXV pendant trois séances consécutives. Les taux d'intérêt en Europe ont fortement chuté suite au cessez-le-feu en Iran, la BCE pouvant temporiser. La pression vendeuse est revenue sur le marché des matières premières, avec des capitaux dirigés vers les valeurs refuges.</w:t>
      </w:r>
    </w:p>
    <w:p>
      <w:pPr>
        <w:pStyle w:val="Heading3"/>
      </w:pPr>
      <w:r>
        <w:rPr>
          <w:color w:val="500050"/>
        </w:rPr>
        <w:t>⚡ Impact estimé sur la BRVM</w:t>
      </w:r>
    </w:p>
    <w:p>
      <w:pPr>
        <w:spacing w:before="20" w:after="40"/>
        <w:ind w:left="280"/>
      </w:pPr>
      <w:r>
        <w:rPr>
          <w:i/>
          <w:sz w:val="18"/>
        </w:rPr>
        <w:t>La baisse des taux en Europe pourrait réduire l'attractivité des obligations européennes et favoriser les flux vers les marchés émergents, dont la BRVM. La chute des matières premières est défavorable au secteur ÉNERGIE (TTLS) mais pourrait bénéficier aux entreprises transformatrices. La prudence des investisseurs mondiaux pourrait limiter les entrées de capitaux à court terme.</w:t>
      </w:r>
    </w:p>
    <w:p>
      <w:pPr>
        <w:pStyle w:val="Heading2"/>
      </w:pPr>
      <w:r>
        <w:rPr>
          <w:color w:val="006E32"/>
        </w:rPr>
        <w:t>🌍 Plan Africain</w:t>
      </w:r>
    </w:p>
    <w:p>
      <w:pPr>
        <w:spacing w:before="20" w:after="40"/>
        <w:ind w:left="0"/>
      </w:pPr>
      <w:r>
        <w:rPr>
          <w:sz w:val="18"/>
        </w:rPr>
        <w:t>L'émission de 108 milliards de FCFA de dette verte par Senelec à la Bourse de Luxembourg démontre la capacité des entités africaines à accéder aux marchés internationaux. Aucune information sur les eurobonds ou les notations souveraines des pays africains n'est disponible dans les actualités fournies.</w:t>
      </w:r>
    </w:p>
    <w:p>
      <w:pPr>
        <w:pStyle w:val="Heading3"/>
      </w:pPr>
      <w:r>
        <w:rPr>
          <w:color w:val="500050"/>
        </w:rPr>
        <w:t>⚡ Impact estimé sur la BRVM</w:t>
      </w:r>
    </w:p>
    <w:p>
      <w:pPr>
        <w:spacing w:before="20" w:after="40"/>
        <w:ind w:left="280"/>
      </w:pPr>
      <w:r>
        <w:rPr>
          <w:i/>
          <w:sz w:val="18"/>
        </w:rPr>
        <w:t>Le succès de l'émission de Senelec renforce la crédibilité de la zone UEMOA auprès des investisseurs internationaux. Cela pourrait indirectement bénéficier à la BRVM en attirant l'attention sur les opportunités d'investissement dans la région. Les sociétés cotées pourraient profiter d'un intérêt accru des investisseurs internationaux.</w:t>
      </w:r>
    </w:p>
    <w:p>
      <w:pPr>
        <w:pStyle w:val="Heading2"/>
      </w:pPr>
      <w:r>
        <w:rPr>
          <w:color w:val="145A28"/>
        </w:rPr>
        <w:t>🌍 Plan Afrique de l'Ouest</w:t>
      </w:r>
    </w:p>
    <w:p>
      <w:pPr>
        <w:spacing w:before="20" w:after="40"/>
        <w:ind w:left="0"/>
      </w:pPr>
      <w:r>
        <w:rPr>
          <w:sz w:val="18"/>
        </w:rPr>
        <w:t>Aucune information spécifique sur les bourses régionales concurrentes ou les flux de capitaux sous-régionaux n'est disponible dans les actualités fournies.</w:t>
      </w:r>
    </w:p>
    <w:p>
      <w:pPr>
        <w:pStyle w:val="Heading3"/>
      </w:pPr>
      <w:r>
        <w:rPr>
          <w:color w:val="500050"/>
        </w:rPr>
        <w:t>⚡ Impact estimé sur la BRVM</w:t>
      </w:r>
    </w:p>
    <w:p>
      <w:pPr>
        <w:spacing w:before="20" w:after="40"/>
        <w:ind w:left="280"/>
      </w:pPr>
      <w:r>
        <w:rPr>
          <w:i/>
          <w:sz w:val="18"/>
        </w:rPr>
        <w:t>Données insuffisantes pour évaluer le positionnement de la BRVM face aux autres places financières de la sous-région.</w:t>
      </w:r>
    </w:p>
    <w:p>
      <w:pPr>
        <w:pStyle w:val="Heading2"/>
      </w:pPr>
      <w:r>
        <w:rPr>
          <w:color w:val="8C4600"/>
        </w:rPr>
        <w:t>🏦 Plan UEMOA / Zone Franc</w:t>
      </w:r>
    </w:p>
    <w:p>
      <w:pPr>
        <w:spacing w:before="20" w:after="40"/>
        <w:ind w:left="0"/>
      </w:pPr>
      <w:r>
        <w:rPr>
          <w:sz w:val="18"/>
        </w:rPr>
        <w:t>Aucune information spécifique sur le marché des titres publics UEMOA, le taux interbancaire ou la liquidité n'est disponible dans les actualités fournies.</w:t>
      </w:r>
    </w:p>
    <w:p>
      <w:pPr>
        <w:pStyle w:val="Heading3"/>
      </w:pPr>
      <w:r>
        <w:rPr>
          <w:color w:val="500050"/>
        </w:rPr>
        <w:t>⚡ Impact estimé sur la BRVM</w:t>
      </w:r>
    </w:p>
    <w:p>
      <w:pPr>
        <w:spacing w:before="20" w:after="40"/>
        <w:ind w:left="280"/>
      </w:pPr>
      <w:r>
        <w:rPr>
          <w:i/>
          <w:sz w:val="18"/>
        </w:rPr>
        <w:t>Données insuffisantes pour évaluer l'arbitrage entre titres publics et actions BRVM. Les investisseurs doivent surveiller les émissions de titres publics de l'UEMOA qui pourraient concurrencer les actions.</w:t>
      </w:r>
    </w:p>
    <w:p>
      <w:pPr>
        <w:pStyle w:val="Heading2"/>
      </w:pPr>
      <w:r>
        <w:rPr>
          <w:color w:val="003366"/>
        </w:rPr>
        <w:t>📈 Plan BRVM</w:t>
      </w:r>
    </w:p>
    <w:p>
      <w:pPr>
        <w:spacing w:before="20" w:after="40"/>
        <w:ind w:left="0"/>
      </w:pPr>
      <w:r>
        <w:rPr>
          <w:sz w:val="18"/>
        </w:rPr>
        <w:t>L'indice BRVM Composite se situe à 485.89 points. Les résultats encourageants des sociétés cotées ivoiriennes ont été soulignés par La Tribune en juin 2026. Aucune information récente sur les performances des indices, les volumes ou les valeurs en mouvement n'est disponible.</w:t>
      </w:r>
    </w:p>
    <w:p>
      <w:pPr>
        <w:pStyle w:val="Heading3"/>
      </w:pPr>
      <w:r>
        <w:rPr>
          <w:color w:val="500050"/>
        </w:rPr>
        <w:t>⚡ Impact estimé sur la BRVM</w:t>
      </w:r>
    </w:p>
    <w:p>
      <w:pPr>
        <w:spacing w:before="20" w:after="40"/>
        <w:ind w:left="280"/>
      </w:pPr>
      <w:r>
        <w:rPr>
          <w:i/>
          <w:sz w:val="18"/>
        </w:rPr>
        <w:t>La dynamique positive des résultats des sociétés ivoiriennes est un signal encourageant pour l'ensemble du marché. Les valeurs bancaires (SGBC, BICB, BOAC, BOAN, BOAS, ETIT) et industrielles (SIVC, SDSC) pourraient bénéficier de cette tendance. Les investisseurs devraient surveiller les publications de résultats et les annonces de dividendes pour identifier les opportunités d'achat. Les valeurs comme PALC et SLBC (consommation de base) restent des valeurs défensives intéressantes en cas de volatilité.</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 contexte macro-économique est globalement favorable pour la BRVM, avec la détente des taux en Europe suite au cessez-le-feu en Iran, qui pourrait attirer des flux vers les marchés émergents. La stabilité politique relative dans la zone UEMOA et les résultats encourageants des sociétés cotées ivoiriennes renforcent la confiance des investisseurs. La baisse des prix du pétrole est un facteur mitigé, défavorable au secteur ÉNERGIE mais bénéfique pour les entreprises consommatrices d'énergie. Les incertitudes liées au projet Eco et aux tensions CEDEAO-AES restent des facteurs de vigilance, mais sans impact immédiat majeur. **Recommandation** : maintenir une position constructive sur les valeurs bancaires (SGBC, BICB, ETIT) et industrielles (SIVC, SDSC), tout en surveillant les publications de résultats et l'évolution des cours du pétrole et des matières premières.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2026-07-31</w:t>
            </w:r>
          </w:p>
        </w:tc>
        <w:tc>
          <w:tcPr>
            <w:tcW w:type="dxa" w:w="1728"/>
          </w:tcPr>
          <w:p>
            <w:r>
              <w:rPr>
                <w:sz w:val="14"/>
              </w:rPr>
              <w:t>La pression à la vente est revenue sur le marché des matières première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La semaine à venir à Wall Street-Le marché boursier américain, en plei</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2026-07-29</w:t>
            </w:r>
          </w:p>
        </w:tc>
        <w:tc>
          <w:tcPr>
            <w:tcW w:type="dxa" w:w="1728"/>
          </w:tcPr>
          <w:p>
            <w:r>
              <w:rPr>
                <w:sz w:val="14"/>
              </w:rPr>
              <w:t xml:space="preserve">Les prix du pétrole ont chuté fortement et l'indice MXV a continué de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 Si vous attendiez une opportunité particulièrement propice pour inve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Guinée : le franc national préféré à l'éco, future monnaie unique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Forum de la CEDEAO sur l’eau : Abidjan accueille l’événement en septem</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PDAO 2026 et BIDC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Sénégal : qui va payer les indemnités dues à Pape Thiaw, sélectionneur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Elections - AIP | Leader de l'information de proximité - Agence Ivoiri</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2026-08-03</w:t>
            </w:r>
          </w:p>
        </w:tc>
        <w:tc>
          <w:tcPr>
            <w:tcW w:type="dxa" w:w="1728"/>
          </w:tcPr>
          <w:p>
            <w:r>
              <w:rPr>
                <w:sz w:val="14"/>
              </w:rPr>
              <w:t>Hausse des prix des carburants : Le Rhdp défend la politique du gouver</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2026-08-04</w:t>
            </w:r>
          </w:p>
        </w:tc>
        <w:tc>
          <w:tcPr>
            <w:tcW w:type="dxa" w:w="1728"/>
          </w:tcPr>
          <w:p>
            <w:r>
              <w:rPr>
                <w:sz w:val="14"/>
              </w:rPr>
              <w:t>Côte d'Ivoire : Indépendance 2026, le Gouvernement offre des vivres et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Sénégal : qui va payer les indemnités dues à Pape Thiaw, sélectionneur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Guinée : le franc national préféré à l'éco, future monnaie unique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Guinée : le franc national préféré à l'éco, future monnaie unique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Sénégal : qui va payer les indemnités dues à Pape Thiaw, sélectionneur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Guinée : le franc national préféré à l'éco, future monnaie unique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Guinée : le franc national préféré à l'éco, future monnaie unique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(8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r>
        <w:tc>
          <w:tcPr>
            <w:tcW w:type="dxa" w:w="1728"/>
          </w:tcPr>
          <w:p>
            <w:r>
              <w:rPr>
                <w:sz w:val="15"/>
              </w:rPr>
              <w:t>25/03/2026</w:t>
            </w:r>
          </w:p>
        </w:tc>
        <w:tc>
          <w:tcPr>
            <w:tcW w:type="dxa" w:w="1728"/>
          </w:tcPr>
          <w:p>
            <w:r>
              <w:rPr>
                <w:sz w:val="15"/>
              </w:rPr>
              <w:t>PALMCI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PALMCI convoque son Assemblée Générale Ordinaire le 14 avril 2026 à Abidjan pour approuver les comptes 2025. L'entrepris</w:t>
            </w:r>
          </w:p>
        </w:tc>
      </w:tr>
      <w:tr>
        <w:tc>
          <w:tcPr>
            <w:tcW w:type="dxa" w:w="8640"/>
            <w:gridSpan w:val="5"/>
          </w:tcPr>
          <w:p>
            <w:r>
              <w:rPr>
                <w:color w:val="505050"/>
                <w:sz w:val="14"/>
              </w:rPr>
              <w:t xml:space="preserve">  → Assemblée Générale Ordinaire prévue le 14 avril 2026 en présentiel et visioconférence | Résultat net bénéficiaire de 15 508 654 739 FCFA selon SYSCOHADA pour l'exercice 2025 | Proposition de dividendes de 7 754 327 370 FCFA soit 502 FCFA brut par action</w:t>
            </w:r>
          </w:p>
        </w:tc>
      </w:tr>
      <w:tr>
        <w:tc>
          <w:tcPr>
            <w:tcW w:type="dxa" w:w="1728"/>
          </w:tcPr>
          <w:p>
            <w:r>
              <w:rPr>
                <w:sz w:val="15"/>
              </w:rPr>
              <w:t>25/03/2026</w:t>
            </w:r>
          </w:p>
        </w:tc>
        <w:tc>
          <w:tcPr>
            <w:tcW w:type="dxa" w:w="1728"/>
          </w:tcPr>
          <w:p>
            <w:r>
              <w:rPr>
                <w:sz w:val="15"/>
              </w:rPr>
              <w:t>SOCIÉTÉ AFRI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SAPH convoque ses actionnaires en Assemblée Générale Ordinaire le 09 avril 2026 pour approuver les comptes 2025 et délib</w:t>
            </w:r>
          </w:p>
        </w:tc>
      </w:tr>
      <w:tr>
        <w:tc>
          <w:tcPr>
            <w:tcW w:type="dxa" w:w="8640"/>
            <w:gridSpan w:val="5"/>
          </w:tcPr>
          <w:p>
            <w:r>
              <w:rPr>
                <w:color w:val="505050"/>
                <w:sz w:val="14"/>
              </w:rPr>
              <w:t xml:space="preserve">  → Assemblée Générale Ordinaire convoquée le 09 avril 2026 à 09h00 GMT | Bénéfice net 2025 de 24,97 milliards FCFA selon SYSCOHADA et 27,34 milliards selon IFRS | Distribution de dividende proposée de 489 FCFA brut par action (12,50 milliards FCFA total)</w:t>
            </w:r>
          </w:p>
        </w:tc>
      </w:tr>
      <w:tr>
        <w:tc>
          <w:tcPr>
            <w:tcW w:type="dxa" w:w="1728"/>
          </w:tcPr>
          <w:p>
            <w:r>
              <w:rPr>
                <w:sz w:val="15"/>
              </w:rPr>
              <w:t>24/05/2026</w:t>
            </w:r>
          </w:p>
        </w:tc>
        <w:tc>
          <w:tcPr>
            <w:tcW w:type="dxa" w:w="1728"/>
          </w:tcPr>
          <w:p>
            <w:r>
              <w:rPr>
                <w:sz w:val="15"/>
              </w:rPr>
              <w:t xml:space="preserve">NESTLÉ CÔTE </w:t>
            </w:r>
          </w:p>
        </w:tc>
        <w:tc>
          <w:tcPr>
            <w:tcW w:type="dxa" w:w="1728"/>
          </w:tcPr>
          <w:p>
            <w:r>
              <w:rPr>
                <w:sz w:val="15"/>
              </w:rPr>
              <w:t>20260522   avis de convocation   assemblee general</w:t>
            </w:r>
          </w:p>
        </w:tc>
        <w:tc>
          <w:tcPr>
            <w:tcW w:type="dxa" w:w="1728"/>
          </w:tcPr>
          <w:p>
            <w:r>
              <w:rPr>
                <w:b/>
                <w:sz w:val="15"/>
              </w:rPr>
              <w:t>⚪ =</w:t>
            </w:r>
          </w:p>
        </w:tc>
        <w:tc>
          <w:tcPr>
            <w:tcW w:type="dxa" w:w="1728"/>
          </w:tcPr>
          <w:p>
            <w:r>
              <w:rPr>
                <w:sz w:val="15"/>
              </w:rPr>
              <w:t>Nestlé Côte d'Ivoire convoque ses actionnaires à une Assemblée Générale Ordinaire le 11 juin 2026 à 10h00 à l'Espace Lat</w:t>
            </w:r>
          </w:p>
        </w:tc>
      </w:tr>
      <w:tr>
        <w:tc>
          <w:tcPr>
            <w:tcW w:type="dxa" w:w="8640"/>
            <w:gridSpan w:val="5"/>
          </w:tcPr>
          <w:p>
            <w:r>
              <w:rPr>
                <w:color w:val="505050"/>
                <w:sz w:val="14"/>
              </w:rPr>
              <w:t xml:space="preserve">  → Assemblée Générale Ordinaire programmée le 11 juin 2026 à 10h00 à Abidjan | Examen des états financiers SYSCOHADA et IFRS arrêtés au 31 décembre 2025 | Proposition d'affectation du résultat de l'exercice 2025</w:t>
            </w:r>
          </w:p>
        </w:tc>
      </w:tr>
      <w:tr>
        <w:tc>
          <w:tcPr>
            <w:tcW w:type="dxa" w:w="1728"/>
          </w:tcPr>
          <w:p>
            <w:r>
              <w:rPr>
                <w:sz w:val="15"/>
              </w:rPr>
              <w:t>24/04/2026</w:t>
            </w:r>
          </w:p>
        </w:tc>
        <w:tc>
          <w:tcPr>
            <w:tcW w:type="dxa" w:w="1728"/>
          </w:tcPr>
          <w:p>
            <w:r>
              <w:rPr>
                <w:sz w:val="15"/>
              </w:rPr>
              <w:t>Société Ivoi</w:t>
            </w:r>
          </w:p>
        </w:tc>
        <w:tc>
          <w:tcPr>
            <w:tcW w:type="dxa" w:w="1728"/>
          </w:tcPr>
          <w:p>
            <w:r>
              <w:rPr>
                <w:sz w:val="15"/>
              </w:rPr>
              <w:t>20260423   avis de convocation   assemblee general</w:t>
            </w:r>
          </w:p>
        </w:tc>
        <w:tc>
          <w:tcPr>
            <w:tcW w:type="dxa" w:w="1728"/>
          </w:tcPr>
          <w:p>
            <w:r>
              <w:rPr>
                <w:b/>
                <w:sz w:val="15"/>
              </w:rPr>
              <w:t>⚪ =</w:t>
            </w:r>
          </w:p>
        </w:tc>
        <w:tc>
          <w:tcPr>
            <w:tcW w:type="dxa" w:w="1728"/>
          </w:tcPr>
          <w:p>
            <w:r>
              <w:rPr>
                <w:sz w:val="15"/>
              </w:rPr>
              <w:t xml:space="preserve">La Société Ivoirienne de Banque convoque ses actionnaires en Assemblée Générale Ordinaire Annuelle le mardi 12 mai 2026 </w:t>
            </w:r>
          </w:p>
        </w:tc>
      </w:tr>
      <w:tr>
        <w:tc>
          <w:tcPr>
            <w:tcW w:type="dxa" w:w="8640"/>
            <w:gridSpan w:val="5"/>
          </w:tcPr>
          <w:p>
            <w:r>
              <w:rPr>
                <w:color w:val="505050"/>
                <w:sz w:val="14"/>
              </w:rPr>
              <w:t xml:space="preserve">  → Assemblée Générale Ordinaire Annuelle prévue le mardi 12 mai 2026 à 10 heures | Présentation et approbation des rapports de gestion et des comptes de l'exercice social clos au 31 décembre 2025 | Évaluation du Conseil d'Administration, des Comités Spécialisés et des Administrateurs</w:t>
            </w:r>
          </w:p>
        </w:tc>
      </w:tr>
    </w:tbl>
    <w:p/>
    <w:p>
      <w:pPr>
        <w:pStyle w:val="Heading3"/>
      </w:pPr>
      <w:r>
        <w:t>📌 Autre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r>
        <w:tc>
          <w:tcPr>
            <w:tcW w:type="dxa" w:w="1728"/>
          </w:tcPr>
          <w:p>
            <w:r>
              <w:rPr>
                <w:sz w:val="15"/>
              </w:rPr>
              <w:t>24/04/2026</w:t>
            </w:r>
          </w:p>
        </w:tc>
        <w:tc>
          <w:tcPr>
            <w:tcW w:type="dxa" w:w="1728"/>
          </w:tcPr>
          <w:p>
            <w:r>
              <w:rPr>
                <w:sz w:val="15"/>
              </w:rPr>
              <w:t>SENELEC</w:t>
            </w:r>
          </w:p>
        </w:tc>
        <w:tc>
          <w:tcPr>
            <w:tcW w:type="dxa" w:w="1728"/>
          </w:tcPr>
          <w:p>
            <w:r>
              <w:rPr>
                <w:sz w:val="15"/>
              </w:rPr>
              <w:t>20260423   avis ndeg106 brvmdg   premiere cotation</w:t>
            </w:r>
          </w:p>
        </w:tc>
        <w:tc>
          <w:tcPr>
            <w:tcW w:type="dxa" w:w="1728"/>
          </w:tcPr>
          <w:p>
            <w:r>
              <w:rPr>
                <w:b/>
                <w:color w:val="008000"/>
                <w:sz w:val="15"/>
              </w:rPr>
              <w:t>🟢 +</w:t>
            </w:r>
          </w:p>
        </w:tc>
        <w:tc>
          <w:tcPr>
            <w:tcW w:type="dxa" w:w="1728"/>
          </w:tcPr>
          <w:p>
            <w:r>
              <w:rPr>
                <w:sz w:val="15"/>
              </w:rPr>
              <w:t>La BRVM annonce la première cotation des obligations SENELEC (FCTC SENELEC SENIOR 8,15% 2025-2030 et FCTC SENELEC MEZZAN</w:t>
            </w:r>
          </w:p>
        </w:tc>
      </w:tr>
      <w:tr>
        <w:tc>
          <w:tcPr>
            <w:tcW w:type="dxa" w:w="8640"/>
            <w:gridSpan w:val="5"/>
          </w:tcPr>
          <w:p>
            <w:r>
              <w:rPr>
                <w:color w:val="505050"/>
                <w:sz w:val="14"/>
              </w:rPr>
              <w:t xml:space="preserve">  → Première cotation des obligations SENELEC prévue le 06 mai 2026 | Deux tranches : SENIOR 8,15% et MEZZANINE 10,00% échéance 2025-2030 | Montant total de l'émission : 108 milliards FCFA</w:t>
            </w:r>
          </w:p>
        </w:tc>
      </w:tr>
      <w:tr>
        <w:tc>
          <w:tcPr>
            <w:tcW w:type="dxa" w:w="1728"/>
          </w:tcPr>
          <w:p>
            <w:r>
              <w:rPr>
                <w:sz w:val="15"/>
              </w:rPr>
              <w:t>23/04/2026</w:t>
            </w:r>
          </w:p>
        </w:tc>
        <w:tc>
          <w:tcPr>
            <w:tcW w:type="dxa" w:w="1728"/>
          </w:tcPr>
          <w:p>
            <w:r>
              <w:rPr>
                <w:sz w:val="15"/>
              </w:rPr>
              <w:t>SENELEC</w:t>
            </w:r>
          </w:p>
        </w:tc>
        <w:tc>
          <w:tcPr>
            <w:tcW w:type="dxa" w:w="1728"/>
          </w:tcPr>
          <w:p>
            <w:r>
              <w:rPr>
                <w:sz w:val="15"/>
              </w:rPr>
              <w:t>20260422   avis ndeg105 brvmdg   premiere cotation</w:t>
            </w:r>
          </w:p>
        </w:tc>
        <w:tc>
          <w:tcPr>
            <w:tcW w:type="dxa" w:w="1728"/>
          </w:tcPr>
          <w:p>
            <w:r>
              <w:rPr>
                <w:b/>
                <w:color w:val="008000"/>
                <w:sz w:val="15"/>
              </w:rPr>
              <w:t>🟢 +</w:t>
            </w:r>
          </w:p>
        </w:tc>
        <w:tc>
          <w:tcPr>
            <w:tcW w:type="dxa" w:w="1728"/>
          </w:tcPr>
          <w:p>
            <w:r>
              <w:rPr>
                <w:sz w:val="15"/>
              </w:rPr>
              <w:t>La BRVM annonce la première cotation des obligations FCTC SENELEC SENIOR 8,15% 2025-2030 et FCTC SENELEC MEZZANINE 10,00</w:t>
            </w:r>
          </w:p>
        </w:tc>
      </w:tr>
      <w:tr>
        <w:tc>
          <w:tcPr>
            <w:tcW w:type="dxa" w:w="8640"/>
            <w:gridSpan w:val="5"/>
          </w:tcPr>
          <w:p>
            <w:r>
              <w:rPr>
                <w:color w:val="505050"/>
                <w:sz w:val="14"/>
              </w:rPr>
              <w:t xml:space="preserve">  → Première cotation de deux emprunts obligataires FCTC SENELEC prévue le 06 mai 2026 | Émission de 8,3 millions d'obligations senior à 8,15% et 2,5 millions d'obligations mezzanine à 10% | Montant total de l'opération : 108 milliards FCFA sur le Marché Financier Régional de l'UEMOA</w:t>
            </w:r>
          </w:p>
        </w:tc>
      </w:tr>
    </w:tbl>
    <w:p/>
    <w:p>
      <w:pPr>
        <w:pStyle w:val="Heading3"/>
      </w:pPr>
      <w:r>
        <w:t>ℹ️ Avis &amp; informations (10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EPT</w:t>
            </w:r>
          </w:p>
        </w:tc>
        <w:tc>
          <w:tcPr>
            <w:tcW w:type="dxa" w:w="1728"/>
          </w:tcPr>
          <w:p>
            <w:r>
              <w:rPr>
                <w:sz w:val="15"/>
              </w:rPr>
              <w:t>20260423   avis ndeg109 brvmdg   resultats de prem</w:t>
            </w:r>
          </w:p>
        </w:tc>
        <w:tc>
          <w:tcPr>
            <w:tcW w:type="dxa" w:w="1728"/>
          </w:tcPr>
          <w:p>
            <w:r>
              <w:rPr>
                <w:b/>
                <w:color w:val="008000"/>
                <w:sz w:val="15"/>
              </w:rPr>
              <w:t>🟢 +</w:t>
            </w:r>
          </w:p>
        </w:tc>
        <w:tc>
          <w:tcPr>
            <w:tcW w:type="dxa" w:w="1728"/>
          </w:tcPr>
          <w:p>
            <w:r>
              <w:rPr>
                <w:sz w:val="15"/>
              </w:rPr>
              <w:t>La BRVM annonce les résultats de première cotation de trois emprunts obligataires FCTC EPT avec des taux de 7,50%, 8,00%</w:t>
            </w:r>
          </w:p>
        </w:tc>
      </w:tr>
      <w:tr>
        <w:tc>
          <w:tcPr>
            <w:tcW w:type="dxa" w:w="8640"/>
            <w:gridSpan w:val="5"/>
          </w:tcPr>
          <w:p>
            <w:r>
              <w:rPr>
                <w:color w:val="505050"/>
                <w:sz w:val="14"/>
              </w:rPr>
              <w:t xml:space="preserve">  → Première cotation de trois emprunts obligataires FCTC EPT avec des taux de 7,50%, 8,00% et 8,50% | Prix de cotation fixé à 10 000 FCFA par obligation avec 500 titres échangés | Capitalisation boursière totale de 60 milliards de FCFA pour les trois émissions</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r>
        <w:tc>
          <w:tcPr>
            <w:tcW w:type="dxa" w:w="1728"/>
          </w:tcPr>
          <w:p>
            <w:r>
              <w:rPr>
                <w:sz w:val="15"/>
              </w:rPr>
              <w:t>23/04/2026</w:t>
            </w:r>
          </w:p>
        </w:tc>
        <w:tc>
          <w:tcPr>
            <w:tcW w:type="dxa" w:w="1728"/>
          </w:tcPr>
          <w:p>
            <w:r>
              <w:rPr>
                <w:sz w:val="15"/>
              </w:rPr>
              <w:t>ETAT DU MALI</w:t>
            </w:r>
          </w:p>
        </w:tc>
        <w:tc>
          <w:tcPr>
            <w:tcW w:type="dxa" w:w="1728"/>
          </w:tcPr>
          <w:p>
            <w:r>
              <w:rPr>
                <w:sz w:val="15"/>
              </w:rPr>
              <w:t>20260422   avis ndeg104 brvmdg   premiere cotation</w:t>
            </w:r>
          </w:p>
        </w:tc>
        <w:tc>
          <w:tcPr>
            <w:tcW w:type="dxa" w:w="1728"/>
          </w:tcPr>
          <w:p>
            <w:r>
              <w:rPr>
                <w:b/>
                <w:color w:val="008000"/>
                <w:sz w:val="15"/>
              </w:rPr>
              <w:t>🟢 +</w:t>
            </w:r>
          </w:p>
        </w:tc>
        <w:tc>
          <w:tcPr>
            <w:tcW w:type="dxa" w:w="1728"/>
          </w:tcPr>
          <w:p>
            <w:r>
              <w:rPr>
                <w:sz w:val="15"/>
              </w:rPr>
              <w:t>La BRVM annonce la première cotation de deux emprunts obligataires de l'État du Mali : 6,55% 2026-2036 et 6,35% 2026-203</w:t>
            </w:r>
          </w:p>
        </w:tc>
      </w:tr>
      <w:tr>
        <w:tc>
          <w:tcPr>
            <w:tcW w:type="dxa" w:w="8640"/>
            <w:gridSpan w:val="5"/>
          </w:tcPr>
          <w:p>
            <w:r>
              <w:rPr>
                <w:color w:val="505050"/>
                <w:sz w:val="14"/>
              </w:rPr>
              <w:t xml:space="preserve">  → Émission de deux emprunts obligataires : État du Mali 6,55% 2026-2036 et État du Mali 6,35% 2026-2033 | Montant total de l'opération : 107,7 milliards FCFA | Date de jouissance des obligations : 6 mars 2026</w:t>
            </w:r>
          </w:p>
        </w:tc>
      </w:tr>
      <w:tr>
        <w:tc>
          <w:tcPr>
            <w:tcW w:type="dxa" w:w="1728"/>
          </w:tcPr>
          <w:p>
            <w:r>
              <w:rPr>
                <w:sz w:val="15"/>
              </w:rPr>
              <w:t>22/11/2025</w:t>
            </w:r>
          </w:p>
        </w:tc>
        <w:tc>
          <w:tcPr>
            <w:tcW w:type="dxa" w:w="1728"/>
          </w:tcPr>
          <w:p>
            <w:r>
              <w:rPr>
                <w:sz w:val="15"/>
              </w:rPr>
              <w:t xml:space="preserve">AIR LIQUIDE </w:t>
            </w:r>
          </w:p>
        </w:tc>
        <w:tc>
          <w:tcPr>
            <w:tcW w:type="dxa" w:w="1728"/>
          </w:tcPr>
          <w:p>
            <w:r>
              <w:rPr>
                <w:sz w:val="15"/>
              </w:rPr>
              <w:t>20251121   communique   franchissement de seuil pa</w:t>
            </w:r>
          </w:p>
        </w:tc>
        <w:tc>
          <w:tcPr>
            <w:tcW w:type="dxa" w:w="1728"/>
          </w:tcPr>
          <w:p>
            <w:r>
              <w:rPr>
                <w:b/>
                <w:sz w:val="15"/>
              </w:rPr>
              <w:t>⚪ =</w:t>
            </w:r>
          </w:p>
        </w:tc>
        <w:tc>
          <w:tcPr>
            <w:tcW w:type="dxa" w:w="1728"/>
          </w:tcPr>
          <w:p>
            <w:r>
              <w:rPr>
                <w:sz w:val="15"/>
              </w:rPr>
              <w:t>Air Liquide International déclare un franchissement de seuil à la baisse dans le capital d'Air Liquide Côte d'Ivoire, pa</w:t>
            </w:r>
          </w:p>
        </w:tc>
      </w:tr>
      <w:tr>
        <w:tc>
          <w:tcPr>
            <w:tcW w:type="dxa" w:w="8640"/>
            <w:gridSpan w:val="5"/>
          </w:tcPr>
          <w:p>
            <w:r>
              <w:rPr>
                <w:color w:val="505050"/>
                <w:sz w:val="14"/>
              </w:rPr>
              <w:t xml:space="preserve">  → Franchissement de seuil à la baisse de 66,66% par Air Liquide International | Cession complète de la participation : de 72,08% (6 295 350 actions) à 0% | Acheteur identifié : ERIUM LTD au cours de 230 FCFA par action</w:t>
            </w:r>
          </w:p>
        </w:tc>
      </w:tr>
      <w:tr>
        <w:tc>
          <w:tcPr>
            <w:tcW w:type="dxa" w:w="1728"/>
          </w:tcPr>
          <w:p>
            <w:r>
              <w:rPr>
                <w:sz w:val="15"/>
              </w:rPr>
              <w:t>21/05/2026</w:t>
            </w:r>
          </w:p>
        </w:tc>
        <w:tc>
          <w:tcPr>
            <w:tcW w:type="dxa" w:w="1728"/>
          </w:tcPr>
          <w:p>
            <w:r>
              <w:rPr>
                <w:sz w:val="15"/>
              </w:rPr>
              <w:t>BRVM</w:t>
            </w:r>
          </w:p>
        </w:tc>
        <w:tc>
          <w:tcPr>
            <w:tcW w:type="dxa" w:w="1728"/>
          </w:tcPr>
          <w:p>
            <w:r>
              <w:rPr>
                <w:sz w:val="15"/>
              </w:rPr>
              <w:t>20260520   avis ndeg140 brvmdg   horaires de cotat</w:t>
            </w:r>
          </w:p>
        </w:tc>
        <w:tc>
          <w:tcPr>
            <w:tcW w:type="dxa" w:w="1728"/>
          </w:tcPr>
          <w:p>
            <w:r>
              <w:rPr>
                <w:b/>
                <w:sz w:val="15"/>
              </w:rPr>
              <w:t>⚪ =</w:t>
            </w:r>
          </w:p>
        </w:tc>
        <w:tc>
          <w:tcPr>
            <w:tcW w:type="dxa" w:w="1728"/>
          </w:tcPr>
          <w:p>
            <w:r>
              <w:rPr>
                <w:sz w:val="15"/>
              </w:rPr>
              <w:t>La BRVM informe du changement des horaires de cotation du mardi 26 mai 2026 en raison de l'Aïd-el-Kébir. Les horaires so</w:t>
            </w:r>
          </w:p>
        </w:tc>
      </w:tr>
      <w:tr>
        <w:tc>
          <w:tcPr>
            <w:tcW w:type="dxa" w:w="8640"/>
            <w:gridSpan w:val="5"/>
          </w:tcPr>
          <w:p>
            <w:r>
              <w:rPr>
                <w:color w:val="505050"/>
                <w:sz w:val="14"/>
              </w:rPr>
              <w:t xml:space="preserve">  → Modification des horaires de cotation du 26 mai 2026 | Raison : célébration de l'Aïd-el-Kébir (Tabaski) | Pré-ouverture de 9h00 à 9h30 (UTC)</w:t>
            </w:r>
          </w:p>
        </w:tc>
      </w:tr>
    </w:tbl>
    <w:p/>
    <w:p>
      <w:pPr>
        <w:pStyle w:val="Heading3"/>
      </w:pPr>
      <w:r>
        <w:t>📢 Communiqués de presse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r>
        <w:tc>
          <w:tcPr>
            <w:tcW w:type="dxa" w:w="1728"/>
          </w:tcPr>
          <w:p>
            <w:r>
              <w:rPr>
                <w:sz w:val="15"/>
              </w:rPr>
              <w:t>22/02/2026</w:t>
            </w:r>
          </w:p>
        </w:tc>
        <w:tc>
          <w:tcPr>
            <w:tcW w:type="dxa" w:w="1728"/>
          </w:tcPr>
          <w:p>
            <w:r>
              <w:rPr>
                <w:sz w:val="15"/>
              </w:rPr>
              <w:t>Fidelis Fina</w:t>
            </w:r>
          </w:p>
        </w:tc>
        <w:tc>
          <w:tcPr>
            <w:tcW w:type="dxa" w:w="1728"/>
          </w:tcPr>
          <w:p>
            <w:r>
              <w:rPr>
                <w:sz w:val="15"/>
              </w:rPr>
              <w:t>20260220   communique   fidelis finance</w:t>
            </w:r>
          </w:p>
        </w:tc>
        <w:tc>
          <w:tcPr>
            <w:tcW w:type="dxa" w:w="1728"/>
          </w:tcPr>
          <w:p>
            <w:r>
              <w:rPr>
                <w:b/>
                <w:sz w:val="15"/>
              </w:rPr>
              <w:t>⚪ =</w:t>
            </w:r>
          </w:p>
        </w:tc>
        <w:tc>
          <w:tcPr>
            <w:tcW w:type="dxa" w:w="1728"/>
          </w:tcPr>
          <w:p>
            <w:r>
              <w:rPr>
                <w:sz w:val="15"/>
              </w:rPr>
              <w:t>Fidelis Finance informe le marché qu'une procédure judiciaire est en cours devant les juridictions ivoiriennes suite à u</w:t>
            </w:r>
          </w:p>
        </w:tc>
      </w:tr>
      <w:tr>
        <w:tc>
          <w:tcPr>
            <w:tcW w:type="dxa" w:w="8640"/>
            <w:gridSpan w:val="5"/>
          </w:tcPr>
          <w:p>
            <w:r>
              <w:rPr>
                <w:color w:val="505050"/>
                <w:sz w:val="14"/>
              </w:rPr>
              <w:t xml:space="preserve">  → Procédure judiciaire en cours devant les juridictions ivoiriennes suite à un différend commercial | Ordonnance de renvoi partiel rendue le 15 janvier 2026 par le Tribunal correctionnel d'Abidjan | Aucune condamnation, sanction financière ou mesure conservatoire prononcée à ce stade</w:t>
            </w:r>
          </w:p>
        </w:tc>
      </w:tr>
    </w:tbl>
    <w:p/>
    <w:p>
      <w:pPr>
        <w:pStyle w:val="Heading3"/>
      </w:pPr>
      <w:r>
        <w:t>💰 Dividendes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23/12/2025</w:t>
            </w:r>
          </w:p>
        </w:tc>
        <w:tc>
          <w:tcPr>
            <w:tcW w:type="dxa" w:w="1728"/>
          </w:tcPr>
          <w:p>
            <w:r>
              <w:rPr>
                <w:sz w:val="15"/>
              </w:rPr>
              <w:t>BANK OF AFRI</w:t>
            </w:r>
          </w:p>
        </w:tc>
        <w:tc>
          <w:tcPr>
            <w:tcW w:type="dxa" w:w="1728"/>
          </w:tcPr>
          <w:p>
            <w:r>
              <w:rPr>
                <w:sz w:val="15"/>
              </w:rPr>
              <w:t>20251223   communique   alerte sur resultats   boa</w:t>
            </w:r>
          </w:p>
        </w:tc>
        <w:tc>
          <w:tcPr>
            <w:tcW w:type="dxa" w:w="1728"/>
          </w:tcPr>
          <w:p>
            <w:r>
              <w:rPr>
                <w:b/>
                <w:sz w:val="15"/>
              </w:rPr>
              <w:t>⚪ =</w:t>
            </w:r>
          </w:p>
        </w:tc>
        <w:tc>
          <w:tcPr>
            <w:tcW w:type="dxa" w:w="1728"/>
          </w:tcPr>
          <w:p>
            <w:r>
              <w:rPr>
                <w:sz w:val="15"/>
              </w:rPr>
              <w:t>Bank of Africa-Niger annonce une baisse significative de plus de 50% de son résultat net pour l'exercice 2025. Cette chu</w:t>
            </w:r>
          </w:p>
        </w:tc>
      </w:tr>
      <w:tr>
        <w:tc>
          <w:tcPr>
            <w:tcW w:type="dxa" w:w="8640"/>
            <w:gridSpan w:val="5"/>
          </w:tcPr>
          <w:p>
            <w:r>
              <w:rPr>
                <w:color w:val="505050"/>
                <w:sz w:val="14"/>
              </w:rPr>
              <w:t xml:space="preserve">  → Baisse du résultat net supérieure à 50% par rapport à l'exercice précédent | Recul de 20% des encours de crédits dû à la conjoncture économique difficile | Important effort de provisionnement impactant la capacité bénéficiaire</w:t>
            </w:r>
          </w:p>
        </w:tc>
      </w:tr>
    </w:tbl>
    <w:p/>
    <w:p/>
    <w:p>
      <w:pPr>
        <w:pStyle w:val="Heading2"/>
      </w:pPr>
      <w:r>
        <w:t>🔔 B — Alertes Google &amp; actualités financières</w:t>
      </w:r>
    </w:p>
    <w:p>
      <w:pPr>
        <w:spacing w:before="120" w:after="40"/>
      </w:pPr>
      <w:r>
        <w:rPr>
          <w:b/>
          <w:color w:val="00467F"/>
          <w:sz w:val="20"/>
        </w:rPr>
        <w:t>🔑 économique  (6 alerte(s))</w:t>
      </w:r>
    </w:p>
    <w:p>
      <w:pPr>
        <w:spacing w:before="40" w:after="40"/>
        <w:ind w:left="360"/>
      </w:pPr>
      <w:r>
        <w:rPr>
          <w:color w:val="646464"/>
          <w:sz w:val="17"/>
        </w:rPr>
        <w:t xml:space="preserve">[05/08/2026] ⚪  </w:t>
      </w:r>
      <w:r>
        <w:rPr>
          <w:b/>
          <w:color w:val="505050"/>
          <w:sz w:val="18"/>
        </w:rPr>
        <w:t>La CEDEAO impose un front uni face à l’AES et bannit le bilatéral - Africtelegraph</w:t>
      </w:r>
      <w:r>
        <w:rPr>
          <w:color w:val="787878"/>
          <w:sz w:val="15"/>
        </w:rPr>
        <w:t xml:space="preserve">  [économique]</w:t>
      </w:r>
      <w:r>
        <w:rPr>
          <w:color w:val="B47800"/>
          <w:sz w:val="16"/>
        </w:rPr>
        <w:t xml:space="preserve">  ★ 50/10</w:t>
      </w:r>
    </w:p>
    <w:p>
      <w:pPr>
        <w:spacing w:before="0" w:after="20"/>
        <w:ind w:left="600"/>
      </w:pPr>
      <w:r>
        <w:rPr>
          <w:color w:val="323232"/>
          <w:sz w:val="17"/>
        </w:rPr>
        <w:t>La CEDEAO a décidé de présenter un front uni face à l'Alliance des États du Sahel (AES), en interdisant toute négociation bilatérale avec les pays membres de cette alliance. Cette décision vise à renforcer la cohésion régionale et à éviter que des accords individuels ne fragilisent la position de l'organisation. Elle marque une étape importante dan</w:t>
      </w:r>
    </w:p>
    <w:p>
      <w:pPr>
        <w:spacing w:before="0" w:after="40"/>
        <w:ind w:left="600"/>
      </w:pPr>
      <w:r>
        <w:rPr>
          <w:color w:val="00643C"/>
          <w:sz w:val="16"/>
        </w:rPr>
        <w:t>Points clés : La CEDEAO impose une position commune et interdit les négociations bilatérales avec l'AES.  •  Cette décision vise à renforcer l'unité régionale face à la défection de certains pays membres.</w:t>
      </w:r>
    </w:p>
    <w:p>
      <w:pPr>
        <w:spacing w:before="0" w:after="60"/>
        <w:ind w:left="600"/>
      </w:pPr>
      <w:r>
        <w:rPr>
          <w:color w:val="0064B4"/>
          <w:sz w:val="15"/>
        </w:rPr>
        <w:t>Source : https://news.google.com/rss/articles/CBMingFBVV95cUxQeFJIN21IVUFuU25XcHcyVXF2T2x</w:t>
      </w:r>
    </w:p>
    <w:p>
      <w:pPr>
        <w:spacing w:before="40" w:after="40"/>
        <w:ind w:left="360"/>
      </w:pPr>
      <w:r>
        <w:rPr>
          <w:color w:val="646464"/>
          <w:sz w:val="17"/>
        </w:rPr>
        <w:t xml:space="preserve">[04/08/2026] ⚪  </w:t>
      </w:r>
      <w:r>
        <w:rPr>
          <w:b/>
          <w:color w:val="505050"/>
          <w:sz w:val="18"/>
        </w:rPr>
        <w:t>CEDEAO : la coexistence de plusieurs monnaies ne freinera pas le commerce régional, selon l'économiste Serigne Momar Sec</w:t>
      </w:r>
      <w:r>
        <w:rPr>
          <w:color w:val="787878"/>
          <w:sz w:val="15"/>
        </w:rPr>
        <w:t xml:space="preserve">  [économique]</w:t>
      </w:r>
      <w:r>
        <w:rPr>
          <w:color w:val="B47800"/>
          <w:sz w:val="16"/>
        </w:rPr>
        <w:t xml:space="preserve">  ★ 50/10</w:t>
      </w:r>
    </w:p>
    <w:p>
      <w:pPr>
        <w:spacing w:before="0" w:after="20"/>
        <w:ind w:left="600"/>
      </w:pPr>
      <w:r>
        <w:rPr>
          <w:color w:val="323232"/>
          <w:sz w:val="17"/>
        </w:rPr>
        <w:t>L'économiste Serigne Momar Seck affirme que la coexistence de plusieurs monnaies au sein de la CEDEAO ne constituera pas un frein au commerce régional. Il estime que les échanges peuvent se poursuivre malgré la diversité monétaire, en s'appuyant sur des mécanismes de compensation et de convertibilité. Cette position contraste avec les craintes d'un</w:t>
      </w:r>
    </w:p>
    <w:p>
      <w:pPr>
        <w:spacing w:before="0" w:after="40"/>
        <w:ind w:left="600"/>
      </w:pPr>
      <w:r>
        <w:rPr>
          <w:color w:val="00643C"/>
          <w:sz w:val="16"/>
        </w:rPr>
        <w:t>Points clés : La coexistence de plusieurs monnaies n'empêchera pas le commerce régional selon l'économiste.  •  Des mécanismes de compensation et de convertibilité peuvent faciliter les échanges.  •  L'article relativise les risques de fragmentation économique dans la CEDEAO.</w:t>
      </w:r>
    </w:p>
    <w:p>
      <w:pPr>
        <w:spacing w:before="0" w:after="60"/>
        <w:ind w:left="600"/>
      </w:pPr>
      <w:r>
        <w:rPr>
          <w:color w:val="0064B4"/>
          <w:sz w:val="15"/>
        </w:rPr>
        <w:t>Source : https://news.google.com/rss/articles/CBMihAJBVV95cUxPSjctV3NyaWx3M2FFdldETFdXYXB</w:t>
      </w:r>
    </w:p>
    <w:p>
      <w:pPr>
        <w:spacing w:before="40" w:after="40"/>
        <w:ind w:left="360"/>
      </w:pPr>
      <w:r>
        <w:rPr>
          <w:color w:val="646464"/>
          <w:sz w:val="17"/>
        </w:rPr>
        <w:t xml:space="preserve">[04/08/2026] ⚪  </w:t>
      </w:r>
      <w:r>
        <w:rPr>
          <w:b/>
          <w:color w:val="505050"/>
          <w:sz w:val="18"/>
        </w:rPr>
        <w:t>Entrée en vigueur de l'Eco 2027 : Un calendrier confirmé, mais une adhésion à géométrie variable - FratMat</w:t>
      </w:r>
      <w:r>
        <w:rPr>
          <w:color w:val="787878"/>
          <w:sz w:val="15"/>
        </w:rPr>
        <w:t xml:space="preserve">  [économique]</w:t>
      </w:r>
      <w:r>
        <w:rPr>
          <w:color w:val="B47800"/>
          <w:sz w:val="16"/>
        </w:rPr>
        <w:t xml:space="preserve">  ★ 50/10</w:t>
      </w:r>
    </w:p>
    <w:p>
      <w:pPr>
        <w:spacing w:before="0" w:after="20"/>
        <w:ind w:left="600"/>
      </w:pPr>
      <w:r>
        <w:rPr>
          <w:color w:val="323232"/>
          <w:sz w:val="17"/>
        </w:rPr>
        <w:t xml:space="preserve">L'article confirme le calendrier de l'entrée en vigueur de la monnaie unique Eco prévue pour 2027, mais souligne une adhésion inégale des pays membres de la CEDEAO. Cette situation crée une incertitude sur la mise en œuvre effective du projet, avec des implications potentielles pour les économies de la région, notamment celles de l'UEMOA. La BRVM, </w:t>
      </w:r>
    </w:p>
    <w:p>
      <w:pPr>
        <w:spacing w:before="0" w:after="40"/>
        <w:ind w:left="600"/>
      </w:pPr>
      <w:r>
        <w:rPr>
          <w:color w:val="00643C"/>
          <w:sz w:val="16"/>
        </w:rPr>
        <w:t>Points clés : Confirmation du calendrier de l'Eco pour 2027.  •  Adhésion variable des pays de la CEDEAO au projet.  •  Incertitudes sur les critères de convergence économique.  •  Impact potentiel sur les économies de l'UEMOA et la BRVM.</w:t>
      </w:r>
    </w:p>
    <w:p>
      <w:pPr>
        <w:spacing w:before="0" w:after="60"/>
        <w:ind w:left="600"/>
      </w:pPr>
      <w:r>
        <w:rPr>
          <w:color w:val="0064B4"/>
          <w:sz w:val="15"/>
        </w:rPr>
        <w:t>Source : https://news.google.com/rss/articles/CBMi7AFBVV95cUxOR2xqLW15RDNYXzlUbjY2cnVLdkp</w:t>
      </w:r>
    </w:p>
    <w:p>
      <w:pPr>
        <w:spacing w:before="40" w:after="40"/>
        <w:ind w:left="360"/>
      </w:pPr>
      <w:r>
        <w:rPr>
          <w:color w:val="646464"/>
          <w:sz w:val="17"/>
        </w:rPr>
        <w:t xml:space="preserve">[03/08/2026] ⚪  </w:t>
      </w:r>
      <w:r>
        <w:rPr>
          <w:b/>
          <w:color w:val="505050"/>
          <w:sz w:val="18"/>
        </w:rPr>
        <w:t>PDAO 2026 et BIDC - Afriquinfos</w:t>
      </w:r>
      <w:r>
        <w:rPr>
          <w:color w:val="787878"/>
          <w:sz w:val="15"/>
        </w:rPr>
        <w:t xml:space="preserve">  [économique]</w:t>
      </w:r>
      <w:r>
        <w:rPr>
          <w:color w:val="B47800"/>
          <w:sz w:val="16"/>
        </w:rPr>
        <w:t xml:space="preserve">  ★ 50/10</w:t>
      </w:r>
    </w:p>
    <w:p>
      <w:pPr>
        <w:spacing w:before="0" w:after="20"/>
        <w:ind w:left="600"/>
      </w:pPr>
      <w:r>
        <w:rPr>
          <w:color w:val="323232"/>
          <w:sz w:val="17"/>
        </w:rPr>
        <w:t>L'article évoque le Programme d'Appui au Développement de l'Afrique de l'Ouest (PDAO) pour 2026 et son lien avec la Banque d'Investissement et de Développement de la CEDEAO (BIDC). Il s'agit d'une information économique régionale, sans détails spécifiques sur les marchés financiers. Le contenu est très limité, ne fournissant que le titre et la caté</w:t>
      </w:r>
    </w:p>
    <w:p>
      <w:pPr>
        <w:spacing w:before="0" w:after="40"/>
        <w:ind w:left="600"/>
      </w:pPr>
      <w:r>
        <w:rPr>
          <w:color w:val="00643C"/>
          <w:sz w:val="16"/>
        </w:rPr>
        <w:t>Points clés : Le PDAO 2026 est mentionné comme un programme de développement régional.  •  La BIDC est associée à ce programme, suggérant un rôle de financement ou de mise en œuvre.</w:t>
      </w:r>
    </w:p>
    <w:p>
      <w:pPr>
        <w:spacing w:before="0" w:after="60"/>
        <w:ind w:left="600"/>
      </w:pPr>
      <w:r>
        <w:rPr>
          <w:color w:val="0064B4"/>
          <w:sz w:val="15"/>
        </w:rPr>
        <w:t>Source : https://news.google.com/rss/articles/CBMirAJBVV95cUxNYW1mQlFvcDQwTUc1dnM3X1lOOE5</w:t>
      </w:r>
    </w:p>
    <w:p>
      <w:pPr>
        <w:spacing w:before="40" w:after="40"/>
        <w:ind w:left="360"/>
      </w:pPr>
      <w:r>
        <w:rPr>
          <w:color w:val="646464"/>
          <w:sz w:val="17"/>
        </w:rPr>
        <w:t xml:space="preserve">[03/08/2026] 🟢  </w:t>
      </w:r>
      <w:r>
        <w:rPr>
          <w:b/>
          <w:color w:val="008000"/>
          <w:sz w:val="18"/>
        </w:rPr>
        <w:t>Forum de la CEDEAO sur l’eau : Abidjan accueille l’événement en septembre prochain - lopinion.ma</w:t>
      </w:r>
      <w:r>
        <w:rPr>
          <w:color w:val="787878"/>
          <w:sz w:val="15"/>
        </w:rPr>
        <w:t xml:space="preserve">  [économique]</w:t>
      </w:r>
      <w:r>
        <w:rPr>
          <w:color w:val="B47800"/>
          <w:sz w:val="16"/>
        </w:rPr>
        <w:t xml:space="preserve">  ★ 50/10</w:t>
      </w:r>
    </w:p>
    <w:p>
      <w:pPr>
        <w:spacing w:before="0" w:after="20"/>
        <w:ind w:left="600"/>
      </w:pPr>
      <w:r>
        <w:rPr>
          <w:color w:val="323232"/>
          <w:sz w:val="17"/>
        </w:rPr>
        <w:t>Le Forum de la CEDEAO sur l'eau se tiendra à Abidjan en septembre prochain, un événement économique majeur pour la région ouest-africaine. Cette rencontre vise à discuter des enjeux liés à la gestion de l'eau et à promouvoir la coopération régionale. La tenue de ce forum en Côte d'Ivoire renforce la position d'Abidjan comme hub économique et diplom</w:t>
      </w:r>
    </w:p>
    <w:p>
      <w:pPr>
        <w:spacing w:before="0" w:after="40"/>
        <w:ind w:left="600"/>
      </w:pPr>
      <w:r>
        <w:rPr>
          <w:color w:val="00643C"/>
          <w:sz w:val="16"/>
        </w:rPr>
        <w:t>Points clés : Organisation du Forum de la CEDEAO sur l'eau à Abidjan en septembre.  •  Renforcement de la coopération régionale sur les questions hydriques.  •  Mise en avant de la Côte d'Ivoire comme pôle d'attraction pour les événements internationaux.</w:t>
      </w:r>
    </w:p>
    <w:p>
      <w:pPr>
        <w:spacing w:before="0" w:after="60"/>
        <w:ind w:left="600"/>
      </w:pPr>
      <w:r>
        <w:rPr>
          <w:color w:val="0064B4"/>
          <w:sz w:val="15"/>
        </w:rPr>
        <w:t>Source : https://news.google.com/rss/articles/CBMi_AFBVV95cUxQYk9MM25paHRTOThYQXNrdkdaUTE</w:t>
      </w:r>
    </w:p>
    <w:p>
      <w:pPr>
        <w:spacing w:before="120" w:after="40"/>
      </w:pPr>
      <w:r>
        <w:rPr>
          <w:b/>
          <w:color w:val="00467F"/>
          <w:sz w:val="20"/>
        </w:rPr>
        <w:t>🔑 politique  (12 alerte(s))</w:t>
      </w:r>
    </w:p>
    <w:p>
      <w:pPr>
        <w:spacing w:before="40" w:after="40"/>
        <w:ind w:left="360"/>
      </w:pPr>
      <w:r>
        <w:rPr>
          <w:color w:val="646464"/>
          <w:sz w:val="17"/>
        </w:rPr>
        <w:t xml:space="preserve">[04/08/2026] 🟢  </w:t>
      </w:r>
      <w:r>
        <w:rPr>
          <w:b/>
          <w:color w:val="008000"/>
          <w:sz w:val="18"/>
        </w:rPr>
        <w:t xml:space="preserve">Côte d'Ivoire : Indépendance 2026, le Gouvernement offre des vivres et une aide financière à 1 000 familles vulnérables </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annoncé, à l'occasion de la célébration de l'indépendance 2026, une distribution de vivres et une aide financière à 1 000 familles vulnérables de la commune de Yopougon. Cette initiative s'inscrit dans le cadre des actions sociales visant à soutenir les populations défavorisées. Elle reflète une politique de redistributio</w:t>
      </w:r>
    </w:p>
    <w:p>
      <w:pPr>
        <w:spacing w:before="0" w:after="40"/>
        <w:ind w:left="600"/>
      </w:pPr>
      <w:r>
        <w:rPr>
          <w:color w:val="00643C"/>
          <w:sz w:val="16"/>
        </w:rPr>
        <w:t>Points clés : Distribution de vivres et aide financière à 1 000 familles vulnérables à Yopougon.  •  Action gouvernementale dans le cadre des célébrations de l'indépendance 2026.</w:t>
      </w:r>
    </w:p>
    <w:p>
      <w:pPr>
        <w:spacing w:before="0" w:after="60"/>
        <w:ind w:left="600"/>
      </w:pPr>
      <w:r>
        <w:rPr>
          <w:color w:val="0064B4"/>
          <w:sz w:val="15"/>
        </w:rPr>
        <w:t>Source : https://news.google.com/rss/articles/CBMiuAJBVV95cUxQblp0TjRlTndObXQ5b21yWV9PY2N</w:t>
      </w:r>
    </w:p>
    <w:p>
      <w:pPr>
        <w:spacing w:before="40" w:after="40"/>
        <w:ind w:left="360"/>
      </w:pPr>
      <w:r>
        <w:rPr>
          <w:color w:val="646464"/>
          <w:sz w:val="17"/>
        </w:rPr>
        <w:t xml:space="preserve">[04/08/2026] ⚪  </w:t>
      </w:r>
      <w:r>
        <w:rPr>
          <w:b/>
          <w:color w:val="505050"/>
          <w:sz w:val="18"/>
        </w:rPr>
        <w:t>Sénégal : qui va payer les indemnités dues à Pape Thiaw, sélectionneur limogé ? - Jeune Afrique</w:t>
      </w:r>
      <w:r>
        <w:rPr>
          <w:color w:val="787878"/>
          <w:sz w:val="15"/>
        </w:rPr>
        <w:t xml:space="preserve">  [politique]</w:t>
      </w:r>
      <w:r>
        <w:rPr>
          <w:color w:val="B47800"/>
          <w:sz w:val="16"/>
        </w:rPr>
        <w:t xml:space="preserve">  ★ 50/10</w:t>
      </w:r>
    </w:p>
    <w:p>
      <w:pPr>
        <w:spacing w:before="0" w:after="20"/>
        <w:ind w:left="600"/>
      </w:pPr>
      <w:r>
        <w:rPr>
          <w:color w:val="323232"/>
          <w:sz w:val="17"/>
        </w:rPr>
        <w:t xml:space="preserve">L'article de Jeune Afrique aborde le limogeage de Pape Thiaw, sélectionneur de l'équipe nationale de football du Sénégal, et la question de qui prendra en charge ses indemnités de départ. Cette situation soulève des interrogations sur la gestion financière et les responsabilités contractuelles au sein de la fédération sénégalaise de football. Bien </w:t>
      </w:r>
    </w:p>
    <w:p>
      <w:pPr>
        <w:spacing w:before="0" w:after="40"/>
        <w:ind w:left="600"/>
      </w:pPr>
      <w:r>
        <w:rPr>
          <w:color w:val="00643C"/>
          <w:sz w:val="16"/>
        </w:rPr>
        <w:t>Points clés : Limogeage de Pape Thiaw, sélectionneur du Sénégal, et question des indemnités à verser.  •  Incertitude sur la source de financement de ces indemnités (fédération, État, sponsors).  •  Sujet principalement sportif, avec des implications financières limitées pour la zone UEMOA.</w:t>
      </w:r>
    </w:p>
    <w:p>
      <w:pPr>
        <w:spacing w:before="0" w:after="60"/>
        <w:ind w:left="600"/>
      </w:pPr>
      <w:r>
        <w:rPr>
          <w:color w:val="0064B4"/>
          <w:sz w:val="15"/>
        </w:rPr>
        <w:t>Source : https://news.google.com/rss/articles/CBMivwFBVV95cUxNeGtSWE1ZQUJ5SHBneEdTWHRsLUF</w:t>
      </w:r>
    </w:p>
    <w:p>
      <w:pPr>
        <w:spacing w:before="40" w:after="40"/>
        <w:ind w:left="360"/>
      </w:pPr>
      <w:r>
        <w:rPr>
          <w:color w:val="646464"/>
          <w:sz w:val="17"/>
        </w:rPr>
        <w:t xml:space="preserve">[04/08/2026] ⚪  </w:t>
      </w:r>
      <w:r>
        <w:rPr>
          <w:b/>
          <w:color w:val="505050"/>
          <w:sz w:val="18"/>
        </w:rPr>
        <w:t>Elections - AIP | Leader de l'information de proximité - Agence Ivoirienne de Presse (AIP)</w:t>
      </w:r>
      <w:r>
        <w:rPr>
          <w:color w:val="787878"/>
          <w:sz w:val="15"/>
        </w:rPr>
        <w:t xml:space="preserve">  [politique]</w:t>
      </w:r>
      <w:r>
        <w:rPr>
          <w:color w:val="B47800"/>
          <w:sz w:val="16"/>
        </w:rPr>
        <w:t xml:space="preserve">  ★ 50/10</w:t>
      </w:r>
    </w:p>
    <w:p>
      <w:pPr>
        <w:spacing w:before="0" w:after="20"/>
        <w:ind w:left="600"/>
      </w:pPr>
      <w:r>
        <w:rPr>
          <w:color w:val="323232"/>
          <w:sz w:val="17"/>
        </w:rPr>
        <w:t>L'article de l'Agence Ivoirienne de Presse (AIP) traite des élections dans la zone UEMOA, sans fournir de détails spécifiques sur les événements ou les résultats. Il s'agit d'un titre générique et d'un contenu minimal, indiquant probablement une couverture électorale en cours ou à venir. L'information est de nature politique et ne contient pas d'él</w:t>
      </w:r>
    </w:p>
    <w:p>
      <w:pPr>
        <w:spacing w:before="0" w:after="40"/>
        <w:ind w:left="600"/>
      </w:pPr>
      <w:r>
        <w:rPr>
          <w:color w:val="00643C"/>
          <w:sz w:val="16"/>
        </w:rPr>
        <w:t>Points clés : Couverture électorale par l'AIP dans la zone UEMOA  •  Information de proximité sur les élections</w:t>
      </w:r>
    </w:p>
    <w:p>
      <w:pPr>
        <w:spacing w:before="0" w:after="60"/>
        <w:ind w:left="600"/>
      </w:pPr>
      <w:r>
        <w:rPr>
          <w:color w:val="0064B4"/>
          <w:sz w:val="15"/>
        </w:rPr>
        <w:t>Source : https://news.google.com/rss/articles/CBMidkFVX3lxTFBtRW9fOEI5cW9nOHkwa01XM05NYzl</w:t>
      </w:r>
    </w:p>
    <w:p>
      <w:pPr>
        <w:spacing w:before="40" w:after="40"/>
        <w:ind w:left="360"/>
      </w:pPr>
      <w:r>
        <w:rPr>
          <w:color w:val="646464"/>
          <w:sz w:val="17"/>
        </w:rPr>
        <w:t xml:space="preserve">[04/08/2026] ⚪  </w:t>
      </w:r>
      <w:r>
        <w:rPr>
          <w:b/>
          <w:color w:val="505050"/>
          <w:sz w:val="18"/>
        </w:rPr>
        <w:t>Mali : « Ben le Cerveau » condamné à cinq ans pour menaces et injures en ligne - koaci.com</w:t>
      </w:r>
      <w:r>
        <w:rPr>
          <w:color w:val="787878"/>
          <w:sz w:val="15"/>
        </w:rPr>
        <w:t xml:space="preserve">  [politique]</w:t>
      </w:r>
      <w:r>
        <w:rPr>
          <w:color w:val="B47800"/>
          <w:sz w:val="16"/>
        </w:rPr>
        <w:t xml:space="preserve">  ★ 50/10</w:t>
      </w:r>
    </w:p>
    <w:p>
      <w:pPr>
        <w:spacing w:before="0" w:after="20"/>
        <w:ind w:left="600"/>
      </w:pPr>
      <w:r>
        <w:rPr>
          <w:color w:val="323232"/>
          <w:sz w:val="17"/>
        </w:rPr>
        <w:t>Un blogueur malien connu sous le pseudonyme de « Ben le Cerveau » a été condamné à cinq ans de prison pour menaces et injures en ligne. Cette décision judiciaire s'inscrit dans un contexte de répression des discours haineux et des cyberdélits dans la zone UEMOA. L'affaire reflète une tendance régionale à renforcer la législation sur les contenus nu</w:t>
      </w:r>
    </w:p>
    <w:p>
      <w:pPr>
        <w:spacing w:before="0" w:after="40"/>
        <w:ind w:left="600"/>
      </w:pPr>
      <w:r>
        <w:rPr>
          <w:color w:val="00643C"/>
          <w:sz w:val="16"/>
        </w:rPr>
        <w:t>Points clés : Condamnation à 5 ans de prison pour menaces et injures en ligne  •  Contexte de durcissement de la régulation numérique en UEMOA  •  Aucun impact direct sur les entreprises cotées à la BRVM</w:t>
      </w:r>
    </w:p>
    <w:p>
      <w:pPr>
        <w:spacing w:before="0" w:after="60"/>
        <w:ind w:left="600"/>
      </w:pPr>
      <w:r>
        <w:rPr>
          <w:color w:val="0064B4"/>
          <w:sz w:val="15"/>
        </w:rPr>
        <w:t>Source : https://news.google.com/rss/articles/CBMi1wFBVV95cUxQSjhtNFdaMUtuVmstVExob1AycTd</w:t>
      </w:r>
    </w:p>
    <w:p>
      <w:pPr>
        <w:spacing w:before="40" w:after="40"/>
        <w:ind w:left="360"/>
      </w:pPr>
      <w:r>
        <w:rPr>
          <w:color w:val="646464"/>
          <w:sz w:val="17"/>
        </w:rPr>
        <w:t xml:space="preserve">[03/08/2026] ⚪  </w:t>
      </w:r>
      <w:r>
        <w:rPr>
          <w:b/>
          <w:color w:val="505050"/>
          <w:sz w:val="18"/>
        </w:rPr>
        <w:t>Hausse des prix des carburants : Le Rhdp défend la politique du gouvernement et dénonce la « désinformation - FratMat</w:t>
      </w:r>
      <w:r>
        <w:rPr>
          <w:color w:val="787878"/>
          <w:sz w:val="15"/>
        </w:rPr>
        <w:t xml:space="preserve">  [politique]</w:t>
      </w:r>
      <w:r>
        <w:rPr>
          <w:color w:val="B47800"/>
          <w:sz w:val="16"/>
        </w:rPr>
        <w:t xml:space="preserve">  ★ 50/10</w:t>
      </w:r>
    </w:p>
    <w:p>
      <w:pPr>
        <w:spacing w:before="0" w:after="20"/>
        <w:ind w:left="600"/>
      </w:pPr>
      <w:r>
        <w:rPr>
          <w:color w:val="323232"/>
          <w:sz w:val="17"/>
        </w:rPr>
        <w:t>Le parti au pouvoir en Côte d'Ivoire, le RHDP, a réagi à la hausse des prix des carburants en défendant la politique gouvernementale et en dénonçant ce qu'il qualifie de désinformation. Cette prise de position vise à justifier les mesures prises par l'État face aux tensions économiques. Le parti appelle à la confiance dans la gestion gouvernemental</w:t>
      </w:r>
    </w:p>
    <w:p>
      <w:pPr>
        <w:spacing w:before="0" w:after="40"/>
        <w:ind w:left="600"/>
      </w:pPr>
      <w:r>
        <w:rPr>
          <w:color w:val="00643C"/>
          <w:sz w:val="16"/>
        </w:rPr>
        <w:t>Points clés : Le RHDP soutient la hausse des prix des carburants comme une mesure nécessaire.  •  Le parti dénonce la désinformation et appelle à la confiance dans le gouvernement.</w:t>
      </w:r>
    </w:p>
    <w:p>
      <w:pPr>
        <w:spacing w:before="0" w:after="60"/>
        <w:ind w:left="600"/>
      </w:pPr>
      <w:r>
        <w:rPr>
          <w:color w:val="0064B4"/>
          <w:sz w:val="15"/>
        </w:rPr>
        <w:t>Source : https://news.google.com/rss/articles/CBMi6wFBVV95cUxPU0tYY3JmUUhjdFFwVFJhMEd4VXU</w:t>
      </w:r>
    </w:p>
    <w:p>
      <w:pPr>
        <w:spacing w:before="120" w:after="40"/>
      </w:pPr>
      <w:r>
        <w:rPr>
          <w:b/>
          <w:color w:val="00467F"/>
          <w:sz w:val="20"/>
        </w:rPr>
        <w:t>🔑 matieres_premieres  (1 alerte(s))</w:t>
      </w:r>
    </w:p>
    <w:p>
      <w:pPr>
        <w:spacing w:before="40" w:after="40"/>
        <w:ind w:left="360"/>
      </w:pPr>
      <w:r>
        <w:rPr>
          <w:color w:val="646464"/>
          <w:sz w:val="17"/>
        </w:rPr>
        <w:t xml:space="preserve">[04/08/2026] 🔴  </w:t>
      </w:r>
      <w:r>
        <w:rPr>
          <w:b/>
          <w:color w:val="C00000"/>
          <w:sz w:val="18"/>
        </w:rPr>
        <w:t>La chute des prix du pétrole a entraîné une baisse de l'indice MXV pendant trois séances consécutives. - Vietnam.vn</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La chute des prix du pétrole a entraîné une baisse de l'indice MXV (indice des matières premières au Vietnam) pendant trois séances consécutives. Cette tendance reflète une pression baissière sur les matières premières, notamment l'énergie. L'article, bien que court, souligne l'impact direct des fluctuations pétrolières sur les indices de matières </w:t>
      </w:r>
    </w:p>
    <w:p>
      <w:pPr>
        <w:spacing w:before="0" w:after="40"/>
        <w:ind w:left="600"/>
      </w:pPr>
      <w:r>
        <w:rPr>
          <w:color w:val="00643C"/>
          <w:sz w:val="16"/>
        </w:rPr>
        <w:t>Points clés : Chute des prix du pétrole  •  Baisse de l'indice MXV pendant trois séances consécutives</w:t>
      </w:r>
    </w:p>
    <w:p>
      <w:pPr>
        <w:spacing w:before="0" w:after="60"/>
        <w:ind w:left="600"/>
      </w:pPr>
      <w:r>
        <w:rPr>
          <w:color w:val="0064B4"/>
          <w:sz w:val="15"/>
        </w:rPr>
        <w:t>Source : https://news.google.com/rss/articles/CBMigwFBVV95cUxQclRsU3VZOFpHX3BRaW1WcjJOQVB</w:t>
      </w:r>
    </w:p>
    <w:p>
      <w:pPr>
        <w:spacing w:before="120" w:after="40"/>
      </w:pPr>
      <w:r>
        <w:rPr>
          <w:b/>
          <w:color w:val="00467F"/>
          <w:sz w:val="20"/>
        </w:rPr>
        <w:t>🔑 politique_monetaire  (1 alerte(s))</w:t>
      </w:r>
    </w:p>
    <w:p>
      <w:pPr>
        <w:spacing w:before="40" w:after="40"/>
        <w:ind w:left="360"/>
      </w:pPr>
      <w:r>
        <w:rPr>
          <w:color w:val="646464"/>
          <w:sz w:val="17"/>
        </w:rPr>
        <w:t xml:space="preserve">[04/08/2026] 🟢  </w:t>
      </w:r>
      <w:r>
        <w:rPr>
          <w:b/>
          <w:color w:val="008000"/>
          <w:sz w:val="18"/>
        </w:rPr>
        <w:t>Les taux chutent en Europe, la BCE peut temporiser après le cessez-le-feu en Iran - ABC Bourse</w:t>
      </w:r>
      <w:r>
        <w:rPr>
          <w:color w:val="787878"/>
          <w:sz w:val="15"/>
        </w:rPr>
        <w:t xml:space="preserve">  [politique_monetaire]</w:t>
      </w:r>
      <w:r>
        <w:rPr>
          <w:color w:val="B47800"/>
          <w:sz w:val="16"/>
        </w:rPr>
        <w:t xml:space="preserve">  ★ 50/10</w:t>
      </w:r>
    </w:p>
    <w:p>
      <w:pPr>
        <w:spacing w:before="0" w:after="20"/>
        <w:ind w:left="600"/>
      </w:pPr>
      <w:r>
        <w:rPr>
          <w:color w:val="323232"/>
          <w:sz w:val="17"/>
        </w:rPr>
        <w:t>Les taux d'intérêt en Europe ont fortement chuté suite à l'annonce d'un cessez-le-feu en Iran, ce qui réduit les tensions géopolitiques et les pressions inflationnistes. Cette détente permet à la Banque centrale européenne (BCE) de temporiser dans sa politique monétaire, en évitant de nouvelles hausses de taux. Les marchés obligataires européens ré</w:t>
      </w:r>
    </w:p>
    <w:p>
      <w:pPr>
        <w:spacing w:before="0" w:after="40"/>
        <w:ind w:left="600"/>
      </w:pPr>
      <w:r>
        <w:rPr>
          <w:color w:val="00643C"/>
          <w:sz w:val="16"/>
        </w:rPr>
        <w:t>Points clés : Chute des taux d'intérêt en Europe après le cessez-le-feu en Iran.  •  La BCE peut temporiser sa politique monétaire, réduisant les risques de resserrement.  •  Baisse des rendements obligataires européens, signe d'apaisement des tensions.  •  Impact potentiel sur les flux de capitaux vers les marchés émergents.</w:t>
      </w:r>
    </w:p>
    <w:p>
      <w:pPr>
        <w:spacing w:before="0" w:after="60"/>
        <w:ind w:left="600"/>
      </w:pPr>
      <w:r>
        <w:rPr>
          <w:color w:val="0064B4"/>
          <w:sz w:val="15"/>
        </w:rPr>
        <w:t>Source : https://news.google.com/rss/articles/CBMivAFBVV95cUxPX0RvYnhEWlFKWTNxeFhmVzE3c2Y</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2,150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3,500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11,600</w:t>
            </w:r>
          </w:p>
        </w:tc>
        <w:tc>
          <w:tcPr>
            <w:tcW w:type="dxa" w:w="1080"/>
            <w:shd w:fill="C6EFCE" w:val="clear"/>
          </w:tcPr>
          <w:p>
            <w:r>
              <w:rPr>
                <w:b/>
                <w:sz w:val="16"/>
              </w:rPr>
              <w:t>76/100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5,100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37,670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7,700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4,400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2,545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31,400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7,690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64</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17,000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3,150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8,980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4,400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2,325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4,995</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2,260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2,940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21</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5,100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1,890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3,655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7,200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5,590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16,700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24,110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2,905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1,930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8,720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3,475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1,970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15,700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7,530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28,300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11,900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23,950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29,000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1,480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7,095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44</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54,700</w:t>
            </w:r>
          </w:p>
        </w:tc>
        <w:tc>
          <w:tcPr>
            <w:tcW w:type="dxa" w:w="1080"/>
            <w:shd w:fill="FEFEFE" w:val="clear"/>
          </w:tcPr>
          <w:p>
            <w:r>
              <w:rPr>
                <w:b/>
                <w:sz w:val="16"/>
              </w:rPr>
              <w:t>53/100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45</w:t>
            </w:r>
          </w:p>
        </w:tc>
        <w:tc>
          <w:tcPr>
            <w:tcW w:type="dxa" w:w="1080"/>
            <w:shd w:fill="FEFEFE" w:val="clear"/>
          </w:tcPr>
          <w:p>
            <w:r>
              <w:rPr>
                <w:sz w:val="16"/>
              </w:rPr>
              <w:t>SGBC</w:t>
            </w:r>
          </w:p>
        </w:tc>
        <w:tc>
          <w:tcPr>
            <w:tcW w:type="dxa" w:w="1080"/>
            <w:shd w:fill="FEFEFE" w:val="clear"/>
          </w:tcPr>
          <w:p>
            <w:r>
              <w:rPr>
                <w:sz w:val="16"/>
              </w:rPr>
              <w:t>SERVICES FINANCIER</w:t>
            </w:r>
          </w:p>
        </w:tc>
        <w:tc>
          <w:tcPr>
            <w:tcW w:type="dxa" w:w="1080"/>
            <w:shd w:fill="FEFEFE" w:val="clear"/>
          </w:tcPr>
          <w:p>
            <w:r>
              <w:rPr>
                <w:sz w:val="16"/>
              </w:rPr>
              <w:t>38,000</w:t>
            </w:r>
          </w:p>
        </w:tc>
        <w:tc>
          <w:tcPr>
            <w:tcW w:type="dxa" w:w="1080"/>
            <w:shd w:fill="FEFEFE" w:val="clear"/>
          </w:tcPr>
          <w:p>
            <w:r>
              <w:rPr>
                <w:b/>
                <w:sz w:val="16"/>
              </w:rPr>
              <w:t>44/100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r>
        <w:tc>
          <w:tcPr>
            <w:tcW w:type="dxa" w:w="1080"/>
            <w:shd w:fill="FCE4D6" w:val="clear"/>
          </w:tcPr>
          <w:p>
            <w:r>
              <w:rPr>
                <w:sz w:val="16"/>
              </w:rPr>
              <w:t>46</w:t>
            </w:r>
          </w:p>
        </w:tc>
        <w:tc>
          <w:tcPr>
            <w:tcW w:type="dxa" w:w="1080"/>
            <w:shd w:fill="FCE4D6" w:val="clear"/>
          </w:tcPr>
          <w:p>
            <w:r>
              <w:rPr>
                <w:sz w:val="16"/>
              </w:rPr>
              <w:t>ABJC</w:t>
            </w:r>
          </w:p>
        </w:tc>
        <w:tc>
          <w:tcPr>
            <w:tcW w:type="dxa" w:w="1080"/>
            <w:shd w:fill="FCE4D6" w:val="clear"/>
          </w:tcPr>
          <w:p>
            <w:r>
              <w:rPr>
                <w:sz w:val="16"/>
              </w:rPr>
              <w:t>CONSOMMATION DISCR</w:t>
            </w:r>
          </w:p>
        </w:tc>
        <w:tc>
          <w:tcPr>
            <w:tcW w:type="dxa" w:w="1080"/>
            <w:shd w:fill="FCE4D6" w:val="clear"/>
          </w:tcPr>
          <w:p>
            <w:r>
              <w:rPr>
                <w:sz w:val="16"/>
              </w:rPr>
              <w:t>3,000</w:t>
            </w:r>
          </w:p>
        </w:tc>
        <w:tc>
          <w:tcPr>
            <w:tcW w:type="dxa" w:w="1080"/>
            <w:shd w:fill="FCE4D6" w:val="clear"/>
          </w:tcPr>
          <w:p>
            <w:r>
              <w:rPr>
                <w:b/>
                <w:sz w:val="16"/>
              </w:rPr>
              <w:t>36/100  (Faible)</w:t>
            </w:r>
          </w:p>
        </w:tc>
        <w:tc>
          <w:tcPr>
            <w:tcW w:type="dxa" w:w="1080"/>
            <w:shd w:fill="FCE4D6" w:val="clear"/>
          </w:tcPr>
          <w:p>
            <w:r>
              <w:rPr>
                <w:sz w:val="16"/>
              </w:rPr>
              <w:t>VENTE</w:t>
            </w:r>
          </w:p>
        </w:tc>
        <w:tc>
          <w:tcPr>
            <w:tcW w:type="dxa" w:w="1080"/>
            <w:shd w:fill="FCE4D6" w:val="clear"/>
          </w:tcPr>
          <w:p>
            <w:r>
              <w:rPr>
                <w:sz w:val="16"/>
              </w:rPr>
              <w:t>VENTE</w:t>
            </w:r>
          </w:p>
        </w:tc>
        <w:tc>
          <w:tcPr>
            <w:tcW w:type="dxa" w:w="1080"/>
            <w:shd w:fill="FCE4D6" w:val="clear"/>
          </w:tcPr>
          <w:p>
            <w:r>
              <w:rPr>
                <w:color w:val="C00000"/>
                <w:sz w:val="16"/>
              </w:rPr>
              <w:t>VENTE</w:t>
            </w:r>
          </w:p>
        </w:tc>
      </w:tr>
      <w:tr>
        <w:tc>
          <w:tcPr>
            <w:tcW w:type="dxa" w:w="1080"/>
            <w:shd w:fill="FCE4D6" w:val="clear"/>
          </w:tcPr>
          <w:p>
            <w:r>
              <w:rPr>
                <w:sz w:val="16"/>
              </w:rPr>
              <w:t>47</w:t>
            </w:r>
          </w:p>
        </w:tc>
        <w:tc>
          <w:tcPr>
            <w:tcW w:type="dxa" w:w="1080"/>
            <w:shd w:fill="FCE4D6" w:val="clear"/>
          </w:tcPr>
          <w:p>
            <w:r>
              <w:rPr>
                <w:sz w:val="16"/>
              </w:rPr>
              <w:t>STAC</w:t>
            </w:r>
          </w:p>
        </w:tc>
        <w:tc>
          <w:tcPr>
            <w:tcW w:type="dxa" w:w="1080"/>
            <w:shd w:fill="FCE4D6" w:val="clear"/>
          </w:tcPr>
          <w:p>
            <w:r>
              <w:rPr>
                <w:sz w:val="16"/>
              </w:rPr>
              <w:t>INDUSTRIELS</w:t>
            </w:r>
          </w:p>
        </w:tc>
        <w:tc>
          <w:tcPr>
            <w:tcW w:type="dxa" w:w="1080"/>
            <w:shd w:fill="FCE4D6" w:val="clear"/>
          </w:tcPr>
          <w:p>
            <w:r>
              <w:rPr>
                <w:sz w:val="16"/>
              </w:rPr>
              <w:t>2,800</w:t>
            </w:r>
          </w:p>
        </w:tc>
        <w:tc>
          <w:tcPr>
            <w:tcW w:type="dxa" w:w="1080"/>
            <w:shd w:fill="FCE4D6" w:val="clear"/>
          </w:tcPr>
          <w:p>
            <w:r>
              <w:rPr>
                <w:b/>
                <w:sz w:val="16"/>
              </w:rPr>
              <w:t>36/100  (Faible)</w:t>
            </w:r>
          </w:p>
        </w:tc>
        <w:tc>
          <w:tcPr>
            <w:tcW w:type="dxa" w:w="1080"/>
            <w:shd w:fill="FCE4D6" w:val="clear"/>
          </w:tcPr>
          <w:p>
            <w:r>
              <w:rPr>
                <w:sz w:val="16"/>
              </w:rPr>
              <w:t>VENTE</w:t>
            </w:r>
          </w:p>
        </w:tc>
        <w:tc>
          <w:tcPr>
            <w:tcW w:type="dxa" w:w="1080"/>
            <w:shd w:fill="FCE4D6" w:val="clear"/>
          </w:tcPr>
          <w:p>
            <w:r>
              <w:rPr>
                <w:sz w:val="16"/>
              </w:rPr>
              <w:t>VENTE</w:t>
            </w:r>
          </w:p>
        </w:tc>
        <w:tc>
          <w:tcPr>
            <w:tcW w:type="dxa" w:w="1080"/>
            <w:shd w:fill="FCE4D6" w:val="clear"/>
          </w:tcPr>
          <w:p>
            <w:r>
              <w:rPr>
                <w:color w:val="C00000"/>
                <w:sz w:val="16"/>
              </w:rPr>
              <w:t>VENTE FORTE</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11,600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37,670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7,700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4,400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31,400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BICB</w:t>
            </w:r>
          </w:p>
        </w:tc>
        <w:tc>
          <w:tcPr>
            <w:tcW w:type="dxa" w:w="1728"/>
            <w:shd w:fill="DEEAF1" w:val="clear"/>
          </w:tcPr>
          <w:p>
            <w:r>
              <w:rPr>
                <w:sz w:val="17"/>
              </w:rPr>
              <w:t>BIIC BN - Banque internation</w:t>
            </w:r>
          </w:p>
        </w:tc>
        <w:tc>
          <w:tcPr>
            <w:tcW w:type="dxa" w:w="1728"/>
            <w:shd w:fill="DEEAF1" w:val="clear"/>
          </w:tcPr>
          <w:p>
            <w:r>
              <w:rPr>
                <w:sz w:val="17"/>
              </w:rPr>
              <w:t>7,690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ORAC</w:t>
            </w:r>
          </w:p>
        </w:tc>
        <w:tc>
          <w:tcPr>
            <w:tcW w:type="dxa" w:w="1728"/>
            <w:shd w:fill="DEEAF1" w:val="clear"/>
          </w:tcPr>
          <w:p>
            <w:r>
              <w:rPr>
                <w:sz w:val="17"/>
              </w:rPr>
              <w:t>ORAC - ORANGE COTE D'IVOIRE</w:t>
            </w:r>
          </w:p>
        </w:tc>
        <w:tc>
          <w:tcPr>
            <w:tcW w:type="dxa" w:w="1728"/>
            <w:shd w:fill="DEEAF1" w:val="clear"/>
          </w:tcPr>
          <w:p>
            <w:r>
              <w:rPr>
                <w:sz w:val="17"/>
              </w:rPr>
              <w:t>17,000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3,150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2,150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3,500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11,600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5,100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37,670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7,700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4,400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2,545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2,150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3,500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11,600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5,100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37,670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7,700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4,400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2,545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BOAC — BANK OF AFRICA COTE D'IVOIRE</w:t>
      </w:r>
    </w:p>
    <w:p>
      <w:pPr>
        <w:pStyle w:val="ListBullet"/>
        <w:spacing w:before="20"/>
        <w:ind w:left="400"/>
      </w:pPr>
      <w:r>
        <w:rPr>
          <w:sz w:val="18"/>
        </w:rPr>
        <w:t>🔴 RSI surachat (85.3 &gt; 70) — risque de correction</w:t>
      </w:r>
    </w:p>
    <w:p>
      <w:pPr>
        <w:pStyle w:val="ListBullet"/>
        <w:spacing w:before="20"/>
        <w:ind w:left="400"/>
      </w:pPr>
      <w:r>
        <w:rPr>
          <w:sz w:val="18"/>
        </w:rPr>
        <w:t>⚠️ Cours à 0.0% du plus haut 100j (11,600 FCFA)</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RSI surachat (71.1 &gt; 70) — risque de correction</w:t>
      </w:r>
    </w:p>
    <w:p>
      <w:pPr>
        <w:pStyle w:val="ListBullet"/>
        <w:spacing w:before="20"/>
        <w:ind w:left="400"/>
      </w:pPr>
      <w:r>
        <w:rPr>
          <w:sz w:val="18"/>
        </w:rPr>
        <w:t>⚠️ Cours à 0.3% du plus haut 100j (24,020 FCFA)</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surachat (80.1 &gt; 70) — risque de correction</w:t>
      </w:r>
    </w:p>
    <w:p>
      <w:pPr>
        <w:pStyle w:val="ListBullet"/>
        <w:spacing w:before="20"/>
        <w:ind w:left="400"/>
      </w:pPr>
      <w:r>
        <w:rPr>
          <w:sz w:val="18"/>
        </w:rPr>
        <w:t>⚠️ Cours à 0.0% du plus haut 100j (16,700 FCFA)</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(70.5 &gt; 70) — risque de correction</w:t>
      </w:r>
    </w:p>
    <w:p>
      <w:pPr>
        <w:pStyle w:val="ListBullet"/>
        <w:spacing w:before="20"/>
        <w:ind w:left="400"/>
      </w:pPr>
      <w:r>
        <w:rPr>
          <w:sz w:val="18"/>
        </w:rPr>
        <w:t>⚠️ Cours à 2.4%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(81.9 &gt; 70) — risque de correction</w:t>
      </w:r>
    </w:p>
    <w:p>
      <w:pPr>
        <w:pStyle w:val="ListBullet"/>
        <w:spacing w:before="20"/>
        <w:ind w:left="400"/>
      </w:pPr>
      <w:r>
        <w:rPr>
          <w:sz w:val="18"/>
        </w:rPr>
        <w:t>⚠️ Cours à 0.0% du plus haut 100j (7,095 FCFA)</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(73.0 &gt; 70) — risque de correction</w:t>
      </w:r>
    </w:p>
    <w:p>
      <w:pPr>
        <w:pStyle w:val="ListBullet"/>
        <w:spacing w:before="20"/>
        <w:ind w:left="400"/>
      </w:pPr>
      <w:r>
        <w:rPr>
          <w:sz w:val="18"/>
        </w:rPr>
        <w:t>⚠️ Cours à 2.0% du plus haut 100j (7,850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1.7% du plus haut 100j (29,490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Cours à 0.8% du plus haut 100j (7,255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(89.2 &gt; 70) — risque de correction</w:t>
      </w:r>
    </w:p>
    <w:p>
      <w:pPr>
        <w:pStyle w:val="ListBullet"/>
        <w:spacing w:before="20"/>
        <w:ind w:left="400"/>
      </w:pPr>
      <w:r>
        <w:rPr>
          <w:sz w:val="18"/>
        </w:rPr>
        <w:t>⚠️ Cours à 0.0% du plus haut 100j (17,000 FCFA)</w:t>
      </w:r>
    </w:p>
    <w:p>
      <w:pPr>
        <w:spacing w:before="120"/>
      </w:pPr>
      <w:r>
        <w:rPr>
          <w:b/>
          <w:color w:val="0050A0"/>
          <w:sz w:val="20"/>
        </w:rPr>
        <w:t>ORGT — ORGT - ORAGROUP TOGO</w:t>
      </w:r>
    </w:p>
    <w:p>
      <w:pPr>
        <w:pStyle w:val="ListBullet"/>
        <w:spacing w:before="20"/>
        <w:ind w:left="400"/>
      </w:pPr>
      <w:r>
        <w:rPr>
          <w:sz w:val="18"/>
        </w:rPr>
        <w:t>🔴 RSI surachat (91.2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Divergence tech(VENTE) / fond(ACHAT) — recommandation ajustée à ACHAT FORT</w:t>
      </w:r>
    </w:p>
    <w:p>
      <w:pPr>
        <w:spacing w:before="120"/>
      </w:pPr>
      <w:r>
        <w:rPr>
          <w:b/>
          <w:color w:val="0050A0"/>
          <w:sz w:val="20"/>
        </w:rPr>
        <w:t>SHEC — SHEC - VIVO ENERGY COTE D'IVOIRE</w:t>
      </w:r>
    </w:p>
    <w:p>
      <w:pPr>
        <w:pStyle w:val="ListBullet"/>
        <w:spacing w:before="20"/>
        <w:ind w:left="400"/>
      </w:pPr>
      <w:r>
        <w:rPr>
          <w:sz w:val="18"/>
        </w:rPr>
        <w:t>⚠️ Cours à 0.0% du plus haut 100j (2,325 FCFA)</w:t>
      </w:r>
    </w:p>
    <w:p>
      <w:pPr>
        <w:spacing w:before="120"/>
      </w:pPr>
      <w:r>
        <w:rPr>
          <w:b/>
          <w:color w:val="0050A0"/>
          <w:sz w:val="20"/>
        </w:rPr>
        <w:t>SIBC — SIBC - SOCIETE IVOIRIENNE DE BANQUE</w:t>
      </w:r>
    </w:p>
    <w:p>
      <w:pPr>
        <w:pStyle w:val="ListBullet"/>
        <w:spacing w:before="20"/>
        <w:ind w:left="400"/>
      </w:pPr>
      <w:r>
        <w:rPr>
          <w:sz w:val="18"/>
        </w:rPr>
        <w:t>⚠️ Cours à 0.0% du plus haut 100j (9,300 FCFA)</w:t>
      </w:r>
    </w:p>
    <w:p>
      <w:pPr>
        <w:spacing w:before="120"/>
      </w:pPr>
      <w:r>
        <w:rPr>
          <w:b/>
          <w:color w:val="0050A0"/>
          <w:sz w:val="20"/>
        </w:rPr>
        <w:t>SIVC — SIVC - ERIUM CI (Ex AIR LIQUIDECI)</w:t>
      </w:r>
    </w:p>
    <w:p>
      <w:pPr>
        <w:pStyle w:val="ListBullet"/>
        <w:spacing w:before="20"/>
        <w:ind w:left="400"/>
      </w:pPr>
      <w:r>
        <w:rPr>
          <w:sz w:val="18"/>
        </w:rPr>
        <w:t>🟢 RSI survente (23.2 &lt; 30) — opportunité potentielle</w:t>
      </w:r>
    </w:p>
    <w:p>
      <w:pPr>
        <w:spacing w:before="120"/>
      </w:pPr>
      <w:r>
        <w:rPr>
          <w:b/>
          <w:color w:val="0050A0"/>
          <w:sz w:val="20"/>
        </w:rPr>
        <w:t>SNTS — SNTS - SONATEL SN</w:t>
      </w:r>
    </w:p>
    <w:p>
      <w:pPr>
        <w:pStyle w:val="ListBullet"/>
        <w:spacing w:before="20"/>
        <w:ind w:left="400"/>
      </w:pPr>
      <w:r>
        <w:rPr>
          <w:sz w:val="18"/>
        </w:rPr>
        <w:t>🟢 RSI survente (28.0 &lt; 30) — opportunité potentielle</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RSI survente (28.1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22 société(s) (47%)</w:t>
            </w:r>
          </w:p>
        </w:tc>
        <w:tc>
          <w:tcPr>
            <w:tcW w:type="dxa" w:w="1644"/>
            <w:shd w:fill="FFEB9C" w:val="clear"/>
          </w:tcPr>
          <w:p>
            <w:r>
              <w:rPr>
                <w:b/>
                <w:color w:val="825A00"/>
                <w:sz w:val="19"/>
              </w:rPr>
              <w:t>25 société(s) (53%)</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20.8/100</w:t>
            </w:r>
          </w:p>
        </w:tc>
        <w:tc>
          <w:tcPr>
            <w:tcW w:type="dxa" w:w="1644"/>
            <w:shd w:fill="DEEAF1" w:val="clear"/>
          </w:tcPr>
          <w:p>
            <w:r>
              <w:rPr>
                <w:b/>
                <w:color w:val="000000"/>
                <w:sz w:val="19"/>
              </w:rPr>
              <w:t>20.0/100</w:t>
            </w:r>
          </w:p>
        </w:tc>
      </w:tr>
    </w:tbl>
    <w:p/>
    <w:p>
      <w:r>
        <w:rPr>
          <w:i/>
          <w:color w:val="006400"/>
          <w:sz w:val="18"/>
        </w:rPr>
        <w:t>✅ Le marché BRVM présente globalement un profil de risque FAIBLE (score moyen 20.8/100).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29.6/100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#5</w:t>
            </w:r>
          </w:p>
        </w:tc>
        <w:tc>
          <w:tcPr>
            <w:tcW w:type="dxa" w:w="850"/>
            <w:shd w:fill="FFFFFF" w:val="clear"/>
          </w:tcPr>
          <w:p>
            <w:r>
              <w:rPr>
                <w:sz w:val="16"/>
              </w:rPr>
              <w:t>SDSC</w:t>
            </w:r>
          </w:p>
        </w:tc>
        <w:tc>
          <w:tcPr>
            <w:tcW w:type="dxa" w:w="2268"/>
            <w:shd w:fill="FFFFFF" w:val="clear"/>
          </w:tcPr>
          <w:p>
            <w:r>
              <w:rPr>
                <w:sz w:val="16"/>
              </w:rPr>
              <w:t>SDSC - AFRICA GLOBAL LOGISTI…</w:t>
            </w:r>
          </w:p>
        </w:tc>
        <w:tc>
          <w:tcPr>
            <w:tcW w:type="dxa" w:w="1701"/>
            <w:shd w:fill="FFFFFF" w:val="clear"/>
          </w:tcPr>
          <w:p>
            <w:r>
              <w:rPr>
                <w:sz w:val="16"/>
              </w:rPr>
              <w:t>INDUSTRIELS</w:t>
            </w:r>
          </w:p>
        </w:tc>
        <w:tc>
          <w:tcPr>
            <w:tcW w:type="dxa" w:w="1020"/>
            <w:shd w:fill="FFEB9C" w:val="clear"/>
          </w:tcPr>
          <w:p>
            <w:r>
              <w:rPr>
                <w:b/>
                <w:color w:val="B40000"/>
                <w:sz w:val="16"/>
              </w:rPr>
              <w:t>28.8/100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#3 NSBC (31.3/100 — Moyen) : </w:t>
      </w:r>
      <w:r>
        <w:rPr>
          <w:sz w:val="17"/>
        </w:rPr>
        <w:t>Volatilité=Élevée | Bêta=Agressif | Liquidité=Bonne | Divergence signaux=taux divergence=20% (Mixte ⚠️) | Stabilité=Stable</w:t>
      </w:r>
    </w:p>
    <w:p>
      <w:pPr>
        <w:pStyle w:val="ListBullet"/>
      </w:pPr>
      <w:r>
        <w:rPr>
          <w:b/>
          <w:color w:val="B40000"/>
          <w:sz w:val="18"/>
        </w:rPr>
        <w:t xml:space="preserve">#4 SICC (29.6/100 — Moyen) : </w:t>
      </w:r>
      <w:r>
        <w:rPr>
          <w:sz w:val="17"/>
        </w:rPr>
        <w:t>Volatilité=Moyenne | Bêta=Contre-cyclique | Liquidité=Très faible | Divergence signaux=taux divergence=40% (Très divergent ❌) | Stabilité=Modérée</w:t>
      </w:r>
    </w:p>
    <w:p>
      <w:pPr>
        <w:pStyle w:val="ListBullet"/>
      </w:pPr>
      <w:r>
        <w:rPr>
          <w:b/>
          <w:color w:val="B40000"/>
          <w:sz w:val="18"/>
        </w:rPr>
        <w:t xml:space="preserve">#5 SDSC (28.8/100 — Moyen) : </w:t>
      </w:r>
      <w:r>
        <w:rPr>
          <w:sz w:val="17"/>
        </w:rPr>
        <w:t>Volatilité=Élevée | Bêta=Contre-cyclique | Liquidité=Excellente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C6EFCE" w:val="clear"/>
          </w:tcPr>
          <w:p>
            <w:r>
              <w:rPr>
                <w:b/>
                <w:color w:val="007800"/>
                <w:sz w:val="16"/>
              </w:rPr>
              <w:t>13.3/100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29.6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28.2</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Instable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26.0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-10.37%  |  Médiane : -8.38%</w:t>
            </w:r>
          </w:p>
        </w:tc>
      </w:tr>
      <w:tr>
        <w:tc>
          <w:tcPr>
            <w:tcW w:type="dxa" w:w="2835"/>
            <w:shd w:fill="DEEAF1" w:val="clear"/>
          </w:tcPr>
          <w:p>
            <w:r>
              <w:rPr>
                <w:b/>
                <w:sz w:val="18"/>
              </w:rPr>
              <w:t>Répartition</w:t>
            </w:r>
          </w:p>
        </w:tc>
        <w:tc>
          <w:tcPr>
            <w:tcW w:type="dxa" w:w="7370"/>
          </w:tcPr>
          <w:p>
            <w:r>
              <w:rPr>
                <w:b/>
                <w:sz w:val="18"/>
              </w:rPr>
              <w:t>📈 7 sociétés en hausse (&gt;+1%)   📉 38 en baisse (&lt;-1%)   ➡️ 2 neutres</w:t>
            </w:r>
          </w:p>
        </w:tc>
      </w:tr>
      <w:tr>
        <w:tc>
          <w:tcPr>
            <w:tcW w:type="dxa" w:w="2835"/>
            <w:shd w:fill="DEEAF1" w:val="clear"/>
          </w:tcPr>
          <w:p>
            <w:r>
              <w:rPr>
                <w:b/>
                <w:sz w:val="18"/>
              </w:rPr>
              <w:t>Confiance globale</w:t>
            </w:r>
          </w:p>
        </w:tc>
        <w:tc>
          <w:tcPr>
            <w:tcW w:type="dxa" w:w="7370"/>
          </w:tcPr>
          <w:p>
            <w:r>
              <w:rPr>
                <w:b/>
                <w:sz w:val="18"/>
              </w:rPr>
              <w:t>Élevée : 0 sociétés (0%)   Moyenne : 12   Faible : 35 (74%)   → Confiance dominante : Faible</w:t>
            </w:r>
          </w:p>
        </w:tc>
      </w:tr>
    </w:tbl>
    <w:p/>
    <w:p>
      <w:r>
        <w:rPr>
          <w:i/>
          <w:color w:val="282828"/>
          <w:sz w:val="18"/>
        </w:rPr>
        <w:t>📝 Analyse : Les modèles anticipent une correction généralisée. 38 sociétés sur 47 sont orientées à la baisse avec une variation moyenne de -10.37%.</w:t>
      </w:r>
    </w:p>
    <w:p>
      <w:r>
        <w:rPr>
          <w:i/>
          <w:color w:val="282828"/>
          <w:sz w:val="18"/>
        </w:rPr>
        <w:t>🎯 Fiabilité : ⚠️ La confiance est globalement FAIBLE (74%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3,475 FCFA</w:t>
            </w:r>
          </w:p>
        </w:tc>
        <w:tc>
          <w:tcPr>
            <w:tcW w:type="dxa" w:w="1417"/>
            <w:shd w:fill="FFFFFF" w:val="clear"/>
          </w:tcPr>
          <w:p>
            <w:r>
              <w:rPr>
                <w:sz w:val="16"/>
              </w:rPr>
              <w:t>6,289 FCFA</w:t>
            </w:r>
          </w:p>
        </w:tc>
        <w:tc>
          <w:tcPr>
            <w:tcW w:type="dxa" w:w="1134"/>
            <w:shd w:fill="C6EFCE" w:val="clear"/>
          </w:tcPr>
          <w:p>
            <w:r>
              <w:rPr>
                <w:b/>
                <w:color w:val="007800"/>
                <w:sz w:val="16"/>
              </w:rPr>
              <w:t>+80.99%</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23,950 FCFA</w:t>
            </w:r>
          </w:p>
        </w:tc>
        <w:tc>
          <w:tcPr>
            <w:tcW w:type="dxa" w:w="1417"/>
            <w:shd w:fill="FFFFFF" w:val="clear"/>
          </w:tcPr>
          <w:p>
            <w:r>
              <w:rPr>
                <w:sz w:val="16"/>
              </w:rPr>
              <w:t>27,945 FCFA</w:t>
            </w:r>
          </w:p>
        </w:tc>
        <w:tc>
          <w:tcPr>
            <w:tcW w:type="dxa" w:w="1134"/>
            <w:shd w:fill="C6EFCE" w:val="clear"/>
          </w:tcPr>
          <w:p>
            <w:r>
              <w:rPr>
                <w:b/>
                <w:color w:val="007800"/>
                <w:sz w:val="16"/>
              </w:rPr>
              <w:t>+16.68%</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54,700 FCFA</w:t>
            </w:r>
          </w:p>
        </w:tc>
        <w:tc>
          <w:tcPr>
            <w:tcW w:type="dxa" w:w="1417"/>
            <w:shd w:fill="FFFFFF" w:val="clear"/>
          </w:tcPr>
          <w:p>
            <w:r>
              <w:rPr>
                <w:sz w:val="16"/>
              </w:rPr>
              <w:t>59,788 FCFA</w:t>
            </w:r>
          </w:p>
        </w:tc>
        <w:tc>
          <w:tcPr>
            <w:tcW w:type="dxa" w:w="1134"/>
            <w:shd w:fill="C6EFCE" w:val="clear"/>
          </w:tcPr>
          <w:p>
            <w:r>
              <w:rPr>
                <w:b/>
                <w:color w:val="007800"/>
                <w:sz w:val="16"/>
              </w:rPr>
              <w:t>+9.30%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24,110 FCFA</w:t>
            </w:r>
          </w:p>
        </w:tc>
        <w:tc>
          <w:tcPr>
            <w:tcW w:type="dxa" w:w="1417"/>
            <w:shd w:fill="FFFFFF" w:val="clear"/>
          </w:tcPr>
          <w:p>
            <w:r>
              <w:rPr>
                <w:sz w:val="16"/>
              </w:rPr>
              <w:t>26,346 FCFA</w:t>
            </w:r>
          </w:p>
        </w:tc>
        <w:tc>
          <w:tcPr>
            <w:tcW w:type="dxa" w:w="1134"/>
            <w:shd w:fill="C6EFCE" w:val="clear"/>
          </w:tcPr>
          <w:p>
            <w:r>
              <w:rPr>
                <w:b/>
                <w:color w:val="007800"/>
                <w:sz w:val="16"/>
              </w:rPr>
              <w:t>+9.28%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1,970 FCFA</w:t>
            </w:r>
          </w:p>
        </w:tc>
        <w:tc>
          <w:tcPr>
            <w:tcW w:type="dxa" w:w="1417"/>
            <w:shd w:fill="FFFFFF" w:val="clear"/>
          </w:tcPr>
          <w:p>
            <w:r>
              <w:rPr>
                <w:sz w:val="16"/>
              </w:rPr>
              <w:t>2,051 FCFA</w:t>
            </w:r>
          </w:p>
        </w:tc>
        <w:tc>
          <w:tcPr>
            <w:tcW w:type="dxa" w:w="1134"/>
            <w:shd w:fill="C6EFCE" w:val="clear"/>
          </w:tcPr>
          <w:p>
            <w:r>
              <w:rPr>
                <w:b/>
                <w:color w:val="007800"/>
                <w:sz w:val="16"/>
              </w:rPr>
              <w:t>+4.12%</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(+81.0%) — signal potentiellement excessif, à croiser avec l'analyse technique. Trajectoire : 📈 Hausse continue. Cours actuel : 3,475 FCFA → prédit J+10 : 6,289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(+16.7%) — potentiel de revalorisation notable. Trajectoire : 📈 Hausse continue. Cours actuel : 23,950 FCFA → prédit J+10 : 27,945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modérée (+9.3%) — signal raisonnable et crédible. Trajectoire : 📈 Hausse continue. Cours actuel : 54,700 FCFA → prédit J+10 : 59,788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(+9.3%) — signal raisonnable et crédible. Trajectoire : 📈 Hausse continue. Cours actuel : 24,110 FCFA → prédit J+10 : 26,346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(+4.1%) — progression graduelle attendue. Trajectoire : 📈 Hausse continue. Cours actuel : 1,970 FCFA → prédit J+10 : 2,051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5,100 FCFA</w:t>
            </w:r>
          </w:p>
        </w:tc>
        <w:tc>
          <w:tcPr>
            <w:tcW w:type="dxa" w:w="1417"/>
            <w:shd w:fill="FFFFFF" w:val="clear"/>
          </w:tcPr>
          <w:p>
            <w:r>
              <w:rPr>
                <w:sz w:val="16"/>
              </w:rPr>
              <w:t>2,339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3,655 FCFA</w:t>
            </w:r>
          </w:p>
        </w:tc>
        <w:tc>
          <w:tcPr>
            <w:tcW w:type="dxa" w:w="1417"/>
            <w:shd w:fill="FFFFFF" w:val="clear"/>
          </w:tcPr>
          <w:p>
            <w:r>
              <w:rPr>
                <w:sz w:val="16"/>
              </w:rPr>
              <w:t>1,676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64 FCFA</w:t>
            </w:r>
          </w:p>
        </w:tc>
        <w:tc>
          <w:tcPr>
            <w:tcW w:type="dxa" w:w="1417"/>
            <w:shd w:fill="FFFFFF" w:val="clear"/>
          </w:tcPr>
          <w:p>
            <w:r>
              <w:rPr>
                <w:sz w:val="16"/>
              </w:rPr>
              <w:t>30 FCFA</w:t>
            </w:r>
          </w:p>
        </w:tc>
        <w:tc>
          <w:tcPr>
            <w:tcW w:type="dxa" w:w="1134"/>
            <w:shd w:fill="FFC7CE" w:val="clear"/>
          </w:tcPr>
          <w:p>
            <w:r>
              <w:rPr>
                <w:b/>
                <w:color w:val="B40000"/>
                <w:sz w:val="16"/>
              </w:rPr>
              <w:t>-53.48%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2,800 FCFA</w:t>
            </w:r>
          </w:p>
        </w:tc>
        <w:tc>
          <w:tcPr>
            <w:tcW w:type="dxa" w:w="1417"/>
            <w:shd w:fill="FFFFFF" w:val="clear"/>
          </w:tcPr>
          <w:p>
            <w:r>
              <w:rPr>
                <w:sz w:val="16"/>
              </w:rPr>
              <w:t>1,626 FCFA</w:t>
            </w:r>
          </w:p>
        </w:tc>
        <w:tc>
          <w:tcPr>
            <w:tcW w:type="dxa" w:w="1134"/>
            <w:shd w:fill="FFC7CE" w:val="clear"/>
          </w:tcPr>
          <w:p>
            <w:r>
              <w:rPr>
                <w:b/>
                <w:color w:val="B40000"/>
                <w:sz w:val="16"/>
              </w:rPr>
              <w:t>-41.93%</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2,260 FCFA</w:t>
            </w:r>
          </w:p>
        </w:tc>
        <w:tc>
          <w:tcPr>
            <w:tcW w:type="dxa" w:w="1417"/>
            <w:shd w:fill="FFFFFF" w:val="clear"/>
          </w:tcPr>
          <w:p>
            <w:r>
              <w:rPr>
                <w:sz w:val="16"/>
              </w:rPr>
              <w:t>1,379 FCFA</w:t>
            </w:r>
          </w:p>
        </w:tc>
        <w:tc>
          <w:tcPr>
            <w:tcW w:type="dxa" w:w="1134"/>
            <w:shd w:fill="FFC7CE" w:val="clear"/>
          </w:tcPr>
          <w:p>
            <w:r>
              <w:rPr>
                <w:b/>
                <w:color w:val="B40000"/>
                <w:sz w:val="16"/>
              </w:rPr>
              <w:t>-38.99%</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5,100 FCFA → prédit J+10 : 2,339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3,655 FCFA → prédit J+10 : 1,676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(-53.5%) — amplitude potentiellement surestimée par le modèle. Trajectoire : 📉 Baisse continue. Cours actuel : 64 FCFA → prédit J+10 : 30 FCFA. ⚠️ Confiance limitée — volatilité élevée. Ne pas agir sur ce seul signal.</w:t>
      </w:r>
    </w:p>
    <w:p>
      <w:pPr>
        <w:pStyle w:val="ListBullet"/>
      </w:pPr>
      <w:r>
        <w:rPr>
          <w:b/>
          <w:color w:val="B40000"/>
          <w:sz w:val="18"/>
        </w:rPr>
        <w:t xml:space="preserve">#4 STAC </w:t>
      </w:r>
      <w:r>
        <w:rPr>
          <w:sz w:val="17"/>
        </w:rPr>
        <w:t>(STAC - SETAO COTE D'IVOIRE) — baisse très forte (-41.9%) — amplitude potentiellement surestimée par le modèle. Trajectoire : 📉 Baisse continue. Cours actuel : 2,800 FCFA → prédit J+10 : 1,626 FCFA. ⚠️ Confiance limitée — volatilité élevée. Ne pas agir sur ce seul signal.</w:t>
      </w:r>
    </w:p>
    <w:p>
      <w:pPr>
        <w:pStyle w:val="ListBullet"/>
      </w:pPr>
      <w:r>
        <w:rPr>
          <w:b/>
          <w:color w:val="B40000"/>
          <w:sz w:val="18"/>
        </w:rPr>
        <w:t xml:space="preserve">#5 NEIC </w:t>
      </w:r>
      <w:r>
        <w:rPr>
          <w:sz w:val="17"/>
        </w:rPr>
        <w:t>(NEIC - NEI-CEDA CI) — baisse très forte (-39.0%) — amplitude potentiellement surestimée par le modèle. Trajectoire : 📉 Baisse continue. Cours actuel : 2,260 FCFA → prédit J+10 : 1,379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3,475</w:t>
            </w:r>
          </w:p>
        </w:tc>
        <w:tc>
          <w:tcPr>
            <w:tcW w:type="dxa" w:w="1417"/>
            <w:shd w:fill="FFFFFF" w:val="clear"/>
          </w:tcPr>
          <w:p>
            <w:r>
              <w:rPr>
                <w:sz w:val="16"/>
              </w:rPr>
              <w:t>6,289</w:t>
            </w:r>
          </w:p>
        </w:tc>
        <w:tc>
          <w:tcPr>
            <w:tcW w:type="dxa" w:w="1134"/>
            <w:shd w:fill="C6EFCE" w:val="clear"/>
          </w:tcPr>
          <w:p>
            <w:r>
              <w:rPr>
                <w:b/>
                <w:color w:val="007800"/>
                <w:sz w:val="16"/>
              </w:rPr>
              <w:t>+80.99%</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23,950</w:t>
            </w:r>
          </w:p>
        </w:tc>
        <w:tc>
          <w:tcPr>
            <w:tcW w:type="dxa" w:w="1417"/>
            <w:shd w:fill="FFFFFF" w:val="clear"/>
          </w:tcPr>
          <w:p>
            <w:r>
              <w:rPr>
                <w:sz w:val="16"/>
              </w:rPr>
              <w:t>27,945</w:t>
            </w:r>
          </w:p>
        </w:tc>
        <w:tc>
          <w:tcPr>
            <w:tcW w:type="dxa" w:w="1134"/>
            <w:shd w:fill="C6EFCE" w:val="clear"/>
          </w:tcPr>
          <w:p>
            <w:r>
              <w:rPr>
                <w:b/>
                <w:color w:val="007800"/>
                <w:sz w:val="16"/>
              </w:rPr>
              <w:t>+16.68%</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54,700</w:t>
            </w:r>
          </w:p>
        </w:tc>
        <w:tc>
          <w:tcPr>
            <w:tcW w:type="dxa" w:w="1417"/>
            <w:shd w:fill="FFFFFF" w:val="clear"/>
          </w:tcPr>
          <w:p>
            <w:r>
              <w:rPr>
                <w:sz w:val="16"/>
              </w:rPr>
              <w:t>59,788</w:t>
            </w:r>
          </w:p>
        </w:tc>
        <w:tc>
          <w:tcPr>
            <w:tcW w:type="dxa" w:w="1134"/>
            <w:shd w:fill="C6EFCE" w:val="clear"/>
          </w:tcPr>
          <w:p>
            <w:r>
              <w:rPr>
                <w:b/>
                <w:color w:val="007800"/>
                <w:sz w:val="16"/>
              </w:rPr>
              <w:t>+9.30%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24,110</w:t>
            </w:r>
          </w:p>
        </w:tc>
        <w:tc>
          <w:tcPr>
            <w:tcW w:type="dxa" w:w="1417"/>
            <w:shd w:fill="FFFFFF" w:val="clear"/>
          </w:tcPr>
          <w:p>
            <w:r>
              <w:rPr>
                <w:sz w:val="16"/>
              </w:rPr>
              <w:t>26,346</w:t>
            </w:r>
          </w:p>
        </w:tc>
        <w:tc>
          <w:tcPr>
            <w:tcW w:type="dxa" w:w="1134"/>
            <w:shd w:fill="C6EFCE" w:val="clear"/>
          </w:tcPr>
          <w:p>
            <w:r>
              <w:rPr>
                <w:b/>
                <w:color w:val="007800"/>
                <w:sz w:val="16"/>
              </w:rPr>
              <w:t>+9.28%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1,970</w:t>
            </w:r>
          </w:p>
        </w:tc>
        <w:tc>
          <w:tcPr>
            <w:tcW w:type="dxa" w:w="1417"/>
            <w:shd w:fill="FFFFFF" w:val="clear"/>
          </w:tcPr>
          <w:p>
            <w:r>
              <w:rPr>
                <w:sz w:val="16"/>
              </w:rPr>
              <w:t>2,051</w:t>
            </w:r>
          </w:p>
        </w:tc>
        <w:tc>
          <w:tcPr>
            <w:tcW w:type="dxa" w:w="1134"/>
            <w:shd w:fill="C6EFCE" w:val="clear"/>
          </w:tcPr>
          <w:p>
            <w:r>
              <w:rPr>
                <w:b/>
                <w:color w:val="007800"/>
                <w:sz w:val="16"/>
              </w:rPr>
              <w:t>+4.12%</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7,900</w:t>
            </w:r>
          </w:p>
        </w:tc>
        <w:tc>
          <w:tcPr>
            <w:tcW w:type="dxa" w:w="1417"/>
            <w:shd w:fill="FFFFFF" w:val="clear"/>
          </w:tcPr>
          <w:p>
            <w:r>
              <w:rPr>
                <w:sz w:val="16"/>
              </w:rPr>
              <w:t>8,220</w:t>
            </w:r>
          </w:p>
        </w:tc>
        <w:tc>
          <w:tcPr>
            <w:tcW w:type="dxa" w:w="1134"/>
            <w:shd w:fill="C6EFCE" w:val="clear"/>
          </w:tcPr>
          <w:p>
            <w:r>
              <w:rPr>
                <w:b/>
                <w:color w:val="007800"/>
                <w:sz w:val="16"/>
              </w:rPr>
              <w:t>+4.05%</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8,980</w:t>
            </w:r>
          </w:p>
        </w:tc>
        <w:tc>
          <w:tcPr>
            <w:tcW w:type="dxa" w:w="1417"/>
            <w:shd w:fill="FFFFFF" w:val="clear"/>
          </w:tcPr>
          <w:p>
            <w:r>
              <w:rPr>
                <w:sz w:val="16"/>
              </w:rPr>
              <w:t>9,259</w:t>
            </w:r>
          </w:p>
        </w:tc>
        <w:tc>
          <w:tcPr>
            <w:tcW w:type="dxa" w:w="1134"/>
            <w:shd w:fill="C6EFCE" w:val="clear"/>
          </w:tcPr>
          <w:p>
            <w:r>
              <w:rPr>
                <w:b/>
                <w:color w:val="007800"/>
                <w:sz w:val="16"/>
              </w:rPr>
              <w:t>+3.11%</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1,930</w:t>
            </w:r>
          </w:p>
        </w:tc>
        <w:tc>
          <w:tcPr>
            <w:tcW w:type="dxa" w:w="1417"/>
            <w:shd w:fill="FFFFFF" w:val="clear"/>
          </w:tcPr>
          <w:p>
            <w:r>
              <w:rPr>
                <w:sz w:val="16"/>
              </w:rPr>
              <w:t>1,923</w:t>
            </w:r>
          </w:p>
        </w:tc>
        <w:tc>
          <w:tcPr>
            <w:tcW w:type="dxa" w:w="1134"/>
            <w:shd w:fill="FFEB9C" w:val="clear"/>
          </w:tcPr>
          <w:p>
            <w:r>
              <w:rPr>
                <w:b/>
                <w:color w:val="646400"/>
                <w:sz w:val="16"/>
              </w:rPr>
              <w:t>-0.36%</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37,670</w:t>
            </w:r>
          </w:p>
        </w:tc>
        <w:tc>
          <w:tcPr>
            <w:tcW w:type="dxa" w:w="1417"/>
            <w:shd w:fill="FFFFFF" w:val="clear"/>
          </w:tcPr>
          <w:p>
            <w:r>
              <w:rPr>
                <w:sz w:val="16"/>
              </w:rPr>
              <w:t>37,388</w:t>
            </w:r>
          </w:p>
        </w:tc>
        <w:tc>
          <w:tcPr>
            <w:tcW w:type="dxa" w:w="1134"/>
            <w:shd w:fill="FFEB9C" w:val="clear"/>
          </w:tcPr>
          <w:p>
            <w:r>
              <w:rPr>
                <w:b/>
                <w:color w:val="646400"/>
                <w:sz w:val="16"/>
              </w:rPr>
              <w:t>-0.75%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5,100</w:t>
            </w:r>
          </w:p>
        </w:tc>
        <w:tc>
          <w:tcPr>
            <w:tcW w:type="dxa" w:w="1417"/>
            <w:shd w:fill="FFFFFF" w:val="clear"/>
          </w:tcPr>
          <w:p>
            <w:r>
              <w:rPr>
                <w:sz w:val="16"/>
              </w:rPr>
              <w:t>5,047</w:t>
            </w:r>
          </w:p>
        </w:tc>
        <w:tc>
          <w:tcPr>
            <w:tcW w:type="dxa" w:w="1134"/>
            <w:shd w:fill="FFC7CE" w:val="clear"/>
          </w:tcPr>
          <w:p>
            <w:r>
              <w:rPr>
                <w:b/>
                <w:color w:val="B40000"/>
                <w:sz w:val="16"/>
              </w:rPr>
              <w:t>-1.03%</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16,200</w:t>
            </w:r>
          </w:p>
        </w:tc>
        <w:tc>
          <w:tcPr>
            <w:tcW w:type="dxa" w:w="1417"/>
            <w:shd w:fill="FFFFFF" w:val="clear"/>
          </w:tcPr>
          <w:p>
            <w:r>
              <w:rPr>
                <w:sz w:val="16"/>
              </w:rPr>
              <w:t>16,031</w:t>
            </w:r>
          </w:p>
        </w:tc>
        <w:tc>
          <w:tcPr>
            <w:tcW w:type="dxa" w:w="1134"/>
            <w:shd w:fill="FFC7CE" w:val="clear"/>
          </w:tcPr>
          <w:p>
            <w:r>
              <w:rPr>
                <w:b/>
                <w:color w:val="B40000"/>
                <w:sz w:val="16"/>
              </w:rPr>
              <w:t>-1.04%</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2,905</w:t>
            </w:r>
          </w:p>
        </w:tc>
        <w:tc>
          <w:tcPr>
            <w:tcW w:type="dxa" w:w="1417"/>
            <w:shd w:fill="FFFFFF" w:val="clear"/>
          </w:tcPr>
          <w:p>
            <w:r>
              <w:rPr>
                <w:sz w:val="16"/>
              </w:rPr>
              <w:t>2,860</w:t>
            </w:r>
          </w:p>
        </w:tc>
        <w:tc>
          <w:tcPr>
            <w:tcW w:type="dxa" w:w="1134"/>
            <w:shd w:fill="FFC7CE" w:val="clear"/>
          </w:tcPr>
          <w:p>
            <w:r>
              <w:rPr>
                <w:b/>
                <w:color w:val="B40000"/>
                <w:sz w:val="16"/>
              </w:rPr>
              <w:t>-1.54%</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2,940</w:t>
            </w:r>
          </w:p>
        </w:tc>
        <w:tc>
          <w:tcPr>
            <w:tcW w:type="dxa" w:w="1417"/>
            <w:shd w:fill="FFFFFF" w:val="clear"/>
          </w:tcPr>
          <w:p>
            <w:r>
              <w:rPr>
                <w:sz w:val="16"/>
              </w:rPr>
              <w:t>2,890</w:t>
            </w:r>
          </w:p>
        </w:tc>
        <w:tc>
          <w:tcPr>
            <w:tcW w:type="dxa" w:w="1134"/>
            <w:shd w:fill="FFC7CE" w:val="clear"/>
          </w:tcPr>
          <w:p>
            <w:r>
              <w:rPr>
                <w:b/>
                <w:color w:val="B40000"/>
                <w:sz w:val="16"/>
              </w:rPr>
              <w:t>-1.69%</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7,530</w:t>
            </w:r>
          </w:p>
        </w:tc>
        <w:tc>
          <w:tcPr>
            <w:tcW w:type="dxa" w:w="1417"/>
            <w:shd w:fill="FFFFFF" w:val="clear"/>
          </w:tcPr>
          <w:p>
            <w:r>
              <w:rPr>
                <w:sz w:val="16"/>
              </w:rPr>
              <w:t>7,389</w:t>
            </w:r>
          </w:p>
        </w:tc>
        <w:tc>
          <w:tcPr>
            <w:tcW w:type="dxa" w:w="1134"/>
            <w:shd w:fill="FFC7CE" w:val="clear"/>
          </w:tcPr>
          <w:p>
            <w:r>
              <w:rPr>
                <w:b/>
                <w:color w:val="B40000"/>
                <w:sz w:val="16"/>
              </w:rPr>
              <w:t>-1.87%</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31,400</w:t>
            </w:r>
          </w:p>
        </w:tc>
        <w:tc>
          <w:tcPr>
            <w:tcW w:type="dxa" w:w="1417"/>
            <w:shd w:fill="FFFFFF" w:val="clear"/>
          </w:tcPr>
          <w:p>
            <w:r>
              <w:rPr>
                <w:sz w:val="16"/>
              </w:rPr>
              <w:t>30,783</w:t>
            </w:r>
          </w:p>
        </w:tc>
        <w:tc>
          <w:tcPr>
            <w:tcW w:type="dxa" w:w="1134"/>
            <w:shd w:fill="FFC7CE" w:val="clear"/>
          </w:tcPr>
          <w:p>
            <w:r>
              <w:rPr>
                <w:b/>
                <w:color w:val="B40000"/>
                <w:sz w:val="16"/>
              </w:rPr>
              <w:t>-1.97%</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17,000</w:t>
            </w:r>
          </w:p>
        </w:tc>
        <w:tc>
          <w:tcPr>
            <w:tcW w:type="dxa" w:w="1417"/>
            <w:shd w:fill="FFFFFF" w:val="clear"/>
          </w:tcPr>
          <w:p>
            <w:r>
              <w:rPr>
                <w:sz w:val="16"/>
              </w:rPr>
              <w:t>16,623</w:t>
            </w:r>
          </w:p>
        </w:tc>
        <w:tc>
          <w:tcPr>
            <w:tcW w:type="dxa" w:w="1134"/>
            <w:shd w:fill="FFC7CE" w:val="clear"/>
          </w:tcPr>
          <w:p>
            <w:r>
              <w:rPr>
                <w:b/>
                <w:color w:val="B40000"/>
                <w:sz w:val="16"/>
              </w:rPr>
              <w:t>-2.22%</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37,054</w:t>
            </w:r>
          </w:p>
        </w:tc>
        <w:tc>
          <w:tcPr>
            <w:tcW w:type="dxa" w:w="1134"/>
            <w:shd w:fill="FFC7CE" w:val="clear"/>
          </w:tcPr>
          <w:p>
            <w:r>
              <w:rPr>
                <w:b/>
                <w:color w:val="B40000"/>
                <w:sz w:val="16"/>
              </w:rPr>
              <w:t>-2.49%</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3,150</w:t>
            </w:r>
          </w:p>
        </w:tc>
        <w:tc>
          <w:tcPr>
            <w:tcW w:type="dxa" w:w="1417"/>
            <w:shd w:fill="FFFFFF" w:val="clear"/>
          </w:tcPr>
          <w:p>
            <w:r>
              <w:rPr>
                <w:sz w:val="16"/>
              </w:rPr>
              <w:t>3,058</w:t>
            </w:r>
          </w:p>
        </w:tc>
        <w:tc>
          <w:tcPr>
            <w:tcW w:type="dxa" w:w="1134"/>
            <w:shd w:fill="FFC7CE" w:val="clear"/>
          </w:tcPr>
          <w:p>
            <w:r>
              <w:rPr>
                <w:b/>
                <w:color w:val="B40000"/>
                <w:sz w:val="16"/>
              </w:rPr>
              <w:t>-2.93%</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15,700</w:t>
            </w:r>
          </w:p>
        </w:tc>
        <w:tc>
          <w:tcPr>
            <w:tcW w:type="dxa" w:w="1417"/>
            <w:shd w:fill="FFFFFF" w:val="clear"/>
          </w:tcPr>
          <w:p>
            <w:r>
              <w:rPr>
                <w:sz w:val="16"/>
              </w:rPr>
              <w:t>15,140</w:t>
            </w:r>
          </w:p>
        </w:tc>
        <w:tc>
          <w:tcPr>
            <w:tcW w:type="dxa" w:w="1134"/>
            <w:shd w:fill="FFC7CE" w:val="clear"/>
          </w:tcPr>
          <w:p>
            <w:r>
              <w:rPr>
                <w:b/>
                <w:color w:val="B40000"/>
                <w:sz w:val="16"/>
              </w:rPr>
              <w:t>-3.57%</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16,700</w:t>
            </w:r>
          </w:p>
        </w:tc>
        <w:tc>
          <w:tcPr>
            <w:tcW w:type="dxa" w:w="1417"/>
            <w:shd w:fill="FFFFFF" w:val="clear"/>
          </w:tcPr>
          <w:p>
            <w:r>
              <w:rPr>
                <w:sz w:val="16"/>
              </w:rPr>
              <w:t>15,987</w:t>
            </w:r>
          </w:p>
        </w:tc>
        <w:tc>
          <w:tcPr>
            <w:tcW w:type="dxa" w:w="1134"/>
            <w:shd w:fill="FFC7CE" w:val="clear"/>
          </w:tcPr>
          <w:p>
            <w:r>
              <w:rPr>
                <w:b/>
                <w:color w:val="B40000"/>
                <w:sz w:val="16"/>
              </w:rPr>
              <w:t>-4.27%</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4,400</w:t>
            </w:r>
          </w:p>
        </w:tc>
        <w:tc>
          <w:tcPr>
            <w:tcW w:type="dxa" w:w="1417"/>
            <w:shd w:fill="FFFFFF" w:val="clear"/>
          </w:tcPr>
          <w:p>
            <w:r>
              <w:rPr>
                <w:sz w:val="16"/>
              </w:rPr>
              <w:t>4,203</w:t>
            </w:r>
          </w:p>
        </w:tc>
        <w:tc>
          <w:tcPr>
            <w:tcW w:type="dxa" w:w="1134"/>
            <w:shd w:fill="FFC7CE" w:val="clear"/>
          </w:tcPr>
          <w:p>
            <w:r>
              <w:rPr>
                <w:b/>
                <w:color w:val="B40000"/>
                <w:sz w:val="16"/>
              </w:rPr>
              <w:t>-4.47%</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1,890</w:t>
            </w:r>
          </w:p>
        </w:tc>
        <w:tc>
          <w:tcPr>
            <w:tcW w:type="dxa" w:w="1417"/>
            <w:shd w:fill="FFFFFF" w:val="clear"/>
          </w:tcPr>
          <w:p>
            <w:r>
              <w:rPr>
                <w:sz w:val="16"/>
              </w:rPr>
              <w:t>1,801</w:t>
            </w:r>
          </w:p>
        </w:tc>
        <w:tc>
          <w:tcPr>
            <w:tcW w:type="dxa" w:w="1134"/>
            <w:shd w:fill="FFC7CE" w:val="clear"/>
          </w:tcPr>
          <w:p>
            <w:r>
              <w:rPr>
                <w:b/>
                <w:color w:val="B40000"/>
                <w:sz w:val="16"/>
              </w:rPr>
              <w:t>-4.71%</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2,545</w:t>
            </w:r>
          </w:p>
        </w:tc>
        <w:tc>
          <w:tcPr>
            <w:tcW w:type="dxa" w:w="1417"/>
            <w:shd w:fill="FFFFFF" w:val="clear"/>
          </w:tcPr>
          <w:p>
            <w:r>
              <w:rPr>
                <w:sz w:val="16"/>
              </w:rPr>
              <w:t>2,420</w:t>
            </w:r>
          </w:p>
        </w:tc>
        <w:tc>
          <w:tcPr>
            <w:tcW w:type="dxa" w:w="1134"/>
            <w:shd w:fill="FFC7CE" w:val="clear"/>
          </w:tcPr>
          <w:p>
            <w:r>
              <w:rPr>
                <w:b/>
                <w:color w:val="B40000"/>
                <w:sz w:val="16"/>
              </w:rPr>
              <w:t>-4.93%</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4,400</w:t>
            </w:r>
          </w:p>
        </w:tc>
        <w:tc>
          <w:tcPr>
            <w:tcW w:type="dxa" w:w="1417"/>
            <w:shd w:fill="FFFFFF" w:val="clear"/>
          </w:tcPr>
          <w:p>
            <w:r>
              <w:rPr>
                <w:sz w:val="16"/>
              </w:rPr>
              <w:t>4,031</w:t>
            </w:r>
          </w:p>
        </w:tc>
        <w:tc>
          <w:tcPr>
            <w:tcW w:type="dxa" w:w="1134"/>
            <w:shd w:fill="FFC7CE" w:val="clear"/>
          </w:tcPr>
          <w:p>
            <w:r>
              <w:rPr>
                <w:b/>
                <w:color w:val="B40000"/>
                <w:sz w:val="16"/>
              </w:rPr>
              <w:t>-8.38%</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3,500</w:t>
            </w:r>
          </w:p>
        </w:tc>
        <w:tc>
          <w:tcPr>
            <w:tcW w:type="dxa" w:w="1417"/>
            <w:shd w:fill="FFFFFF" w:val="clear"/>
          </w:tcPr>
          <w:p>
            <w:r>
              <w:rPr>
                <w:sz w:val="16"/>
              </w:rPr>
              <w:t>3,169</w:t>
            </w:r>
          </w:p>
        </w:tc>
        <w:tc>
          <w:tcPr>
            <w:tcW w:type="dxa" w:w="1134"/>
            <w:shd w:fill="FFC7CE" w:val="clear"/>
          </w:tcPr>
          <w:p>
            <w:r>
              <w:rPr>
                <w:b/>
                <w:color w:val="B40000"/>
                <w:sz w:val="16"/>
              </w:rPr>
              <w:t>-9.47%</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29,000</w:t>
            </w:r>
          </w:p>
        </w:tc>
        <w:tc>
          <w:tcPr>
            <w:tcW w:type="dxa" w:w="1417"/>
            <w:shd w:fill="FFFFFF" w:val="clear"/>
          </w:tcPr>
          <w:p>
            <w:r>
              <w:rPr>
                <w:sz w:val="16"/>
              </w:rPr>
              <w:t>26,138</w:t>
            </w:r>
          </w:p>
        </w:tc>
        <w:tc>
          <w:tcPr>
            <w:tcW w:type="dxa" w:w="1134"/>
            <w:shd w:fill="FFC7CE" w:val="clear"/>
          </w:tcPr>
          <w:p>
            <w:r>
              <w:rPr>
                <w:b/>
                <w:color w:val="B40000"/>
                <w:sz w:val="16"/>
              </w:rPr>
              <w:t>-9.87%</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7,200</w:t>
            </w:r>
          </w:p>
        </w:tc>
        <w:tc>
          <w:tcPr>
            <w:tcW w:type="dxa" w:w="1417"/>
            <w:shd w:fill="FFFFFF" w:val="clear"/>
          </w:tcPr>
          <w:p>
            <w:r>
              <w:rPr>
                <w:sz w:val="16"/>
              </w:rPr>
              <w:t>6,479</w:t>
            </w:r>
          </w:p>
        </w:tc>
        <w:tc>
          <w:tcPr>
            <w:tcW w:type="dxa" w:w="1134"/>
            <w:shd w:fill="FFC7CE" w:val="clear"/>
          </w:tcPr>
          <w:p>
            <w:r>
              <w:rPr>
                <w:b/>
                <w:color w:val="B40000"/>
                <w:sz w:val="16"/>
              </w:rPr>
              <w:t>-10.01%</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11,900</w:t>
            </w:r>
          </w:p>
        </w:tc>
        <w:tc>
          <w:tcPr>
            <w:tcW w:type="dxa" w:w="1417"/>
            <w:shd w:fill="FFFFFF" w:val="clear"/>
          </w:tcPr>
          <w:p>
            <w:r>
              <w:rPr>
                <w:sz w:val="16"/>
              </w:rPr>
              <w:t>10,687</w:t>
            </w:r>
          </w:p>
        </w:tc>
        <w:tc>
          <w:tcPr>
            <w:tcW w:type="dxa" w:w="1134"/>
            <w:shd w:fill="FFC7CE" w:val="clear"/>
          </w:tcPr>
          <w:p>
            <w:r>
              <w:rPr>
                <w:b/>
                <w:color w:val="B40000"/>
                <w:sz w:val="16"/>
              </w:rPr>
              <w:t>-10.19%</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3,000</w:t>
            </w:r>
          </w:p>
        </w:tc>
        <w:tc>
          <w:tcPr>
            <w:tcW w:type="dxa" w:w="1417"/>
            <w:shd w:fill="FFFFFF" w:val="clear"/>
          </w:tcPr>
          <w:p>
            <w:r>
              <w:rPr>
                <w:sz w:val="16"/>
              </w:rPr>
              <w:t>2,694</w:t>
            </w:r>
          </w:p>
        </w:tc>
        <w:tc>
          <w:tcPr>
            <w:tcW w:type="dxa" w:w="1134"/>
            <w:shd w:fill="FFC7CE" w:val="clear"/>
          </w:tcPr>
          <w:p>
            <w:r>
              <w:rPr>
                <w:b/>
                <w:color w:val="B40000"/>
                <w:sz w:val="16"/>
              </w:rPr>
              <w:t>-10.22%</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1,480</w:t>
            </w:r>
          </w:p>
        </w:tc>
        <w:tc>
          <w:tcPr>
            <w:tcW w:type="dxa" w:w="1417"/>
            <w:shd w:fill="FFFFFF" w:val="clear"/>
          </w:tcPr>
          <w:p>
            <w:r>
              <w:rPr>
                <w:sz w:val="16"/>
              </w:rPr>
              <w:t>1,326</w:t>
            </w:r>
          </w:p>
        </w:tc>
        <w:tc>
          <w:tcPr>
            <w:tcW w:type="dxa" w:w="1134"/>
            <w:shd w:fill="FFC7CE" w:val="clear"/>
          </w:tcPr>
          <w:p>
            <w:r>
              <w:rPr>
                <w:b/>
                <w:color w:val="B40000"/>
                <w:sz w:val="16"/>
              </w:rPr>
              <w:t>-10.37%</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5,590</w:t>
            </w:r>
          </w:p>
        </w:tc>
        <w:tc>
          <w:tcPr>
            <w:tcW w:type="dxa" w:w="1417"/>
            <w:shd w:fill="FFFFFF" w:val="clear"/>
          </w:tcPr>
          <w:p>
            <w:r>
              <w:rPr>
                <w:sz w:val="16"/>
              </w:rPr>
              <w:t>5,007</w:t>
            </w:r>
          </w:p>
        </w:tc>
        <w:tc>
          <w:tcPr>
            <w:tcW w:type="dxa" w:w="1134"/>
            <w:shd w:fill="FFC7CE" w:val="clear"/>
          </w:tcPr>
          <w:p>
            <w:r>
              <w:rPr>
                <w:b/>
                <w:color w:val="B40000"/>
                <w:sz w:val="16"/>
              </w:rPr>
              <w:t>-10.43%</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8,720</w:t>
            </w:r>
          </w:p>
        </w:tc>
        <w:tc>
          <w:tcPr>
            <w:tcW w:type="dxa" w:w="1417"/>
            <w:shd w:fill="FFFFFF" w:val="clear"/>
          </w:tcPr>
          <w:p>
            <w:r>
              <w:rPr>
                <w:sz w:val="16"/>
              </w:rPr>
              <w:t>7,703</w:t>
            </w:r>
          </w:p>
        </w:tc>
        <w:tc>
          <w:tcPr>
            <w:tcW w:type="dxa" w:w="1134"/>
            <w:shd w:fill="FFC7CE" w:val="clear"/>
          </w:tcPr>
          <w:p>
            <w:r>
              <w:rPr>
                <w:b/>
                <w:color w:val="B40000"/>
                <w:sz w:val="16"/>
              </w:rPr>
              <w:t>-11.66%</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7,095</w:t>
            </w:r>
          </w:p>
        </w:tc>
        <w:tc>
          <w:tcPr>
            <w:tcW w:type="dxa" w:w="1417"/>
            <w:shd w:fill="FFFFFF" w:val="clear"/>
          </w:tcPr>
          <w:p>
            <w:r>
              <w:rPr>
                <w:sz w:val="16"/>
              </w:rPr>
              <w:t>6,241</w:t>
            </w:r>
          </w:p>
        </w:tc>
        <w:tc>
          <w:tcPr>
            <w:tcW w:type="dxa" w:w="1134"/>
            <w:shd w:fill="FFC7CE" w:val="clear"/>
          </w:tcPr>
          <w:p>
            <w:r>
              <w:rPr>
                <w:b/>
                <w:color w:val="B40000"/>
                <w:sz w:val="16"/>
              </w:rPr>
              <w:t>-12.04%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7,700</w:t>
            </w:r>
          </w:p>
        </w:tc>
        <w:tc>
          <w:tcPr>
            <w:tcW w:type="dxa" w:w="1417"/>
            <w:shd w:fill="FFFFFF" w:val="clear"/>
          </w:tcPr>
          <w:p>
            <w:r>
              <w:rPr>
                <w:sz w:val="16"/>
              </w:rPr>
              <w:t>6,719</w:t>
            </w:r>
          </w:p>
        </w:tc>
        <w:tc>
          <w:tcPr>
            <w:tcW w:type="dxa" w:w="1134"/>
            <w:shd w:fill="FFC7CE" w:val="clear"/>
          </w:tcPr>
          <w:p>
            <w:r>
              <w:rPr>
                <w:b/>
                <w:color w:val="B40000"/>
                <w:sz w:val="16"/>
              </w:rPr>
              <w:t>-12.74%</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1,690</w:t>
            </w:r>
          </w:p>
        </w:tc>
        <w:tc>
          <w:tcPr>
            <w:tcW w:type="dxa" w:w="1417"/>
            <w:shd w:fill="FFFFFF" w:val="clear"/>
          </w:tcPr>
          <w:p>
            <w:r>
              <w:rPr>
                <w:sz w:val="16"/>
              </w:rPr>
              <w:t>1,444</w:t>
            </w:r>
          </w:p>
        </w:tc>
        <w:tc>
          <w:tcPr>
            <w:tcW w:type="dxa" w:w="1134"/>
            <w:shd w:fill="FFC7CE" w:val="clear"/>
          </w:tcPr>
          <w:p>
            <w:r>
              <w:rPr>
                <w:b/>
                <w:color w:val="B40000"/>
                <w:sz w:val="16"/>
              </w:rPr>
              <w:t>-14.56%</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2,150</w:t>
            </w:r>
          </w:p>
        </w:tc>
        <w:tc>
          <w:tcPr>
            <w:tcW w:type="dxa" w:w="1417"/>
            <w:shd w:fill="FFFFFF" w:val="clear"/>
          </w:tcPr>
          <w:p>
            <w:r>
              <w:rPr>
                <w:sz w:val="16"/>
              </w:rPr>
              <w:t>1,701</w:t>
            </w:r>
          </w:p>
        </w:tc>
        <w:tc>
          <w:tcPr>
            <w:tcW w:type="dxa" w:w="1134"/>
            <w:shd w:fill="FFC7CE" w:val="clear"/>
          </w:tcPr>
          <w:p>
            <w:r>
              <w:rPr>
                <w:b/>
                <w:color w:val="B40000"/>
                <w:sz w:val="16"/>
              </w:rPr>
              <w:t>-20.86%</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7,232</w:t>
            </w:r>
          </w:p>
        </w:tc>
        <w:tc>
          <w:tcPr>
            <w:tcW w:type="dxa" w:w="1134"/>
            <w:shd w:fill="FFC7CE" w:val="clear"/>
          </w:tcPr>
          <w:p>
            <w:r>
              <w:rPr>
                <w:b/>
                <w:color w:val="B40000"/>
                <w:sz w:val="16"/>
              </w:rPr>
              <w:t>-22.24%</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11,600</w:t>
            </w:r>
          </w:p>
        </w:tc>
        <w:tc>
          <w:tcPr>
            <w:tcW w:type="dxa" w:w="1417"/>
            <w:shd w:fill="FFFFFF" w:val="clear"/>
          </w:tcPr>
          <w:p>
            <w:r>
              <w:rPr>
                <w:sz w:val="16"/>
              </w:rPr>
              <w:t>8,606</w:t>
            </w:r>
          </w:p>
        </w:tc>
        <w:tc>
          <w:tcPr>
            <w:tcW w:type="dxa" w:w="1134"/>
            <w:shd w:fill="FFC7CE" w:val="clear"/>
          </w:tcPr>
          <w:p>
            <w:r>
              <w:rPr>
                <w:b/>
                <w:color w:val="B40000"/>
                <w:sz w:val="16"/>
              </w:rPr>
              <w:t>-25.81%</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2,325</w:t>
            </w:r>
          </w:p>
        </w:tc>
        <w:tc>
          <w:tcPr>
            <w:tcW w:type="dxa" w:w="1417"/>
            <w:shd w:fill="FFFFFF" w:val="clear"/>
          </w:tcPr>
          <w:p>
            <w:r>
              <w:rPr>
                <w:sz w:val="16"/>
              </w:rPr>
              <w:t>1,663</w:t>
            </w:r>
          </w:p>
        </w:tc>
        <w:tc>
          <w:tcPr>
            <w:tcW w:type="dxa" w:w="1134"/>
            <w:shd w:fill="FFC7CE" w:val="clear"/>
          </w:tcPr>
          <w:p>
            <w:r>
              <w:rPr>
                <w:b/>
                <w:color w:val="B40000"/>
                <w:sz w:val="16"/>
              </w:rPr>
              <w:t>-28.46%</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7,690</w:t>
            </w:r>
          </w:p>
        </w:tc>
        <w:tc>
          <w:tcPr>
            <w:tcW w:type="dxa" w:w="1417"/>
            <w:shd w:fill="FFFFFF" w:val="clear"/>
          </w:tcPr>
          <w:p>
            <w:r>
              <w:rPr>
                <w:sz w:val="16"/>
              </w:rPr>
              <w:t>5,416</w:t>
            </w:r>
          </w:p>
        </w:tc>
        <w:tc>
          <w:tcPr>
            <w:tcW w:type="dxa" w:w="1134"/>
            <w:shd w:fill="FFC7CE" w:val="clear"/>
          </w:tcPr>
          <w:p>
            <w:r>
              <w:rPr>
                <w:b/>
                <w:color w:val="B40000"/>
                <w:sz w:val="16"/>
              </w:rPr>
              <w:t>-29.57%</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4,995</w:t>
            </w:r>
          </w:p>
        </w:tc>
        <w:tc>
          <w:tcPr>
            <w:tcW w:type="dxa" w:w="1417"/>
            <w:shd w:fill="FFFFFF" w:val="clear"/>
          </w:tcPr>
          <w:p>
            <w:r>
              <w:rPr>
                <w:sz w:val="16"/>
              </w:rPr>
              <w:t>3,166</w:t>
            </w:r>
          </w:p>
        </w:tc>
        <w:tc>
          <w:tcPr>
            <w:tcW w:type="dxa" w:w="1134"/>
            <w:shd w:fill="FFC7CE" w:val="clear"/>
          </w:tcPr>
          <w:p>
            <w:r>
              <w:rPr>
                <w:b/>
                <w:color w:val="B40000"/>
                <w:sz w:val="16"/>
              </w:rPr>
              <w:t>-36.62%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28,300</w:t>
            </w:r>
          </w:p>
        </w:tc>
        <w:tc>
          <w:tcPr>
            <w:tcW w:type="dxa" w:w="1417"/>
            <w:shd w:fill="FFFFFF" w:val="clear"/>
          </w:tcPr>
          <w:p>
            <w:r>
              <w:rPr>
                <w:sz w:val="16"/>
              </w:rPr>
              <w:t>17,312</w:t>
            </w:r>
          </w:p>
        </w:tc>
        <w:tc>
          <w:tcPr>
            <w:tcW w:type="dxa" w:w="1134"/>
            <w:shd w:fill="FFC7CE" w:val="clear"/>
          </w:tcPr>
          <w:p>
            <w:r>
              <w:rPr>
                <w:b/>
                <w:color w:val="B40000"/>
                <w:sz w:val="16"/>
              </w:rPr>
              <w:t>-38.83%</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2,260</w:t>
            </w:r>
          </w:p>
        </w:tc>
        <w:tc>
          <w:tcPr>
            <w:tcW w:type="dxa" w:w="1417"/>
            <w:shd w:fill="FFFFFF" w:val="clear"/>
          </w:tcPr>
          <w:p>
            <w:r>
              <w:rPr>
                <w:sz w:val="16"/>
              </w:rPr>
              <w:t>1,379</w:t>
            </w:r>
          </w:p>
        </w:tc>
        <w:tc>
          <w:tcPr>
            <w:tcW w:type="dxa" w:w="1134"/>
            <w:shd w:fill="FFC7CE" w:val="clear"/>
          </w:tcPr>
          <w:p>
            <w:r>
              <w:rPr>
                <w:b/>
                <w:color w:val="B40000"/>
                <w:sz w:val="16"/>
              </w:rPr>
              <w:t>-38.99%</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2,800</w:t>
            </w:r>
          </w:p>
        </w:tc>
        <w:tc>
          <w:tcPr>
            <w:tcW w:type="dxa" w:w="1417"/>
            <w:shd w:fill="FFFFFF" w:val="clear"/>
          </w:tcPr>
          <w:p>
            <w:r>
              <w:rPr>
                <w:sz w:val="16"/>
              </w:rPr>
              <w:t>1,626</w:t>
            </w:r>
          </w:p>
        </w:tc>
        <w:tc>
          <w:tcPr>
            <w:tcW w:type="dxa" w:w="1134"/>
            <w:shd w:fill="FFC7CE" w:val="clear"/>
          </w:tcPr>
          <w:p>
            <w:r>
              <w:rPr>
                <w:b/>
                <w:color w:val="B40000"/>
                <w:sz w:val="16"/>
              </w:rPr>
              <w:t>-41.93%</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64</w:t>
            </w:r>
          </w:p>
        </w:tc>
        <w:tc>
          <w:tcPr>
            <w:tcW w:type="dxa" w:w="1417"/>
            <w:shd w:fill="FFFFFF" w:val="clear"/>
          </w:tcPr>
          <w:p>
            <w:r>
              <w:rPr>
                <w:sz w:val="16"/>
              </w:rPr>
              <w:t>30</w:t>
            </w:r>
          </w:p>
        </w:tc>
        <w:tc>
          <w:tcPr>
            <w:tcW w:type="dxa" w:w="1134"/>
            <w:shd w:fill="FFC7CE" w:val="clear"/>
          </w:tcPr>
          <w:p>
            <w:r>
              <w:rPr>
                <w:b/>
                <w:color w:val="B40000"/>
                <w:sz w:val="16"/>
              </w:rPr>
              <w:t>-53.48%</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3,655</w:t>
            </w:r>
          </w:p>
        </w:tc>
        <w:tc>
          <w:tcPr>
            <w:tcW w:type="dxa" w:w="1417"/>
            <w:shd w:fill="FFFFFF" w:val="clear"/>
          </w:tcPr>
          <w:p>
            <w:r>
              <w:rPr>
                <w:sz w:val="16"/>
              </w:rPr>
              <w:t>1,676</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5,100</w:t>
            </w:r>
          </w:p>
        </w:tc>
        <w:tc>
          <w:tcPr>
            <w:tcW w:type="dxa" w:w="1417"/>
            <w:shd w:fill="FFFFFF" w:val="clear"/>
          </w:tcPr>
          <w:p>
            <w:r>
              <w:rPr>
                <w:sz w:val="16"/>
              </w:rPr>
              <w:t>2,339</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C7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3,389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B40000"/>
                <w:sz w:val="17"/>
              </w:rPr>
              <w:t>-11.63%</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C80000"/>
                <w:sz w:val="19"/>
              </w:rPr>
              <w:t>VENTE</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Faible</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7.32% (Moyenne) — μ=3,237 FCFA, σ=237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β=-0.9706 (Contre-cyclique) — Cov=-0.000035, Var(idx)=0.000036, ρ=-0.176,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3,389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C00000"/>
          <w:sz w:val="26"/>
        </w:rPr>
        <w:t>36/100  (Faible)</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2026-08-05</w:t>
            </w:r>
          </w:p>
        </w:tc>
        <w:tc>
          <w:tcPr>
            <w:tcW w:type="dxa" w:w="1440"/>
            <w:shd w:fill="FAFAFA" w:val="clear"/>
          </w:tcPr>
          <w:p>
            <w:r>
              <w:rPr>
                <w:sz w:val="17"/>
              </w:rPr>
              <w:t>2,851</w:t>
            </w:r>
          </w:p>
        </w:tc>
        <w:tc>
          <w:tcPr>
            <w:tcW w:type="dxa" w:w="1440"/>
            <w:shd w:fill="FAFAFA" w:val="clear"/>
          </w:tcPr>
          <w:p>
            <w:r>
              <w:rPr>
                <w:b/>
                <w:sz w:val="17"/>
              </w:rPr>
              <w:t>2,952</w:t>
            </w:r>
          </w:p>
        </w:tc>
        <w:tc>
          <w:tcPr>
            <w:tcW w:type="dxa" w:w="1440"/>
            <w:shd w:fill="FAFAFA" w:val="clear"/>
          </w:tcPr>
          <w:p>
            <w:r>
              <w:rPr>
                <w:sz w:val="17"/>
              </w:rPr>
              <w:t>3,054</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2,778</w:t>
            </w:r>
          </w:p>
        </w:tc>
        <w:tc>
          <w:tcPr>
            <w:tcW w:type="dxa" w:w="1440"/>
            <w:shd w:fill="FFDCE0" w:val="clear"/>
          </w:tcPr>
          <w:p>
            <w:r>
              <w:rPr>
                <w:b/>
                <w:sz w:val="17"/>
              </w:rPr>
              <w:t>2,920</w:t>
            </w:r>
          </w:p>
        </w:tc>
        <w:tc>
          <w:tcPr>
            <w:tcW w:type="dxa" w:w="1440"/>
            <w:shd w:fill="FFDCE0" w:val="clear"/>
          </w:tcPr>
          <w:p>
            <w:r>
              <w:rPr>
                <w:sz w:val="17"/>
              </w:rPr>
              <w:t>3,062</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2,714</w:t>
            </w:r>
          </w:p>
        </w:tc>
        <w:tc>
          <w:tcPr>
            <w:tcW w:type="dxa" w:w="1440"/>
            <w:shd w:fill="FFDCE0" w:val="clear"/>
          </w:tcPr>
          <w:p>
            <w:r>
              <w:rPr>
                <w:b/>
                <w:sz w:val="17"/>
              </w:rPr>
              <w:t>2,885</w:t>
            </w:r>
          </w:p>
        </w:tc>
        <w:tc>
          <w:tcPr>
            <w:tcW w:type="dxa" w:w="1440"/>
            <w:shd w:fill="FFDCE0" w:val="clear"/>
          </w:tcPr>
          <w:p>
            <w:r>
              <w:rPr>
                <w:sz w:val="17"/>
              </w:rPr>
              <w:t>3,057</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2,657</w:t>
            </w:r>
          </w:p>
        </w:tc>
        <w:tc>
          <w:tcPr>
            <w:tcW w:type="dxa" w:w="1440"/>
            <w:shd w:fill="FFDCE0" w:val="clear"/>
          </w:tcPr>
          <w:p>
            <w:r>
              <w:rPr>
                <w:b/>
                <w:sz w:val="17"/>
              </w:rPr>
              <w:t>2,853</w:t>
            </w:r>
          </w:p>
        </w:tc>
        <w:tc>
          <w:tcPr>
            <w:tcW w:type="dxa" w:w="1440"/>
            <w:shd w:fill="FFDCE0" w:val="clear"/>
          </w:tcPr>
          <w:p>
            <w:r>
              <w:rPr>
                <w:sz w:val="17"/>
              </w:rPr>
              <w:t>3,049</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2,607</w:t>
            </w:r>
          </w:p>
        </w:tc>
        <w:tc>
          <w:tcPr>
            <w:tcW w:type="dxa" w:w="1440"/>
            <w:shd w:fill="FFDCE0" w:val="clear"/>
          </w:tcPr>
          <w:p>
            <w:r>
              <w:rPr>
                <w:b/>
                <w:sz w:val="17"/>
              </w:rPr>
              <w:t>2,824</w:t>
            </w:r>
          </w:p>
        </w:tc>
        <w:tc>
          <w:tcPr>
            <w:tcW w:type="dxa" w:w="1440"/>
            <w:shd w:fill="FFDCE0" w:val="clear"/>
          </w:tcPr>
          <w:p>
            <w:r>
              <w:rPr>
                <w:sz w:val="17"/>
              </w:rPr>
              <w:t>3,040</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2,560</w:t>
            </w:r>
          </w:p>
        </w:tc>
        <w:tc>
          <w:tcPr>
            <w:tcW w:type="dxa" w:w="1440"/>
            <w:shd w:fill="FFDCE0" w:val="clear"/>
          </w:tcPr>
          <w:p>
            <w:r>
              <w:rPr>
                <w:b/>
                <w:sz w:val="17"/>
              </w:rPr>
              <w:t>2,795</w:t>
            </w:r>
          </w:p>
        </w:tc>
        <w:tc>
          <w:tcPr>
            <w:tcW w:type="dxa" w:w="1440"/>
            <w:shd w:fill="FFDCE0" w:val="clear"/>
          </w:tcPr>
          <w:p>
            <w:r>
              <w:rPr>
                <w:sz w:val="17"/>
              </w:rPr>
              <w:t>3,031</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2,517</w:t>
            </w:r>
          </w:p>
        </w:tc>
        <w:tc>
          <w:tcPr>
            <w:tcW w:type="dxa" w:w="1440"/>
            <w:shd w:fill="FFDCE0" w:val="clear"/>
          </w:tcPr>
          <w:p>
            <w:r>
              <w:rPr>
                <w:b/>
                <w:sz w:val="17"/>
              </w:rPr>
              <w:t>2,768</w:t>
            </w:r>
          </w:p>
        </w:tc>
        <w:tc>
          <w:tcPr>
            <w:tcW w:type="dxa" w:w="1440"/>
            <w:shd w:fill="FFDCE0" w:val="clear"/>
          </w:tcPr>
          <w:p>
            <w:r>
              <w:rPr>
                <w:sz w:val="17"/>
              </w:rPr>
              <w:t>3,020</w:t>
            </w:r>
          </w:p>
        </w:tc>
        <w:tc>
          <w:tcPr>
            <w:tcW w:type="dxa" w:w="1440"/>
            <w:shd w:fill="FFDCE0" w:val="clear"/>
          </w:tcPr>
          <w:p>
            <w:r>
              <w:rPr>
                <w:b/>
                <w:color w:val="C00000"/>
                <w:sz w:val="17"/>
              </w:rPr>
              <w:t>-7.7%</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2,476</w:t>
            </w:r>
          </w:p>
        </w:tc>
        <w:tc>
          <w:tcPr>
            <w:tcW w:type="dxa" w:w="1440"/>
            <w:shd w:fill="FFDCE0" w:val="clear"/>
          </w:tcPr>
          <w:p>
            <w:r>
              <w:rPr>
                <w:b/>
                <w:sz w:val="17"/>
              </w:rPr>
              <w:t>2,742</w:t>
            </w:r>
          </w:p>
        </w:tc>
        <w:tc>
          <w:tcPr>
            <w:tcW w:type="dxa" w:w="1440"/>
            <w:shd w:fill="FFDCE0" w:val="clear"/>
          </w:tcPr>
          <w:p>
            <w:r>
              <w:rPr>
                <w:sz w:val="17"/>
              </w:rPr>
              <w:t>3,009</w:t>
            </w:r>
          </w:p>
        </w:tc>
        <w:tc>
          <w:tcPr>
            <w:tcW w:type="dxa" w:w="1440"/>
            <w:shd w:fill="FFDCE0" w:val="clear"/>
          </w:tcPr>
          <w:p>
            <w:r>
              <w:rPr>
                <w:b/>
                <w:color w:val="C00000"/>
                <w:sz w:val="17"/>
              </w:rPr>
              <w:t>-8.6%</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2,437</w:t>
            </w:r>
          </w:p>
        </w:tc>
        <w:tc>
          <w:tcPr>
            <w:tcW w:type="dxa" w:w="1440"/>
            <w:shd w:fill="FFDCE0" w:val="clear"/>
          </w:tcPr>
          <w:p>
            <w:r>
              <w:rPr>
                <w:b/>
                <w:sz w:val="17"/>
              </w:rPr>
              <w:t>2,718</w:t>
            </w:r>
          </w:p>
        </w:tc>
        <w:tc>
          <w:tcPr>
            <w:tcW w:type="dxa" w:w="1440"/>
            <w:shd w:fill="FFDCE0" w:val="clear"/>
          </w:tcPr>
          <w:p>
            <w:r>
              <w:rPr>
                <w:sz w:val="17"/>
              </w:rPr>
              <w:t>2,998</w:t>
            </w:r>
          </w:p>
        </w:tc>
        <w:tc>
          <w:tcPr>
            <w:tcW w:type="dxa" w:w="1440"/>
            <w:shd w:fill="FFDCE0" w:val="clear"/>
          </w:tcPr>
          <w:p>
            <w:r>
              <w:rPr>
                <w:b/>
                <w:color w:val="C00000"/>
                <w:sz w:val="17"/>
              </w:rPr>
              <w:t>-9.4%</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2,401</w:t>
            </w:r>
          </w:p>
        </w:tc>
        <w:tc>
          <w:tcPr>
            <w:tcW w:type="dxa" w:w="1440"/>
            <w:shd w:fill="FFDCE0" w:val="clear"/>
          </w:tcPr>
          <w:p>
            <w:r>
              <w:rPr>
                <w:b/>
                <w:sz w:val="17"/>
              </w:rPr>
              <w:t>2,694</w:t>
            </w:r>
          </w:p>
        </w:tc>
        <w:tc>
          <w:tcPr>
            <w:tcW w:type="dxa" w:w="1440"/>
            <w:shd w:fill="FFDCE0" w:val="clear"/>
          </w:tcPr>
          <w:p>
            <w:r>
              <w:rPr>
                <w:sz w:val="17"/>
              </w:rPr>
              <w:t>2,986</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32,74 milliards FCFA, un niveau significatif pour la côte de la BRVM, reflétant la position de l'entreprise dans le secteur des services aéroportuaires. Avec un BPA de 124 FCFA, le titre se négocie à un PER de 24,2x, soit environ deux à trois fois la moyenne historique de la place (8-12x). Cette prime traduit des attentes de croissance élevées, mais expose également le titre à un risque de correction si ces attentes ne se matérialisent pas. Le P/B de 6,35x confirme cette valorisation exigeante, le marché payant une prime substantielle de plus de 6 fois la valeur comptable des fonds propres. Enfin, un EV/EBITDA de 12,1x, bien que dans la fourchette haute (10-15x), indique que la valeur totale de l'entreprise (dette incluse) reste cohérente avec sa capacité à générer du cash-flow opérationnel, mais sans marge de sécurité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baisse marquée de -11,63%, clôturant à 3 000 FCFA, bien que la dernière séance ait montré un léger rebond de +0,33%. Le titre a évolué dans une fourchette de 935 FCFA, oscillant entre un plus haut de 3 780 FCFA et un plus bas de 2 845 FCFA, illustrant une pression vendeuse persistante. La moyenne (3 237 FCFA) et la médiane (3 230 FCFA) étant très proches, la distribution des prix est symétrique, ce que confirme le skewness de 0,149. L'écart-type de 238 FCFA (CV=7,4%) indique une dispersion modérée autour de la moyenne. Le kurtosis négatif (-0,837) suggère une distribution mésokurtique, sans pics de volatilité extrêmes. Cependant, la volatilité annualisée de 52,0% classe le titre comme très risqué, bien au-delà du seuil de 30% considéré comme élevé, signalant des fluctuations de prix potentiellement amples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(3 000 FCFA) est inférieur à la MM20 (3 071,5 FCFA) et nettement sous la MM50 (3 165,1 FCFA). Cette configuration en "cascade" baissière confirme une tendance de fond négative. La décision de "Vente" est justifiée, car les moyennes mobiles agissent comme des résistances dynamiques, et le titre ne montre aucun signe de retournement à court terme.</w:t>
      </w:r>
    </w:p>
    <w:p>
      <w:pPr>
        <w:spacing w:after="120" w:line="276" w:lineRule="auto"/>
      </w:pPr>
      <w:r>
        <w:t>**Bandes de Bollinger**: Le prix se situe à 3 000 FCFA, proche de la borne inférieure (2 903 FCFA) et loin de la borne supérieure (3 239 FCFA). Cette position suggère que le titre est survendu à court terme, mais sans signal de retournement immédiat. La décision "Neutre" est appropriée, car le marché attend un catalyseur pour sortir de cette zone de faiblesse, avec un risque de poursuite de la baisse vers la borne inférieure.</w:t>
      </w:r>
    </w:p>
    <w:p>
      <w:pPr>
        <w:spacing w:after="120" w:line="276" w:lineRule="auto"/>
      </w:pPr>
      <w:r>
        <w:t>**MACD**: La valeur du MACD (-49,6) est inférieure à son signal (-44,0), tous deux en territoire négatif. Cette configuration baissière indique un momentum négatif persistant. La décision de "Vente" est cohérente, car la dynamique des prix reste sous pression, et toute tentative de rebond est pour l'instant contrecarrée par la vigueur de la tendance baissière.</w:t>
      </w:r>
    </w:p>
    <w:p>
      <w:pPr>
        <w:spacing w:after="120" w:line="276" w:lineRule="auto"/>
      </w:pPr>
      <w:r>
        <w:t>**RSI**: Avec une valeur de 39,4, le RSI se situe en zone neutre (30-70), mais proche de la zone de survente (&lt;30). Cela indique que la pression vendeuse est forte, mais le titre n'est pas encore techniquement survendu. La décision "Neutre" est justifiée, laissant place à une possible poursuite de la baisse avant un éventuel rebond technique.</w:t>
      </w:r>
    </w:p>
    <w:p>
      <w:pPr>
        <w:spacing w:after="120" w:line="276" w:lineRule="auto"/>
      </w:pPr>
      <w:r>
        <w:t>**Stochastique**: Les valeurs de %K (21,7) et %D (20,3) sont basses et proches l'une de l'autre, en zone de survente. Le croisement n'est pas encore haussier, mais la proximité de ces niveaux suggère que le potentiel de baisse pourrait être limité à très court terme. La décision "Neutre" reflète cette absence de signal clair de retournement.</w:t>
      </w:r>
    </w:p>
    <w:p>
      <w:pPr>
        <w:spacing w:after="120" w:line="276" w:lineRule="auto"/>
      </w:pPr>
      <w:r>
        <w:t>**Conclusion technique**: L'ensemble des indicateurs techniques (MM, MACD) converge vers un signal de vente, tandis que les oscillateurs (RSI, Stochastique) sont neutres, proches de la survente. Cette divergence suggère que la tendance baissière est intacte, mais que le titre pourrait connaître un rebond technique à très court terme. La prudence reste de mise, la tendance de fond étant clairement négative.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montrent une activité robuste avec un chiffre d'affaires de 13,298 milliards FCFA, en hausse de 6,7% par rapport à 2024 (12,467 Mds FCFA). Cependant, le résultat net a diminué de 12,1% à 1,351 milliard FCFA, principalement en raison d'une hausse de 46,7% de la charge d'impôt (839,75 M FCFA). La rentabilité reste néanmoins excellente avec un ROE de 26,18% et un ROA de 14,64%, bien au-dessus des seuils de référence (15% et 5% respectivement). La structure financière est saine : l'autonomie financière est de 55,9%, la trésorerie nette est très confortable à 4,035 milliards FCFA, et l'endettement est quasi nul (65,89 M FCFA). Pour une entreprise, la gestion du BFR est cruciale ; le BFR de 257,45 M FCFA est positif mais faible, et le délai de paiement des clients (70 jours) est partiellement compensé par un délai fournisseurs plus long (92 jours), ce qui est un point positif pour la trésorerie. Les rapports trimestriels 2025 montrent une année en dents de scie : après un T1 difficile (résultat net -6,8% à 346 M FCFA) dû à un litige avec la BCEAO, le T3 a été excellent (résultat net +17,1% à 1,325 Mds FCFA sur le trimestre). Cependant, le rapport du T1 2026 (publié en 2026) est alarmant : le résultat net chute de 35,6% à 222,6 millions FCFA, impacté par des ajustements de redevances aéroportuaires. Sur la base de ce T1 2026, on estime que l'exercice 2026 pourrait voir une contraction significative de la rentabilité, potentiellement autour de 900 millions FCFA de résultat net si la tendance se maintient. La solidité financière et la position dominante de Servair Abidjan sont des atouts, mais les perspectives de croissance sont assombries par un environnement réglementaire et opérationnel difficile.</w:t>
      </w:r>
    </w:p>
    <w:p>
      <w:pPr>
        <w:spacing w:after="120" w:line="276" w:lineRule="auto"/>
      </w:pPr>
      <w:r>
        <w:t>---</w:t>
      </w:r>
    </w:p>
    <w:p>
      <w:pPr>
        <w:spacing w:after="120" w:line="276" w:lineRule="auto"/>
      </w:pPr>
      <w:r>
        <w:t>### PARTIE 4 : CONCLUSION D'INVESTISSEMENT</w:t>
      </w:r>
    </w:p>
    <w:p>
      <w:pPr>
        <w:spacing w:after="120" w:line="276" w:lineRule="auto"/>
      </w:pPr>
      <w:r>
        <w:t>La valorisation d'ABJC (PER 24,2x, P/B 6,35x) est exigeante et ne laisse que peu de marge de sécurité, contrastant avec la tendance baissière du cours (-11,63% sur 100 jours) et des signaux techniques majoritairement vendeurs. Les fondamentaux de 2025 sont solides (ROE &gt;26%, trésorerie abondante), mais les estimations basées sur le T1 2026 (résultat net -35,6%) indiquent une dégradation marquée de la rentabilité, rendant la valorisation actuelle difficile à justifier. Les prédictions IA pour les 10 prochains jours (baisse continue de 2 952 à 2 824 FCFA) confirment la pression vendeuse et contredisent tout scénario de rebond immédiat. La convergence des signaux (valorisation trop élevée, tendance baissière, momentum négatif, et perspectives fondamentales en baisse) conduit à une recommandation de **VENTE**. Le niveau de confiance est **Moyen**, car la solidité du bilan et la position de marché de l'entreprise pourraient limiter la baisse. Le risque global est **Élevé** en raison de la volatilité (52%) et de l'incertitude réglementaire. L'horizon d'investissement optimal est le **court terme (&lt;3 mois)**, où la tendance baissière et les prédictions IA suggèrent une poursuite du déclin.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444.17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8,457 titres</w:t>
            </w:r>
          </w:p>
        </w:tc>
        <w:tc>
          <w:tcPr>
            <w:tcW w:type="dxa" w:w="2268"/>
            <w:shd w:fill="FFF2CC" w:val="clear"/>
          </w:tcPr>
          <w:p>
            <w:r>
              <w:rPr>
                <w:b/>
                <w:color w:val="503200"/>
                <w:sz w:val="16"/>
              </w:rPr>
              <w:t xml:space="preserve">Cours actuel : </w:t>
            </w:r>
            <w:r>
              <w:rPr>
                <w:color w:val="000000"/>
                <w:sz w:val="17"/>
              </w:rPr>
              <w:t>7,690 FCFA</w:t>
            </w:r>
          </w:p>
          <w:p>
            <w:r>
              <w:rPr>
                <w:b/>
                <w:color w:val="503200"/>
                <w:sz w:val="16"/>
              </w:rPr>
              <w:t xml:space="preserve">Var. 100 jours : </w:t>
            </w:r>
            <w:r>
              <w:rPr>
                <w:b/>
                <w:color w:val="007800"/>
                <w:sz w:val="17"/>
              </w:rPr>
              <w:t>+47.74%</w:t>
            </w:r>
          </w:p>
          <w:p>
            <w:r>
              <w:rPr>
                <w:b/>
                <w:color w:val="503200"/>
                <w:sz w:val="16"/>
              </w:rPr>
              <w:t xml:space="preserve">Plus haut 100j : </w:t>
            </w:r>
            <w:r>
              <w:rPr>
                <w:color w:val="000000"/>
                <w:sz w:val="17"/>
              </w:rPr>
              <w:t>7,850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13.04% (Moyenne) — μ=5,685 FCFA, σ=742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β=0.4023 (Défensif) — Cov=0.000014, Var(idx)=0.000036, ρ=0.133,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8,457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2026-08-05</w:t>
            </w:r>
          </w:p>
        </w:tc>
        <w:tc>
          <w:tcPr>
            <w:tcW w:type="dxa" w:w="1440"/>
            <w:shd w:fill="FFDCE0" w:val="clear"/>
          </w:tcPr>
          <w:p>
            <w:r>
              <w:rPr>
                <w:sz w:val="17"/>
              </w:rPr>
              <w:t>6,824</w:t>
            </w:r>
          </w:p>
        </w:tc>
        <w:tc>
          <w:tcPr>
            <w:tcW w:type="dxa" w:w="1440"/>
            <w:shd w:fill="FFDCE0" w:val="clear"/>
          </w:tcPr>
          <w:p>
            <w:r>
              <w:rPr>
                <w:b/>
                <w:sz w:val="17"/>
              </w:rPr>
              <w:t>7,113</w:t>
            </w:r>
          </w:p>
        </w:tc>
        <w:tc>
          <w:tcPr>
            <w:tcW w:type="dxa" w:w="1440"/>
            <w:shd w:fill="FFDCE0" w:val="clear"/>
          </w:tcPr>
          <w:p>
            <w:r>
              <w:rPr>
                <w:sz w:val="17"/>
              </w:rPr>
              <w:t>7,403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2026-08-06</w:t>
            </w:r>
          </w:p>
        </w:tc>
        <w:tc>
          <w:tcPr>
            <w:tcW w:type="dxa" w:w="1440"/>
            <w:shd w:fill="FFDCE0" w:val="clear"/>
          </w:tcPr>
          <w:p>
            <w:r>
              <w:rPr>
                <w:sz w:val="17"/>
              </w:rPr>
              <w:t>6,201</w:t>
            </w:r>
          </w:p>
        </w:tc>
        <w:tc>
          <w:tcPr>
            <w:tcW w:type="dxa" w:w="1440"/>
            <w:shd w:fill="FFDCE0" w:val="clear"/>
          </w:tcPr>
          <w:p>
            <w:r>
              <w:rPr>
                <w:b/>
                <w:sz w:val="17"/>
              </w:rPr>
              <w:t>6,580</w:t>
            </w:r>
          </w:p>
        </w:tc>
        <w:tc>
          <w:tcPr>
            <w:tcW w:type="dxa" w:w="1440"/>
            <w:shd w:fill="FFDCE0" w:val="clear"/>
          </w:tcPr>
          <w:p>
            <w:r>
              <w:rPr>
                <w:sz w:val="17"/>
              </w:rPr>
              <w:t>6,959</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5,718</w:t>
            </w:r>
          </w:p>
        </w:tc>
        <w:tc>
          <w:tcPr>
            <w:tcW w:type="dxa" w:w="1440"/>
            <w:shd w:fill="FFDCE0" w:val="clear"/>
          </w:tcPr>
          <w:p>
            <w:r>
              <w:rPr>
                <w:b/>
                <w:sz w:val="17"/>
              </w:rPr>
              <w:t>6,152</w:t>
            </w:r>
          </w:p>
        </w:tc>
        <w:tc>
          <w:tcPr>
            <w:tcW w:type="dxa" w:w="1440"/>
            <w:shd w:fill="FFDCE0" w:val="clear"/>
          </w:tcPr>
          <w:p>
            <w:r>
              <w:rPr>
                <w:sz w:val="17"/>
              </w:rPr>
              <w:t>6,586</w:t>
            </w:r>
          </w:p>
        </w:tc>
        <w:tc>
          <w:tcPr>
            <w:tcW w:type="dxa" w:w="1440"/>
            <w:shd w:fill="FFDCE0" w:val="clear"/>
          </w:tcPr>
          <w:p>
            <w:r>
              <w:rPr>
                <w:b/>
                <w:color w:val="C00000"/>
                <w:sz w:val="17"/>
              </w:rPr>
              <w:t>-20.0%</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5,514</w:t>
            </w:r>
          </w:p>
        </w:tc>
        <w:tc>
          <w:tcPr>
            <w:tcW w:type="dxa" w:w="1440"/>
            <w:shd w:fill="FFDCE0" w:val="clear"/>
          </w:tcPr>
          <w:p>
            <w:r>
              <w:rPr>
                <w:b/>
                <w:sz w:val="17"/>
              </w:rPr>
              <w:t>6,003</w:t>
            </w:r>
          </w:p>
        </w:tc>
        <w:tc>
          <w:tcPr>
            <w:tcW w:type="dxa" w:w="1440"/>
            <w:shd w:fill="FFDCE0" w:val="clear"/>
          </w:tcPr>
          <w:p>
            <w:r>
              <w:rPr>
                <w:sz w:val="17"/>
              </w:rPr>
              <w:t>6,492</w:t>
            </w:r>
          </w:p>
        </w:tc>
        <w:tc>
          <w:tcPr>
            <w:tcW w:type="dxa" w:w="1440"/>
            <w:shd w:fill="FFDCE0" w:val="clear"/>
          </w:tcPr>
          <w:p>
            <w:r>
              <w:rPr>
                <w:b/>
                <w:color w:val="C00000"/>
                <w:sz w:val="17"/>
              </w:rPr>
              <w:t>-21.9%</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5,335</w:t>
            </w:r>
          </w:p>
        </w:tc>
        <w:tc>
          <w:tcPr>
            <w:tcW w:type="dxa" w:w="1440"/>
            <w:shd w:fill="FFDCE0" w:val="clear"/>
          </w:tcPr>
          <w:p>
            <w:r>
              <w:rPr>
                <w:b/>
                <w:sz w:val="17"/>
              </w:rPr>
              <w:t>5,869</w:t>
            </w:r>
          </w:p>
        </w:tc>
        <w:tc>
          <w:tcPr>
            <w:tcW w:type="dxa" w:w="1440"/>
            <w:shd w:fill="FFDCE0" w:val="clear"/>
          </w:tcPr>
          <w:p>
            <w:r>
              <w:rPr>
                <w:sz w:val="17"/>
              </w:rPr>
              <w:t>6,403</w:t>
            </w:r>
          </w:p>
        </w:tc>
        <w:tc>
          <w:tcPr>
            <w:tcW w:type="dxa" w:w="1440"/>
            <w:shd w:fill="FFDCE0" w:val="clear"/>
          </w:tcPr>
          <w:p>
            <w:r>
              <w:rPr>
                <w:b/>
                <w:color w:val="C00000"/>
                <w:sz w:val="17"/>
              </w:rPr>
              <w:t>-23.7%</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5,178</w:t>
            </w:r>
          </w:p>
        </w:tc>
        <w:tc>
          <w:tcPr>
            <w:tcW w:type="dxa" w:w="1440"/>
            <w:shd w:fill="FFDCE0" w:val="clear"/>
          </w:tcPr>
          <w:p>
            <w:r>
              <w:rPr>
                <w:b/>
                <w:sz w:val="17"/>
              </w:rPr>
              <w:t>5,751</w:t>
            </w:r>
          </w:p>
        </w:tc>
        <w:tc>
          <w:tcPr>
            <w:tcW w:type="dxa" w:w="1440"/>
            <w:shd w:fill="FFDCE0" w:val="clear"/>
          </w:tcPr>
          <w:p>
            <w:r>
              <w:rPr>
                <w:sz w:val="17"/>
              </w:rPr>
              <w:t>6,325</w:t>
            </w:r>
          </w:p>
        </w:tc>
        <w:tc>
          <w:tcPr>
            <w:tcW w:type="dxa" w:w="1440"/>
            <w:shd w:fill="FFDCE0" w:val="clear"/>
          </w:tcPr>
          <w:p>
            <w:r>
              <w:rPr>
                <w:b/>
                <w:color w:val="C00000"/>
                <w:sz w:val="17"/>
              </w:rPr>
              <w:t>-25.2%</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5,040</w:t>
            </w:r>
          </w:p>
        </w:tc>
        <w:tc>
          <w:tcPr>
            <w:tcW w:type="dxa" w:w="1440"/>
            <w:shd w:fill="FFDCE0" w:val="clear"/>
          </w:tcPr>
          <w:p>
            <w:r>
              <w:rPr>
                <w:b/>
                <w:sz w:val="17"/>
              </w:rPr>
              <w:t>5,649</w:t>
            </w:r>
          </w:p>
        </w:tc>
        <w:tc>
          <w:tcPr>
            <w:tcW w:type="dxa" w:w="1440"/>
            <w:shd w:fill="FFDCE0" w:val="clear"/>
          </w:tcPr>
          <w:p>
            <w:r>
              <w:rPr>
                <w:sz w:val="17"/>
              </w:rPr>
              <w:t>6,257</w:t>
            </w:r>
          </w:p>
        </w:tc>
        <w:tc>
          <w:tcPr>
            <w:tcW w:type="dxa" w:w="1440"/>
            <w:shd w:fill="FFDCE0" w:val="clear"/>
          </w:tcPr>
          <w:p>
            <w:r>
              <w:rPr>
                <w:b/>
                <w:color w:val="C00000"/>
                <w:sz w:val="17"/>
              </w:rPr>
              <w:t>-26.5%</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4,919</w:t>
            </w:r>
          </w:p>
        </w:tc>
        <w:tc>
          <w:tcPr>
            <w:tcW w:type="dxa" w:w="1440"/>
            <w:shd w:fill="FFDCE0" w:val="clear"/>
          </w:tcPr>
          <w:p>
            <w:r>
              <w:rPr>
                <w:b/>
                <w:sz w:val="17"/>
              </w:rPr>
              <w:t>5,560</w:t>
            </w:r>
          </w:p>
        </w:tc>
        <w:tc>
          <w:tcPr>
            <w:tcW w:type="dxa" w:w="1440"/>
            <w:shd w:fill="FFDCE0" w:val="clear"/>
          </w:tcPr>
          <w:p>
            <w:r>
              <w:rPr>
                <w:sz w:val="17"/>
              </w:rPr>
              <w:t>6,200</w:t>
            </w:r>
          </w:p>
        </w:tc>
        <w:tc>
          <w:tcPr>
            <w:tcW w:type="dxa" w:w="1440"/>
            <w:shd w:fill="FFDCE0" w:val="clear"/>
          </w:tcPr>
          <w:p>
            <w:r>
              <w:rPr>
                <w:b/>
                <w:color w:val="C00000"/>
                <w:sz w:val="17"/>
              </w:rPr>
              <w:t>-27.7%</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4,813</w:t>
            </w:r>
          </w:p>
        </w:tc>
        <w:tc>
          <w:tcPr>
            <w:tcW w:type="dxa" w:w="1440"/>
            <w:shd w:fill="FFDCE0" w:val="clear"/>
          </w:tcPr>
          <w:p>
            <w:r>
              <w:rPr>
                <w:b/>
                <w:sz w:val="17"/>
              </w:rPr>
              <w:t>5,483</w:t>
            </w:r>
          </w:p>
        </w:tc>
        <w:tc>
          <w:tcPr>
            <w:tcW w:type="dxa" w:w="1440"/>
            <w:shd w:fill="FFDCE0" w:val="clear"/>
          </w:tcPr>
          <w:p>
            <w:r>
              <w:rPr>
                <w:sz w:val="17"/>
              </w:rPr>
              <w:t>6,152</w:t>
            </w:r>
          </w:p>
        </w:tc>
        <w:tc>
          <w:tcPr>
            <w:tcW w:type="dxa" w:w="1440"/>
            <w:shd w:fill="FFDCE0" w:val="clear"/>
          </w:tcPr>
          <w:p>
            <w:r>
              <w:rPr>
                <w:b/>
                <w:color w:val="C00000"/>
                <w:sz w:val="17"/>
              </w:rPr>
              <w:t>-28.7%</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4,719</w:t>
            </w:r>
          </w:p>
        </w:tc>
        <w:tc>
          <w:tcPr>
            <w:tcW w:type="dxa" w:w="1440"/>
            <w:shd w:fill="FFDCE0" w:val="clear"/>
          </w:tcPr>
          <w:p>
            <w:r>
              <w:rPr>
                <w:b/>
                <w:sz w:val="17"/>
              </w:rPr>
              <w:t>5,416</w:t>
            </w:r>
          </w:p>
        </w:tc>
        <w:tc>
          <w:tcPr>
            <w:tcW w:type="dxa" w:w="1440"/>
            <w:shd w:fill="FFDCE0" w:val="clear"/>
          </w:tcPr>
          <w:p>
            <w:r>
              <w:rPr>
                <w:sz w:val="17"/>
              </w:rPr>
              <w:t>6,113</w:t>
            </w:r>
          </w:p>
        </w:tc>
        <w:tc>
          <w:tcPr>
            <w:tcW w:type="dxa" w:w="1440"/>
            <w:shd w:fill="FFDCE0" w:val="clear"/>
          </w:tcPr>
          <w:p>
            <w:r>
              <w:rPr>
                <w:b/>
                <w:color w:val="C00000"/>
                <w:sz w:val="17"/>
              </w:rPr>
              <w:t>-29.6%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444,17 milliards FCFA, ce qui en fait l'une des valeurs les plus significatives de la BRVM, reflétant son statut de banque majeure dans la zone UEMOA. Avec un BPA de 627 FCFA, chaque action génère un bénéfice substantiel, justifiant un PER de 12,3x, légèrement au-dessus de la moyenne historique de la place (~8-12x), ce qui indique que les investisseurs acceptent de payer une prime modérée pour la qualité de l'actif. Le P/B de 3,29x confirme cette prime, le marché valorisant la banque bien au-delà de sa valeur comptable, signe de confiance dans sa capacité à créer de la valeur future. En revanche, l'EV/EBITDA de 22,9x apparaît très exigeant, suggérant que la valorisation intègre déjà des hypothèses de croissance soutenue de la rentabilité opérationnelle. Cet ensemble de ratios traduit une valorisation globalement raisonnable mais non bon marché, où la prime de croissance est clairement anticipée par le marché.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+47,74%, avec une dernière séance stable (+0,00%), témoignant d'un fort momentum haussier. Le cours a évolué dans une fourchette large de 5 000 à 7 850 FCFA, démontrant une volatilité significative et un intérêt marqué des investisseurs. La moyenne (5 685 FCFA) étant supérieure à la médiane (5 260 FCFA), la distribution des cours est asymétrique à droite, confirmée par un skewness positif de 1,498, indiquant que les fortes hausses récentes sont concentrées sur une période courte. L'écart-type de 745 FCFA (CV=13,1%) révèle une dispersion modérée autour de la moyenne, tandis que le kurtosis de 1,307 signale un risque de mouvements extrêmes, avec des queues de distribution épaisses. La volatilité annualisée de 28,5% classe le titre dans la catégorie des valeurs à volatilité élevée, ce qui implique un risque non négligeable pour les investisseurs, mais aussi un potentiel de gains rapides.</w:t>
      </w:r>
    </w:p>
    <w:p>
      <w:pPr>
        <w:spacing w:after="120" w:line="276" w:lineRule="auto" w:before="240"/>
      </w:pPr>
      <w:r>
        <w:rPr>
          <w:b/>
          <w:color w:val="003366"/>
          <w:sz w:val="24"/>
        </w:rPr>
        <w:t>**PARTIE 2 : ANALYSE TECHNIQUE DÉTAILLÉE**</w:t>
      </w:r>
    </w:p>
    <w:p>
      <w:pPr>
        <w:spacing w:after="120" w:line="276" w:lineRule="auto"/>
      </w:pPr>
      <w:r>
        <w:t>**Moyennes Mobiles :** Le cours actuel (7 690 FCFA) se situe nettement au-dessus de la MM20 (6 955,75 FCFA) et de la MM50 (6 192,1 FCFA), confirmant une tendance haussière solide. L'écart positif entre le prix et les moyennes mobiles indique une dynamique d'achat soutenue, justifiant la décision d'achat. Cependant, cet écart important pourrait signaler une extension excessive à court terme, nécessitant une vigilance sur un éventuel repli technique.</w:t>
      </w:r>
    </w:p>
    <w:p>
      <w:pPr>
        <w:spacing w:after="120" w:line="276" w:lineRule="auto"/>
      </w:pPr>
      <w:r>
        <w:t>**Bandes de Bollinger :** Le prix évolue à 7 690 FCFA, proche de la borne supérieure (8 144,745 FCFA) mais en dessous, indiquant une pression acheteuse persistante sans atteindre la zone de surachat extrême. La largeur des bandes reflète une volatilité élevée, cohérente avec les statistiques descriptives. La décision neutre suggère que le marché attend une confirmation directionnelle, le prix pouvant soit poursuivre vers la borne supérieure, soit revenir vers la moyenne.</w:t>
      </w:r>
    </w:p>
    <w:p>
      <w:pPr>
        <w:spacing w:after="120" w:line="276" w:lineRule="auto"/>
      </w:pPr>
      <w:r>
        <w:t>**MACD :** La valeur du MACD (455,971) est supérieure à son signal (405,524), confirmant un momentum haussier positif. Cette configuration, avec un MACD au-dessus de zéro, indique une dynamique d'achat solide. La décision d'achat est justifiée tant que l'écart entre le MACD et le signal reste positif, bien qu'une convergence progressive puisse signaler un essoufflement à moyen terme.</w:t>
      </w:r>
    </w:p>
    <w:p>
      <w:pPr>
        <w:spacing w:after="120" w:line="276" w:lineRule="auto"/>
      </w:pPr>
      <w:r>
        <w:t>**RSI :** Le RSI à 72,984 dépasse le seuil de surachat (70), signalant que le titre est techniquement surévalué à court terme. Cette situation suggère un risque de correction ou de consolidation, la décision de vente étant cohérente avec la pression vendeuse potentielle. Les investisseurs devraient surveiller un éventuel retour sous 70 pour confirmer un affaiblissement du momentum.</w:t>
      </w:r>
    </w:p>
    <w:p>
      <w:pPr>
        <w:spacing w:after="120" w:line="276" w:lineRule="auto"/>
      </w:pPr>
      <w:r>
        <w:t>**Stochastique :** Le %K (89,677) et le %D (87,419) sont tous deux en zone de surachat, avec un %K au-dessus du %D, indiquant une force haussière persistante. Cependant, cette configuration extrême augmente le risque de retournement, la décision de vente reflétant cette prudence. Un croisement baissier du %K sous le %D serait un signal de vente plus fort.</w:t>
      </w:r>
    </w:p>
    <w:p>
      <w:pPr>
        <w:spacing w:after="120" w:line="276" w:lineRule="auto"/>
      </w:pPr>
      <w:r>
        <w:t>**Conclusion technique :** La convergence des indicateurs de tendance (MM, MACD) vers l'achat contraste avec les oscillateurs (RSI, Stochastique) en zone de surachat, créant une divergence classique. Cette situation suggère une poursuite possible de la tendance haussière à moyen terme, mais avec un risque accru de correction à court terme. Les investisseurs devraient privilégier une approche prudente, en attendant un repli technique pour renforcer leurs positions.</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BICB révèlent une banque performante avec un Produit Net Bancaire (PNB) de 52,805 milliards FCFA, en croissance de 16,49%, et un résultat net de 36,237 milliards FCFA, démontrant une excellente capacité bénéficiaire. Le ROE de 26,82% est exceptionnel, bien au-dessus du seuil de 15% considéré comme excellent, tandis que le ROA de 1,96% reste sain pour le secteur bancaire. Le coefficient d'exploitation de 31,12% est remarquablement bas, indiquant une gestion des charges très efficace, et le coût du risque de 9,61% reste maîtrisé malgré une hausse des provisions. Les dépôts clientèle (1 181,045 milliards FCFA) couvrent largement les créances clientèle (1 151,536 milliards FCFA), avec un ratio de transformation de 97,5%, signalant une gestion prudente de la liquidité. Les rapports trimestriels de 2025 (S1 et T3) montrent une croissance soutenue du PNB (+28% au S1, +26% au T3), mais une baisse du résultat net (-27% au S1, -9% au T3) due à une explosion du coût du risque, passant de 1,495 à 7,905 milliards FCFA au S1. Cette détérioration, attribuée à une politique de provisionnement prudente, pourrait être temporaire, mais elle soulève des questions sur la qualité du portefeuille de crédits en forte expansion (+30%). Les rapports de 2024 (états financiers annuels) confirment une tendance positive avec un PNB de 45,207 milliards FCFA et un résultat net de 30,341 milliards FCFA, en hausse de 11,3%. Sur la base des tendances du T3 2025, on estime que l'exercice 2025 devrait afficher un PNB autour de 48-50 milliards FCFA, mais un résultat net en léger recul, entre 17 et 18 milliards FCFA, si le coût du risque reste élevé. La solidité financière de BICB, avec des capitaux propres de 135,118 milliards FCFA et une solvabilité générale de 107,9%, confère une résilience certaine, mais la gestion du risque de crédit reste le défi majeur pour maintenir la rentabilité.</w:t>
      </w:r>
    </w:p>
    <w:p>
      <w:pPr>
        <w:spacing w:after="120" w:line="276" w:lineRule="auto" w:before="240"/>
      </w:pPr>
      <w:r>
        <w:rPr>
          <w:b/>
          <w:color w:val="003366"/>
          <w:sz w:val="24"/>
        </w:rPr>
        <w:t>**PARTIE 4 : CONCLUSION D'INVESTISSEMENT**</w:t>
      </w:r>
    </w:p>
    <w:p>
      <w:pPr>
        <w:spacing w:after="120" w:line="276" w:lineRule="auto"/>
      </w:pPr>
      <w:r>
        <w:t>La valorisation de BICB (PER 12,3x, P/B 3,29x, EV/EBITDA 22,9x) indique une prime de croissance justifiée par des fondamentaux solides, mais qui laisse peu de marge d'erreur. Le comportement du cours (+47,74% sur 100 jours) avec une volatilité élevée (28,5%) et une asymétrie positive reflète un optimisme marqué, mais le kurtosis élevé signale un risque de mouvements brusques. Les signaux techniques sont mitigés : la tendance reste haussière (MM, MACD), mais les oscillateurs en surachat (RSI 72,98, Stochastique 89,68) suggèrent une correction imminente. Les fondamentaux, bien que solides (ROE 26,82%, coefficient d'exploitation 31,12%), montrent une dégradation de la rentabilité en 2025 due au coût du risque, un point de vigilance majeur. Les prédictions IA (J+1 à J+10) prévoient une baisse progressive du cours, de 7 113 à 5 869 FCFA, contredisant la tendance actuelle et confirmant le risque de correction technique. En synthèse, la convergence entre la surchauffe technique, la dégradation fondamentale temporaire et les prédictions baissières suggère une prudence accrue. **Recommandation : CONSERVER** avec un niveau de confiance **Moyen**, un risque global **Élevé**, et un horizon d'investissement **moyen terme (3-12 mois)**, en attendant une clarification sur la maîtrise du coût du risque et un éventuel repli du cours pour renforcer la position.</w:t>
      </w:r>
    </w:p>
    <w:p/>
    <w:p/>
    <w:p>
      <w:pPr>
        <w:pStyle w:val="Heading3"/>
      </w:pPr>
      <w:r>
        <w:rPr>
          <w:color w:val="005A32"/>
        </w:rPr>
        <w:t>📋 RAPPORTS &amp; COMMUNIQUÉS OFFICIELS</w:t>
      </w:r>
    </w:p>
    <w:p>
      <w:r>
        <w:rPr>
          <w:i/>
          <w:color w:val="646464"/>
          <w:sz w:val="18"/>
        </w:rPr>
        <w:t>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dynamique commerciale positive avec une forte croissance du PNB et de l'activit\u00e9. La hausse du co\u00fbt du risque refl\u00e8te une approche prudentielle qui devrait renforcer la solidit\u00e9 financi\u00e8re \u00e0 moyen terme."}</w:t>
      </w:r>
    </w:p>
    <w:p>
      <w:pPr>
        <w:spacing w:before="40"/>
        <w:ind w:left="400"/>
      </w:pPr>
      <w:r>
        <w:rPr>
          <w:sz w:val="18"/>
        </w:rPr>
        <w:t>La BIIC affiche des résultats mitigés au deuxième trimestre 2025 avec un résultat net de 7,9 milliards FCFA, en baisse de 27% par rapport à juin 2024. Malgré cette baisse du résultat net, la banque maintient une dynamique positive avec un PNB en hausse de 28% à 25,7 milliards FCFA. L'activité commerciale reste soutenue avec une croissance des crédits de 23% et des dépôts de 20%. La dégradation du résultat net s'explique principalement par une hausse significative du coût du risque (+429%) liée à une politique de provisionnement conservatrice. Le total du bilan progresse de 13% à 1 723,4 milliards FCFA, témoignant de la croissance de l'activité bancaire.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{'cout_net_risque': '7,9 milliards FCFA', 'depots_clientele': '1 108,4 milliards FCFA', 'credits_nets_clientele': '1 049,2 milliards FCFA', 'resultat_brut_exploitation': '16,3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1 723,4 milliards FCFA</w:t>
            </w:r>
          </w:p>
        </w:tc>
      </w:tr>
      <w:tr>
        <w:tc>
          <w:tcPr>
            <w:tcW w:type="dxa" w:w="2160"/>
          </w:tcPr>
          <w:p>
            <w:r/>
            <w:r>
              <w:rPr>
                <w:b/>
                <w:sz w:val="16"/>
              </w:rPr>
              <w:t>resultat_net</w:t>
              <w:br/>
            </w:r>
            <w:r>
              <w:rPr>
                <w:sz w:val="18"/>
              </w:rPr>
              <w:t>7,9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25,7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7,9 milliards FCFA en baisse de 27% par rapport à juin 2024</w:t>
      </w:r>
    </w:p>
    <w:p>
      <w:pPr>
        <w:pStyle w:val="ListBullet"/>
        <w:spacing w:before="20" w:after="20"/>
        <w:ind w:left="700"/>
      </w:pPr>
      <w:r>
        <w:rPr>
          <w:sz w:val="18"/>
        </w:rPr>
        <w:t>Produit Net Bancaire (PNB) en forte progression de 28% à 25,7 milliards FCFA</w:t>
      </w:r>
    </w:p>
    <w:p>
      <w:pPr>
        <w:pStyle w:val="ListBullet"/>
        <w:spacing w:before="20" w:after="20"/>
        <w:ind w:left="700"/>
      </w:pPr>
      <w:r>
        <w:rPr>
          <w:sz w:val="18"/>
        </w:rPr>
        <w:t>Croissance notable des crédits nets à la clientèle de 23% atteignant 1 049,2 milliards FCFA</w:t>
      </w:r>
    </w:p>
    <w:p>
      <w:pPr>
        <w:pStyle w:val="ListBullet"/>
        <w:spacing w:before="20" w:after="20"/>
        <w:ind w:left="700"/>
      </w:pPr>
      <w:r>
        <w:rPr>
          <w:sz w:val="18"/>
        </w:rPr>
        <w:t>Progression des dépôts de la clientèle de 20% à 1 108,4 milliards FCFA</w:t>
      </w:r>
    </w:p>
    <w:p>
      <w:pPr>
        <w:pStyle w:val="ListBullet"/>
        <w:spacing w:before="20" w:after="20"/>
        <w:ind w:left="700"/>
      </w:pPr>
      <w:r>
        <w:rPr>
          <w:sz w:val="18"/>
        </w:rPr>
        <w:t>Explosion du coût net du risque de 429% à 7,9 milliards FCFA due à une politique de provisionnement conservatrice</w:t>
      </w:r>
    </w:p>
    <w:p>
      <w:pPr>
        <w:pStyle w:val="ListBullet"/>
        <w:spacing w:before="20" w:after="20"/>
        <w:ind w:left="700"/>
      </w:pPr>
      <w:r>
        <w:rPr>
          <w:sz w:val="18"/>
        </w:rPr>
        <w:t>Total bilan en croissance de 13% à 1 723,4 milliards FCFA</w:t>
      </w:r>
    </w:p>
    <w:p>
      <w:pPr>
        <w:spacing w:before="40"/>
        <w:ind w:left="400"/>
      </w:pPr>
      <w:r>
        <w:rPr>
          <w:b/>
          <w:color w:val="C05000"/>
          <w:sz w:val="18"/>
        </w:rPr>
        <w:t xml:space="preserve">⚠️ Risques : </w:t>
      </w:r>
      <w:r>
        <w:rPr>
          <w:sz w:val="18"/>
        </w:rPr>
        <w:t>["Politique de provisionnement tr\u00e8s conservatrice impactant fortement la rentabilit\u00e9", "Hausse significative des frais g\u00e9n\u00e9raux de 27% pesant sur l'efficacit\u00e9 op\u00e9rationnelle", "D\u00e9t\u00e9rioration de la qualit\u00e9 du portefeuille cr\u00e9dit n\u00e9cessitant des p</w:t>
      </w:r>
    </w:p>
    <w:p>
      <w:pPr>
        <w:spacing w:before="40"/>
        <w:ind w:left="400"/>
      </w:pPr>
      <w:r>
        <w:rPr>
          <w:b/>
          <w:color w:val="0064A0"/>
          <w:sz w:val="18"/>
        </w:rPr>
        <w:t xml:space="preserve">🔮 Perspectives : </w:t>
      </w:r>
      <w:r>
        <w:rPr>
          <w:sz w:val="18"/>
        </w:rPr>
        <w:t>La BIIC prévoit de poursuivre le déploiement de ses activités au troisième trimestre 2025 en consolidant sa stratégie commerciale. L'accent sera mis sur une gestion rigoureuse des risques et des frais de fonctionnement pour garantir l'atteinte des objectifs stratégiques. La banque devrait bénéficier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"acheter", "justification": "La banque affiche une croissance soutenue de sa rentabilit\u00e9 et de ses activit\u00e9s principales avec un renforcement significatif des capitaux propres. La progression \u00e9quilibr\u00e9e des cr\u00e9dits et d\u00e9p\u00f4ts t\u00e9moigne d'une gestion prudente et d'un d\u00e9veloppement commercial ma\u00eetris\u00e9."}</w:t>
      </w:r>
    </w:p>
    <w:p>
      <w:pPr>
        <w:spacing w:before="40"/>
        <w:ind w:left="400"/>
      </w:pPr>
      <w:r>
        <w:rPr>
          <w:sz w:val="18"/>
        </w:rPr>
        <w:t>BIIC (Banque Internationale pour l'Industrie et le Commerce) présente des résultats financiers solides pour l'exercice 2024. Le total du bilan progresse de 13,4% passant de 1 340,7 millions FCFA à 1 520,4 millions FCFA. Le résultat net affiche une croissance remarquable de 11,2% atteignant 30,3 millions FCFA contre 27,3 millions FCFA en 2023. L'activité bancaire se renforce avec une hausse du produit net bancaire de 15,3% à 45,2 millions FCFA. La banque maintient une structure financière équilibrée avec des capitaux propres renforcés à 125,9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'926,1 millions FCFA', 'credits_clientele': '856,1 millions FCFA', 'produit_net_bancaire': '45,2 millions FCFA', 'ratio_credits_depots': '92,4%'}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1 520,4 millions FCFA</w:t>
            </w:r>
          </w:p>
        </w:tc>
      </w:tr>
      <w:tr>
        <w:tc>
          <w:tcPr>
            <w:tcW w:type="dxa" w:w="2160"/>
          </w:tcPr>
          <w:p>
            <w:r/>
            <w:r>
              <w:rPr>
                <w:b/>
                <w:sz w:val="16"/>
              </w:rPr>
              <w:t>resultat_net</w:t>
              <w:br/>
            </w:r>
            <w:r>
              <w:rPr>
                <w:sz w:val="18"/>
              </w:rPr>
              <w:t>30,3 millions FCFA</w:t>
            </w:r>
          </w:p>
        </w:tc>
        <w:tc>
          <w:tcPr>
            <w:tcW w:type="dxa" w:w="2160"/>
          </w:tcPr>
          <w:p>
            <w:r/>
            <w:r>
              <w:rPr>
                <w:b/>
                <w:sz w:val="16"/>
              </w:rPr>
              <w:t>capitaux_propres</w:t>
              <w:br/>
            </w:r>
            <w:r>
              <w:rPr>
                <w:sz w:val="18"/>
              </w:rPr>
              <w:t>125,9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13,4% atteignant 1 520,4 millions FCFA</w:t>
      </w:r>
    </w:p>
    <w:p>
      <w:pPr>
        <w:pStyle w:val="ListBullet"/>
        <w:spacing w:before="20" w:after="20"/>
        <w:ind w:left="700"/>
      </w:pPr>
      <w:r>
        <w:rPr>
          <w:sz w:val="18"/>
        </w:rPr>
        <w:t>Progression du résultat net de 11,2% à 30,3 millions FCFA</w:t>
      </w:r>
    </w:p>
    <w:p>
      <w:pPr>
        <w:pStyle w:val="ListBullet"/>
        <w:spacing w:before="20" w:after="20"/>
        <w:ind w:left="700"/>
      </w:pPr>
      <w:r>
        <w:rPr>
          <w:sz w:val="18"/>
        </w:rPr>
        <w:t>Hausse significative du produit net bancaire de 15,3% à 45,2 millions FCFA</w:t>
      </w:r>
    </w:p>
    <w:p>
      <w:pPr>
        <w:pStyle w:val="ListBullet"/>
        <w:spacing w:before="20" w:after="20"/>
        <w:ind w:left="700"/>
      </w:pPr>
      <w:r>
        <w:rPr>
          <w:sz w:val="18"/>
        </w:rPr>
        <w:t>Renforcement des capitaux propres de 31,8% à 125,9 millions FCFA</w:t>
      </w:r>
    </w:p>
    <w:p>
      <w:pPr>
        <w:pStyle w:val="ListBullet"/>
        <w:spacing w:before="20" w:after="20"/>
        <w:ind w:left="700"/>
      </w:pPr>
      <w:r>
        <w:rPr>
          <w:sz w:val="18"/>
        </w:rPr>
        <w:t>Croissance des crédits à la clientèle de 24,4% atteignant 856,1 millions FCFA</w:t>
      </w:r>
    </w:p>
    <w:p>
      <w:pPr>
        <w:pStyle w:val="ListBullet"/>
        <w:spacing w:before="20" w:after="20"/>
        <w:ind w:left="700"/>
      </w:pPr>
      <w:r>
        <w:rPr>
          <w:sz w:val="18"/>
        </w:rPr>
        <w:t>Amélioration des dépôts clientèle de 5,8% à 926,1 millions FCFA</w:t>
      </w:r>
    </w:p>
    <w:p>
      <w:pPr>
        <w:spacing w:before="40"/>
        <w:ind w:left="400"/>
      </w:pPr>
      <w:r>
        <w:rPr>
          <w:b/>
          <w:color w:val="C05000"/>
          <w:sz w:val="18"/>
        </w:rPr>
        <w:t xml:space="preserve">⚠️ Risques : </w:t>
      </w:r>
      <w:r>
        <w:rPr>
          <w:sz w:val="18"/>
        </w:rPr>
        <w:t>["Concentration potentielle du portefeuille de cr\u00e9dits sur certains secteurs d'activit\u00e9", "Exposition aux risques de cr\u00e9dit dans un environnement \u00e9conomique incertain", "Pression concurrentielle croissante sur les marges d'interm\u00e9diation bancaire"]</w:t>
      </w:r>
    </w:p>
    <w:p>
      <w:pPr>
        <w:spacing w:before="40"/>
        <w:ind w:left="400"/>
      </w:pPr>
      <w:r>
        <w:rPr>
          <w:b/>
          <w:color w:val="0064A0"/>
          <w:sz w:val="18"/>
        </w:rPr>
        <w:t xml:space="preserve">🔮 Perspectives : </w:t>
      </w:r>
      <w:r>
        <w:rPr>
          <w:sz w:val="18"/>
        </w:rPr>
        <w:t>BIIC semble bien positionnée pour poursuivre sa croissance en 2025 grâce à ses fondamentaux solides et sa capacité démontrée à développer son activité de crédit. Le renforcement des capitaux propres offre une base solide pour soutenir l'expansion future tout en maintenant une gestion prudente des 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banque affiche une croissance solide et une am\u00e9lioration de la qualit\u00e9 des actifs, mais les ratios de rentabilit\u00e9 restent modestes. Le renforcement continu du bilan et l'expansion r\u00e9gionale justifient une position de conservation."}</w:t>
      </w:r>
    </w:p>
    <w:p>
      <w:pPr>
        <w:spacing w:before="40"/>
        <w:ind w:left="400"/>
      </w:pPr>
      <w:r>
        <w:rPr>
          <w:sz w:val="18"/>
        </w:rPr>
        <w:t>La BIIC (ECOWAS Bank for Investment and Development) affiche une performance solide en 2024 avec une croissance soutenue de ses actifs totaux qui atteignent 1,479.57 millions UA contre 1,396.37 millions UA en 2023. Le résultat net progresse à 6.43 millions UA (+12.8% vs 2023), porté par une hausse significative des revenus d'intérêts nets qui passent de 21.25 à 32.76 millions UA. Le portefeuille de prêts continue sa croissance avec 1,208.52 millions UA (+13.3%), témoignant de l'expansion des activités de financement. La banque maintient une structure financière robuste avec des capitaux propres de 470.28 millions UA et un ratio d'adéquation des fonds propres de 37.41%. L'amélioration de la q</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'0.45%', 'ROE': '1.46%', 'ratio_NPL': '4.11%', 'marge_interets': '2.61%', 'ratio_cout_revenu': '67.00%', 'ratio_adequation_capital': '37.41%'}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17.15%</w:t>
            </w:r>
          </w:p>
        </w:tc>
        <w:tc>
          <w:tcPr>
            <w:tcW w:type="dxa" w:w="2160"/>
          </w:tcPr>
          <w:p>
            <w:pPr>
              <w:ind w:left="100"/>
            </w:pPr>
            <w:r/>
            <w:r>
              <w:rPr>
                <w:b/>
                <w:sz w:val="16"/>
              </w:rPr>
              <w:t>total_actif</w:t>
              <w:br/>
            </w:r>
            <w:r>
              <w:rPr>
                <w:sz w:val="18"/>
              </w:rPr>
              <w:t>1,479.57 millions UA</w:t>
            </w:r>
          </w:p>
        </w:tc>
      </w:tr>
      <w:tr>
        <w:tc>
          <w:tcPr>
            <w:tcW w:type="dxa" w:w="2160"/>
          </w:tcPr>
          <w:p>
            <w:r/>
            <w:r>
              <w:rPr>
                <w:b/>
                <w:sz w:val="16"/>
              </w:rPr>
              <w:t>resultat_net</w:t>
              <w:br/>
            </w:r>
            <w:r>
              <w:rPr>
                <w:sz w:val="18"/>
              </w:rPr>
              <w:t>6.43 millions UA</w:t>
            </w:r>
          </w:p>
        </w:tc>
        <w:tc>
          <w:tcPr>
            <w:tcW w:type="dxa" w:w="2160"/>
          </w:tcPr>
          <w:p>
            <w:r/>
            <w:r>
              <w:rPr>
                <w:b/>
                <w:sz w:val="16"/>
              </w:rPr>
              <w:t>capitaux_propres</w:t>
              <w:br/>
            </w:r>
            <w:r>
              <w:rPr>
                <w:sz w:val="18"/>
              </w:rPr>
              <w:t>470.28 millions UA</w:t>
            </w:r>
          </w:p>
        </w:tc>
        <w:tc>
          <w:tcPr>
            <w:tcW w:type="dxa" w:w="2160"/>
          </w:tcPr>
          <w:p>
            <w:r/>
            <w:r>
              <w:rPr>
                <w:b/>
                <w:sz w:val="16"/>
              </w:rPr>
              <w:t>chiffre_affaires</w:t>
              <w:br/>
            </w:r>
            <w:r>
              <w:rPr>
                <w:sz w:val="18"/>
              </w:rPr>
              <w:t>37.48 millions UA (revenus opérationnels)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actifs totaux de 6.0% à 1,479.57 millions UA</w:t>
      </w:r>
    </w:p>
    <w:p>
      <w:pPr>
        <w:pStyle w:val="ListBullet"/>
        <w:spacing w:before="20" w:after="20"/>
        <w:ind w:left="700"/>
      </w:pPr>
      <w:r>
        <w:rPr>
          <w:sz w:val="18"/>
        </w:rPr>
        <w:t>Progression du résultat net de 12.8% à 6.43 millions UA</w:t>
      </w:r>
    </w:p>
    <w:p>
      <w:pPr>
        <w:pStyle w:val="ListBullet"/>
        <w:spacing w:before="20" w:after="20"/>
        <w:ind w:left="700"/>
      </w:pPr>
      <w:r>
        <w:rPr>
          <w:sz w:val="18"/>
        </w:rPr>
        <w:t>Forte hausse des revenus d'intérêts nets (+54.2% à 32.76 millions UA)</w:t>
      </w:r>
    </w:p>
    <w:p>
      <w:pPr>
        <w:pStyle w:val="ListBullet"/>
        <w:spacing w:before="20" w:after="20"/>
        <w:ind w:left="700"/>
      </w:pPr>
      <w:r>
        <w:rPr>
          <w:sz w:val="18"/>
        </w:rPr>
        <w:t>Expansion du portefeuille de prêts de 13.3% à 1,208.52 millions UA</w:t>
      </w:r>
    </w:p>
    <w:p>
      <w:pPr>
        <w:pStyle w:val="ListBullet"/>
        <w:spacing w:before="20" w:after="20"/>
        <w:ind w:left="700"/>
      </w:pPr>
      <w:r>
        <w:rPr>
          <w:sz w:val="18"/>
        </w:rPr>
        <w:t>Amélioration de la qualité des actifs avec un ratio NPL en baisse à 4.11%</w:t>
      </w:r>
    </w:p>
    <w:p>
      <w:pPr>
        <w:pStyle w:val="ListBullet"/>
        <w:spacing w:before="20" w:after="20"/>
        <w:ind w:left="700"/>
      </w:pPr>
      <w:r>
        <w:rPr>
          <w:sz w:val="18"/>
        </w:rPr>
        <w:t>Renforcement des capitaux propres à 470.28 millions UA (+14.9%)</w:t>
      </w:r>
    </w:p>
    <w:p>
      <w:pPr>
        <w:spacing w:before="40"/>
        <w:ind w:left="400"/>
      </w:pPr>
      <w:r>
        <w:rPr>
          <w:b/>
          <w:color w:val="C05000"/>
          <w:sz w:val="18"/>
        </w:rPr>
        <w:t xml:space="preserve">⚠️ Risques : </w:t>
      </w:r>
      <w:r>
        <w:rPr>
          <w:sz w:val="18"/>
        </w:rPr>
        <w:t>["Concentration g\u00e9ographique sur la r\u00e9gion CEDEAO avec exposition aux risques politiques et \u00e9conomiques r\u00e9gionaux", "Ratios de rentabilit\u00e9 relativement faibles (ROA 0.45%, ROE 1.46%) limitant la cr\u00e9ation de valeur", "Co\u00fbt du risque \u00e9lev\u00e9 avec 5.94 million</w:t>
      </w:r>
    </w:p>
    <w:p>
      <w:pPr>
        <w:spacing w:before="40"/>
        <w:ind w:left="400"/>
      </w:pPr>
      <w:r>
        <w:rPr>
          <w:b/>
          <w:color w:val="0064A0"/>
          <w:sz w:val="18"/>
        </w:rPr>
        <w:t xml:space="preserve">🔮 Perspectives : </w:t>
      </w:r>
      <w:r>
        <w:rPr>
          <w:sz w:val="18"/>
        </w:rPr>
        <w:t>La banque devrait poursuivre sa croissance en 2025 portée par l'expansion des financements de projets de développement dans la région CEDEAO. L'amélioration continue de la gestion des risques et l'augmentation des capitaux propres devraient soutenir une croissance durable du portefeuille de prêts.</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483.33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819 titres</w:t>
            </w:r>
          </w:p>
        </w:tc>
        <w:tc>
          <w:tcPr>
            <w:tcW w:type="dxa" w:w="2268"/>
            <w:shd w:fill="FFF2CC" w:val="clear"/>
          </w:tcPr>
          <w:p>
            <w:r>
              <w:rPr>
                <w:b/>
                <w:color w:val="503200"/>
                <w:sz w:val="16"/>
              </w:rPr>
              <w:t xml:space="preserve">Cours actuel : </w:t>
            </w:r>
            <w:r>
              <w:rPr>
                <w:color w:val="000000"/>
                <w:sz w:val="17"/>
              </w:rPr>
              <w:t>29,000 FCFA</w:t>
            </w:r>
          </w:p>
          <w:p>
            <w:r>
              <w:rPr>
                <w:b/>
                <w:color w:val="503200"/>
                <w:sz w:val="16"/>
              </w:rPr>
              <w:t xml:space="preserve">Var. 100 jours : </w:t>
            </w:r>
            <w:r>
              <w:rPr>
                <w:b/>
                <w:color w:val="007800"/>
                <w:sz w:val="17"/>
              </w:rPr>
              <w:t>+16.42%</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7.25% (Moyenne) — μ=26,762 FCFA, σ=1,941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β=0.7098 (Défensif) — Cov=0.000025, Var(idx)=0.000036, ρ=0.217,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819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2026-08-05</w:t>
            </w:r>
          </w:p>
        </w:tc>
        <w:tc>
          <w:tcPr>
            <w:tcW w:type="dxa" w:w="1440"/>
            <w:shd w:fill="FFDCE0" w:val="clear"/>
          </w:tcPr>
          <w:p>
            <w:r>
              <w:rPr>
                <w:sz w:val="17"/>
              </w:rPr>
              <w:t>27,337</w:t>
            </w:r>
          </w:p>
        </w:tc>
        <w:tc>
          <w:tcPr>
            <w:tcW w:type="dxa" w:w="1440"/>
            <w:shd w:fill="FFDCE0" w:val="clear"/>
          </w:tcPr>
          <w:p>
            <w:r>
              <w:rPr>
                <w:b/>
                <w:sz w:val="17"/>
              </w:rPr>
              <w:t>28,263</w:t>
            </w:r>
          </w:p>
        </w:tc>
        <w:tc>
          <w:tcPr>
            <w:tcW w:type="dxa" w:w="1440"/>
            <w:shd w:fill="FFDCE0" w:val="clear"/>
          </w:tcPr>
          <w:p>
            <w:r>
              <w:rPr>
                <w:sz w:val="17"/>
              </w:rPr>
              <w:t>29,190</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2026-08-06</w:t>
            </w:r>
          </w:p>
        </w:tc>
        <w:tc>
          <w:tcPr>
            <w:tcW w:type="dxa" w:w="1440"/>
            <w:shd w:fill="FFDCE0" w:val="clear"/>
          </w:tcPr>
          <w:p>
            <w:r>
              <w:rPr>
                <w:sz w:val="17"/>
              </w:rPr>
              <w:t>26,722</w:t>
            </w:r>
          </w:p>
        </w:tc>
        <w:tc>
          <w:tcPr>
            <w:tcW w:type="dxa" w:w="1440"/>
            <w:shd w:fill="FFDCE0" w:val="clear"/>
          </w:tcPr>
          <w:p>
            <w:r>
              <w:rPr>
                <w:b/>
                <w:sz w:val="17"/>
              </w:rPr>
              <w:t>28,021</w:t>
            </w:r>
          </w:p>
        </w:tc>
        <w:tc>
          <w:tcPr>
            <w:tcW w:type="dxa" w:w="1440"/>
            <w:shd w:fill="FFDCE0" w:val="clear"/>
          </w:tcPr>
          <w:p>
            <w:r>
              <w:rPr>
                <w:sz w:val="17"/>
              </w:rPr>
              <w:t>29,320</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26,157</w:t>
            </w:r>
          </w:p>
        </w:tc>
        <w:tc>
          <w:tcPr>
            <w:tcW w:type="dxa" w:w="1440"/>
            <w:shd w:fill="FFDCE0" w:val="clear"/>
          </w:tcPr>
          <w:p>
            <w:r>
              <w:rPr>
                <w:b/>
                <w:sz w:val="17"/>
              </w:rPr>
              <w:t>27,731</w:t>
            </w:r>
          </w:p>
        </w:tc>
        <w:tc>
          <w:tcPr>
            <w:tcW w:type="dxa" w:w="1440"/>
            <w:shd w:fill="FFDCE0" w:val="clear"/>
          </w:tcPr>
          <w:p>
            <w:r>
              <w:rPr>
                <w:sz w:val="17"/>
              </w:rPr>
              <w:t>29,305</w:t>
            </w:r>
          </w:p>
        </w:tc>
        <w:tc>
          <w:tcPr>
            <w:tcW w:type="dxa" w:w="1440"/>
            <w:shd w:fill="FFDCE0" w:val="clear"/>
          </w:tcPr>
          <w:p>
            <w:r>
              <w:rPr>
                <w:b/>
                <w:color w:val="C00000"/>
                <w:sz w:val="17"/>
              </w:rPr>
              <w:t>-4.4%</w:t>
            </w:r>
          </w:p>
        </w:tc>
      </w:tr>
      <w:tr>
        <w:tc>
          <w:tcPr>
            <w:tcW w:type="dxa" w:w="1440"/>
            <w:shd w:fill="FFDCE0" w:val="clear"/>
          </w:tcPr>
          <w:p>
            <w:r>
              <w:rPr>
                <w:sz w:val="17"/>
              </w:rPr>
              <w:t>J+4  Moyenne</w:t>
            </w:r>
          </w:p>
        </w:tc>
        <w:tc>
          <w:tcPr>
            <w:tcW w:type="dxa" w:w="1440"/>
            <w:shd w:fill="FFDCE0" w:val="clear"/>
          </w:tcPr>
          <w:p>
            <w:r>
              <w:rPr>
                <w:sz w:val="17"/>
              </w:rPr>
              <w:t>2026-08-11</w:t>
            </w:r>
          </w:p>
        </w:tc>
        <w:tc>
          <w:tcPr>
            <w:tcW w:type="dxa" w:w="1440"/>
            <w:shd w:fill="FFDCE0" w:val="clear"/>
          </w:tcPr>
          <w:p>
            <w:r>
              <w:rPr>
                <w:sz w:val="17"/>
              </w:rPr>
              <w:t>25,663</w:t>
            </w:r>
          </w:p>
        </w:tc>
        <w:tc>
          <w:tcPr>
            <w:tcW w:type="dxa" w:w="1440"/>
            <w:shd w:fill="FFDCE0" w:val="clear"/>
          </w:tcPr>
          <w:p>
            <w:r>
              <w:rPr>
                <w:b/>
                <w:sz w:val="17"/>
              </w:rPr>
              <w:t>27,463</w:t>
            </w:r>
          </w:p>
        </w:tc>
        <w:tc>
          <w:tcPr>
            <w:tcW w:type="dxa" w:w="1440"/>
            <w:shd w:fill="FFDCE0" w:val="clear"/>
          </w:tcPr>
          <w:p>
            <w:r>
              <w:rPr>
                <w:sz w:val="17"/>
              </w:rPr>
              <w:t>29,264</w:t>
            </w:r>
          </w:p>
        </w:tc>
        <w:tc>
          <w:tcPr>
            <w:tcW w:type="dxa" w:w="1440"/>
            <w:shd w:fill="FFDCE0" w:val="clear"/>
          </w:tcPr>
          <w:p>
            <w:r>
              <w:rPr>
                <w:b/>
                <w:color w:val="C00000"/>
                <w:sz w:val="17"/>
              </w:rPr>
              <w:t>-5.3%</w:t>
            </w:r>
          </w:p>
        </w:tc>
      </w:tr>
      <w:tr>
        <w:tc>
          <w:tcPr>
            <w:tcW w:type="dxa" w:w="1440"/>
            <w:shd w:fill="FFDCE0" w:val="clear"/>
          </w:tcPr>
          <w:p>
            <w:r>
              <w:rPr>
                <w:sz w:val="17"/>
              </w:rPr>
              <w:t>J+5  Moyenne</w:t>
            </w:r>
          </w:p>
        </w:tc>
        <w:tc>
          <w:tcPr>
            <w:tcW w:type="dxa" w:w="1440"/>
            <w:shd w:fill="FFDCE0" w:val="clear"/>
          </w:tcPr>
          <w:p>
            <w:r>
              <w:rPr>
                <w:sz w:val="17"/>
              </w:rPr>
              <w:t>2026-08-12</w:t>
            </w:r>
          </w:p>
        </w:tc>
        <w:tc>
          <w:tcPr>
            <w:tcW w:type="dxa" w:w="1440"/>
            <w:shd w:fill="FFDCE0" w:val="clear"/>
          </w:tcPr>
          <w:p>
            <w:r>
              <w:rPr>
                <w:sz w:val="17"/>
              </w:rPr>
              <w:t>25,223</w:t>
            </w:r>
          </w:p>
        </w:tc>
        <w:tc>
          <w:tcPr>
            <w:tcW w:type="dxa" w:w="1440"/>
            <w:shd w:fill="FFDCE0" w:val="clear"/>
          </w:tcPr>
          <w:p>
            <w:r>
              <w:rPr>
                <w:b/>
                <w:sz w:val="17"/>
              </w:rPr>
              <w:t>27,218</w:t>
            </w:r>
          </w:p>
        </w:tc>
        <w:tc>
          <w:tcPr>
            <w:tcW w:type="dxa" w:w="1440"/>
            <w:shd w:fill="FFDCE0" w:val="clear"/>
          </w:tcPr>
          <w:p>
            <w:r>
              <w:rPr>
                <w:sz w:val="17"/>
              </w:rPr>
              <w:t>29,212</w:t>
            </w:r>
          </w:p>
        </w:tc>
        <w:tc>
          <w:tcPr>
            <w:tcW w:type="dxa" w:w="1440"/>
            <w:shd w:fill="FFDCE0" w:val="clear"/>
          </w:tcPr>
          <w:p>
            <w:r>
              <w:rPr>
                <w:b/>
                <w:color w:val="C00000"/>
                <w:sz w:val="17"/>
              </w:rPr>
              <w:t>-6.1%</w:t>
            </w:r>
          </w:p>
        </w:tc>
      </w:tr>
      <w:tr>
        <w:tc>
          <w:tcPr>
            <w:tcW w:type="dxa" w:w="1440"/>
            <w:shd w:fill="FFDCE0" w:val="clear"/>
          </w:tcPr>
          <w:p>
            <w:r>
              <w:rPr>
                <w:sz w:val="17"/>
              </w:rPr>
              <w:t>J+6  Moyenne</w:t>
            </w:r>
          </w:p>
        </w:tc>
        <w:tc>
          <w:tcPr>
            <w:tcW w:type="dxa" w:w="1440"/>
            <w:shd w:fill="FFDCE0" w:val="clear"/>
          </w:tcPr>
          <w:p>
            <w:r>
              <w:rPr>
                <w:sz w:val="17"/>
              </w:rPr>
              <w:t>2026-08-13</w:t>
            </w:r>
          </w:p>
        </w:tc>
        <w:tc>
          <w:tcPr>
            <w:tcW w:type="dxa" w:w="1440"/>
            <w:shd w:fill="FFDCE0" w:val="clear"/>
          </w:tcPr>
          <w:p>
            <w:r>
              <w:rPr>
                <w:sz w:val="17"/>
              </w:rPr>
              <w:t>24,819</w:t>
            </w:r>
          </w:p>
        </w:tc>
        <w:tc>
          <w:tcPr>
            <w:tcW w:type="dxa" w:w="1440"/>
            <w:shd w:fill="FFDCE0" w:val="clear"/>
          </w:tcPr>
          <w:p>
            <w:r>
              <w:rPr>
                <w:b/>
                <w:sz w:val="17"/>
              </w:rPr>
              <w:t>26,985</w:t>
            </w:r>
          </w:p>
        </w:tc>
        <w:tc>
          <w:tcPr>
            <w:tcW w:type="dxa" w:w="1440"/>
            <w:shd w:fill="FFDCE0" w:val="clear"/>
          </w:tcPr>
          <w:p>
            <w:r>
              <w:rPr>
                <w:sz w:val="17"/>
              </w:rPr>
              <w:t>29,152</w:t>
            </w:r>
          </w:p>
        </w:tc>
        <w:tc>
          <w:tcPr>
            <w:tcW w:type="dxa" w:w="1440"/>
            <w:shd w:fill="FFDCE0" w:val="clear"/>
          </w:tcPr>
          <w:p>
            <w:r>
              <w:rPr>
                <w:b/>
                <w:color w:val="C00000"/>
                <w:sz w:val="17"/>
              </w:rPr>
              <w:t>-6.9%</w:t>
            </w:r>
          </w:p>
        </w:tc>
      </w:tr>
      <w:tr>
        <w:tc>
          <w:tcPr>
            <w:tcW w:type="dxa" w:w="1440"/>
            <w:shd w:fill="FFDCE0" w:val="clear"/>
          </w:tcPr>
          <w:p>
            <w:r>
              <w:rPr>
                <w:sz w:val="17"/>
              </w:rPr>
              <w:t>J+7  Moyenne</w:t>
            </w:r>
          </w:p>
        </w:tc>
        <w:tc>
          <w:tcPr>
            <w:tcW w:type="dxa" w:w="1440"/>
            <w:shd w:fill="FFDCE0" w:val="clear"/>
          </w:tcPr>
          <w:p>
            <w:r>
              <w:rPr>
                <w:sz w:val="17"/>
              </w:rPr>
              <w:t>2026-08-14</w:t>
            </w:r>
          </w:p>
        </w:tc>
        <w:tc>
          <w:tcPr>
            <w:tcW w:type="dxa" w:w="1440"/>
            <w:shd w:fill="FFDCE0" w:val="clear"/>
          </w:tcPr>
          <w:p>
            <w:r>
              <w:rPr>
                <w:sz w:val="17"/>
              </w:rPr>
              <w:t>24,441</w:t>
            </w:r>
          </w:p>
        </w:tc>
        <w:tc>
          <w:tcPr>
            <w:tcW w:type="dxa" w:w="1440"/>
            <w:shd w:fill="FFDCE0" w:val="clear"/>
          </w:tcPr>
          <w:p>
            <w:r>
              <w:rPr>
                <w:b/>
                <w:sz w:val="17"/>
              </w:rPr>
              <w:t>26,762</w:t>
            </w:r>
          </w:p>
        </w:tc>
        <w:tc>
          <w:tcPr>
            <w:tcW w:type="dxa" w:w="1440"/>
            <w:shd w:fill="FFDCE0" w:val="clear"/>
          </w:tcPr>
          <w:p>
            <w:r>
              <w:rPr>
                <w:sz w:val="17"/>
              </w:rPr>
              <w:t>29,082</w:t>
            </w:r>
          </w:p>
        </w:tc>
        <w:tc>
          <w:tcPr>
            <w:tcW w:type="dxa" w:w="1440"/>
            <w:shd w:fill="FFDCE0" w:val="clear"/>
          </w:tcPr>
          <w:p>
            <w:r>
              <w:rPr>
                <w:b/>
                <w:color w:val="C00000"/>
                <w:sz w:val="17"/>
              </w:rPr>
              <w:t>-7.7%</w:t>
            </w:r>
          </w:p>
        </w:tc>
      </w:tr>
      <w:tr>
        <w:tc>
          <w:tcPr>
            <w:tcW w:type="dxa" w:w="1440"/>
            <w:shd w:fill="FFDCE0" w:val="clear"/>
          </w:tcPr>
          <w:p>
            <w:r>
              <w:rPr>
                <w:sz w:val="17"/>
              </w:rPr>
              <w:t>J+8  Moyenne</w:t>
            </w:r>
          </w:p>
        </w:tc>
        <w:tc>
          <w:tcPr>
            <w:tcW w:type="dxa" w:w="1440"/>
            <w:shd w:fill="FFDCE0" w:val="clear"/>
          </w:tcPr>
          <w:p>
            <w:r>
              <w:rPr>
                <w:sz w:val="17"/>
              </w:rPr>
              <w:t>2026-08-17</w:t>
            </w:r>
          </w:p>
        </w:tc>
        <w:tc>
          <w:tcPr>
            <w:tcW w:type="dxa" w:w="1440"/>
            <w:shd w:fill="FFDCE0" w:val="clear"/>
          </w:tcPr>
          <w:p>
            <w:r>
              <w:rPr>
                <w:sz w:val="17"/>
              </w:rPr>
              <w:t>24,085</w:t>
            </w:r>
          </w:p>
        </w:tc>
        <w:tc>
          <w:tcPr>
            <w:tcW w:type="dxa" w:w="1440"/>
            <w:shd w:fill="FFDCE0" w:val="clear"/>
          </w:tcPr>
          <w:p>
            <w:r>
              <w:rPr>
                <w:b/>
                <w:sz w:val="17"/>
              </w:rPr>
              <w:t>26,546</w:t>
            </w:r>
          </w:p>
        </w:tc>
        <w:tc>
          <w:tcPr>
            <w:tcW w:type="dxa" w:w="1440"/>
            <w:shd w:fill="FFDCE0" w:val="clear"/>
          </w:tcPr>
          <w:p>
            <w:r>
              <w:rPr>
                <w:sz w:val="17"/>
              </w:rPr>
              <w:t>29,007</w:t>
            </w:r>
          </w:p>
        </w:tc>
        <w:tc>
          <w:tcPr>
            <w:tcW w:type="dxa" w:w="1440"/>
            <w:shd w:fill="FFDCE0" w:val="clear"/>
          </w:tcPr>
          <w:p>
            <w:r>
              <w:rPr>
                <w:b/>
                <w:color w:val="C00000"/>
                <w:sz w:val="17"/>
              </w:rPr>
              <w:t>-8.5%</w:t>
            </w:r>
          </w:p>
        </w:tc>
      </w:tr>
      <w:tr>
        <w:tc>
          <w:tcPr>
            <w:tcW w:type="dxa" w:w="1440"/>
            <w:shd w:fill="FFDCE0" w:val="clear"/>
          </w:tcPr>
          <w:p>
            <w:r>
              <w:rPr>
                <w:sz w:val="17"/>
              </w:rPr>
              <w:t>J+9  Moyenne</w:t>
            </w:r>
          </w:p>
        </w:tc>
        <w:tc>
          <w:tcPr>
            <w:tcW w:type="dxa" w:w="1440"/>
            <w:shd w:fill="FFDCE0" w:val="clear"/>
          </w:tcPr>
          <w:p>
            <w:r>
              <w:rPr>
                <w:sz w:val="17"/>
              </w:rPr>
              <w:t>2026-08-18</w:t>
            </w:r>
          </w:p>
        </w:tc>
        <w:tc>
          <w:tcPr>
            <w:tcW w:type="dxa" w:w="1440"/>
            <w:shd w:fill="FFDCE0" w:val="clear"/>
          </w:tcPr>
          <w:p>
            <w:r>
              <w:rPr>
                <w:sz w:val="17"/>
              </w:rPr>
              <w:t>23,749</w:t>
            </w:r>
          </w:p>
        </w:tc>
        <w:tc>
          <w:tcPr>
            <w:tcW w:type="dxa" w:w="1440"/>
            <w:shd w:fill="FFDCE0" w:val="clear"/>
          </w:tcPr>
          <w:p>
            <w:r>
              <w:rPr>
                <w:b/>
                <w:sz w:val="17"/>
              </w:rPr>
              <w:t>26,338</w:t>
            </w:r>
          </w:p>
        </w:tc>
        <w:tc>
          <w:tcPr>
            <w:tcW w:type="dxa" w:w="1440"/>
            <w:shd w:fill="FFDCE0" w:val="clear"/>
          </w:tcPr>
          <w:p>
            <w:r>
              <w:rPr>
                <w:sz w:val="17"/>
              </w:rPr>
              <w:t>28,928</w:t>
            </w:r>
          </w:p>
        </w:tc>
        <w:tc>
          <w:tcPr>
            <w:tcW w:type="dxa" w:w="1440"/>
            <w:shd w:fill="FFDCE0" w:val="clear"/>
          </w:tcPr>
          <w:p>
            <w:r>
              <w:rPr>
                <w:b/>
                <w:color w:val="C00000"/>
                <w:sz w:val="17"/>
              </w:rPr>
              <w:t>-9.2%</w:t>
            </w:r>
          </w:p>
        </w:tc>
      </w:tr>
      <w:tr>
        <w:tc>
          <w:tcPr>
            <w:tcW w:type="dxa" w:w="1440"/>
            <w:shd w:fill="FFDCE0" w:val="clear"/>
          </w:tcPr>
          <w:p>
            <w:r>
              <w:rPr>
                <w:sz w:val="17"/>
              </w:rPr>
              <w:t>J+10  Moyenne</w:t>
            </w:r>
          </w:p>
        </w:tc>
        <w:tc>
          <w:tcPr>
            <w:tcW w:type="dxa" w:w="1440"/>
            <w:shd w:fill="FFDCE0" w:val="clear"/>
          </w:tcPr>
          <w:p>
            <w:r>
              <w:rPr>
                <w:sz w:val="17"/>
              </w:rPr>
              <w:t>2026-08-19</w:t>
            </w:r>
          </w:p>
        </w:tc>
        <w:tc>
          <w:tcPr>
            <w:tcW w:type="dxa" w:w="1440"/>
            <w:shd w:fill="FFDCE0" w:val="clear"/>
          </w:tcPr>
          <w:p>
            <w:r>
              <w:rPr>
                <w:sz w:val="17"/>
              </w:rPr>
              <w:t>23,429</w:t>
            </w:r>
          </w:p>
        </w:tc>
        <w:tc>
          <w:tcPr>
            <w:tcW w:type="dxa" w:w="1440"/>
            <w:shd w:fill="FFDCE0" w:val="clear"/>
          </w:tcPr>
          <w:p>
            <w:r>
              <w:rPr>
                <w:b/>
                <w:sz w:val="17"/>
              </w:rPr>
              <w:t>26,138</w:t>
            </w:r>
          </w:p>
        </w:tc>
        <w:tc>
          <w:tcPr>
            <w:tcW w:type="dxa" w:w="1440"/>
            <w:shd w:fill="FFDCE0" w:val="clear"/>
          </w:tcPr>
          <w:p>
            <w:r>
              <w:rPr>
                <w:sz w:val="17"/>
              </w:rPr>
              <w:t>28,846</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483,33 milliards FCFA, ce qui en fait l'une des valeurs les plus significatives de la BRVM, reflétant la confiance des investisseurs dans le secteur bancaire ivoirien. Avec un BPA de 2 191 FCFA, chaque action génère un bénéfice substantiel, justifiant un PER de 13,2x, légèrement supérieur à la moyenne historique de la BRVM (8-12x), indiquant que le marché accepte de payer une prime modérée pour la qualité de la banque. Le P/B de 4,01x est particulièrement exigeant, signifiant que le marché valorise fortement les actifs nets de la banque, anticipant une croissance future soutenue. Enfin, l'EV/EBITDA de 9,3x, dans la fourchette raisonnable de 5-10x, suggère que la valeur totale de l'entreprise reste cohérente avec sa capacité opérationnelle à générer des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+16,42%, avec une légère consolidation de -0,05% lors de la dernière séance, témoignant d'une tendance haussière soutenue. Le cours a évolué dans une fourchette de 22 500 FCFA (plus bas) à 29 490 FCFA (plus haut), démontrant une amplitude de trading significative de près de 31%. La moyenne du cours sur la période (26 762 FCFA) est inférieure à la médiane (27 250 FCFA), indiquant une distribution légèrement asymétrique avec des valeurs extrêmes à la baisse. L'écart-type de 1 951 FCFA, avec un coefficient de variation de 7,3%, révèle une dispersion modérée des prix autour de la moyenne. Le kurtosis négatif (-1,224) signale une distribution platykurtique, avec moins de pics extrêmes que la normale, tandis que le skewness de -0,403 confirme une asymétrie vers les valeurs basses. La volatilité annualisée de 31,0% classe le titre dans la catégorie des valeurs à volatilité élevée, nécessitant une gestion prudente du risque.</w:t>
      </w:r>
    </w:p>
    <w:p>
      <w:pPr>
        <w:spacing w:after="120" w:line="276" w:lineRule="auto" w:before="240"/>
      </w:pPr>
      <w:r>
        <w:rPr>
          <w:b/>
          <w:color w:val="003366"/>
          <w:sz w:val="24"/>
        </w:rPr>
        <w:t>**PARTIE 2 : ANALYSE TECHNIQUE DÉTAILLÉE**</w:t>
      </w:r>
    </w:p>
    <w:p>
      <w:pPr>
        <w:spacing w:after="120" w:line="276" w:lineRule="auto"/>
      </w:pPr>
      <w:r>
        <w:t>**Moyennes Mobiles** : Les MM20 (28 415 FCFA) et MM50 (28 489,5 FCFA) sont très proches l'une de l'autre, indiquant une consolidation après une période de forte hausse. Le cours actuel (29 000 FCFA) se situe au-dessus des deux moyennes, ce qui est généralement un signal positif, mais la convergence des MM suggère un essoufflement potentiel du momentum haussier. La décision de "Vente" reflète cette prudence face à un possible retournement.</w:t>
      </w:r>
    </w:p>
    <w:p>
      <w:pPr>
        <w:spacing w:after="120" w:line="276" w:lineRule="auto"/>
      </w:pPr>
      <w:r>
        <w:t>**Bandes de Bollinger** : Le prix évolue dans la partie supérieure des bandes (borne supérieure à 29 350,8 FCFA, borne inférieure à 27 479,2 FCFA), indiquant une pression acheteuse encore présente mais avec un écart qui se resserre. La décision "Neutre" suggère que le marché attend un signal directionnel clair, la volatilité se contractant progressivement.</w:t>
      </w:r>
    </w:p>
    <w:p>
      <w:pPr>
        <w:spacing w:after="120" w:line="276" w:lineRule="auto"/>
      </w:pPr>
      <w:r>
        <w:t>**MACD** : Le MACD (183,5) est nettement supérieur à sa ligne de signal (108,8), confirmant un momentum haussier toujours actif. La décision "Achat" est justifiée par cette divergence positive, indiquant que la tendance haussière pourrait se poursuivre à court terme.</w:t>
      </w:r>
    </w:p>
    <w:p>
      <w:pPr>
        <w:spacing w:after="120" w:line="276" w:lineRule="auto"/>
      </w:pPr>
      <w:r>
        <w:t>**RSI** : À 67,8, le RSI se situe en zone neutre-haute, proche du seuil de surachat (70). La décision "Neutre" reflète l'équilibre entre la force de la tendance et le risque de correction technique. Une surveillance attentive est nécessaire car un dépassement des 70 signalerait une surachat.</w:t>
      </w:r>
    </w:p>
    <w:p>
      <w:pPr>
        <w:spacing w:after="120" w:line="276" w:lineRule="auto"/>
      </w:pPr>
      <w:r>
        <w:t>**Stochastique** : Le %K (99,0) et le %D (92,3) sont tous deux en zone de surachat extrême, avec un %K très proche de 100. La décision "Vente" est justifiée par cette configuration, indiquant que le titre est temporairement survendu et qu'une correction technique est probable à très court terme.</w:t>
      </w:r>
    </w:p>
    <w:p>
      <w:pPr>
        <w:spacing w:after="120" w:line="276" w:lineRule="auto"/>
      </w:pPr>
      <w:r>
        <w:t>**Conclusion technique** : La configuration technique est mitigée, avec un MACD positif mais des oscillateurs de surachat (RSI, Stochastique) et des moyennes mobiles en convergence. Le titre semble en phase de consolidation après une forte progression, avec un risque de correction à court terme avant une éventuelle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BICC révèlent une performance financière exceptionnelle : le Produit Net Bancaire atteint 79,563 milliards FCFA, avec un résultat net de 36,520 milliards FCFA, soit une marge nette de 45,9%. Le ROE s'établit à 30,29%, largement au-dessus du seuil d'excellence de 15%, tandis que le ROA de 3,24% témoigne d'une utilisation efficace des actifs. Le coefficient d'exploitation de 50,83% confirme l'efficacité opérationnelle de la banque, bien en-dessous du seuil critique de 60%. Le coût du risque de -12,15% indique une gestion prudente du portefeuille de crédits, malgré un ratio de transformation élevé (dépôts de 952,872 milliards FCFA pour des créances de 524,439 milliards FCFA). Les rapports trimestriels confirment cette dynamique : le T1 2026 (rapport du 31 mars 2026) montre un PNB de 21,214 milliards FCFA (+17,0%) et un résultat net de 10,387 milliards FCFA (+29,7%), tandis que le T3 2025 (cumulé à fin septembre 2025) affichait déjà un PNB de 58,119 milliards FCFA (+16,4%) et un résultat net de 27,402 milliards FCFA (+50,8%). Sur la base de ces tendances, on estime que l'exercice 2026 pourrait dépasser les 85 milliards FCFA de PNB et les 40 milliards FCFA de résultat net, confirmant la solidité du modèle économique de BICC.</w:t>
      </w:r>
    </w:p>
    <w:p>
      <w:pPr>
        <w:spacing w:after="120" w:line="276" w:lineRule="auto" w:before="240"/>
      </w:pPr>
      <w:r>
        <w:rPr>
          <w:b/>
          <w:color w:val="003366"/>
          <w:sz w:val="24"/>
        </w:rPr>
        <w:t>**PARTIE 4 : CONCLUSION D'INVESTISSEMENT**</w:t>
      </w:r>
    </w:p>
    <w:p>
      <w:pPr>
        <w:spacing w:after="120" w:line="276" w:lineRule="auto"/>
      </w:pPr>
      <w:r>
        <w:t>La valorisation de BICC (PER 13,2x, P/B 4,01x) indique une prime de qualité justifiée par des fondamentaux exceptionnels, mais qui laisse peu de marge de sécurité. Le comportement du cours sur 100 jours (+16,42%) avec une volatilité élevée (31%) et une distribution platykurtique suggère une stabilité relative malgré des mouvements de prix importants. Les signaux techniques sont divergents : le MACD reste positif mais le RSI et le Stochastique indiquent un surachat imminent, tandis que les moyennes mobiles convergent vers une consolidation. Les fondamentaux, avec un ROE de 30,29% et une croissance soutenue du PNB (+16,9%), sont extrêmement solides, renforcés par les estimations 2026 basées sur les rapports trimestriels. Les prédictions IA (28 263 FCFA à J+1, 27 218 FCFA à J+10) suggèrent une correction technique de 6% par rapport au cours actuel, contredisant légèrement les signaux fondamentaux mais confirmant les signaux techniques de surachat. La convergence entre la surévaluation relative (P/B), les signaux techniques de surachat et les prédictions IA baissières, malgré des fondamentaux excellents, conduit à une recommandation de **CONSERVER** avec un niveau de confiance **Moyen** et un risque global **Moyen**. L'horizon d'investissement optimal serait le **moyen terme (3-12 mois)**, en attendant une correction technique pour renforcer la position à un niveau plus attractif.</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2,176 titres</w:t>
            </w:r>
          </w:p>
        </w:tc>
        <w:tc>
          <w:tcPr>
            <w:tcW w:type="dxa" w:w="2268"/>
            <w:shd w:fill="FFF2CC" w:val="clear"/>
          </w:tcPr>
          <w:p>
            <w:r>
              <w:rPr>
                <w:b/>
                <w:color w:val="503200"/>
                <w:sz w:val="16"/>
              </w:rPr>
              <w:t xml:space="preserve">Cours actuel : </w:t>
            </w:r>
            <w:r>
              <w:rPr>
                <w:color w:val="000000"/>
                <w:sz w:val="17"/>
              </w:rPr>
              <w:t>1,930 FCFA</w:t>
            </w:r>
          </w:p>
          <w:p>
            <w:r>
              <w:rPr>
                <w:b/>
                <w:color w:val="503200"/>
                <w:sz w:val="16"/>
              </w:rPr>
              <w:t xml:space="preserve">Var. 100 jours : </w:t>
            </w:r>
            <w:r>
              <w:rPr>
                <w:b/>
                <w:color w:val="007800"/>
                <w:sz w:val="17"/>
              </w:rPr>
              <w:t>+20.62%</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11.39% (Moyenne) — μ=1,709 FCFA, σ=195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β=-0.1235 (Contre-cyclique) — Cov=-0.000004, Var(idx)=0.000036, ρ=-0.024,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2,176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1,848</w:t>
            </w:r>
          </w:p>
        </w:tc>
        <w:tc>
          <w:tcPr>
            <w:tcW w:type="dxa" w:w="1440"/>
            <w:shd w:fill="FAFAFA" w:val="clear"/>
          </w:tcPr>
          <w:p>
            <w:r>
              <w:rPr>
                <w:b/>
                <w:sz w:val="17"/>
              </w:rPr>
              <w:t>1,928</w:t>
            </w:r>
          </w:p>
        </w:tc>
        <w:tc>
          <w:tcPr>
            <w:tcW w:type="dxa" w:w="1440"/>
            <w:shd w:fill="FAFAFA" w:val="clear"/>
          </w:tcPr>
          <w:p>
            <w:r>
              <w:rPr>
                <w:sz w:val="17"/>
              </w:rPr>
              <w:t>2,009</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1,814</w:t>
            </w:r>
          </w:p>
        </w:tc>
        <w:tc>
          <w:tcPr>
            <w:tcW w:type="dxa" w:w="1440"/>
            <w:shd w:fill="FAFAFA" w:val="clear"/>
          </w:tcPr>
          <w:p>
            <w:r>
              <w:rPr>
                <w:b/>
                <w:sz w:val="17"/>
              </w:rPr>
              <w:t>1,928</w:t>
            </w:r>
          </w:p>
        </w:tc>
        <w:tc>
          <w:tcPr>
            <w:tcW w:type="dxa" w:w="1440"/>
            <w:shd w:fill="FAFAFA" w:val="clear"/>
          </w:tcPr>
          <w:p>
            <w:r>
              <w:rPr>
                <w:sz w:val="17"/>
              </w:rPr>
              <w:t>2,042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1,787</w:t>
            </w:r>
          </w:p>
        </w:tc>
        <w:tc>
          <w:tcPr>
            <w:tcW w:type="dxa" w:w="1440"/>
            <w:shd w:fill="FAFAFA" w:val="clear"/>
          </w:tcPr>
          <w:p>
            <w:r>
              <w:rPr>
                <w:b/>
                <w:sz w:val="17"/>
              </w:rPr>
              <w:t>1,927</w:t>
            </w:r>
          </w:p>
        </w:tc>
        <w:tc>
          <w:tcPr>
            <w:tcW w:type="dxa" w:w="1440"/>
            <w:shd w:fill="FAFAFA" w:val="clear"/>
          </w:tcPr>
          <w:p>
            <w:r>
              <w:rPr>
                <w:sz w:val="17"/>
              </w:rPr>
              <w:t>2,066</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1,765</w:t>
            </w:r>
          </w:p>
        </w:tc>
        <w:tc>
          <w:tcPr>
            <w:tcW w:type="dxa" w:w="1440"/>
            <w:shd w:fill="FAFAFA" w:val="clear"/>
          </w:tcPr>
          <w:p>
            <w:r>
              <w:rPr>
                <w:b/>
                <w:sz w:val="17"/>
              </w:rPr>
              <w:t>1,926</w:t>
            </w:r>
          </w:p>
        </w:tc>
        <w:tc>
          <w:tcPr>
            <w:tcW w:type="dxa" w:w="1440"/>
            <w:shd w:fill="FAFAFA" w:val="clear"/>
          </w:tcPr>
          <w:p>
            <w:r>
              <w:rPr>
                <w:sz w:val="17"/>
              </w:rPr>
              <w:t>2,087</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2026-08-12</w:t>
            </w:r>
          </w:p>
        </w:tc>
        <w:tc>
          <w:tcPr>
            <w:tcW w:type="dxa" w:w="1440"/>
            <w:shd w:fill="FAFAFA" w:val="clear"/>
          </w:tcPr>
          <w:p>
            <w:r>
              <w:rPr>
                <w:sz w:val="17"/>
              </w:rPr>
              <w:t>1,745</w:t>
            </w:r>
          </w:p>
        </w:tc>
        <w:tc>
          <w:tcPr>
            <w:tcW w:type="dxa" w:w="1440"/>
            <w:shd w:fill="FAFAFA" w:val="clear"/>
          </w:tcPr>
          <w:p>
            <w:r>
              <w:rPr>
                <w:b/>
                <w:sz w:val="17"/>
              </w:rPr>
              <w:t>1,925</w:t>
            </w:r>
          </w:p>
        </w:tc>
        <w:tc>
          <w:tcPr>
            <w:tcW w:type="dxa" w:w="1440"/>
            <w:shd w:fill="FAFAFA" w:val="clear"/>
          </w:tcPr>
          <w:p>
            <w:r>
              <w:rPr>
                <w:sz w:val="17"/>
              </w:rPr>
              <w:t>2,105</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2026-08-13</w:t>
            </w:r>
          </w:p>
        </w:tc>
        <w:tc>
          <w:tcPr>
            <w:tcW w:type="dxa" w:w="1440"/>
            <w:shd w:fill="FAFAFA" w:val="clear"/>
          </w:tcPr>
          <w:p>
            <w:r>
              <w:rPr>
                <w:sz w:val="17"/>
              </w:rPr>
              <w:t>1,727</w:t>
            </w:r>
          </w:p>
        </w:tc>
        <w:tc>
          <w:tcPr>
            <w:tcW w:type="dxa" w:w="1440"/>
            <w:shd w:fill="FAFAFA" w:val="clear"/>
          </w:tcPr>
          <w:p>
            <w:r>
              <w:rPr>
                <w:b/>
                <w:sz w:val="17"/>
              </w:rPr>
              <w:t>1,925</w:t>
            </w:r>
          </w:p>
        </w:tc>
        <w:tc>
          <w:tcPr>
            <w:tcW w:type="dxa" w:w="1440"/>
            <w:shd w:fill="FAFAFA" w:val="clear"/>
          </w:tcPr>
          <w:p>
            <w:r>
              <w:rPr>
                <w:sz w:val="17"/>
              </w:rPr>
              <w:t>2,122</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2026-08-14</w:t>
            </w:r>
          </w:p>
        </w:tc>
        <w:tc>
          <w:tcPr>
            <w:tcW w:type="dxa" w:w="1440"/>
            <w:shd w:fill="FAFAFA" w:val="clear"/>
          </w:tcPr>
          <w:p>
            <w:r>
              <w:rPr>
                <w:sz w:val="17"/>
              </w:rPr>
              <w:t>1,711</w:t>
            </w:r>
          </w:p>
        </w:tc>
        <w:tc>
          <w:tcPr>
            <w:tcW w:type="dxa" w:w="1440"/>
            <w:shd w:fill="FAFAFA" w:val="clear"/>
          </w:tcPr>
          <w:p>
            <w:r>
              <w:rPr>
                <w:b/>
                <w:sz w:val="17"/>
              </w:rPr>
              <w:t>1,924</w:t>
            </w:r>
          </w:p>
        </w:tc>
        <w:tc>
          <w:tcPr>
            <w:tcW w:type="dxa" w:w="1440"/>
            <w:shd w:fill="FAFAFA" w:val="clear"/>
          </w:tcPr>
          <w:p>
            <w:r>
              <w:rPr>
                <w:sz w:val="17"/>
              </w:rPr>
              <w:t>2,137</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2026-08-17</w:t>
            </w:r>
          </w:p>
        </w:tc>
        <w:tc>
          <w:tcPr>
            <w:tcW w:type="dxa" w:w="1440"/>
            <w:shd w:fill="FAFAFA" w:val="clear"/>
          </w:tcPr>
          <w:p>
            <w:r>
              <w:rPr>
                <w:sz w:val="17"/>
              </w:rPr>
              <w:t>1,696</w:t>
            </w:r>
          </w:p>
        </w:tc>
        <w:tc>
          <w:tcPr>
            <w:tcW w:type="dxa" w:w="1440"/>
            <w:shd w:fill="FAFAFA" w:val="clear"/>
          </w:tcPr>
          <w:p>
            <w:r>
              <w:rPr>
                <w:b/>
                <w:sz w:val="17"/>
              </w:rPr>
              <w:t>1,924</w:t>
            </w:r>
          </w:p>
        </w:tc>
        <w:tc>
          <w:tcPr>
            <w:tcW w:type="dxa" w:w="1440"/>
            <w:shd w:fill="FAFAFA" w:val="clear"/>
          </w:tcPr>
          <w:p>
            <w:r>
              <w:rPr>
                <w:sz w:val="17"/>
              </w:rPr>
              <w:t>2,151</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2026-08-18</w:t>
            </w:r>
          </w:p>
        </w:tc>
        <w:tc>
          <w:tcPr>
            <w:tcW w:type="dxa" w:w="1440"/>
            <w:shd w:fill="FAFAFA" w:val="clear"/>
          </w:tcPr>
          <w:p>
            <w:r>
              <w:rPr>
                <w:sz w:val="17"/>
              </w:rPr>
              <w:t>1,682</w:t>
            </w:r>
          </w:p>
        </w:tc>
        <w:tc>
          <w:tcPr>
            <w:tcW w:type="dxa" w:w="1440"/>
            <w:shd w:fill="FAFAFA" w:val="clear"/>
          </w:tcPr>
          <w:p>
            <w:r>
              <w:rPr>
                <w:b/>
                <w:sz w:val="17"/>
              </w:rPr>
              <w:t>1,923</w:t>
            </w:r>
          </w:p>
        </w:tc>
        <w:tc>
          <w:tcPr>
            <w:tcW w:type="dxa" w:w="1440"/>
            <w:shd w:fill="FAFAFA" w:val="clear"/>
          </w:tcPr>
          <w:p>
            <w:r>
              <w:rPr>
                <w:sz w:val="17"/>
              </w:rPr>
              <w:t>2,165</w:t>
            </w:r>
          </w:p>
        </w:tc>
        <w:tc>
          <w:tcPr>
            <w:tcW w:type="dxa" w:w="1440"/>
            <w:shd w:fill="FAFAFA" w:val="clear"/>
          </w:tcPr>
          <w:p>
            <w:r>
              <w:rPr>
                <w:b/>
                <w:color w:val="C00000"/>
                <w:sz w:val="17"/>
              </w:rPr>
              <w:t>-0.3%</w:t>
            </w:r>
          </w:p>
        </w:tc>
      </w:tr>
      <w:tr>
        <w:tc>
          <w:tcPr>
            <w:tcW w:type="dxa" w:w="1440"/>
            <w:shd w:fill="FAFAFA" w:val="clear"/>
          </w:tcPr>
          <w:p>
            <w:r>
              <w:rPr>
                <w:sz w:val="17"/>
              </w:rPr>
              <w:t>J+10  ⭐</w:t>
            </w:r>
          </w:p>
        </w:tc>
        <w:tc>
          <w:tcPr>
            <w:tcW w:type="dxa" w:w="1440"/>
            <w:shd w:fill="FAFAFA" w:val="clear"/>
          </w:tcPr>
          <w:p>
            <w:r>
              <w:rPr>
                <w:sz w:val="17"/>
              </w:rPr>
              <w:t>2026-08-19</w:t>
            </w:r>
          </w:p>
        </w:tc>
        <w:tc>
          <w:tcPr>
            <w:tcW w:type="dxa" w:w="1440"/>
            <w:shd w:fill="FAFAFA" w:val="clear"/>
          </w:tcPr>
          <w:p>
            <w:r>
              <w:rPr>
                <w:sz w:val="17"/>
              </w:rPr>
              <w:t>1,669</w:t>
            </w:r>
          </w:p>
        </w:tc>
        <w:tc>
          <w:tcPr>
            <w:tcW w:type="dxa" w:w="1440"/>
            <w:shd w:fill="FAFAFA" w:val="clear"/>
          </w:tcPr>
          <w:p>
            <w:r>
              <w:rPr>
                <w:b/>
                <w:sz w:val="17"/>
              </w:rPr>
              <w:t>1,923</w:t>
            </w:r>
          </w:p>
        </w:tc>
        <w:tc>
          <w:tcPr>
            <w:tcW w:type="dxa" w:w="1440"/>
            <w:shd w:fill="FAFAFA" w:val="clear"/>
          </w:tcPr>
          <w:p>
            <w:r>
              <w:rPr>
                <w:sz w:val="17"/>
              </w:rPr>
              <w:t>2,177</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**Date de l'analyse : 04 août 2026**</w:t>
        <w:br/>
        <w:t>**Cours de référence : 1 930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12,78 milliards FCFA, un niveau modeste qui la classe parmi les valeurs moyennes de la BRVM. Le BPA de 3 FCFA par action est extrêmement faible, ce qui explique un PER de 572,8x, très largement supérieur à la moyenne du marché (8-12x). Ce ratio indique que les investisseurs paient un prix excessif pour des bénéfices quasi inexistants, signe d'une valorisation spéculative ou d'une anticipation de retournement majeur. En revanche, le P/B de 0,72x est inférieur à 1, ce qui signifie que le marché valorise la société en dessous de sa valeur comptable, suggérant une décote sur l'actif net. Enfin, l'EV/EBITDA de 24,0x, bien au-dessus du seuil de 15x, confirme une valorisation exigeante par rapport à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 progressé de +20,62%, avec une dernière séance stable (0,00%). Le cours a évolué dans une fourchette de 1 300 à 2 100 FCFA, démontrant une amplitude de 800 FCFA. La tendance générale est haussière, le cours actuel (1 930 FCFA) se situant nettement au-dessus de la moyenne (1 709 FCFA) et de la médiane (1 618 FCFA). L'écart entre moyenne et médiane (91 FCFA) indique une distribution légèrement asymétrique à droite (skewness de 0,208), avec des extrêmes hauts qui tirent la moyenne vers le haut. L'écart-type de 196 FCFA (CV de 11,4%) révèle une dispersion modérée des prix autour de la moyenne. Le kurtosis négatif (-1,108) signale une distribution platykurtique, c'est-à-dire une faible concentration des prix autour de la moyenne, avec moins de pics extrêmes que la normale. La volatilité annualisée de 47,9% est élevée (&gt;30%), indiquant un titre très risqué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(1 930 FCFA) est supérieur à la MM20 (1 893,25 FCFA) et à la MM50 (1 867,8 FCFA), ce qui confirme une dynamique haussière à court et moyen terme. La décision "Achat" est justifiée par cette configuration positive, le prix évoluant au-dessus de ses moyennes mobiles clés.</w:t>
      </w:r>
    </w:p>
    <w:p>
      <w:pPr>
        <w:spacing w:after="120" w:line="276" w:lineRule="auto"/>
      </w:pPr>
      <w:r>
        <w:t>**Bandes de Bollinger :** Le prix se situe à 1 930 FCFA, entre la borne inférieure (1 739,34 FCFA) et la borne supérieure (2 047,16 FCFA), proche du milieu de l'intervalle. La décision "Neutre" est cohérente, le cours n'étant ni en situation de surachat ni de survente, avec une volatilité modérée.</w:t>
      </w:r>
    </w:p>
    <w:p>
      <w:pPr>
        <w:spacing w:after="120" w:line="276" w:lineRule="auto"/>
      </w:pPr>
      <w:r>
        <w:t>**MACD :** La valeur du MACD (11,789) est inférieure à son signal (16,836), indiquant un momentum baissier à court terme. La décision "Vente" est justifiée par cette divergence négative, qui suggère un possible ralentissement de la tendance haussière.</w:t>
      </w:r>
    </w:p>
    <w:p>
      <w:pPr>
        <w:spacing w:after="120" w:line="276" w:lineRule="auto"/>
      </w:pPr>
      <w:r>
        <w:t>**RSI :** À 57,813, le RSI se situe dans la zone neutre (30-70), sans signal de surachat ni de survente. La décision "Neutre" est appropriée, le marché étant équilibré.</w:t>
      </w:r>
    </w:p>
    <w:p>
      <w:pPr>
        <w:spacing w:after="120" w:line="276" w:lineRule="auto"/>
      </w:pPr>
      <w:r>
        <w:t>**Stochastique :** Le %K (47,826) est inférieur au %D (51,329), indiquant une dynamique baissière naissante. La décision "Neutre" reflète l'absence de croisement décisif, mais la configuration suggère une prudence à court terme.</w:t>
      </w:r>
    </w:p>
    <w:p>
      <w:pPr>
        <w:spacing w:after="120" w:line="276" w:lineRule="auto"/>
      </w:pPr>
      <w:r>
        <w:t>**Conclusion technique :** Les indicateurs sont mitigés, avec des signaux d'achat à moyen terme (MM) mais des signaux de vente à court terme (MACD, Stochastique). La tendance haussière de fond est confirmée, mais un repli technique est possible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 milliards FCFA, en baisse de 6,31% par rapport à 2024 (45,31 milliards FCFA). Le résultat net est de 22,32 millions FCFA, en amélioration par rapport aux 7,31 millions de 2024, mais reste extrêmement faible (marge nette de 0,05%). Le ROE est de 0,13% et le ROA de 0,05%, des niveaux très en deçà des seuils de rentabilité acceptables. En tant qu'entreprise, BNBC présente un BFR de 29,37 milliards FCFA, avec des délais clients élevés (104,4 jours) et une durée de stockage de 339,2 jours, ce qui immobilise considérablement la trésorerie. La trésorerie nette est fortement négative (-16,69 milliards FCFA), avec une capacité de remboursement de 19,17 ans, un signal d'alerte majeur. Les rapports trimestriels 2025 montrent une dégradation progressive : le T1 2025 était bénéficiaire (16,15 millions), mais le S1 2025 affichait une perte de -139,57 millions, et le T3 2025 une perte cumulée de -157 millions. Le rapport T1 2026 (publié en mai 2026) indique un retour à un bénéfice de 65,57 millions FCFA, grâce à l'intégration de la division Équipement, mais la rentabilité reste fragile. Les perspectives de croissance reposent sur les divisions Équipement et Power, mais la situation financière demeure critique.</w:t>
      </w:r>
    </w:p>
    <w:p>
      <w:pPr>
        <w:spacing w:after="120" w:line="276" w:lineRule="auto"/>
      </w:pPr>
      <w:r>
        <w:t>---</w:t>
      </w:r>
    </w:p>
    <w:p>
      <w:pPr>
        <w:spacing w:after="120" w:line="276" w:lineRule="auto"/>
      </w:pPr>
      <w:r>
        <w:t>### PARTIE 4 : CONCLUSION D'INVESTISSEMENT</w:t>
      </w:r>
    </w:p>
    <w:p>
      <w:pPr>
        <w:spacing w:after="120" w:line="276" w:lineRule="auto"/>
      </w:pPr>
      <w:r>
        <w:t>La valorisation de BNBC est extrêmement exigeante (PER de 572,8x), malgré une décote sur l'actif net (P/B de 0,72x). Le comportement du cours est haussier (+20,62% sur 100 jours), mais la volatilité élevée (47,9%) et la distribution platykurtique indiquent un risque de fluctuations importantes. Les signaux techniques sont mitigés, avec une tendance de fond positive mais des indicateurs à court terme en divergence. Les fondamentaux sont très préoccupants : rentabilité quasi nulle, trésorerie négative massive, BFR élevé, et une amélioration récente (T1 2026) encore fragile. Les prédictions IA (1 925-1 928 FCFA sur 10 jours) suggèrent une stabilité à court terme, sans catalyseur majeur. La convergence entre la valorisation excessive, les fondamentaux dégradés et les signaux techniques mitigés justifie une recommandation **CONSERVER** avec un niveau de confiance **Moyen**. Le risque global est **Élevé**, et l'horizon d'investissement optimal est le **moyen terme (3-12 mois)**, en attendant une confirmation de la reprise de la rentabilité et une 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353.69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5,686 titres</w:t>
            </w:r>
          </w:p>
        </w:tc>
        <w:tc>
          <w:tcPr>
            <w:tcW w:type="dxa" w:w="2268"/>
            <w:shd w:fill="FFF2CC" w:val="clear"/>
          </w:tcPr>
          <w:p>
            <w:r>
              <w:rPr>
                <w:b/>
                <w:color w:val="503200"/>
                <w:sz w:val="16"/>
              </w:rPr>
              <w:t xml:space="preserve">Cours actuel : </w:t>
            </w:r>
            <w:r>
              <w:rPr>
                <w:color w:val="000000"/>
                <w:sz w:val="17"/>
              </w:rPr>
              <w:t>8,720 FCFA</w:t>
            </w:r>
          </w:p>
          <w:p>
            <w:r>
              <w:rPr>
                <w:b/>
                <w:color w:val="503200"/>
                <w:sz w:val="16"/>
              </w:rPr>
              <w:t xml:space="preserve">Var. 100 jours : </w:t>
            </w:r>
            <w:r>
              <w:rPr>
                <w:b/>
                <w:color w:val="007800"/>
                <w:sz w:val="17"/>
              </w:rPr>
              <w:t>+25.02%</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6,975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7.38% (Moyenne) — μ=8,514 FCFA, σ=628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β=-0.0107 (Contre-cyclique) — Cov=-0.000000, Var(idx)=0.000036, ρ=-0.004,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5,686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2026-08-05</w:t>
            </w:r>
          </w:p>
        </w:tc>
        <w:tc>
          <w:tcPr>
            <w:tcW w:type="dxa" w:w="1440"/>
            <w:shd w:fill="FFDCE0" w:val="clear"/>
          </w:tcPr>
          <w:p>
            <w:r>
              <w:rPr>
                <w:sz w:val="17"/>
              </w:rPr>
              <w:t>8,363</w:t>
            </w:r>
          </w:p>
        </w:tc>
        <w:tc>
          <w:tcPr>
            <w:tcW w:type="dxa" w:w="1440"/>
            <w:shd w:fill="FFDCE0" w:val="clear"/>
          </w:tcPr>
          <w:p>
            <w:r>
              <w:rPr>
                <w:b/>
                <w:sz w:val="17"/>
              </w:rPr>
              <w:t>8,487</w:t>
            </w:r>
          </w:p>
        </w:tc>
        <w:tc>
          <w:tcPr>
            <w:tcW w:type="dxa" w:w="1440"/>
            <w:shd w:fill="FFDCE0" w:val="clear"/>
          </w:tcPr>
          <w:p>
            <w:r>
              <w:rPr>
                <w:sz w:val="17"/>
              </w:rPr>
              <w:t>8,611</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2026-08-06</w:t>
            </w:r>
          </w:p>
        </w:tc>
        <w:tc>
          <w:tcPr>
            <w:tcW w:type="dxa" w:w="1440"/>
            <w:shd w:fill="FFDCE0" w:val="clear"/>
          </w:tcPr>
          <w:p>
            <w:r>
              <w:rPr>
                <w:sz w:val="17"/>
              </w:rPr>
              <w:t>8,192</w:t>
            </w:r>
          </w:p>
        </w:tc>
        <w:tc>
          <w:tcPr>
            <w:tcW w:type="dxa" w:w="1440"/>
            <w:shd w:fill="FFDCE0" w:val="clear"/>
          </w:tcPr>
          <w:p>
            <w:r>
              <w:rPr>
                <w:b/>
                <w:sz w:val="17"/>
              </w:rPr>
              <w:t>8,366</w:t>
            </w:r>
          </w:p>
        </w:tc>
        <w:tc>
          <w:tcPr>
            <w:tcW w:type="dxa" w:w="1440"/>
            <w:shd w:fill="FFDCE0" w:val="clear"/>
          </w:tcPr>
          <w:p>
            <w:r>
              <w:rPr>
                <w:sz w:val="17"/>
              </w:rPr>
              <w:t>8,539</w:t>
            </w:r>
          </w:p>
        </w:tc>
        <w:tc>
          <w:tcPr>
            <w:tcW w:type="dxa" w:w="1440"/>
            <w:shd w:fill="FFDCE0" w:val="clear"/>
          </w:tcPr>
          <w:p>
            <w:r>
              <w:rPr>
                <w:b/>
                <w:color w:val="C00000"/>
                <w:sz w:val="17"/>
              </w:rPr>
              <w:t>-4.1%</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8,043</w:t>
            </w:r>
          </w:p>
        </w:tc>
        <w:tc>
          <w:tcPr>
            <w:tcW w:type="dxa" w:w="1440"/>
            <w:shd w:fill="FFDCE0" w:val="clear"/>
          </w:tcPr>
          <w:p>
            <w:r>
              <w:rPr>
                <w:b/>
                <w:sz w:val="17"/>
              </w:rPr>
              <w:t>8,252</w:t>
            </w:r>
          </w:p>
        </w:tc>
        <w:tc>
          <w:tcPr>
            <w:tcW w:type="dxa" w:w="1440"/>
            <w:shd w:fill="FFDCE0" w:val="clear"/>
          </w:tcPr>
          <w:p>
            <w:r>
              <w:rPr>
                <w:sz w:val="17"/>
              </w:rPr>
              <w:t>8,461</w:t>
            </w:r>
          </w:p>
        </w:tc>
        <w:tc>
          <w:tcPr>
            <w:tcW w:type="dxa" w:w="1440"/>
            <w:shd w:fill="FFDCE0" w:val="clear"/>
          </w:tcPr>
          <w:p>
            <w:r>
              <w:rPr>
                <w:b/>
                <w:color w:val="C00000"/>
                <w:sz w:val="17"/>
              </w:rPr>
              <w:t>-5.4%</w:t>
            </w:r>
          </w:p>
        </w:tc>
      </w:tr>
      <w:tr>
        <w:tc>
          <w:tcPr>
            <w:tcW w:type="dxa" w:w="1440"/>
            <w:shd w:fill="FFDCE0" w:val="clear"/>
          </w:tcPr>
          <w:p>
            <w:r>
              <w:rPr>
                <w:sz w:val="17"/>
              </w:rPr>
              <w:t>J+4  Moyenne</w:t>
            </w:r>
          </w:p>
        </w:tc>
        <w:tc>
          <w:tcPr>
            <w:tcW w:type="dxa" w:w="1440"/>
            <w:shd w:fill="FFDCE0" w:val="clear"/>
          </w:tcPr>
          <w:p>
            <w:r>
              <w:rPr>
                <w:sz w:val="17"/>
              </w:rPr>
              <w:t>2026-08-11</w:t>
            </w:r>
          </w:p>
        </w:tc>
        <w:tc>
          <w:tcPr>
            <w:tcW w:type="dxa" w:w="1440"/>
            <w:shd w:fill="FFDCE0" w:val="clear"/>
          </w:tcPr>
          <w:p>
            <w:r>
              <w:rPr>
                <w:sz w:val="17"/>
              </w:rPr>
              <w:t>7,917</w:t>
            </w:r>
          </w:p>
        </w:tc>
        <w:tc>
          <w:tcPr>
            <w:tcW w:type="dxa" w:w="1440"/>
            <w:shd w:fill="FFDCE0" w:val="clear"/>
          </w:tcPr>
          <w:p>
            <w:r>
              <w:rPr>
                <w:b/>
                <w:sz w:val="17"/>
              </w:rPr>
              <w:t>8,156</w:t>
            </w:r>
          </w:p>
        </w:tc>
        <w:tc>
          <w:tcPr>
            <w:tcW w:type="dxa" w:w="1440"/>
            <w:shd w:fill="FFDCE0" w:val="clear"/>
          </w:tcPr>
          <w:p>
            <w:r>
              <w:rPr>
                <w:sz w:val="17"/>
              </w:rPr>
              <w:t>8,395</w:t>
            </w:r>
          </w:p>
        </w:tc>
        <w:tc>
          <w:tcPr>
            <w:tcW w:type="dxa" w:w="1440"/>
            <w:shd w:fill="FFDCE0" w:val="clear"/>
          </w:tcPr>
          <w:p>
            <w:r>
              <w:rPr>
                <w:b/>
                <w:color w:val="C00000"/>
                <w:sz w:val="17"/>
              </w:rPr>
              <w:t>-6.5%</w:t>
            </w:r>
          </w:p>
        </w:tc>
      </w:tr>
      <w:tr>
        <w:tc>
          <w:tcPr>
            <w:tcW w:type="dxa" w:w="1440"/>
            <w:shd w:fill="FFDCE0" w:val="clear"/>
          </w:tcPr>
          <w:p>
            <w:r>
              <w:rPr>
                <w:sz w:val="17"/>
              </w:rPr>
              <w:t>J+5  Moyenne</w:t>
            </w:r>
          </w:p>
        </w:tc>
        <w:tc>
          <w:tcPr>
            <w:tcW w:type="dxa" w:w="1440"/>
            <w:shd w:fill="FFDCE0" w:val="clear"/>
          </w:tcPr>
          <w:p>
            <w:r>
              <w:rPr>
                <w:sz w:val="17"/>
              </w:rPr>
              <w:t>2026-08-12</w:t>
            </w:r>
          </w:p>
        </w:tc>
        <w:tc>
          <w:tcPr>
            <w:tcW w:type="dxa" w:w="1440"/>
            <w:shd w:fill="FFDCE0" w:val="clear"/>
          </w:tcPr>
          <w:p>
            <w:r>
              <w:rPr>
                <w:sz w:val="17"/>
              </w:rPr>
              <w:t>7,805</w:t>
            </w:r>
          </w:p>
        </w:tc>
        <w:tc>
          <w:tcPr>
            <w:tcW w:type="dxa" w:w="1440"/>
            <w:shd w:fill="FFDCE0" w:val="clear"/>
          </w:tcPr>
          <w:p>
            <w:r>
              <w:rPr>
                <w:b/>
                <w:sz w:val="17"/>
              </w:rPr>
              <w:t>8,069</w:t>
            </w:r>
          </w:p>
        </w:tc>
        <w:tc>
          <w:tcPr>
            <w:tcW w:type="dxa" w:w="1440"/>
            <w:shd w:fill="FFDCE0" w:val="clear"/>
          </w:tcPr>
          <w:p>
            <w:r>
              <w:rPr>
                <w:sz w:val="17"/>
              </w:rPr>
              <w:t>8,333</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2026-08-13</w:t>
            </w:r>
          </w:p>
        </w:tc>
        <w:tc>
          <w:tcPr>
            <w:tcW w:type="dxa" w:w="1440"/>
            <w:shd w:fill="FFDCE0" w:val="clear"/>
          </w:tcPr>
          <w:p>
            <w:r>
              <w:rPr>
                <w:sz w:val="17"/>
              </w:rPr>
              <w:t>7,702</w:t>
            </w:r>
          </w:p>
        </w:tc>
        <w:tc>
          <w:tcPr>
            <w:tcW w:type="dxa" w:w="1440"/>
            <w:shd w:fill="FFDCE0" w:val="clear"/>
          </w:tcPr>
          <w:p>
            <w:r>
              <w:rPr>
                <w:b/>
                <w:sz w:val="17"/>
              </w:rPr>
              <w:t>7,988</w:t>
            </w:r>
          </w:p>
        </w:tc>
        <w:tc>
          <w:tcPr>
            <w:tcW w:type="dxa" w:w="1440"/>
            <w:shd w:fill="FFDCE0" w:val="clear"/>
          </w:tcPr>
          <w:p>
            <w:r>
              <w:rPr>
                <w:sz w:val="17"/>
              </w:rPr>
              <w:t>8,274</w:t>
            </w:r>
          </w:p>
        </w:tc>
        <w:tc>
          <w:tcPr>
            <w:tcW w:type="dxa" w:w="1440"/>
            <w:shd w:fill="FFDCE0" w:val="clear"/>
          </w:tcPr>
          <w:p>
            <w:r>
              <w:rPr>
                <w:b/>
                <w:color w:val="C00000"/>
                <w:sz w:val="17"/>
              </w:rPr>
              <w:t>-8.4%</w:t>
            </w:r>
          </w:p>
        </w:tc>
      </w:tr>
      <w:tr>
        <w:tc>
          <w:tcPr>
            <w:tcW w:type="dxa" w:w="1440"/>
            <w:shd w:fill="FFDCE0" w:val="clear"/>
          </w:tcPr>
          <w:p>
            <w:r>
              <w:rPr>
                <w:sz w:val="17"/>
              </w:rPr>
              <w:t>J+7  Moyenne</w:t>
            </w:r>
          </w:p>
        </w:tc>
        <w:tc>
          <w:tcPr>
            <w:tcW w:type="dxa" w:w="1440"/>
            <w:shd w:fill="FFDCE0" w:val="clear"/>
          </w:tcPr>
          <w:p>
            <w:r>
              <w:rPr>
                <w:sz w:val="17"/>
              </w:rPr>
              <w:t>2026-08-14</w:t>
            </w:r>
          </w:p>
        </w:tc>
        <w:tc>
          <w:tcPr>
            <w:tcW w:type="dxa" w:w="1440"/>
            <w:shd w:fill="FFDCE0" w:val="clear"/>
          </w:tcPr>
          <w:p>
            <w:r>
              <w:rPr>
                <w:sz w:val="17"/>
              </w:rPr>
              <w:t>7,605</w:t>
            </w:r>
          </w:p>
        </w:tc>
        <w:tc>
          <w:tcPr>
            <w:tcW w:type="dxa" w:w="1440"/>
            <w:shd w:fill="FFDCE0" w:val="clear"/>
          </w:tcPr>
          <w:p>
            <w:r>
              <w:rPr>
                <w:b/>
                <w:sz w:val="17"/>
              </w:rPr>
              <w:t>7,911</w:t>
            </w:r>
          </w:p>
        </w:tc>
        <w:tc>
          <w:tcPr>
            <w:tcW w:type="dxa" w:w="1440"/>
            <w:shd w:fill="FFDCE0" w:val="clear"/>
          </w:tcPr>
          <w:p>
            <w:r>
              <w:rPr>
                <w:sz w:val="17"/>
              </w:rPr>
              <w:t>8,218</w:t>
            </w:r>
          </w:p>
        </w:tc>
        <w:tc>
          <w:tcPr>
            <w:tcW w:type="dxa" w:w="1440"/>
            <w:shd w:fill="FFDCE0" w:val="clear"/>
          </w:tcPr>
          <w:p>
            <w:r>
              <w:rPr>
                <w:b/>
                <w:color w:val="C00000"/>
                <w:sz w:val="17"/>
              </w:rPr>
              <w:t>-9.3%</w:t>
            </w:r>
          </w:p>
        </w:tc>
      </w:tr>
      <w:tr>
        <w:tc>
          <w:tcPr>
            <w:tcW w:type="dxa" w:w="1440"/>
            <w:shd w:fill="FFDCE0" w:val="clear"/>
          </w:tcPr>
          <w:p>
            <w:r>
              <w:rPr>
                <w:sz w:val="17"/>
              </w:rPr>
              <w:t>J+8  Moyenne</w:t>
            </w:r>
          </w:p>
        </w:tc>
        <w:tc>
          <w:tcPr>
            <w:tcW w:type="dxa" w:w="1440"/>
            <w:shd w:fill="FFDCE0" w:val="clear"/>
          </w:tcPr>
          <w:p>
            <w:r>
              <w:rPr>
                <w:sz w:val="17"/>
              </w:rPr>
              <w:t>2026-08-17</w:t>
            </w:r>
          </w:p>
        </w:tc>
        <w:tc>
          <w:tcPr>
            <w:tcW w:type="dxa" w:w="1440"/>
            <w:shd w:fill="FFDCE0" w:val="clear"/>
          </w:tcPr>
          <w:p>
            <w:r>
              <w:rPr>
                <w:sz w:val="17"/>
              </w:rPr>
              <w:t>7,514</w:t>
            </w:r>
          </w:p>
        </w:tc>
        <w:tc>
          <w:tcPr>
            <w:tcW w:type="dxa" w:w="1440"/>
            <w:shd w:fill="FFDCE0" w:val="clear"/>
          </w:tcPr>
          <w:p>
            <w:r>
              <w:rPr>
                <w:b/>
                <w:sz w:val="17"/>
              </w:rPr>
              <w:t>7,838</w:t>
            </w:r>
          </w:p>
        </w:tc>
        <w:tc>
          <w:tcPr>
            <w:tcW w:type="dxa" w:w="1440"/>
            <w:shd w:fill="FFDCE0" w:val="clear"/>
          </w:tcPr>
          <w:p>
            <w:r>
              <w:rPr>
                <w:sz w:val="17"/>
              </w:rPr>
              <w:t>8,163</w:t>
            </w:r>
          </w:p>
        </w:tc>
        <w:tc>
          <w:tcPr>
            <w:tcW w:type="dxa" w:w="1440"/>
            <w:shd w:fill="FFDCE0" w:val="clear"/>
          </w:tcPr>
          <w:p>
            <w:r>
              <w:rPr>
                <w:b/>
                <w:color w:val="C00000"/>
                <w:sz w:val="17"/>
              </w:rPr>
              <w:t>-10.1%</w:t>
            </w:r>
          </w:p>
        </w:tc>
      </w:tr>
      <w:tr>
        <w:tc>
          <w:tcPr>
            <w:tcW w:type="dxa" w:w="1440"/>
            <w:shd w:fill="FFDCE0" w:val="clear"/>
          </w:tcPr>
          <w:p>
            <w:r>
              <w:rPr>
                <w:sz w:val="17"/>
              </w:rPr>
              <w:t>J+9  Moyenne</w:t>
            </w:r>
          </w:p>
        </w:tc>
        <w:tc>
          <w:tcPr>
            <w:tcW w:type="dxa" w:w="1440"/>
            <w:shd w:fill="FFDCE0" w:val="clear"/>
          </w:tcPr>
          <w:p>
            <w:r>
              <w:rPr>
                <w:sz w:val="17"/>
              </w:rPr>
              <w:t>2026-08-18</w:t>
            </w:r>
          </w:p>
        </w:tc>
        <w:tc>
          <w:tcPr>
            <w:tcW w:type="dxa" w:w="1440"/>
            <w:shd w:fill="FFDCE0" w:val="clear"/>
          </w:tcPr>
          <w:p>
            <w:r>
              <w:rPr>
                <w:sz w:val="17"/>
              </w:rPr>
              <w:t>7,428</w:t>
            </w:r>
          </w:p>
        </w:tc>
        <w:tc>
          <w:tcPr>
            <w:tcW w:type="dxa" w:w="1440"/>
            <w:shd w:fill="FFDCE0" w:val="clear"/>
          </w:tcPr>
          <w:p>
            <w:r>
              <w:rPr>
                <w:b/>
                <w:sz w:val="17"/>
              </w:rPr>
              <w:t>7,769</w:t>
            </w:r>
          </w:p>
        </w:tc>
        <w:tc>
          <w:tcPr>
            <w:tcW w:type="dxa" w:w="1440"/>
            <w:shd w:fill="FFDCE0" w:val="clear"/>
          </w:tcPr>
          <w:p>
            <w:r>
              <w:rPr>
                <w:sz w:val="17"/>
              </w:rPr>
              <w:t>8,110</w:t>
            </w:r>
          </w:p>
        </w:tc>
        <w:tc>
          <w:tcPr>
            <w:tcW w:type="dxa" w:w="1440"/>
            <w:shd w:fill="FFDCE0" w:val="clear"/>
          </w:tcPr>
          <w:p>
            <w:r>
              <w:rPr>
                <w:b/>
                <w:color w:val="C00000"/>
                <w:sz w:val="17"/>
              </w:rPr>
              <w:t>-10.9%</w:t>
            </w:r>
          </w:p>
        </w:tc>
      </w:tr>
      <w:tr>
        <w:tc>
          <w:tcPr>
            <w:tcW w:type="dxa" w:w="1440"/>
            <w:shd w:fill="FFDCE0" w:val="clear"/>
          </w:tcPr>
          <w:p>
            <w:r>
              <w:rPr>
                <w:sz w:val="17"/>
              </w:rPr>
              <w:t>J+10  Moyenne</w:t>
            </w:r>
          </w:p>
        </w:tc>
        <w:tc>
          <w:tcPr>
            <w:tcW w:type="dxa" w:w="1440"/>
            <w:shd w:fill="FFDCE0" w:val="clear"/>
          </w:tcPr>
          <w:p>
            <w:r>
              <w:rPr>
                <w:sz w:val="17"/>
              </w:rPr>
              <w:t>2026-08-19</w:t>
            </w:r>
          </w:p>
        </w:tc>
        <w:tc>
          <w:tcPr>
            <w:tcW w:type="dxa" w:w="1440"/>
            <w:shd w:fill="FFDCE0" w:val="clear"/>
          </w:tcPr>
          <w:p>
            <w:r>
              <w:rPr>
                <w:sz w:val="17"/>
              </w:rPr>
              <w:t>7,346</w:t>
            </w:r>
          </w:p>
        </w:tc>
        <w:tc>
          <w:tcPr>
            <w:tcW w:type="dxa" w:w="1440"/>
            <w:shd w:fill="FFDCE0" w:val="clear"/>
          </w:tcPr>
          <w:p>
            <w:r>
              <w:rPr>
                <w:b/>
                <w:sz w:val="17"/>
              </w:rPr>
              <w:t>7,703</w:t>
            </w:r>
          </w:p>
        </w:tc>
        <w:tc>
          <w:tcPr>
            <w:tcW w:type="dxa" w:w="1440"/>
            <w:shd w:fill="FFDCE0" w:val="clear"/>
          </w:tcPr>
          <w:p>
            <w:r>
              <w:rPr>
                <w:sz w:val="17"/>
              </w:rPr>
              <w:t>8,060</w:t>
            </w:r>
          </w:p>
        </w:tc>
        <w:tc>
          <w:tcPr>
            <w:tcW w:type="dxa" w:w="1440"/>
            <w:shd w:fill="FFDCE0" w:val="clear"/>
          </w:tcPr>
          <w:p>
            <w:r>
              <w:rPr>
                <w:b/>
                <w:color w:val="C00000"/>
                <w:sz w:val="17"/>
              </w:rPr>
              <w:t>-11.7%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353,69 milliards FCFA, positionnant le titre comme une valeur de première ligne sur la BRVM. Avec un BPA de 496 FCFA, le PER de 17,6x se situe nettement au-dessus de la moyenne historique du marché régional (8-12x), indiquant que les investisseurs paient une prime substantielle pour la qualité de l'actif et ses perspectives de croissance. Le P/B de 3,01x confirme cette lecture, le marché valorisant la banque à trois fois sa valeur comptable, une prime de croissance qui reflète la confiance dans la génération future de bénéfices. L'EV/EBITDA de 18,5x apparaît particulièrement exigeant, signalant que la valeur totale de l'entreprise intègre des anticipations de performance opérationnelle soutenue. Cette configuration valorise le titre sur des hypothèses de croissance ambitieuses, ce qui réduit la marge de sécurité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 affiche une progression remarquable de +25,02%, avec un cours actuel de 8 720 FCFA, tandis que la dernière séance s'est soldée par une hausse modeste de +0,29%. Le titre a évolué dans une fourchette de 6 975 à 9 420 FCFA, démontrant une amplitude de trading significative de près de 35%. La moyenne (8 514 FCFA) est légèrement inférieure à la médiane (8 715 FCFA), et le mode de 8 700 FCFA suggère une concentration des transactions autour de ce niveau, indiquant une asymétrie négative (skewness de -0,609) avec davantage de journées au-dessus de la moyenne. L'écart-type de 631 FCFA (CV de 7,4%) témoigne d'une dispersion modérée, tandis que le kurtosis de -0,777 (mésokurtique) écarte tout risque de mouvements extrêmes. La volatilité annualisée de 27,9% classe le titre dans la catégorie modérée à élevée, reflétant une dynamique de marché active mais non spéculative.</w:t>
      </w:r>
    </w:p>
    <w:p>
      <w:pPr>
        <w:spacing w:after="120" w:line="276" w:lineRule="auto" w:before="240"/>
      </w:pPr>
      <w:r>
        <w:rPr>
          <w:b/>
          <w:color w:val="003366"/>
          <w:sz w:val="24"/>
        </w:rPr>
        <w:t>**PARTIE 2 : ANALYSE TECHNIQUE DÉTAILLÉE**</w:t>
      </w:r>
    </w:p>
    <w:p>
      <w:pPr>
        <w:spacing w:after="120" w:line="276" w:lineRule="auto"/>
      </w:pPr>
      <w:r>
        <w:t>**Moyennes Mobiles** : Le cours actuel de 8 720 FCFA se positionne sous la MM20 (8 702,75 FCFA) et nettement sous la MM50 (8 815,6 FCFA), configuration baissière à court terme. La décision de Vente se justifie par la rupture des supports dynamiques, le titre évoluant dans une phase de correction après son récent sommet.</w:t>
      </w:r>
    </w:p>
    <w:p>
      <w:pPr>
        <w:spacing w:after="120" w:line="276" w:lineRule="auto"/>
      </w:pPr>
      <w:r>
        <w:t>**Bandes de Bollinger** : Le prix se situe à l'intérieur des bandes, entre la borne supérieure (8 893,47 FCFA) et inférieure (8 512,03 FCFA), avec une position quasi médiane. La décision Neutre reflète une volatilité contenue et l'absence de signal directionnel fort, le marché attendant une sortie de ce range.</w:t>
      </w:r>
    </w:p>
    <w:p>
      <w:pPr>
        <w:spacing w:after="120" w:line="276" w:lineRule="auto"/>
      </w:pPr>
      <w:r>
        <w:t>**MACD** : La valeur de -56,236 reste négative mais le signal à -66,892 indique un momentum baissier qui s'atténue. La décision Achat suggère un potentiel retournement haussier imminent, le MACD se rapprochant de sa ligne de signal, préfigurant un croisement positif.</w:t>
      </w:r>
    </w:p>
    <w:p>
      <w:pPr>
        <w:spacing w:after="120" w:line="276" w:lineRule="auto"/>
      </w:pPr>
      <w:r>
        <w:t>**RSI** : À 46,897, le RSI se situe en zone neutre, sans pression acheteuse ni vendeuse dominante. Cette valeur indique une absence de surachat ou de survente, laissant place à une évolution directionnelle sans contrainte technique majeure.</w:t>
      </w:r>
    </w:p>
    <w:p>
      <w:pPr>
        <w:spacing w:after="120" w:line="276" w:lineRule="auto"/>
      </w:pPr>
      <w:r>
        <w:t>**Stochastique** : Avec %K à 76,923 et %D à 66,827, l'oscillateur se rapproche de la zone de surachat sans l'atteindre. Le %K au-dessus du %D suggère une dynamique positive naissante, bien que la décision Neutre reflète une prudence face à une possible consolidation.</w:t>
      </w:r>
    </w:p>
    <w:p>
      <w:pPr>
        <w:spacing w:after="120" w:line="276" w:lineRule="auto"/>
      </w:pPr>
      <w:r>
        <w:t>**Conclusion technique** : Les signaux sont mitigés avec une prédominance baissière à court terme (MM) contre des indicateurs de momentum (MACD, Stochastique) montrant des signes de stabilisation. Le titre semble en phase de consolidation après une forte progression, avec un potentiel de reprise si le MACD confirme son croisement haussier et que le cours repasse au-dessus des moyennes mobiles.</w:t>
      </w:r>
    </w:p>
    <w:p>
      <w:pPr>
        <w:spacing w:after="120" w:line="276" w:lineRule="auto" w:before="240"/>
      </w:pPr>
      <w:r>
        <w:rPr>
          <w:b/>
          <w:color w:val="003366"/>
          <w:sz w:val="24"/>
        </w:rPr>
        <w:t>**PARTIE 3 : ANALYSE FONDAMENTALE (SECTION CRITIQUE)**</w:t>
      </w:r>
    </w:p>
    <w:p>
      <w:pPr>
        <w:spacing w:after="120" w:line="276" w:lineRule="auto"/>
      </w:pPr>
      <w:r>
        <w:t>En 2025, BOAB affiche un Produit Net Bancaire de 51,274 milliards FCFA, en croissance de 10,2%, avec un résultat net de 20,107 milliards FCFA, portant le ROE à 17,11% et le ROA à 2,08%. Le coefficient d'exploitation de 49,53% témoigne d'une excellente maîtrise des charges, tandis que le coût du risque de 22,5% reste élevé, signalant une dégradation de la qualité du portefeuille de crédits. Les dépôts clients (711,64 milliards FCFA) couvrent largement les créances (391,72 milliards FCFA), indiquant une transformation saine. Le rapport du 1er semestre 2025 confirme cette trajectoire avec un PNB de 24,556 milliards FCFA (+5,91%) et un résultat net de 11,012 milliards FCFA, mais révèle une hausse spectaculaire du coût du risque (+394,66%). Le rapport du T3 2025 (PNB de 37,065 milliards FCFA, +9%) montre une amélioration de la rentabilité nette (+13% à 15,880 milliards FCFA), malgré une contraction des crédits (-10%) et dépôts (-5%). Le rapport T1 2026 (PNB de 12,329 milliards FCFA, +11%) confirme la dynamique avec des commissions en hausse de 18,9%. Sur la base de ces tendances, on estime que l'exercice 2026 pourrait voir un PNB dépasser 56 milliards FCFA et un résultat net supérieur à 22 milliards FCFA, consolidant la solidité financière de la banque.</w:t>
      </w:r>
    </w:p>
    <w:p>
      <w:pPr>
        <w:spacing w:after="120" w:line="276" w:lineRule="auto" w:before="240"/>
      </w:pPr>
      <w:r>
        <w:rPr>
          <w:b/>
          <w:color w:val="003366"/>
          <w:sz w:val="24"/>
        </w:rPr>
        <w:t>**PARTIE 4 : CONCLUSION D'INVESTISSEMENT**</w:t>
      </w:r>
    </w:p>
    <w:p>
      <w:pPr>
        <w:spacing w:after="120" w:line="276" w:lineRule="auto"/>
      </w:pPr>
      <w:r>
        <w:t>La valorisation de BOAB (PER 17,6x, P/B 3,01x, EV/EBITDA 18,5x) apparaît exigeante, intégrant des anticipations de croissance soutenue, tandis que le comportement du cours (+25% sur 100 jours) avec une volatilité modérée et une asymétrie négative suggère une consolidation saine. Les signaux techniques mitigés (MM baissières, MACD haussier, RSI neutre) indiquent une phase de transition, tandis que les fondamentaux solides (ROE &gt;17%, coefficient d'exploitation &lt;50%) et les estimations 2026 (PNB &gt;56 milliards FCFA) confirment la qualité de l'actif. Cependant, les prédictions IA projetant une baisse progressive à 8 069 FCFA sur 10 jours contredisent les signaux de momentum, suggérant une correction à court terme. Cette divergence entre la solidité fondamentale et les perspectives techniques immédiates conduit à une recommandation **CONSERVER**, avec un niveau de confiance **Moyen** et un risque global **Élevé** en raison de la valorisation tendue et du coût du risque. L'horizon d'investissement optimal se situe à **moyen terme (3-12 mois)**, permettant d'absorber la volatilité technique et de bénéficier de la croissance fondamentale attendue.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316.80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6,173 titres</w:t>
            </w:r>
          </w:p>
        </w:tc>
        <w:tc>
          <w:tcPr>
            <w:tcW w:type="dxa" w:w="2268"/>
            <w:shd w:fill="FFF2CC" w:val="clear"/>
          </w:tcPr>
          <w:p>
            <w:r>
              <w:rPr>
                <w:b/>
                <w:color w:val="503200"/>
                <w:sz w:val="16"/>
              </w:rPr>
              <w:t xml:space="preserve">Cours actuel : </w:t>
            </w:r>
            <w:r>
              <w:rPr>
                <w:color w:val="000000"/>
                <w:sz w:val="17"/>
              </w:rPr>
              <w:t>7,200 FCFA</w:t>
            </w:r>
          </w:p>
          <w:p>
            <w:r>
              <w:rPr>
                <w:b/>
                <w:color w:val="503200"/>
                <w:sz w:val="16"/>
              </w:rPr>
              <w:t xml:space="preserve">Var. 100 jours : </w:t>
            </w:r>
            <w:r>
              <w:rPr>
                <w:b/>
                <w:color w:val="007800"/>
                <w:sz w:val="17"/>
              </w:rPr>
              <w:t>+52.54%</w:t>
            </w:r>
          </w:p>
          <w:p>
            <w:r>
              <w:rPr>
                <w:b/>
                <w:color w:val="503200"/>
                <w:sz w:val="16"/>
              </w:rPr>
              <w:t xml:space="preserve">Plus haut 100j : </w:t>
            </w:r>
            <w:r>
              <w:rPr>
                <w:color w:val="000000"/>
                <w:sz w:val="17"/>
              </w:rPr>
              <w:t>7,255 FCFA</w:t>
            </w:r>
          </w:p>
          <w:p>
            <w:r>
              <w:rPr>
                <w:b/>
                <w:color w:val="503200"/>
                <w:sz w:val="16"/>
              </w:rPr>
              <w:t xml:space="preserve">Plus bas 100j : </w:t>
            </w:r>
            <w:r>
              <w:rPr>
                <w:color w:val="000000"/>
                <w:sz w:val="17"/>
              </w:rPr>
              <w:t>4,720 FCFA</w:t>
            </w:r>
          </w:p>
          <w:p>
            <w:r>
              <w:rPr>
                <w:b/>
                <w:color w:val="503200"/>
                <w:sz w:val="16"/>
              </w:rPr>
              <w:t xml:space="preserve">Volatilité ann. : </w:t>
            </w:r>
            <w:r>
              <w:rPr>
                <w:color w:val="000000"/>
                <w:sz w:val="17"/>
              </w:rPr>
              <w:t>31.5%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10.44% (Moyenne) — μ=5,780 FCFA, σ=603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β=0.2629 (Défensif) — Cov=0.000009, Var(idx)=0.000036, ρ=0.084,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σ_j=1.99%/j (Stable) — Vol. annualisée≈31.5%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6,788</w:t>
            </w:r>
          </w:p>
        </w:tc>
        <w:tc>
          <w:tcPr>
            <w:tcW w:type="dxa" w:w="1440"/>
            <w:shd w:fill="FFDCE0" w:val="clear"/>
          </w:tcPr>
          <w:p>
            <w:r>
              <w:rPr>
                <w:b/>
                <w:sz w:val="17"/>
              </w:rPr>
              <w:t>7,055</w:t>
            </w:r>
          </w:p>
        </w:tc>
        <w:tc>
          <w:tcPr>
            <w:tcW w:type="dxa" w:w="1440"/>
            <w:shd w:fill="FFDCE0" w:val="clear"/>
          </w:tcPr>
          <w:p>
            <w:r>
              <w:rPr>
                <w:sz w:val="17"/>
              </w:rPr>
              <w:t>7,322</w:t>
            </w:r>
          </w:p>
        </w:tc>
        <w:tc>
          <w:tcPr>
            <w:tcW w:type="dxa" w:w="1440"/>
            <w:shd w:fill="FFDCE0"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6,580</w:t>
            </w:r>
          </w:p>
        </w:tc>
        <w:tc>
          <w:tcPr>
            <w:tcW w:type="dxa" w:w="1440"/>
            <w:shd w:fill="FFDCE0" w:val="clear"/>
          </w:tcPr>
          <w:p>
            <w:r>
              <w:rPr>
                <w:b/>
                <w:sz w:val="17"/>
              </w:rPr>
              <w:t>6,952</w:t>
            </w:r>
          </w:p>
        </w:tc>
        <w:tc>
          <w:tcPr>
            <w:tcW w:type="dxa" w:w="1440"/>
            <w:shd w:fill="FFDCE0" w:val="clear"/>
          </w:tcPr>
          <w:p>
            <w:r>
              <w:rPr>
                <w:sz w:val="17"/>
              </w:rPr>
              <w:t>7,324</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6,416</w:t>
            </w:r>
          </w:p>
        </w:tc>
        <w:tc>
          <w:tcPr>
            <w:tcW w:type="dxa" w:w="1440"/>
            <w:shd w:fill="FFDCE0" w:val="clear"/>
          </w:tcPr>
          <w:p>
            <w:r>
              <w:rPr>
                <w:b/>
                <w:sz w:val="17"/>
              </w:rPr>
              <w:t>6,866</w:t>
            </w:r>
          </w:p>
        </w:tc>
        <w:tc>
          <w:tcPr>
            <w:tcW w:type="dxa" w:w="1440"/>
            <w:shd w:fill="FFDCE0" w:val="clear"/>
          </w:tcPr>
          <w:p>
            <w:r>
              <w:rPr>
                <w:sz w:val="17"/>
              </w:rPr>
              <w:t>7,316</w:t>
            </w:r>
          </w:p>
        </w:tc>
        <w:tc>
          <w:tcPr>
            <w:tcW w:type="dxa" w:w="1440"/>
            <w:shd w:fill="FFDCE0" w:val="clear"/>
          </w:tcPr>
          <w:p>
            <w:r>
              <w:rPr>
                <w:b/>
                <w:color w:val="C00000"/>
                <w:sz w:val="17"/>
              </w:rPr>
              <w:t>-4.6%</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6,281</w:t>
            </w:r>
          </w:p>
        </w:tc>
        <w:tc>
          <w:tcPr>
            <w:tcW w:type="dxa" w:w="1440"/>
            <w:shd w:fill="FFDCE0" w:val="clear"/>
          </w:tcPr>
          <w:p>
            <w:r>
              <w:rPr>
                <w:b/>
                <w:sz w:val="17"/>
              </w:rPr>
              <w:t>6,796</w:t>
            </w:r>
          </w:p>
        </w:tc>
        <w:tc>
          <w:tcPr>
            <w:tcW w:type="dxa" w:w="1440"/>
            <w:shd w:fill="FFDCE0" w:val="clear"/>
          </w:tcPr>
          <w:p>
            <w:r>
              <w:rPr>
                <w:sz w:val="17"/>
              </w:rPr>
              <w:t>7,310</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6,165</w:t>
            </w:r>
          </w:p>
        </w:tc>
        <w:tc>
          <w:tcPr>
            <w:tcW w:type="dxa" w:w="1440"/>
            <w:shd w:fill="FFDCE0" w:val="clear"/>
          </w:tcPr>
          <w:p>
            <w:r>
              <w:rPr>
                <w:b/>
                <w:sz w:val="17"/>
              </w:rPr>
              <w:t>6,735</w:t>
            </w:r>
          </w:p>
        </w:tc>
        <w:tc>
          <w:tcPr>
            <w:tcW w:type="dxa" w:w="1440"/>
            <w:shd w:fill="FFDCE0" w:val="clear"/>
          </w:tcPr>
          <w:p>
            <w:r>
              <w:rPr>
                <w:sz w:val="17"/>
              </w:rPr>
              <w:t>7,305</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6,060</w:t>
            </w:r>
          </w:p>
        </w:tc>
        <w:tc>
          <w:tcPr>
            <w:tcW w:type="dxa" w:w="1440"/>
            <w:shd w:fill="FFDCE0" w:val="clear"/>
          </w:tcPr>
          <w:p>
            <w:r>
              <w:rPr>
                <w:b/>
                <w:sz w:val="17"/>
              </w:rPr>
              <w:t>6,679</w:t>
            </w:r>
          </w:p>
        </w:tc>
        <w:tc>
          <w:tcPr>
            <w:tcW w:type="dxa" w:w="1440"/>
            <w:shd w:fill="FFDCE0" w:val="clear"/>
          </w:tcPr>
          <w:p>
            <w:r>
              <w:rPr>
                <w:sz w:val="17"/>
              </w:rPr>
              <w:t>7,298</w:t>
            </w:r>
          </w:p>
        </w:tc>
        <w:tc>
          <w:tcPr>
            <w:tcW w:type="dxa" w:w="1440"/>
            <w:shd w:fill="FFDCE0" w:val="clear"/>
          </w:tcPr>
          <w:p>
            <w:r>
              <w:rPr>
                <w:b/>
                <w:color w:val="C00000"/>
                <w:sz w:val="17"/>
              </w:rPr>
              <w:t>-7.2%</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5,963</w:t>
            </w:r>
          </w:p>
        </w:tc>
        <w:tc>
          <w:tcPr>
            <w:tcW w:type="dxa" w:w="1440"/>
            <w:shd w:fill="FFDCE0" w:val="clear"/>
          </w:tcPr>
          <w:p>
            <w:r>
              <w:rPr>
                <w:b/>
                <w:sz w:val="17"/>
              </w:rPr>
              <w:t>6,626</w:t>
            </w:r>
          </w:p>
        </w:tc>
        <w:tc>
          <w:tcPr>
            <w:tcW w:type="dxa" w:w="1440"/>
            <w:shd w:fill="FFDCE0" w:val="clear"/>
          </w:tcPr>
          <w:p>
            <w:r>
              <w:rPr>
                <w:sz w:val="17"/>
              </w:rPr>
              <w:t>7,290</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5,872</w:t>
            </w:r>
          </w:p>
        </w:tc>
        <w:tc>
          <w:tcPr>
            <w:tcW w:type="dxa" w:w="1440"/>
            <w:shd w:fill="FFDCE0" w:val="clear"/>
          </w:tcPr>
          <w:p>
            <w:r>
              <w:rPr>
                <w:b/>
                <w:sz w:val="17"/>
              </w:rPr>
              <w:t>6,576</w:t>
            </w:r>
          </w:p>
        </w:tc>
        <w:tc>
          <w:tcPr>
            <w:tcW w:type="dxa" w:w="1440"/>
            <w:shd w:fill="FFDCE0" w:val="clear"/>
          </w:tcPr>
          <w:p>
            <w:r>
              <w:rPr>
                <w:sz w:val="17"/>
              </w:rPr>
              <w:t>7,279</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5,786</w:t>
            </w:r>
          </w:p>
        </w:tc>
        <w:tc>
          <w:tcPr>
            <w:tcW w:type="dxa" w:w="1440"/>
            <w:shd w:fill="FFDCE0" w:val="clear"/>
          </w:tcPr>
          <w:p>
            <w:r>
              <w:rPr>
                <w:b/>
                <w:sz w:val="17"/>
              </w:rPr>
              <w:t>6,527</w:t>
            </w:r>
          </w:p>
        </w:tc>
        <w:tc>
          <w:tcPr>
            <w:tcW w:type="dxa" w:w="1440"/>
            <w:shd w:fill="FFDCE0" w:val="clear"/>
          </w:tcPr>
          <w:p>
            <w:r>
              <w:rPr>
                <w:sz w:val="17"/>
              </w:rPr>
              <w:t>7,268</w:t>
            </w:r>
          </w:p>
        </w:tc>
        <w:tc>
          <w:tcPr>
            <w:tcW w:type="dxa" w:w="1440"/>
            <w:shd w:fill="FFDCE0" w:val="clear"/>
          </w:tcPr>
          <w:p>
            <w:r>
              <w:rPr>
                <w:b/>
                <w:color w:val="C00000"/>
                <w:sz w:val="17"/>
              </w:rPr>
              <w:t>-9.4%</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5,704</w:t>
            </w:r>
          </w:p>
        </w:tc>
        <w:tc>
          <w:tcPr>
            <w:tcW w:type="dxa" w:w="1440"/>
            <w:shd w:fill="FFDCE0" w:val="clear"/>
          </w:tcPr>
          <w:p>
            <w:r>
              <w:rPr>
                <w:b/>
                <w:sz w:val="17"/>
              </w:rPr>
              <w:t>6,479</w:t>
            </w:r>
          </w:p>
        </w:tc>
        <w:tc>
          <w:tcPr>
            <w:tcW w:type="dxa" w:w="1440"/>
            <w:shd w:fill="FFDCE0" w:val="clear"/>
          </w:tcPr>
          <w:p>
            <w:r>
              <w:rPr>
                <w:sz w:val="17"/>
              </w:rPr>
              <w:t>7,255</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04 août 2026**</w:t>
        <w:br/>
        <w:t>**Cours de référence : 7 200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316,80 milliards FCFA, un niveau significatif qui en fait l'une des valeurs les plus conséquentes de la cote BRVM, reflétant la confiance des investisseurs institutionnels dans ce titre bancaire de premier plan. Avec un BPA de 438 FCFA, chaque action génère un bénéfice substantiel, justifiant un PER de 16,5x. Ce ratio, bien que supérieur à la moyenne historique de la BRVM (8-12x), traduit une prime de croissance accordée par le marché, les investisseurs anticipant une normalisation de la rentabilité après les chocs de provisions de 2025. Le P/B de 2,50x confirme cette prime, le marché valorisant la banque à 2,5 fois sa valeur comptable, signe d'une anticipation de rendement futur supérieur à la moyenne. Enfin, l'EV/EBITDA de 6,9x, situé dans la fourchette raisonnable (5-10x), indique que la valorisation globale de l'entreprise, rapportée à sa capacité opérationnelle, reste mesurée et ne présente pas de bulle spéculative.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BOABF a enregistré une progression spectaculaire de +52,54%, passant d'un plus bas de 4 720 FCFA à un plus haut de 7 255 FCFA, démontrant une dynamique haussière extrêmement forte, bien que la dernière séance montre une stabilisation (variation J-1 de 0,00%). La moyenne du cours sur la période (5 780 FCFA) est nettement inférieure à la médiane (5 588 FCFA), et l'écart positif entre le cours actuel et ces deux mesures confirme la vigueur du mouvement récent. L'écart-type de 606 FCFA (CV de 10,5%) indique une dispersion modérée des prix autour de la moyenne. Le skewness positif de 1,458 révèle une asymétrie marquée avec des journées de fortes hausses plus fréquentes que les baisses, tandis que le kurtosis de 0,953 (mésokurtique) suggère une distribution proche de la normale, sans risque de variations extrêmes imprévues. La volatilité annualisée de 31,5% classe le titre comme très volatil, un niveau élevé qui reflète à la fois l'enthousiasme des investisseurs et les incertitudes sous-jacentes.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(7 200 FCFA) se positionne nettement au-dessus de la MM20 (6 855,75 FCFA) et de la MM50 (6 118,9 FCFA), dans une configuration de tendance haussière claire. L'écart important entre les deux moyennes et le prix confirme la force du momentum, justifiant la décision d'**Achat**.</w:t>
      </w:r>
    </w:p>
    <w:p>
      <w:pPr>
        <w:spacing w:after="120" w:line="276" w:lineRule="auto"/>
      </w:pPr>
      <w:r>
        <w:t>**Bandes de Bollinger** : Le prix se situe à 7 200 FCFA, entre la borne supérieure (7 801 FCFA) et la borne inférieure (5 910 FCFA), mais plus près de la borne haute. Cette position indique une pression acheteuse soutenue sans atteindre des conditions de surachat extrême, d'où une décision **Neutre** malgré la tendance positive.</w:t>
      </w:r>
    </w:p>
    <w:p>
      <w:pPr>
        <w:spacing w:after="120" w:line="276" w:lineRule="auto"/>
      </w:pPr>
      <w:r>
        <w:t>**MACD** : La valeur du MACD (326,6) est inférieure à son signal (346,4), indiquant un ralentissement du momentum haussier à court terme. Cette divergence négative, bien que légère, suggère une possible consolidation ou correction technique, justifiant la décision de **Vente** pour les traders à court terme.</w:t>
      </w:r>
    </w:p>
    <w:p>
      <w:pPr>
        <w:spacing w:after="120" w:line="276" w:lineRule="auto"/>
      </w:pPr>
      <w:r>
        <w:t>**RSI** : À 61,2, le RSI se situe dans la zone neutre (30-70), sans signal de surachat ou de survente. Cette valeur indique que le titre dispose encore d'une marge de progression avant d'atteindre des niveaux extrêmes, justifiant une décision **Neutre**.</w:t>
      </w:r>
    </w:p>
    <w:p>
      <w:pPr>
        <w:spacing w:after="120" w:line="276" w:lineRule="auto"/>
      </w:pPr>
      <w:r>
        <w:t>**Stochastique** : Le %K (84,5) et le %D (84,9) sont tous deux dans la zone de surachat (&gt;80), avec un %K légèrement sous le %D, signalant un essoufflement potentiel de la dynamique haussière. Cette configuration suggère un risque de retournement, justifiant la décision de **Vente**.</w:t>
      </w:r>
    </w:p>
    <w:p>
      <w:pPr>
        <w:spacing w:after="120" w:line="276" w:lineRule="auto"/>
      </w:pPr>
      <w:r>
        <w:t>**Conclusion technique** : Les indicateurs de tendance (MM) restent positifs, mais les oscillateurs de momentum (MACD, Stochastique) montrent des signes de fatigue après une hausse de plus de 50%. La prudence est de mise à court terme, avec un risque de consolidation avant une éventuelle reprise de la tendance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BOABF révèlent une banque solide mais sous pression : le Produit Net Bancaire (PNB) s'établit à 57,82 milliards FCFA, en légère croissance de 0,57%, tandis que le résultat net atteint 19,25 milliards FCFA. La rentabilité des fonds propres (ROE) de 15,2% reste excellente, et le coefficient d'exploitation de 47,2% témoigne d'une efficacité opérationnelle remarquable. Cependant, le coût du risque de 33,9% est préoccupant, indiquant une dégradation de la qualité du portefeuille de crédits. Les rapports trimestriels de 2025 confirment cette tendance : le T1 2025 (PNB 14,22 Mds, RN 5,20 Mds) montre une baisse du résultat net de 16,6%, le S1 2025 (PNB 29,06 Mds, RN 8,22 Mds) enregistre une chute de 46,5% due à une explosion des provisions (+1336%), et le T3 2025 (PNB 43,28 Mds, RN 13,45 Mds) affiche une baisse de 27,7%. Le rapport du T1 2026 (PNB 12,69 Mds, RN 4,52 Mds) montre une contraction de 10,75% du PNB et de 12,99% du résultat net, avec une stagnation des crédits (-1,2%) mais une progression des dépôts (+6,3%). Sur la base de ces données, on estime que l'exercice 2026 pourrait voir un PNB annuel autour de 52-54 milliards FCFA et un résultat net entre 17 et 18 milliards FCFA, si la tendance de contraction se maintient. La banque conserve une position de marché solide (2ème place) et une collecte de dépôts dynamique (877,8 Mds FCFA), mais la prudence sur la gestion du risque de crédit reste de mise.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(PER 16,5x, P/B 2,5x) apparaît exigeante par rapport aux standards BRVM, intégrant une anticipation de redressement qui ne s'est pas encore matérialisée dans les résultats trimestriels. Le comportement du cours (+52,5% en 100 jours) et les statistiques (skewness positif, volatilité élevée de 31,5%) montrent un enthousiasme marqué, mais les signaux techniques (MACD et Stochastique en vente) suggèrent un essoufflement à court terme. Les fondamentaux, bien que solides (ROE 15,2%, coefficient d'exploitation 47,2%), sont affectés par un coût du risque élevé et une contraction persistante du résultat net, comme le confirment les rapports de 2025 et du T1 2026. Les prédictions IA (7 055 FCFA à J+1, 6 735 FCFA à J+10) indiquent une correction de -6,5% sur les 10 prochains jours, contredisant la tendance haussière récente et confirmant les signaux techniques de consolidation. En synthèse, la convergence entre la valorisation élevée, les signaux techniques de vente et les prédictions IA baissières, contrastant avec des fondamentaux en légère dégradation, conduit à une recommandation **CONSERVER**. Le niveau de confiance est **Moyen**, le risque global est **Élevé** (volatilité, contexte sécuritaire, coût du risque), et l'horizon d'investissement optimal est le **moyen terme (3-12 mois)**, en attendant une stabilisation des indicateurs de rentabilité et une clarification de la trajectoire du coût du risque.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14,211 titres</w:t>
            </w:r>
          </w:p>
        </w:tc>
        <w:tc>
          <w:tcPr>
            <w:tcW w:type="dxa" w:w="2268"/>
            <w:shd w:fill="FFF2CC" w:val="clear"/>
          </w:tcPr>
          <w:p>
            <w:r>
              <w:rPr>
                <w:b/>
                <w:color w:val="503200"/>
                <w:sz w:val="16"/>
              </w:rPr>
              <w:t xml:space="preserve">Cours actuel : </w:t>
            </w:r>
            <w:r>
              <w:rPr>
                <w:color w:val="000000"/>
                <w:sz w:val="17"/>
              </w:rPr>
              <w:t>11,600 FCFA</w:t>
            </w:r>
          </w:p>
          <w:p>
            <w:r>
              <w:rPr>
                <w:b/>
                <w:color w:val="503200"/>
                <w:sz w:val="16"/>
              </w:rPr>
              <w:t xml:space="preserve">Var. 100 jours : </w:t>
            </w:r>
            <w:r>
              <w:rPr>
                <w:b/>
                <w:color w:val="007800"/>
                <w:sz w:val="17"/>
              </w:rPr>
              <w:t>+39.76%</w:t>
            </w:r>
          </w:p>
          <w:p>
            <w:r>
              <w:rPr>
                <w:b/>
                <w:color w:val="503200"/>
                <w:sz w:val="16"/>
              </w:rPr>
              <w:t xml:space="preserve">Plus haut 100j : </w:t>
            </w:r>
            <w:r>
              <w:rPr>
                <w:color w:val="000000"/>
                <w:sz w:val="17"/>
              </w:rPr>
              <w:t>11,600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7.53% (Moyenne) — μ=9,089 FCFA, σ=684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β=0.6459 (Défensif) — Cov=0.000023, Var(idx)=0.000036, ρ=0.226,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14,211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2026-08-05</w:t>
            </w:r>
          </w:p>
        </w:tc>
        <w:tc>
          <w:tcPr>
            <w:tcW w:type="dxa" w:w="1440"/>
            <w:shd w:fill="FFDCE0" w:val="clear"/>
          </w:tcPr>
          <w:p>
            <w:r>
              <w:rPr>
                <w:sz w:val="17"/>
              </w:rPr>
              <w:t>10,720</w:t>
            </w:r>
          </w:p>
        </w:tc>
        <w:tc>
          <w:tcPr>
            <w:tcW w:type="dxa" w:w="1440"/>
            <w:shd w:fill="FFDCE0" w:val="clear"/>
          </w:tcPr>
          <w:p>
            <w:r>
              <w:rPr>
                <w:b/>
                <w:sz w:val="17"/>
              </w:rPr>
              <w:t>11,056</w:t>
            </w:r>
          </w:p>
        </w:tc>
        <w:tc>
          <w:tcPr>
            <w:tcW w:type="dxa" w:w="1440"/>
            <w:shd w:fill="FFDCE0" w:val="clear"/>
          </w:tcPr>
          <w:p>
            <w:r>
              <w:rPr>
                <w:sz w:val="17"/>
              </w:rPr>
              <w:t>11,393</w:t>
            </w:r>
          </w:p>
        </w:tc>
        <w:tc>
          <w:tcPr>
            <w:tcW w:type="dxa" w:w="1440"/>
            <w:shd w:fill="FFDCE0" w:val="clear"/>
          </w:tcPr>
          <w:p>
            <w:r>
              <w:rPr>
                <w:b/>
                <w:color w:val="C00000"/>
                <w:sz w:val="17"/>
              </w:rPr>
              <w:t>-4.7%</w:t>
            </w:r>
          </w:p>
        </w:tc>
      </w:tr>
      <w:tr>
        <w:tc>
          <w:tcPr>
            <w:tcW w:type="dxa" w:w="1440"/>
            <w:shd w:fill="FFDCE0" w:val="clear"/>
          </w:tcPr>
          <w:p>
            <w:r>
              <w:rPr>
                <w:sz w:val="17"/>
              </w:rPr>
              <w:t>J+2  ⭐⭐⭐</w:t>
            </w:r>
          </w:p>
        </w:tc>
        <w:tc>
          <w:tcPr>
            <w:tcW w:type="dxa" w:w="1440"/>
            <w:shd w:fill="FFDCE0" w:val="clear"/>
          </w:tcPr>
          <w:p>
            <w:r>
              <w:rPr>
                <w:sz w:val="17"/>
              </w:rPr>
              <w:t>2026-08-06</w:t>
            </w:r>
          </w:p>
        </w:tc>
        <w:tc>
          <w:tcPr>
            <w:tcW w:type="dxa" w:w="1440"/>
            <w:shd w:fill="FFDCE0" w:val="clear"/>
          </w:tcPr>
          <w:p>
            <w:r>
              <w:rPr>
                <w:sz w:val="17"/>
              </w:rPr>
              <w:t>10,273</w:t>
            </w:r>
          </w:p>
        </w:tc>
        <w:tc>
          <w:tcPr>
            <w:tcW w:type="dxa" w:w="1440"/>
            <w:shd w:fill="FFDCE0" w:val="clear"/>
          </w:tcPr>
          <w:p>
            <w:r>
              <w:rPr>
                <w:b/>
                <w:sz w:val="17"/>
              </w:rPr>
              <w:t>10,735</w:t>
            </w:r>
          </w:p>
        </w:tc>
        <w:tc>
          <w:tcPr>
            <w:tcW w:type="dxa" w:w="1440"/>
            <w:shd w:fill="FFDCE0" w:val="clear"/>
          </w:tcPr>
          <w:p>
            <w:r>
              <w:rPr>
                <w:sz w:val="17"/>
              </w:rPr>
              <w:t>11,198</w:t>
            </w:r>
          </w:p>
        </w:tc>
        <w:tc>
          <w:tcPr>
            <w:tcW w:type="dxa" w:w="1440"/>
            <w:shd w:fill="FFDCE0" w:val="clear"/>
          </w:tcPr>
          <w:p>
            <w:r>
              <w:rPr>
                <w:b/>
                <w:color w:val="C00000"/>
                <w:sz w:val="17"/>
              </w:rPr>
              <w:t>-7.5%</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9,814</w:t>
            </w:r>
          </w:p>
        </w:tc>
        <w:tc>
          <w:tcPr>
            <w:tcW w:type="dxa" w:w="1440"/>
            <w:shd w:fill="FFDCE0" w:val="clear"/>
          </w:tcPr>
          <w:p>
            <w:r>
              <w:rPr>
                <w:b/>
                <w:sz w:val="17"/>
              </w:rPr>
              <w:t>10,360</w:t>
            </w:r>
          </w:p>
        </w:tc>
        <w:tc>
          <w:tcPr>
            <w:tcW w:type="dxa" w:w="1440"/>
            <w:shd w:fill="FFDCE0" w:val="clear"/>
          </w:tcPr>
          <w:p>
            <w:r>
              <w:rPr>
                <w:sz w:val="17"/>
              </w:rPr>
              <w:t>10,907</w:t>
            </w:r>
          </w:p>
        </w:tc>
        <w:tc>
          <w:tcPr>
            <w:tcW w:type="dxa" w:w="1440"/>
            <w:shd w:fill="FFDCE0" w:val="clear"/>
          </w:tcPr>
          <w:p>
            <w:r>
              <w:rPr>
                <w:b/>
                <w:color w:val="C00000"/>
                <w:sz w:val="17"/>
              </w:rPr>
              <w:t>-10.7%</w:t>
            </w:r>
          </w:p>
        </w:tc>
      </w:tr>
      <w:tr>
        <w:tc>
          <w:tcPr>
            <w:tcW w:type="dxa" w:w="1440"/>
            <w:shd w:fill="FFDCE0" w:val="clear"/>
          </w:tcPr>
          <w:p>
            <w:r>
              <w:rPr>
                <w:sz w:val="17"/>
              </w:rPr>
              <w:t>J+4  Moyenne</w:t>
            </w:r>
          </w:p>
        </w:tc>
        <w:tc>
          <w:tcPr>
            <w:tcW w:type="dxa" w:w="1440"/>
            <w:shd w:fill="FFDCE0" w:val="clear"/>
          </w:tcPr>
          <w:p>
            <w:r>
              <w:rPr>
                <w:sz w:val="17"/>
              </w:rPr>
              <w:t>2026-08-11</w:t>
            </w:r>
          </w:p>
        </w:tc>
        <w:tc>
          <w:tcPr>
            <w:tcW w:type="dxa" w:w="1440"/>
            <w:shd w:fill="FFDCE0" w:val="clear"/>
          </w:tcPr>
          <w:p>
            <w:r>
              <w:rPr>
                <w:sz w:val="17"/>
              </w:rPr>
              <w:t>9,405</w:t>
            </w:r>
          </w:p>
        </w:tc>
        <w:tc>
          <w:tcPr>
            <w:tcW w:type="dxa" w:w="1440"/>
            <w:shd w:fill="FFDCE0" w:val="clear"/>
          </w:tcPr>
          <w:p>
            <w:r>
              <w:rPr>
                <w:b/>
                <w:sz w:val="17"/>
              </w:rPr>
              <w:t>10,015</w:t>
            </w:r>
          </w:p>
        </w:tc>
        <w:tc>
          <w:tcPr>
            <w:tcW w:type="dxa" w:w="1440"/>
            <w:shd w:fill="FFDCE0" w:val="clear"/>
          </w:tcPr>
          <w:p>
            <w:r>
              <w:rPr>
                <w:sz w:val="17"/>
              </w:rPr>
              <w:t>10,625</w:t>
            </w:r>
          </w:p>
        </w:tc>
        <w:tc>
          <w:tcPr>
            <w:tcW w:type="dxa" w:w="1440"/>
            <w:shd w:fill="FFDCE0" w:val="clear"/>
          </w:tcPr>
          <w:p>
            <w:r>
              <w:rPr>
                <w:b/>
                <w:color w:val="C00000"/>
                <w:sz w:val="17"/>
              </w:rPr>
              <w:t>-13.7%</w:t>
            </w:r>
          </w:p>
        </w:tc>
      </w:tr>
      <w:tr>
        <w:tc>
          <w:tcPr>
            <w:tcW w:type="dxa" w:w="1440"/>
            <w:shd w:fill="FFDCE0" w:val="clear"/>
          </w:tcPr>
          <w:p>
            <w:r>
              <w:rPr>
                <w:sz w:val="17"/>
              </w:rPr>
              <w:t>J+5  Moyenne</w:t>
            </w:r>
          </w:p>
        </w:tc>
        <w:tc>
          <w:tcPr>
            <w:tcW w:type="dxa" w:w="1440"/>
            <w:shd w:fill="FFDCE0" w:val="clear"/>
          </w:tcPr>
          <w:p>
            <w:r>
              <w:rPr>
                <w:sz w:val="17"/>
              </w:rPr>
              <w:t>2026-08-12</w:t>
            </w:r>
          </w:p>
        </w:tc>
        <w:tc>
          <w:tcPr>
            <w:tcW w:type="dxa" w:w="1440"/>
            <w:shd w:fill="FFDCE0" w:val="clear"/>
          </w:tcPr>
          <w:p>
            <w:r>
              <w:rPr>
                <w:sz w:val="17"/>
              </w:rPr>
              <w:t>9,045</w:t>
            </w:r>
          </w:p>
        </w:tc>
        <w:tc>
          <w:tcPr>
            <w:tcW w:type="dxa" w:w="1440"/>
            <w:shd w:fill="FFDCE0" w:val="clear"/>
          </w:tcPr>
          <w:p>
            <w:r>
              <w:rPr>
                <w:b/>
                <w:sz w:val="17"/>
              </w:rPr>
              <w:t>9,706</w:t>
            </w:r>
          </w:p>
        </w:tc>
        <w:tc>
          <w:tcPr>
            <w:tcW w:type="dxa" w:w="1440"/>
            <w:shd w:fill="FFDCE0" w:val="clear"/>
          </w:tcPr>
          <w:p>
            <w:r>
              <w:rPr>
                <w:sz w:val="17"/>
              </w:rPr>
              <w:t>10,367</w:t>
            </w:r>
          </w:p>
        </w:tc>
        <w:tc>
          <w:tcPr>
            <w:tcW w:type="dxa" w:w="1440"/>
            <w:shd w:fill="FFDCE0" w:val="clear"/>
          </w:tcPr>
          <w:p>
            <w:r>
              <w:rPr>
                <w:b/>
                <w:color w:val="C00000"/>
                <w:sz w:val="17"/>
              </w:rPr>
              <w:t>-16.3%</w:t>
            </w:r>
          </w:p>
        </w:tc>
      </w:tr>
      <w:tr>
        <w:tc>
          <w:tcPr>
            <w:tcW w:type="dxa" w:w="1440"/>
            <w:shd w:fill="FFDCE0" w:val="clear"/>
          </w:tcPr>
          <w:p>
            <w:r>
              <w:rPr>
                <w:sz w:val="17"/>
              </w:rPr>
              <w:t>J+6  Moyenne</w:t>
            </w:r>
          </w:p>
        </w:tc>
        <w:tc>
          <w:tcPr>
            <w:tcW w:type="dxa" w:w="1440"/>
            <w:shd w:fill="FFDCE0" w:val="clear"/>
          </w:tcPr>
          <w:p>
            <w:r>
              <w:rPr>
                <w:sz w:val="17"/>
              </w:rPr>
              <w:t>2026-08-13</w:t>
            </w:r>
          </w:p>
        </w:tc>
        <w:tc>
          <w:tcPr>
            <w:tcW w:type="dxa" w:w="1440"/>
            <w:shd w:fill="FFDCE0" w:val="clear"/>
          </w:tcPr>
          <w:p>
            <w:r>
              <w:rPr>
                <w:sz w:val="17"/>
              </w:rPr>
              <w:t>8,728</w:t>
            </w:r>
          </w:p>
        </w:tc>
        <w:tc>
          <w:tcPr>
            <w:tcW w:type="dxa" w:w="1440"/>
            <w:shd w:fill="FFDCE0" w:val="clear"/>
          </w:tcPr>
          <w:p>
            <w:r>
              <w:rPr>
                <w:b/>
                <w:sz w:val="17"/>
              </w:rPr>
              <w:t>9,432</w:t>
            </w:r>
          </w:p>
        </w:tc>
        <w:tc>
          <w:tcPr>
            <w:tcW w:type="dxa" w:w="1440"/>
            <w:shd w:fill="FFDCE0" w:val="clear"/>
          </w:tcPr>
          <w:p>
            <w:r>
              <w:rPr>
                <w:sz w:val="17"/>
              </w:rPr>
              <w:t>10,135</w:t>
            </w:r>
          </w:p>
        </w:tc>
        <w:tc>
          <w:tcPr>
            <w:tcW w:type="dxa" w:w="1440"/>
            <w:shd w:fill="FFDCE0" w:val="clear"/>
          </w:tcPr>
          <w:p>
            <w:r>
              <w:rPr>
                <w:b/>
                <w:color w:val="C00000"/>
                <w:sz w:val="17"/>
              </w:rPr>
              <w:t>-18.7%</w:t>
            </w:r>
          </w:p>
        </w:tc>
      </w:tr>
      <w:tr>
        <w:tc>
          <w:tcPr>
            <w:tcW w:type="dxa" w:w="1440"/>
            <w:shd w:fill="FFDCE0" w:val="clear"/>
          </w:tcPr>
          <w:p>
            <w:r>
              <w:rPr>
                <w:sz w:val="17"/>
              </w:rPr>
              <w:t>J+7  Moyenne</w:t>
            </w:r>
          </w:p>
        </w:tc>
        <w:tc>
          <w:tcPr>
            <w:tcW w:type="dxa" w:w="1440"/>
            <w:shd w:fill="FFDCE0" w:val="clear"/>
          </w:tcPr>
          <w:p>
            <w:r>
              <w:rPr>
                <w:sz w:val="17"/>
              </w:rPr>
              <w:t>2026-08-14</w:t>
            </w:r>
          </w:p>
        </w:tc>
        <w:tc>
          <w:tcPr>
            <w:tcW w:type="dxa" w:w="1440"/>
            <w:shd w:fill="FFDCE0" w:val="clear"/>
          </w:tcPr>
          <w:p>
            <w:r>
              <w:rPr>
                <w:sz w:val="17"/>
              </w:rPr>
              <w:t>8,448</w:t>
            </w:r>
          </w:p>
        </w:tc>
        <w:tc>
          <w:tcPr>
            <w:tcW w:type="dxa" w:w="1440"/>
            <w:shd w:fill="FFDCE0" w:val="clear"/>
          </w:tcPr>
          <w:p>
            <w:r>
              <w:rPr>
                <w:b/>
                <w:sz w:val="17"/>
              </w:rPr>
              <w:t>9,189</w:t>
            </w:r>
          </w:p>
        </w:tc>
        <w:tc>
          <w:tcPr>
            <w:tcW w:type="dxa" w:w="1440"/>
            <w:shd w:fill="FFDCE0" w:val="clear"/>
          </w:tcPr>
          <w:p>
            <w:r>
              <w:rPr>
                <w:sz w:val="17"/>
              </w:rPr>
              <w:t>9,929</w:t>
            </w:r>
          </w:p>
        </w:tc>
        <w:tc>
          <w:tcPr>
            <w:tcW w:type="dxa" w:w="1440"/>
            <w:shd w:fill="FFDCE0" w:val="clear"/>
          </w:tcPr>
          <w:p>
            <w:r>
              <w:rPr>
                <w:b/>
                <w:color w:val="C00000"/>
                <w:sz w:val="17"/>
              </w:rPr>
              <w:t>-20.8%</w:t>
            </w:r>
          </w:p>
        </w:tc>
      </w:tr>
      <w:tr>
        <w:tc>
          <w:tcPr>
            <w:tcW w:type="dxa" w:w="1440"/>
            <w:shd w:fill="FFDCE0" w:val="clear"/>
          </w:tcPr>
          <w:p>
            <w:r>
              <w:rPr>
                <w:sz w:val="17"/>
              </w:rPr>
              <w:t>J+8  Moyenne</w:t>
            </w:r>
          </w:p>
        </w:tc>
        <w:tc>
          <w:tcPr>
            <w:tcW w:type="dxa" w:w="1440"/>
            <w:shd w:fill="FFDCE0" w:val="clear"/>
          </w:tcPr>
          <w:p>
            <w:r>
              <w:rPr>
                <w:sz w:val="17"/>
              </w:rPr>
              <w:t>2026-08-17</w:t>
            </w:r>
          </w:p>
        </w:tc>
        <w:tc>
          <w:tcPr>
            <w:tcW w:type="dxa" w:w="1440"/>
            <w:shd w:fill="FFDCE0" w:val="clear"/>
          </w:tcPr>
          <w:p>
            <w:r>
              <w:rPr>
                <w:sz w:val="17"/>
              </w:rPr>
              <w:t>8,200</w:t>
            </w:r>
          </w:p>
        </w:tc>
        <w:tc>
          <w:tcPr>
            <w:tcW w:type="dxa" w:w="1440"/>
            <w:shd w:fill="FFDCE0" w:val="clear"/>
          </w:tcPr>
          <w:p>
            <w:r>
              <w:rPr>
                <w:b/>
                <w:sz w:val="17"/>
              </w:rPr>
              <w:t>8,973</w:t>
            </w:r>
          </w:p>
        </w:tc>
        <w:tc>
          <w:tcPr>
            <w:tcW w:type="dxa" w:w="1440"/>
            <w:shd w:fill="FFDCE0" w:val="clear"/>
          </w:tcPr>
          <w:p>
            <w:r>
              <w:rPr>
                <w:sz w:val="17"/>
              </w:rPr>
              <w:t>9,746</w:t>
            </w:r>
          </w:p>
        </w:tc>
        <w:tc>
          <w:tcPr>
            <w:tcW w:type="dxa" w:w="1440"/>
            <w:shd w:fill="FFDCE0" w:val="clear"/>
          </w:tcPr>
          <w:p>
            <w:r>
              <w:rPr>
                <w:b/>
                <w:color w:val="C00000"/>
                <w:sz w:val="17"/>
              </w:rPr>
              <w:t>-22.6%</w:t>
            </w:r>
          </w:p>
        </w:tc>
      </w:tr>
      <w:tr>
        <w:tc>
          <w:tcPr>
            <w:tcW w:type="dxa" w:w="1440"/>
            <w:shd w:fill="FFDCE0" w:val="clear"/>
          </w:tcPr>
          <w:p>
            <w:r>
              <w:rPr>
                <w:sz w:val="17"/>
              </w:rPr>
              <w:t>J+9  Moyenne</w:t>
            </w:r>
          </w:p>
        </w:tc>
        <w:tc>
          <w:tcPr>
            <w:tcW w:type="dxa" w:w="1440"/>
            <w:shd w:fill="FFDCE0" w:val="clear"/>
          </w:tcPr>
          <w:p>
            <w:r>
              <w:rPr>
                <w:sz w:val="17"/>
              </w:rPr>
              <w:t>2026-08-18</w:t>
            </w:r>
          </w:p>
        </w:tc>
        <w:tc>
          <w:tcPr>
            <w:tcW w:type="dxa" w:w="1440"/>
            <w:shd w:fill="FFDCE0" w:val="clear"/>
          </w:tcPr>
          <w:p>
            <w:r>
              <w:rPr>
                <w:sz w:val="17"/>
              </w:rPr>
              <w:t>7,977</w:t>
            </w:r>
          </w:p>
        </w:tc>
        <w:tc>
          <w:tcPr>
            <w:tcW w:type="dxa" w:w="1440"/>
            <w:shd w:fill="FFDCE0" w:val="clear"/>
          </w:tcPr>
          <w:p>
            <w:r>
              <w:rPr>
                <w:b/>
                <w:sz w:val="17"/>
              </w:rPr>
              <w:t>8,780</w:t>
            </w:r>
          </w:p>
        </w:tc>
        <w:tc>
          <w:tcPr>
            <w:tcW w:type="dxa" w:w="1440"/>
            <w:shd w:fill="FFDCE0" w:val="clear"/>
          </w:tcPr>
          <w:p>
            <w:r>
              <w:rPr>
                <w:sz w:val="17"/>
              </w:rPr>
              <w:t>9,582</w:t>
            </w:r>
          </w:p>
        </w:tc>
        <w:tc>
          <w:tcPr>
            <w:tcW w:type="dxa" w:w="1440"/>
            <w:shd w:fill="FFDCE0" w:val="clear"/>
          </w:tcPr>
          <w:p>
            <w:r>
              <w:rPr>
                <w:b/>
                <w:color w:val="C00000"/>
                <w:sz w:val="17"/>
              </w:rPr>
              <w:t>-24.3%</w:t>
            </w:r>
          </w:p>
        </w:tc>
      </w:tr>
      <w:tr>
        <w:tc>
          <w:tcPr>
            <w:tcW w:type="dxa" w:w="1440"/>
            <w:shd w:fill="FFDCE0" w:val="clear"/>
          </w:tcPr>
          <w:p>
            <w:r>
              <w:rPr>
                <w:sz w:val="17"/>
              </w:rPr>
              <w:t>J+10  Moyenne</w:t>
            </w:r>
          </w:p>
        </w:tc>
        <w:tc>
          <w:tcPr>
            <w:tcW w:type="dxa" w:w="1440"/>
            <w:shd w:fill="FFDCE0" w:val="clear"/>
          </w:tcPr>
          <w:p>
            <w:r>
              <w:rPr>
                <w:sz w:val="17"/>
              </w:rPr>
              <w:t>2026-08-19</w:t>
            </w:r>
          </w:p>
        </w:tc>
        <w:tc>
          <w:tcPr>
            <w:tcW w:type="dxa" w:w="1440"/>
            <w:shd w:fill="FFDCE0" w:val="clear"/>
          </w:tcPr>
          <w:p>
            <w:r>
              <w:rPr>
                <w:sz w:val="17"/>
              </w:rPr>
              <w:t>7,777</w:t>
            </w:r>
          </w:p>
        </w:tc>
        <w:tc>
          <w:tcPr>
            <w:tcW w:type="dxa" w:w="1440"/>
            <w:shd w:fill="FFDCE0" w:val="clear"/>
          </w:tcPr>
          <w:p>
            <w:r>
              <w:rPr>
                <w:b/>
                <w:sz w:val="17"/>
              </w:rPr>
              <w:t>8,606</w:t>
            </w:r>
          </w:p>
        </w:tc>
        <w:tc>
          <w:tcPr>
            <w:tcW w:type="dxa" w:w="1440"/>
            <w:shd w:fill="FFDCE0" w:val="clear"/>
          </w:tcPr>
          <w:p>
            <w:r>
              <w:rPr>
                <w:sz w:val="17"/>
              </w:rPr>
              <w:t>9,435</w:t>
            </w:r>
          </w:p>
        </w:tc>
        <w:tc>
          <w:tcPr>
            <w:tcW w:type="dxa" w:w="1440"/>
            <w:shd w:fill="FFDCE0" w:val="clear"/>
          </w:tcPr>
          <w:p>
            <w:r>
              <w:rPr>
                <w:b/>
                <w:color w:val="C00000"/>
                <w:sz w:val="17"/>
              </w:rPr>
              <w:t>-25.8%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BOAC s'établit à 464 milliards FCFA, ce qui en fait l'une des valeurs les plus significatives de la BRVM, reflétant la confiance des investisseurs dans le secteur bancaire ivoirien. Avec un BPA de 888 FCFA, chaque action génère un bénéfice substantiel, justifiant un PER de 13,1x, légèrement supérieur à la moyenne historique de la BRVM (8-12x), ce qui indique que le marché valorise une prime de croissance pour ce titre. Le P/B de 3,64x confirme cette prime, le marché valorisant la banque bien au-dessus de sa valeur comptable, signe d'une anticipation de rentabilité future élevée. Cependant, l'EV/EBITDA de 26,6x apparaît particulièrement exigeant, suggérant que la valeur totale de l'entreprise (dette incluse) est très élevée par rapport à sa capacité opérationnelle,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BOAC a enregistré une progression spectaculaire de +39,76%, avec une dernière séance en hausse de +2,20%, portant le cours à 11 600 FCFA, son plus haut niveau sur la période, contre un plus bas de 8 100 FCFA. Cette tendance fortement haussière s'accompagne d'une moyenne de 9 089 FCFA, inférieure à la médiane de 8 892 FCFA, indiquant une distribution asymétrique positive (skewness de 1,736) où les journées sous la moyenne sont plus fréquentes mais compensées par des pics de hausse. L'écart-type de 688 FCFA (CV de 7,6%) révèle une dispersion modérée, tandis que le kurtosis de 2,965 signale un risque de mouvements extrêmes, confirmé par la volatilité annualisée de 27,5%, classée comme modérée à élevée. Cette configuration statistique suggère un titre en phase d'accélération, avec des épisodes de forte variation qui nécessitent une vigilance accrue.</w:t>
      </w:r>
    </w:p>
    <w:p>
      <w:pPr>
        <w:spacing w:after="120" w:line="276" w:lineRule="auto" w:before="240"/>
      </w:pPr>
      <w:r>
        <w:rPr>
          <w:b/>
          <w:color w:val="003366"/>
          <w:sz w:val="24"/>
        </w:rPr>
        <w:t>**PARTIE 2 : ANALYSE TECHNIQUE DÉTAILLÉE**</w:t>
      </w:r>
    </w:p>
    <w:p>
      <w:pPr>
        <w:spacing w:after="120" w:line="276" w:lineRule="auto"/>
      </w:pPr>
      <w:r>
        <w:t>**Moyennes Mobiles** : Le cours actuel de 11 600 FCFA se situe nettement au-dessus de la MM20 (10 205 FCFA) et de la MM50 (9 515,8 FCFA), confirmant une dynamique haussière solide. La configuration des moyennes mobiles, avec le prix au-dessus des deux moyennes, génère un signal d'achat classique, indiquant que la tendance de fond reste positive malgré l'ampleur du mouvement.</w:t>
      </w:r>
    </w:p>
    <w:p>
      <w:pPr>
        <w:spacing w:after="120" w:line="276" w:lineRule="auto"/>
      </w:pPr>
      <w:r>
        <w:t>**Bandes de Bollinger** : Le prix évolue à la borne supérieure (11 591,7 FCFA), touchant quasiment la limite extrême du canal de volatilité. Cette position indique une extension excessive du mouvement haussier, avec un écart de plus de 2 700 FCFA entre les bornes, signe d'une volatilité accrue. Le signal de vente généré suggère un risque de retour vers la moyenne, la borne inférieure se situant à 8 818 FCFA.</w:t>
      </w:r>
    </w:p>
    <w:p>
      <w:pPr>
        <w:spacing w:after="120" w:line="276" w:lineRule="auto"/>
      </w:pPr>
      <w:r>
        <w:t>**MACD** : Le MACD (525,2) reste nettement au-dessus de son signal (395,4), confirmant un momentum haussier toujours actif. La divergence positive entre les deux lignes indique que la pression acheteuse demeure dominante, bien que l'écart important puisse signaler une saturation proche.</w:t>
      </w:r>
    </w:p>
    <w:p>
      <w:pPr>
        <w:spacing w:after="120" w:line="276" w:lineRule="auto"/>
      </w:pPr>
      <w:r>
        <w:t>**RSI** : À 85,3, le RSI se trouve en zone de surachat extrême, bien au-delà du seuil de 70. Cette lecture indique que le titre est survendu techniquement, avec un risque élevé de correction à court terme. Les acheteurs ont clairement dominé, mais la marge de progression technique semble limitée.</w:t>
      </w:r>
    </w:p>
    <w:p>
      <w:pPr>
        <w:spacing w:after="120" w:line="276" w:lineRule="auto"/>
      </w:pPr>
      <w:r>
        <w:t>**Stochastique** : Le %K à 100 et le %D à 91,8 confirment la surachat extrême, avec les deux lignes en territoire très élevé. Cette configuration, typique des sommets de marché, suggère une possible divergence baissière si le %K commence à croiser sous le %D. Le signal de vente est donc cohérent avec les autres indicateurs de surachat.</w:t>
      </w:r>
    </w:p>
    <w:p>
      <w:pPr>
        <w:spacing w:after="120" w:line="276" w:lineRule="auto"/>
      </w:pPr>
      <w:r>
        <w:t>**Conclusion technique** : La convergence des indicateurs de surachat (RSI, Stochastique, Bandes de Bollinger) contraste avec la tendance haussière des moyennes mobiles et du MACD. Cette divergence signale un risque accru de correction technique à court terme, malgré une tendance de fond toujours positive. Les investisseurs devraient surveiller un éventuel retour vers la zone des 10 200-10 500 FCFA.</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BOAC révèlent une banque solidement établie avec un PNB de 73,545 milliards FCFA et un résultat net de 35,540 milliards FCFA, démontrant une marge nette exceptionnelle de 48,3%. Le ROE de 27,9% et le ROA de 3,2% confirment une rentabilité remarquable, bien au-dessus des standards du secteur, avec un coefficient d'exploitation de 36,7% témoignant d'une excellente maîtrise des coûts. Le coût du risque de 6,7% reste élevé, signalant une vigilance nécessaire sur la qualité du portefeuille de crédits, tandis que les dépôts clients (850,5 milliards) dépassent largement les créances (430,4 milliards), indiquant une liquidité abondante. Les rapports trimestriels 2025 montrent une évolution contrastée : le T1 affiche une croissance de 4,93% du PNB et un bond de 14,59% du résultat net, mais le S1 et le T3 révèlent une stagnation de l'activité (PNB stable à 36,21 et 53,49 milliards), avec un résultat net cumulé de 26,63 milliards sur neuf mois. Sur la base de ces tendances, on estime que l'exercice 2025 devrait confirmer un résultat net autour de 35-36 milliards FCFA, en légère progression par rapport aux 32,044 milliards de 2024, porté par la baisse du coût du risque et la maîtrise des charges, malgré un PNB atone.</w:t>
      </w:r>
    </w:p>
    <w:p>
      <w:pPr>
        <w:spacing w:after="120" w:line="276" w:lineRule="auto" w:before="240"/>
      </w:pPr>
      <w:r>
        <w:rPr>
          <w:b/>
          <w:color w:val="003366"/>
          <w:sz w:val="24"/>
        </w:rPr>
        <w:t>**PARTIE 4 : CONCLUSION D'INVESTISSEMENT**</w:t>
      </w:r>
    </w:p>
    <w:p>
      <w:pPr>
        <w:spacing w:after="120" w:line="276" w:lineRule="auto"/>
      </w:pPr>
      <w:r>
        <w:t>La valorisation de BOAC (PER 13,1x, P/B 3,64x, EV/EBITDA 26,6x) apparaît exigeante, reflétant une prime de croissance qui pourrait limiter le potentiel de hausse. Le comportement du cours sur 100 jours (+39,76%) montre une dynamique impressionnante mais avec des statistiques (kurtosis élevé, skewness positif) signalant un risque accru de mouvements extrêmes. Les signaux techniques sont contradictoires : la tendance haussière (MM, MACD) s'oppose aux indicateurs de surachat (RSI 85,3, Stochastique 100, Bandes de Bollinger), suggérant une correction probable à court terme. Les fondamentaux restent solides avec un ROE de 27,9% et une excellente efficacité opérationnelle, mais la stagnation du PNB en 2025 et les objectifs triennaux ambitieux (croissance PNB +11,6%) nécessitent une confirmation. Les prédictions IA (baisse progressive vers 9 706 FCFA à J+10) contredisent la tendance actuelle, anticipant une correction significative. En synthèse, je recommande **CONSERVER** avec un niveau de confiance **Moyen** et un risque global **Élevé**, l'horizon d'investissement optimal étant le **moyen terme (3-12 mois)** pour observer l'évolution des fondamentaux et la résolution des signaux techniques de surachat.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153.45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6,447 titres</w:t>
            </w:r>
          </w:p>
        </w:tc>
        <w:tc>
          <w:tcPr>
            <w:tcW w:type="dxa" w:w="2268"/>
            <w:shd w:fill="FFF2CC" w:val="clear"/>
          </w:tcPr>
          <w:p>
            <w:r>
              <w:rPr>
                <w:b/>
                <w:color w:val="503200"/>
                <w:sz w:val="16"/>
              </w:rPr>
              <w:t xml:space="preserve">Cours actuel : </w:t>
            </w:r>
            <w:r>
              <w:rPr>
                <w:color w:val="000000"/>
                <w:sz w:val="17"/>
              </w:rPr>
              <w:t>5,590 FCFA</w:t>
            </w:r>
          </w:p>
          <w:p>
            <w:r>
              <w:rPr>
                <w:b/>
                <w:color w:val="503200"/>
                <w:sz w:val="16"/>
              </w:rPr>
              <w:t xml:space="preserve">Var. 100 jours : </w:t>
            </w:r>
            <w:r>
              <w:rPr>
                <w:b/>
                <w:color w:val="007800"/>
                <w:sz w:val="17"/>
              </w:rPr>
              <w:t>+21.65%</w:t>
            </w:r>
          </w:p>
          <w:p>
            <w:r>
              <w:rPr>
                <w:b/>
                <w:color w:val="503200"/>
                <w:sz w:val="16"/>
              </w:rPr>
              <w:t xml:space="preserve">Plus haut 100j : </w:t>
            </w:r>
            <w:r>
              <w:rPr>
                <w:color w:val="000000"/>
                <w:sz w:val="17"/>
              </w:rPr>
              <w:t>5,770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7.79% (Moyenne) — μ=4,908 FCFA, σ=382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β=0.2886 (Défensif) — Cov=0.000010, Var(idx)=0.000036, ρ=0.088,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2026-08-05</w:t>
            </w:r>
          </w:p>
        </w:tc>
        <w:tc>
          <w:tcPr>
            <w:tcW w:type="dxa" w:w="1440"/>
            <w:shd w:fill="FAFAFA" w:val="clear"/>
          </w:tcPr>
          <w:p>
            <w:r>
              <w:rPr>
                <w:sz w:val="17"/>
              </w:rPr>
              <w:t>5,266</w:t>
            </w:r>
          </w:p>
        </w:tc>
        <w:tc>
          <w:tcPr>
            <w:tcW w:type="dxa" w:w="1440"/>
            <w:shd w:fill="FAFAFA" w:val="clear"/>
          </w:tcPr>
          <w:p>
            <w:r>
              <w:rPr>
                <w:b/>
                <w:sz w:val="17"/>
              </w:rPr>
              <w:t>5,521</w:t>
            </w:r>
          </w:p>
        </w:tc>
        <w:tc>
          <w:tcPr>
            <w:tcW w:type="dxa" w:w="1440"/>
            <w:shd w:fill="FAFAFA" w:val="clear"/>
          </w:tcPr>
          <w:p>
            <w:r>
              <w:rPr>
                <w:sz w:val="17"/>
              </w:rPr>
              <w:t>5,776</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5,089</w:t>
            </w:r>
          </w:p>
        </w:tc>
        <w:tc>
          <w:tcPr>
            <w:tcW w:type="dxa" w:w="1440"/>
            <w:shd w:fill="FFDCE0" w:val="clear"/>
          </w:tcPr>
          <w:p>
            <w:r>
              <w:rPr>
                <w:b/>
                <w:sz w:val="17"/>
              </w:rPr>
              <w:t>5,445</w:t>
            </w:r>
          </w:p>
        </w:tc>
        <w:tc>
          <w:tcPr>
            <w:tcW w:type="dxa" w:w="1440"/>
            <w:shd w:fill="FFDCE0" w:val="clear"/>
          </w:tcPr>
          <w:p>
            <w:r>
              <w:rPr>
                <w:sz w:val="17"/>
              </w:rPr>
              <w:t>5,800</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4,944</w:t>
            </w:r>
          </w:p>
        </w:tc>
        <w:tc>
          <w:tcPr>
            <w:tcW w:type="dxa" w:w="1440"/>
            <w:shd w:fill="FFDCE0" w:val="clear"/>
          </w:tcPr>
          <w:p>
            <w:r>
              <w:rPr>
                <w:b/>
                <w:sz w:val="17"/>
              </w:rPr>
              <w:t>5,373</w:t>
            </w:r>
          </w:p>
        </w:tc>
        <w:tc>
          <w:tcPr>
            <w:tcW w:type="dxa" w:w="1440"/>
            <w:shd w:fill="FFDCE0" w:val="clear"/>
          </w:tcPr>
          <w:p>
            <w:r>
              <w:rPr>
                <w:sz w:val="17"/>
              </w:rPr>
              <w:t>5,803</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4,819</w:t>
            </w:r>
          </w:p>
        </w:tc>
        <w:tc>
          <w:tcPr>
            <w:tcW w:type="dxa" w:w="1440"/>
            <w:shd w:fill="FFDCE0" w:val="clear"/>
          </w:tcPr>
          <w:p>
            <w:r>
              <w:rPr>
                <w:b/>
                <w:sz w:val="17"/>
              </w:rPr>
              <w:t>5,309</w:t>
            </w:r>
          </w:p>
        </w:tc>
        <w:tc>
          <w:tcPr>
            <w:tcW w:type="dxa" w:w="1440"/>
            <w:shd w:fill="FFDCE0" w:val="clear"/>
          </w:tcPr>
          <w:p>
            <w:r>
              <w:rPr>
                <w:sz w:val="17"/>
              </w:rPr>
              <w:t>5,799</w:t>
            </w:r>
          </w:p>
        </w:tc>
        <w:tc>
          <w:tcPr>
            <w:tcW w:type="dxa" w:w="1440"/>
            <w:shd w:fill="FFDCE0" w:val="clear"/>
          </w:tcPr>
          <w:p>
            <w:r>
              <w:rPr>
                <w:b/>
                <w:color w:val="C00000"/>
                <w:sz w:val="17"/>
              </w:rPr>
              <w:t>-5.0%</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4,709</w:t>
            </w:r>
          </w:p>
        </w:tc>
        <w:tc>
          <w:tcPr>
            <w:tcW w:type="dxa" w:w="1440"/>
            <w:shd w:fill="FFDCE0" w:val="clear"/>
          </w:tcPr>
          <w:p>
            <w:r>
              <w:rPr>
                <w:b/>
                <w:sz w:val="17"/>
              </w:rPr>
              <w:t>5,250</w:t>
            </w:r>
          </w:p>
        </w:tc>
        <w:tc>
          <w:tcPr>
            <w:tcW w:type="dxa" w:w="1440"/>
            <w:shd w:fill="FFDCE0" w:val="clear"/>
          </w:tcPr>
          <w:p>
            <w:r>
              <w:rPr>
                <w:sz w:val="17"/>
              </w:rPr>
              <w:t>5,792</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4,609</w:t>
            </w:r>
          </w:p>
        </w:tc>
        <w:tc>
          <w:tcPr>
            <w:tcW w:type="dxa" w:w="1440"/>
            <w:shd w:fill="FFDCE0" w:val="clear"/>
          </w:tcPr>
          <w:p>
            <w:r>
              <w:rPr>
                <w:b/>
                <w:sz w:val="17"/>
              </w:rPr>
              <w:t>5,196</w:t>
            </w:r>
          </w:p>
        </w:tc>
        <w:tc>
          <w:tcPr>
            <w:tcW w:type="dxa" w:w="1440"/>
            <w:shd w:fill="FFDCE0" w:val="clear"/>
          </w:tcPr>
          <w:p>
            <w:r>
              <w:rPr>
                <w:sz w:val="17"/>
              </w:rPr>
              <w:t>5,783</w:t>
            </w:r>
          </w:p>
        </w:tc>
        <w:tc>
          <w:tcPr>
            <w:tcW w:type="dxa" w:w="1440"/>
            <w:shd w:fill="FFDCE0" w:val="clear"/>
          </w:tcPr>
          <w:p>
            <w:r>
              <w:rPr>
                <w:b/>
                <w:color w:val="C00000"/>
                <w:sz w:val="17"/>
              </w:rPr>
              <w:t>-7.0%</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4,517</w:t>
            </w:r>
          </w:p>
        </w:tc>
        <w:tc>
          <w:tcPr>
            <w:tcW w:type="dxa" w:w="1440"/>
            <w:shd w:fill="FFDCE0" w:val="clear"/>
          </w:tcPr>
          <w:p>
            <w:r>
              <w:rPr>
                <w:b/>
                <w:sz w:val="17"/>
              </w:rPr>
              <w:t>5,145</w:t>
            </w:r>
          </w:p>
        </w:tc>
        <w:tc>
          <w:tcPr>
            <w:tcW w:type="dxa" w:w="1440"/>
            <w:shd w:fill="FFDCE0" w:val="clear"/>
          </w:tcPr>
          <w:p>
            <w:r>
              <w:rPr>
                <w:sz w:val="17"/>
              </w:rPr>
              <w:t>5,773</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4,431</w:t>
            </w:r>
          </w:p>
        </w:tc>
        <w:tc>
          <w:tcPr>
            <w:tcW w:type="dxa" w:w="1440"/>
            <w:shd w:fill="FFDCE0" w:val="clear"/>
          </w:tcPr>
          <w:p>
            <w:r>
              <w:rPr>
                <w:b/>
                <w:sz w:val="17"/>
              </w:rPr>
              <w:t>5,097</w:t>
            </w:r>
          </w:p>
        </w:tc>
        <w:tc>
          <w:tcPr>
            <w:tcW w:type="dxa" w:w="1440"/>
            <w:shd w:fill="FFDCE0" w:val="clear"/>
          </w:tcPr>
          <w:p>
            <w:r>
              <w:rPr>
                <w:sz w:val="17"/>
              </w:rPr>
              <w:t>5,762</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4,351</w:t>
            </w:r>
          </w:p>
        </w:tc>
        <w:tc>
          <w:tcPr>
            <w:tcW w:type="dxa" w:w="1440"/>
            <w:shd w:fill="FFDCE0" w:val="clear"/>
          </w:tcPr>
          <w:p>
            <w:r>
              <w:rPr>
                <w:b/>
                <w:sz w:val="17"/>
              </w:rPr>
              <w:t>5,051</w:t>
            </w:r>
          </w:p>
        </w:tc>
        <w:tc>
          <w:tcPr>
            <w:tcW w:type="dxa" w:w="1440"/>
            <w:shd w:fill="FFDCE0" w:val="clear"/>
          </w:tcPr>
          <w:p>
            <w:r>
              <w:rPr>
                <w:sz w:val="17"/>
              </w:rPr>
              <w:t>5,750</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4,276</w:t>
            </w:r>
          </w:p>
        </w:tc>
        <w:tc>
          <w:tcPr>
            <w:tcW w:type="dxa" w:w="1440"/>
            <w:shd w:fill="FFDCE0" w:val="clear"/>
          </w:tcPr>
          <w:p>
            <w:r>
              <w:rPr>
                <w:b/>
                <w:sz w:val="17"/>
              </w:rPr>
              <w:t>5,007</w:t>
            </w:r>
          </w:p>
        </w:tc>
        <w:tc>
          <w:tcPr>
            <w:tcW w:type="dxa" w:w="1440"/>
            <w:shd w:fill="FFDCE0" w:val="clear"/>
          </w:tcPr>
          <w:p>
            <w:r>
              <w:rPr>
                <w:sz w:val="17"/>
              </w:rPr>
              <w:t>5,738</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 — BRVM**</w:t>
      </w:r>
    </w:p>
    <w:p>
      <w:pPr>
        <w:spacing w:after="120" w:line="276" w:lineRule="auto" w:before="240"/>
      </w:pPr>
      <w:r>
        <w:rPr>
          <w:b/>
          <w:color w:val="003366"/>
          <w:sz w:val="24"/>
        </w:rPr>
        <w:t>**PARTIE 0 : INDICATEURS DE VALORISATION BOURSIÈRE**</w:t>
      </w:r>
    </w:p>
    <w:p>
      <w:pPr>
        <w:spacing w:after="120" w:line="276" w:lineRule="auto"/>
      </w:pPr>
      <w:r>
        <w:t>Avec une capitalisation boursière de 153,45 milliards FCFA, BOAM se positionne comme une valeur moyenne sur la BRVM, attirant les investisseurs institutionnels en quête de liquidité. Le BPA de 404 FCFA indique que chaque action génère un bénéfice substantiel, justifiant un PER de 13,8x. Ce ratio est légèrement supérieur à la moyenne historique de la place (~8-12x), signifiant que le marché accorde une prime de croissance à la banque, probablement en raison de l'amélioration récente de sa rentabilité. Le P/B de 3,08x confirme cette prime, le marché valorisant la société à plus de trois fois ses capitaux propres, ce qui reflète une confiance dans la création de valeur future. Enfin, un EV/EBITDA de 6,8x est considéré comme raisonnable, indiquant que la valeur totale de l'entreprise reste en adéquation avec sa capacité opérationnelle à générer du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affiché une performance remarquable de +21,65%, bien que la dernière séance ait clôturé en léger repli de -0,62% à 5 590 FCFA. Le titre a évolué dans un range de trading significatif, oscillant entre un plus bas de 4 425 FCFA et un plus haut de 5 770 FCFA, démontrant une forte dynamique haussière sur la période. Les statistiques descriptives révèlent une distribution asymétrique positive (Skewness de 1.087), signifiant que le cours a passé plus de journées sous sa moyenne (4 908 FCFA) que au-dessus, mais avec des pics de hausse marqués. L'écart-type de 384 FCFA (CV=7,8%) indique une dispersion modérée autour de la moyenne. Le kurtosis légèrement négatif (-0.218) suggère une distribution mésokurtique, sans risque excessif de mouvements extrêmes. Enfin, la volatilité annualisée de 31,1% classe le titre comme très volatil, ce qui implique un risque élevé mais aussi un potentiel de rendement important pour les investisseurs aguerris.</w:t>
      </w:r>
    </w:p>
    <w:p>
      <w:pPr>
        <w:spacing w:after="120" w:line="276" w:lineRule="auto" w:before="240"/>
      </w:pPr>
      <w:r>
        <w:rPr>
          <w:b/>
          <w:color w:val="003366"/>
          <w:sz w:val="24"/>
        </w:rPr>
        <w:t>**PARTIE 2 : ANALYSE TECHNIQUE DÉTAILLÉE**</w:t>
      </w:r>
    </w:p>
    <w:p>
      <w:pPr>
        <w:spacing w:after="120" w:line="276" w:lineRule="auto"/>
      </w:pPr>
      <w:r>
        <w:t>**Moyennes Mobiles**: Le cours actuel (5 590 FCFA) se situe au-dessus de sa MM20 (5 608 FCFA) et nettement au-dessus de sa MM50 (5 115,5 FCFA). Cette configuration haussière, où le prix est soutenu par les moyennes mobiles à moyen terme, justifie la décision d'**Achat**. La MM20 agissant comme un support dynamique, la tendance de fond reste positive.</w:t>
      </w:r>
    </w:p>
    <w:p>
      <w:pPr>
        <w:spacing w:after="120" w:line="276" w:lineRule="auto"/>
      </w:pPr>
      <w:r>
        <w:t>**Bandes de Bollinger**: Le prix se négocie à l'intérieur des bandes, entre la borne supérieure (5 838,96 FCFA) et la borne inférieure (5 377,04 FCFA), avec une largeur de bande indiquant une volatilité modérée. La position du prix, proche de la moyenne, suggère une phase de consolidation après un mouvement haussier. La décision est **Neutre**, le marché cherchant une direction claire.</w:t>
      </w:r>
    </w:p>
    <w:p>
      <w:pPr>
        <w:spacing w:after="120" w:line="276" w:lineRule="auto"/>
      </w:pPr>
      <w:r>
        <w:t>**MACD**: La valeur du MACD (148,39) est inférieure à sa ligne de signal (179,27), indiquant un momentum baissier à court terme. Ce croisement baissier suggère un essoufflement de la dynamique haussière récente. La décision est **Vente**, signalant une possible correction ou consolidation à venir.</w:t>
      </w:r>
    </w:p>
    <w:p>
      <w:pPr>
        <w:spacing w:after="120" w:line="276" w:lineRule="auto"/>
      </w:pPr>
      <w:r>
        <w:t>**RSI**: Avec une valeur de 45,16, le RSI se situe en zone neutre, loin des seuils de surachat (70) ou de survente (30). Cela indique que le titre n'est ni survendu ni suracheté, laissant place à une évolution dans les deux sens. La décision est **Neutre**, l'élan n'étant ni clairement haussier ni baissier.</w:t>
      </w:r>
    </w:p>
    <w:p>
      <w:pPr>
        <w:spacing w:after="120" w:line="276" w:lineRule="auto"/>
      </w:pPr>
      <w:r>
        <w:t>**Stochastique**: Le %K (57,14) est inférieur au %D (65,87), montrant un croisement baissier potentiel. Bien que les deux lignes soient en zone neutre, cette configuration indique un affaiblissement de la pression acheteuse. La décision est **Neutre**, mais avec une légère tendance négative.</w:t>
      </w:r>
    </w:p>
    <w:p>
      <w:pPr>
        <w:spacing w:after="120" w:line="276" w:lineRule="auto"/>
      </w:pPr>
      <w:r>
        <w:t>**Conclusion technique**: Les indicateurs sont mitigés. La tendance de fond (MM) reste haussière, mais les oscillateurs (MACD, Stochastique) montrent un essoufflement du momentum. Le RSI neutre et les bandes de Bollinger suggèrent une phase de consolidation. Le titre pourrait évoluer latéralement dans un premier temps, avant de reprendre sa tendance haussière si les supports clés (MM20) tiennent.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confirment une santé financière robuste. Le Produit Net Bancaire (PNB) s'établit à 37,996 milliards FCFA, en croissance de 5,08%, et le résultat net atteint 11,081 milliards FCFA, portant la marge nette à 29,16%. La banque affiche un ROE exceptionnel de 22,24% et un ROA de 1,87%, démontrant une excellente utilisation de ses capitaux propres et de ses actifs. Le coefficient d'exploitation de 63,14% reste légèrement au-dessus du seuil d'efficacité (&lt;60%), mais le coût du risque de 43,39% est un point de vigilance. Les dépôts clientèle (502,89 Mds) couvrent largement les créances sur la clientèle (253,65 Mds), assurant une liquidité confortable. Les rapports trimestriels de 2025 confirment cette trajectoire : le T1 affichait un résultat net en hausse de 91,18% grâce à la maîtrise des risques, le S1 montrait une croissance du PNB de 2,7% et une hausse du résultat net de 28,8%, et le T3 confirmait avec un PNB cumulé de 28,52 milliards (+5,8%) et un résultat net de 9,16 milliards (+26,2%). Sur la base de ces performances trimestrielles, on estime que l'exercice 2025 devrait dépasser les résultats annuels, avec un résultat net potentiel supérieur à 12 milliards FCFA, confirmant la solidité et la résilience de la banque dans un environnement difficile.</w:t>
      </w:r>
    </w:p>
    <w:p>
      <w:pPr>
        <w:spacing w:after="120" w:line="276" w:lineRule="auto" w:before="240"/>
      </w:pPr>
      <w:r>
        <w:rPr>
          <w:b/>
          <w:color w:val="003366"/>
          <w:sz w:val="24"/>
        </w:rPr>
        <w:t>**PARTIE 4 : CONCLUSION D'INVESTISSEMENT**</w:t>
      </w:r>
    </w:p>
    <w:p>
      <w:pPr>
        <w:spacing w:after="120" w:line="276" w:lineRule="auto"/>
      </w:pPr>
      <w:r>
        <w:t>La valorisation de BOAM (PER 13,8x, P/B 3,08x) est attrayante compte tenu de la forte croissance des bénéfices, justifiant la prime de marché. Le comportement du cours sur 100 jours (+21,65%) et la volatilité élevée (31,1%) offrent un potentiel de rendement, mais avec un risque accru. Les signaux techniques sont mitigés, avec une tendance de fond haussière (MM) mais un momentum à court terme en perte de vitesse (MACD, Stochastique), suggérant une consolidation. Les fondamentaux, eux, sont excellents, avec un ROE de 22,24% et une croissance soutenue du résultat net, renforcée par les rapports trimestriels. Les prédictions IA (J+1 à J+10) indiquent une trajectoire baissière à court terme (5 521 à 5 250 FCFA), ce qui contredit la tendance haussière de fond mais corrobore les signaux techniques de consolidation. En synthèse, la convergence entre la solidité fondamentale et la valorisation raisonnable plaide pour une stratégie d'accumulation, tandis que la technique et l'IA suggèrent d'attendre un point d'entrée plus favorable. **Recommandation finale : ACHAT** avec un niveau de confiance **Moyen** et un risque global **Élevé**. L'horizon d'investissement optimal est le **moyen terme (3-12 mois)**, en profitant d'une éventuelle correction pour renforcer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106.08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10,999 titres</w:t>
            </w:r>
          </w:p>
        </w:tc>
        <w:tc>
          <w:tcPr>
            <w:tcW w:type="dxa" w:w="2268"/>
            <w:shd w:fill="FFF2CC" w:val="clear"/>
          </w:tcPr>
          <w:p>
            <w:r>
              <w:rPr>
                <w:b/>
                <w:color w:val="503200"/>
                <w:sz w:val="16"/>
              </w:rPr>
              <w:t xml:space="preserve">Cours actuel : </w:t>
            </w:r>
            <w:r>
              <w:rPr>
                <w:color w:val="000000"/>
                <w:sz w:val="17"/>
              </w:rPr>
              <w:t>5,100 FCFA</w:t>
            </w:r>
          </w:p>
          <w:p>
            <w:r>
              <w:rPr>
                <w:b/>
                <w:color w:val="503200"/>
                <w:sz w:val="16"/>
              </w:rPr>
              <w:t xml:space="preserve">Var. 100 jours : </w:t>
            </w:r>
            <w:r>
              <w:rPr>
                <w:b/>
                <w:color w:val="007800"/>
                <w:sz w:val="17"/>
              </w:rPr>
              <w:t>+83.45%</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22.00% (Élevée) — μ=3,750 FCFA, σ=825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β=0.6658 (Défensif) — Cov=0.000024, Var(idx)=0.000036, ρ=0.143,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10,999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4,905</w:t>
            </w:r>
          </w:p>
        </w:tc>
        <w:tc>
          <w:tcPr>
            <w:tcW w:type="dxa" w:w="1440"/>
            <w:shd w:fill="FAFAFA" w:val="clear"/>
          </w:tcPr>
          <w:p>
            <w:r>
              <w:rPr>
                <w:b/>
                <w:sz w:val="17"/>
              </w:rPr>
              <w:t>5,147</w:t>
            </w:r>
          </w:p>
        </w:tc>
        <w:tc>
          <w:tcPr>
            <w:tcW w:type="dxa" w:w="1440"/>
            <w:shd w:fill="FAFAFA" w:val="clear"/>
          </w:tcPr>
          <w:p>
            <w:r>
              <w:rPr>
                <w:sz w:val="17"/>
              </w:rPr>
              <w:t>5,390</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4,783</w:t>
            </w:r>
          </w:p>
        </w:tc>
        <w:tc>
          <w:tcPr>
            <w:tcW w:type="dxa" w:w="1440"/>
            <w:shd w:fill="FAFAFA" w:val="clear"/>
          </w:tcPr>
          <w:p>
            <w:r>
              <w:rPr>
                <w:b/>
                <w:sz w:val="17"/>
              </w:rPr>
              <w:t>5,124</w:t>
            </w:r>
          </w:p>
        </w:tc>
        <w:tc>
          <w:tcPr>
            <w:tcW w:type="dxa" w:w="1440"/>
            <w:shd w:fill="FAFAFA" w:val="clear"/>
          </w:tcPr>
          <w:p>
            <w:r>
              <w:rPr>
                <w:sz w:val="17"/>
              </w:rPr>
              <w:t>5,466</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4,696</w:t>
            </w:r>
          </w:p>
        </w:tc>
        <w:tc>
          <w:tcPr>
            <w:tcW w:type="dxa" w:w="1440"/>
            <w:shd w:fill="FAFAFA" w:val="clear"/>
          </w:tcPr>
          <w:p>
            <w:r>
              <w:rPr>
                <w:b/>
                <w:sz w:val="17"/>
              </w:rPr>
              <w:t>5,113</w:t>
            </w:r>
          </w:p>
        </w:tc>
        <w:tc>
          <w:tcPr>
            <w:tcW w:type="dxa" w:w="1440"/>
            <w:shd w:fill="FAFAFA" w:val="clear"/>
          </w:tcPr>
          <w:p>
            <w:r>
              <w:rPr>
                <w:sz w:val="17"/>
              </w:rPr>
              <w:t>5,530</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4,622</w:t>
            </w:r>
          </w:p>
        </w:tc>
        <w:tc>
          <w:tcPr>
            <w:tcW w:type="dxa" w:w="1440"/>
            <w:shd w:fill="FAFAFA" w:val="clear"/>
          </w:tcPr>
          <w:p>
            <w:r>
              <w:rPr>
                <w:b/>
                <w:sz w:val="17"/>
              </w:rPr>
              <w:t>5,103</w:t>
            </w:r>
          </w:p>
        </w:tc>
        <w:tc>
          <w:tcPr>
            <w:tcW w:type="dxa" w:w="1440"/>
            <w:shd w:fill="FAFAFA" w:val="clear"/>
          </w:tcPr>
          <w:p>
            <w:r>
              <w:rPr>
                <w:sz w:val="17"/>
              </w:rPr>
              <w:t>5,583</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2026-08-12</w:t>
            </w:r>
          </w:p>
        </w:tc>
        <w:tc>
          <w:tcPr>
            <w:tcW w:type="dxa" w:w="1440"/>
            <w:shd w:fill="FAFAFA" w:val="clear"/>
          </w:tcPr>
          <w:p>
            <w:r>
              <w:rPr>
                <w:sz w:val="17"/>
              </w:rPr>
              <w:t>4,557</w:t>
            </w:r>
          </w:p>
        </w:tc>
        <w:tc>
          <w:tcPr>
            <w:tcW w:type="dxa" w:w="1440"/>
            <w:shd w:fill="FAFAFA" w:val="clear"/>
          </w:tcPr>
          <w:p>
            <w:r>
              <w:rPr>
                <w:b/>
                <w:sz w:val="17"/>
              </w:rPr>
              <w:t>5,093</w:t>
            </w:r>
          </w:p>
        </w:tc>
        <w:tc>
          <w:tcPr>
            <w:tcW w:type="dxa" w:w="1440"/>
            <w:shd w:fill="FAFAFA" w:val="clear"/>
          </w:tcPr>
          <w:p>
            <w:r>
              <w:rPr>
                <w:sz w:val="17"/>
              </w:rPr>
              <w:t>5,630</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2026-08-13</w:t>
            </w:r>
          </w:p>
        </w:tc>
        <w:tc>
          <w:tcPr>
            <w:tcW w:type="dxa" w:w="1440"/>
            <w:shd w:fill="FAFAFA" w:val="clear"/>
          </w:tcPr>
          <w:p>
            <w:r>
              <w:rPr>
                <w:sz w:val="17"/>
              </w:rPr>
              <w:t>4,498</w:t>
            </w:r>
          </w:p>
        </w:tc>
        <w:tc>
          <w:tcPr>
            <w:tcW w:type="dxa" w:w="1440"/>
            <w:shd w:fill="FAFAFA" w:val="clear"/>
          </w:tcPr>
          <w:p>
            <w:r>
              <w:rPr>
                <w:b/>
                <w:sz w:val="17"/>
              </w:rPr>
              <w:t>5,084</w:t>
            </w:r>
          </w:p>
        </w:tc>
        <w:tc>
          <w:tcPr>
            <w:tcW w:type="dxa" w:w="1440"/>
            <w:shd w:fill="FAFAFA" w:val="clear"/>
          </w:tcPr>
          <w:p>
            <w:r>
              <w:rPr>
                <w:sz w:val="17"/>
              </w:rPr>
              <w:t>5,670</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2026-08-14</w:t>
            </w:r>
          </w:p>
        </w:tc>
        <w:tc>
          <w:tcPr>
            <w:tcW w:type="dxa" w:w="1440"/>
            <w:shd w:fill="FAFAFA" w:val="clear"/>
          </w:tcPr>
          <w:p>
            <w:r>
              <w:rPr>
                <w:sz w:val="17"/>
              </w:rPr>
              <w:t>4,442</w:t>
            </w:r>
          </w:p>
        </w:tc>
        <w:tc>
          <w:tcPr>
            <w:tcW w:type="dxa" w:w="1440"/>
            <w:shd w:fill="FAFAFA" w:val="clear"/>
          </w:tcPr>
          <w:p>
            <w:r>
              <w:rPr>
                <w:b/>
                <w:sz w:val="17"/>
              </w:rPr>
              <w:t>5,074</w:t>
            </w:r>
          </w:p>
        </w:tc>
        <w:tc>
          <w:tcPr>
            <w:tcW w:type="dxa" w:w="1440"/>
            <w:shd w:fill="FAFAFA" w:val="clear"/>
          </w:tcPr>
          <w:p>
            <w:r>
              <w:rPr>
                <w:sz w:val="17"/>
              </w:rPr>
              <w:t>5,707</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2026-08-17</w:t>
            </w:r>
          </w:p>
        </w:tc>
        <w:tc>
          <w:tcPr>
            <w:tcW w:type="dxa" w:w="1440"/>
            <w:shd w:fill="FAFAFA" w:val="clear"/>
          </w:tcPr>
          <w:p>
            <w:r>
              <w:rPr>
                <w:sz w:val="17"/>
              </w:rPr>
              <w:t>4,391</w:t>
            </w:r>
          </w:p>
        </w:tc>
        <w:tc>
          <w:tcPr>
            <w:tcW w:type="dxa" w:w="1440"/>
            <w:shd w:fill="FAFAFA" w:val="clear"/>
          </w:tcPr>
          <w:p>
            <w:r>
              <w:rPr>
                <w:b/>
                <w:sz w:val="17"/>
              </w:rPr>
              <w:t>5,065</w:t>
            </w:r>
          </w:p>
        </w:tc>
        <w:tc>
          <w:tcPr>
            <w:tcW w:type="dxa" w:w="1440"/>
            <w:shd w:fill="FAFAFA" w:val="clear"/>
          </w:tcPr>
          <w:p>
            <w:r>
              <w:rPr>
                <w:sz w:val="17"/>
              </w:rPr>
              <w:t>5,740</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2026-08-18</w:t>
            </w:r>
          </w:p>
        </w:tc>
        <w:tc>
          <w:tcPr>
            <w:tcW w:type="dxa" w:w="1440"/>
            <w:shd w:fill="FAFAFA" w:val="clear"/>
          </w:tcPr>
          <w:p>
            <w:r>
              <w:rPr>
                <w:sz w:val="17"/>
              </w:rPr>
              <w:t>4,342</w:t>
            </w:r>
          </w:p>
        </w:tc>
        <w:tc>
          <w:tcPr>
            <w:tcW w:type="dxa" w:w="1440"/>
            <w:shd w:fill="FAFAFA" w:val="clear"/>
          </w:tcPr>
          <w:p>
            <w:r>
              <w:rPr>
                <w:b/>
                <w:sz w:val="17"/>
              </w:rPr>
              <w:t>5,056</w:t>
            </w:r>
          </w:p>
        </w:tc>
        <w:tc>
          <w:tcPr>
            <w:tcW w:type="dxa" w:w="1440"/>
            <w:shd w:fill="FAFAFA" w:val="clear"/>
          </w:tcPr>
          <w:p>
            <w:r>
              <w:rPr>
                <w:sz w:val="17"/>
              </w:rPr>
              <w:t>5,770</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2026-08-19</w:t>
            </w:r>
          </w:p>
        </w:tc>
        <w:tc>
          <w:tcPr>
            <w:tcW w:type="dxa" w:w="1440"/>
            <w:shd w:fill="FAFAFA" w:val="clear"/>
          </w:tcPr>
          <w:p>
            <w:r>
              <w:rPr>
                <w:sz w:val="17"/>
              </w:rPr>
              <w:t>4,296</w:t>
            </w:r>
          </w:p>
        </w:tc>
        <w:tc>
          <w:tcPr>
            <w:tcW w:type="dxa" w:w="1440"/>
            <w:shd w:fill="FAFAFA" w:val="clear"/>
          </w:tcPr>
          <w:p>
            <w:r>
              <w:rPr>
                <w:b/>
                <w:sz w:val="17"/>
              </w:rPr>
              <w:t>5,047</w:t>
            </w:r>
          </w:p>
        </w:tc>
        <w:tc>
          <w:tcPr>
            <w:tcW w:type="dxa" w:w="1440"/>
            <w:shd w:fill="FAFAFA" w:val="clear"/>
          </w:tcPr>
          <w:p>
            <w:r>
              <w:rPr>
                <w:sz w:val="17"/>
              </w:rPr>
              <w:t>5,799</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106,08 milliards FCFA, un niveau significatif sur la BRVM qui témoigne de l'importance de la banque dans le paysage financier régional. Le BPA de 20 FCFA par action est extrêmement faible, ce qui explique un PER de 259,4x, très largement au-dessus de la moyenne du marché BRVM (8-12x). Les investisseurs paient donc un prix très élevé pour des bénéfices actuels minimes, traduisant une anticipation de rebond important. Le P/B de 2,94x indique que le marché valorise la société près de 3 fois sa valeur comptable, une prime de croissance significative. Enfin, l'EV/EBITDA de 39,5x, très supérieur au seuil de 15x, confirme une valorisation exigeante qui laisse peu de place à l'erreur.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BOAN a enregistré une progression spectaculaire de +83,45%, avec une légère correction de -1,92% lors de la dernière séance, clôturant à 5 100 FCFA. Le cours a évolué dans une fourchette très large, entre un plus bas de 2 460 FCFA et un plus haut de 5 400 FCFA, illustrant une forte dynamique haussière. La moyenne (3 750 FCFA) est légèrement supérieure à la médiane (3 700 FCFA), indiquant une asymétrie positive avec des journées de forte hausse. L'écart-type de 829 FCFA (CV=22,1%) révèle une dispersion modérée des prix autour de la moyenne. Le kurtosis de -0,545 (mésokurtique) suggère une distribution proche de la normale, sans risque de pics extrêmes, tandis que le skewness positif de 0,556 indique une asymétrie favorable avec plus de journées sous la moyenne. La volatilité annualisée de 45,3% classe le titre comme très volatil, un niveau élevé qui implique un risque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(5 100 FCFA) se positionne au-dessus de la MM20 (5 109,75 FCFA) et nettement au-dessus de la MM50 (4 374,8 FCFA). Cette configuration haussière, avec une MM20 supérieure à la MM50, confirme une tendance positive à moyen terme. La décision d'achat est justifiée par la dynamique haussière, bien que le cours soit très proche de sa MM20, ce qui pourrait signaler un essoufflement à court terme.</w:t>
      </w:r>
    </w:p>
    <w:p>
      <w:pPr>
        <w:spacing w:after="120" w:line="276" w:lineRule="auto"/>
      </w:pPr>
      <w:r>
        <w:t>**Bandes de Bollinger :** Le prix se situe à 5 100 FCFA, entre la borne inférieure (4 480 FCFA) et la borne supérieure (5 739 FCFA), plus près de la borne supérieure. Cette position indique une volatilité modérée et une pression acheteuse encore présente. La décision neutre reflète l'absence de signal clair de surachat ou de survente, le cours évoluant dans la partie haute de la bande sans la toucher.</w:t>
      </w:r>
    </w:p>
    <w:p>
      <w:pPr>
        <w:spacing w:after="120" w:line="276" w:lineRule="auto"/>
      </w:pPr>
      <w:r>
        <w:t>**MACD :** La valeur du MACD (261,3) est inférieure à son signal (313,7), indiquant un momentum baissier à court terme. Cette configuration suggère un ralentissement de la dynamique haussière et une possible consolidation. La décision de vente est cohérente avec cette divergence négative, qui pourrait précéder une correction technique.</w:t>
      </w:r>
    </w:p>
    <w:p>
      <w:pPr>
        <w:spacing w:after="120" w:line="276" w:lineRule="auto"/>
      </w:pPr>
      <w:r>
        <w:t>**RSI :** Le RSI à 49,6 se situe en zone neutre, entre 30 et 70, indiquant un équilibre entre pression acheteuse et vendeuse. Cette valeur ne montre ni surachat ni survente, laissant place à une évolution indécise du cours. La décision neutre est appropriée, le marché n'étant pas encore dans une configuration extrême.</w:t>
      </w:r>
    </w:p>
    <w:p>
      <w:pPr>
        <w:spacing w:after="120" w:line="276" w:lineRule="auto"/>
      </w:pPr>
      <w:r>
        <w:t>**Stochastique :** Le %K à 0,0 et le %D à 37,99 indiquent une situation de survente extrême pour le %K, bien que le %D reste au-dessus. Cette configuration suggère un potentiel rebond technique, le %K étant à son niveau le plus bas. La décision d'achat se justifie par cette opportunité de retournement haussier après une phase de correction.</w:t>
      </w:r>
    </w:p>
    <w:p>
      <w:pPr>
        <w:spacing w:after="120" w:line="276" w:lineRule="auto"/>
      </w:pPr>
      <w:r>
        <w:t>**Conclusion technique :** La convergence des indicateurs est mitigée : les moyennes mobiles et le stochastique suggèrent une poursuite haussière, tandis que le MACD signale un ralentissement. Le RSI neutre et les bandes de Bollinger sans signal clair indiquent une phase de consolidation. Globalement, la tendance de fond reste haussière, mais un repli technique semble probable à court terme avant une reprise.</w:t>
      </w:r>
    </w:p>
    <w:p>
      <w:pPr>
        <w:spacing w:after="120" w:line="276" w:lineRule="auto"/>
      </w:pPr>
      <w:r>
        <w:t>---</w:t>
      </w:r>
    </w:p>
    <w:p>
      <w:pPr>
        <w:spacing w:after="120" w:line="276" w:lineRule="auto"/>
      </w:pPr>
      <w:r>
        <w:t>### PARTIE 3 : ANALYSE FONDAMENTALE (SECTION CRITIQUE)</w:t>
      </w:r>
    </w:p>
    <w:p>
      <w:pPr>
        <w:spacing w:after="120" w:line="276" w:lineRule="auto"/>
      </w:pPr>
      <w:r>
        <w:t>En 2025, BOAN affiche un Produit Net Bancaire de 21,125 milliards FCFA, en légère baisse de 1,2% par rapport à 2024 (21,38 milliards). Le résultat net s'effondre à 409 millions FCFA, contre 5 002 millions en 2024, soit une chute de 91,8%. Cette dégradation se reflète dans les ratios de rentabilité : le ROE chute à 1,13% et le ROA à 0,14%, contre respectivement 11,39% et 1,49% en 2024. Le coefficient d'exploitation de 74,37% est préoccupant, bien au-dessus du seuil de 60% considéré comme efficace pour une banque. Le coût du risque de 67,3% est élevé, reflétant un portefeuille de crédits fragilisé avec un taux de créances en souffrance de 24%. Les dépôts clientèle (183,28 milliards) dépassent largement les créances sur la clientèle (128,45 milliards), indiquant une transformation saine. Les rapports trimestriels 2025 confirment la tendance : le T1 2025 montre un PNB en baisse de 16,3% et un résultat net en chute de 50,2%, tandis que le S1 2025 affiche une contraction plus modérée (-4,1% PNB, -25,2% résultat net). Le T3 2025 stabilise le PNB (-1,8%) mais le résultat net continue de chuter (-33,1%). Cependant, le rapport T1 2026 (publié en 2026) révèle une nette amélioration : le PNB progresse de 7,9% à 5 170 millions FCFA et le résultat net bondit de 28,9% à 1 467,3 millions FCFA, avec un coefficient d'exploitation amélioré à 56,2%. Sur cette base, on estime que l'exercice 2026 devrait confirmer ce redressement, avec un objectif budgétaire de PNB à 22,3 milliards (+6,4%) et un résultat avant impôt de 7,28 milliards, soit une multiplication par 6. La banque bénéficie du soutien du groupe BOA et d'un plan de relance axé sur la digitalisation et la réduction du coût du risque.</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exigeante (PER de 259,4x, EV/EBITDA de 39,5x), traduisant une anticipation forte de rebond des bénéfices. Le comportement du cours sur 100 jours (+83,45%) confirme cet optimisme, avec une volatilité élevée (45,3%) qui implique un risque important. Les signaux techniques sont mitigés : les moyennes mobiles et le stochastique restent positifs, mais le MACD signale un essoufflement et le RSI est neutre, suggérant une consolidation à court terme. Les fondamentaux, bien que dégradés en 2025 (ROE à 1,13%), montrent des signes encourageants de redressement au T1 2026 (résultat net +28,9%), soutenus par le plan stratégique et le contexte macroéconomique nigérien en amélioration. Les prédictions IA (5 147 à 5 093 FCFA sur 10 jours) indiquent une stabilisation du cours autour de 5 100 FCFA, confirmant la phase de consolidation technique. La convergence entre les perspectives de redressement fondamental et la tendance haussière de fond justifie une recommandation **CONSERVER**, avec un niveau de confiance **Moyen** et un risque global **Élevé**. L'horizon d'investissement optimal est le **moyen terme (3-12 mois)**, en attendant la confirmation du redressement sur l'exercice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9,032 titres</w:t>
            </w:r>
          </w:p>
        </w:tc>
        <w:tc>
          <w:tcPr>
            <w:tcW w:type="dxa" w:w="2268"/>
            <w:shd w:fill="FFF2CC" w:val="clear"/>
          </w:tcPr>
          <w:p>
            <w:r>
              <w:rPr>
                <w:b/>
                <w:color w:val="503200"/>
                <w:sz w:val="16"/>
              </w:rPr>
              <w:t xml:space="preserve">Cours actuel : </w:t>
            </w:r>
            <w:r>
              <w:rPr>
                <w:color w:val="000000"/>
                <w:sz w:val="17"/>
              </w:rPr>
              <w:t>7,700 FCFA</w:t>
            </w:r>
          </w:p>
          <w:p>
            <w:r>
              <w:rPr>
                <w:b/>
                <w:color w:val="503200"/>
                <w:sz w:val="16"/>
              </w:rPr>
              <w:t xml:space="preserve">Var. 100 jours : </w:t>
            </w:r>
            <w:r>
              <w:rPr>
                <w:b/>
                <w:color w:val="007800"/>
                <w:sz w:val="17"/>
              </w:rPr>
              <w:t>+16.67%</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5.40% (Moyenne) — μ=7,233 FCFA, σ=390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β=0.5737 (Défensif) — Cov=0.000021, Var(idx)=0.000036, ρ=0.218,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9,032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σ_j=1.59%/j (Stable) — Vol. annualisée≈25.3%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2026-08-05</w:t>
            </w:r>
          </w:p>
        </w:tc>
        <w:tc>
          <w:tcPr>
            <w:tcW w:type="dxa" w:w="1440"/>
            <w:shd w:fill="FFDCE0" w:val="clear"/>
          </w:tcPr>
          <w:p>
            <w:r>
              <w:rPr>
                <w:sz w:val="17"/>
              </w:rPr>
              <w:t>7,362</w:t>
            </w:r>
          </w:p>
        </w:tc>
        <w:tc>
          <w:tcPr>
            <w:tcW w:type="dxa" w:w="1440"/>
            <w:shd w:fill="FFDCE0" w:val="clear"/>
          </w:tcPr>
          <w:p>
            <w:r>
              <w:rPr>
                <w:b/>
                <w:sz w:val="17"/>
              </w:rPr>
              <w:t>7,534</w:t>
            </w:r>
          </w:p>
        </w:tc>
        <w:tc>
          <w:tcPr>
            <w:tcW w:type="dxa" w:w="1440"/>
            <w:shd w:fill="FFDCE0" w:val="clear"/>
          </w:tcPr>
          <w:p>
            <w:r>
              <w:rPr>
                <w:sz w:val="17"/>
              </w:rPr>
              <w:t>7,706</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2026-08-06</w:t>
            </w:r>
          </w:p>
        </w:tc>
        <w:tc>
          <w:tcPr>
            <w:tcW w:type="dxa" w:w="1440"/>
            <w:shd w:fill="FFDCE0" w:val="clear"/>
          </w:tcPr>
          <w:p>
            <w:r>
              <w:rPr>
                <w:sz w:val="17"/>
              </w:rPr>
              <w:t>7,184</w:t>
            </w:r>
          </w:p>
        </w:tc>
        <w:tc>
          <w:tcPr>
            <w:tcW w:type="dxa" w:w="1440"/>
            <w:shd w:fill="FFDCE0" w:val="clear"/>
          </w:tcPr>
          <w:p>
            <w:r>
              <w:rPr>
                <w:b/>
                <w:sz w:val="17"/>
              </w:rPr>
              <w:t>7,424</w:t>
            </w:r>
          </w:p>
        </w:tc>
        <w:tc>
          <w:tcPr>
            <w:tcW w:type="dxa" w:w="1440"/>
            <w:shd w:fill="FFDCE0" w:val="clear"/>
          </w:tcPr>
          <w:p>
            <w:r>
              <w:rPr>
                <w:sz w:val="17"/>
              </w:rPr>
              <w:t>7,664</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7,026</w:t>
            </w:r>
          </w:p>
        </w:tc>
        <w:tc>
          <w:tcPr>
            <w:tcW w:type="dxa" w:w="1440"/>
            <w:shd w:fill="FFDCE0" w:val="clear"/>
          </w:tcPr>
          <w:p>
            <w:r>
              <w:rPr>
                <w:b/>
                <w:sz w:val="17"/>
              </w:rPr>
              <w:t>7,316</w:t>
            </w:r>
          </w:p>
        </w:tc>
        <w:tc>
          <w:tcPr>
            <w:tcW w:type="dxa" w:w="1440"/>
            <w:shd w:fill="FFDCE0" w:val="clear"/>
          </w:tcPr>
          <w:p>
            <w:r>
              <w:rPr>
                <w:sz w:val="17"/>
              </w:rPr>
              <w:t>7,605</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2026-08-11</w:t>
            </w:r>
          </w:p>
        </w:tc>
        <w:tc>
          <w:tcPr>
            <w:tcW w:type="dxa" w:w="1440"/>
            <w:shd w:fill="FFDCE0" w:val="clear"/>
          </w:tcPr>
          <w:p>
            <w:r>
              <w:rPr>
                <w:sz w:val="17"/>
              </w:rPr>
              <w:t>6,886</w:t>
            </w:r>
          </w:p>
        </w:tc>
        <w:tc>
          <w:tcPr>
            <w:tcW w:type="dxa" w:w="1440"/>
            <w:shd w:fill="FFDCE0" w:val="clear"/>
          </w:tcPr>
          <w:p>
            <w:r>
              <w:rPr>
                <w:b/>
                <w:sz w:val="17"/>
              </w:rPr>
              <w:t>7,215</w:t>
            </w:r>
          </w:p>
        </w:tc>
        <w:tc>
          <w:tcPr>
            <w:tcW w:type="dxa" w:w="1440"/>
            <w:shd w:fill="FFDCE0" w:val="clear"/>
          </w:tcPr>
          <w:p>
            <w:r>
              <w:rPr>
                <w:sz w:val="17"/>
              </w:rPr>
              <w:t>7,545</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2026-08-12</w:t>
            </w:r>
          </w:p>
        </w:tc>
        <w:tc>
          <w:tcPr>
            <w:tcW w:type="dxa" w:w="1440"/>
            <w:shd w:fill="FFDCE0" w:val="clear"/>
          </w:tcPr>
          <w:p>
            <w:r>
              <w:rPr>
                <w:sz w:val="17"/>
              </w:rPr>
              <w:t>6,758</w:t>
            </w:r>
          </w:p>
        </w:tc>
        <w:tc>
          <w:tcPr>
            <w:tcW w:type="dxa" w:w="1440"/>
            <w:shd w:fill="FFDCE0" w:val="clear"/>
          </w:tcPr>
          <w:p>
            <w:r>
              <w:rPr>
                <w:b/>
                <w:sz w:val="17"/>
              </w:rPr>
              <w:t>7,121</w:t>
            </w:r>
          </w:p>
        </w:tc>
        <w:tc>
          <w:tcPr>
            <w:tcW w:type="dxa" w:w="1440"/>
            <w:shd w:fill="FFDCE0" w:val="clear"/>
          </w:tcPr>
          <w:p>
            <w:r>
              <w:rPr>
                <w:sz w:val="17"/>
              </w:rPr>
              <w:t>7,485</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2026-08-13</w:t>
            </w:r>
          </w:p>
        </w:tc>
        <w:tc>
          <w:tcPr>
            <w:tcW w:type="dxa" w:w="1440"/>
            <w:shd w:fill="FFDCE0" w:val="clear"/>
          </w:tcPr>
          <w:p>
            <w:r>
              <w:rPr>
                <w:sz w:val="17"/>
              </w:rPr>
              <w:t>6,639</w:t>
            </w:r>
          </w:p>
        </w:tc>
        <w:tc>
          <w:tcPr>
            <w:tcW w:type="dxa" w:w="1440"/>
            <w:shd w:fill="FFDCE0" w:val="clear"/>
          </w:tcPr>
          <w:p>
            <w:r>
              <w:rPr>
                <w:b/>
                <w:sz w:val="17"/>
              </w:rPr>
              <w:t>7,032</w:t>
            </w:r>
          </w:p>
        </w:tc>
        <w:tc>
          <w:tcPr>
            <w:tcW w:type="dxa" w:w="1440"/>
            <w:shd w:fill="FFDCE0" w:val="clear"/>
          </w:tcPr>
          <w:p>
            <w:r>
              <w:rPr>
                <w:sz w:val="17"/>
              </w:rPr>
              <w:t>7,426</w:t>
            </w:r>
          </w:p>
        </w:tc>
        <w:tc>
          <w:tcPr>
            <w:tcW w:type="dxa" w:w="1440"/>
            <w:shd w:fill="FFDCE0" w:val="clear"/>
          </w:tcPr>
          <w:p>
            <w:r>
              <w:rPr>
                <w:b/>
                <w:color w:val="C00000"/>
                <w:sz w:val="17"/>
              </w:rPr>
              <w:t>-8.7%</w:t>
            </w:r>
          </w:p>
        </w:tc>
      </w:tr>
      <w:tr>
        <w:tc>
          <w:tcPr>
            <w:tcW w:type="dxa" w:w="1440"/>
            <w:shd w:fill="FFDCE0" w:val="clear"/>
          </w:tcPr>
          <w:p>
            <w:r>
              <w:rPr>
                <w:sz w:val="17"/>
              </w:rPr>
              <w:t>J+7  Moyenne</w:t>
            </w:r>
          </w:p>
        </w:tc>
        <w:tc>
          <w:tcPr>
            <w:tcW w:type="dxa" w:w="1440"/>
            <w:shd w:fill="FFDCE0" w:val="clear"/>
          </w:tcPr>
          <w:p>
            <w:r>
              <w:rPr>
                <w:sz w:val="17"/>
              </w:rPr>
              <w:t>2026-08-14</w:t>
            </w:r>
          </w:p>
        </w:tc>
        <w:tc>
          <w:tcPr>
            <w:tcW w:type="dxa" w:w="1440"/>
            <w:shd w:fill="FFDCE0" w:val="clear"/>
          </w:tcPr>
          <w:p>
            <w:r>
              <w:rPr>
                <w:sz w:val="17"/>
              </w:rPr>
              <w:t>6,528</w:t>
            </w:r>
          </w:p>
        </w:tc>
        <w:tc>
          <w:tcPr>
            <w:tcW w:type="dxa" w:w="1440"/>
            <w:shd w:fill="FFDCE0" w:val="clear"/>
          </w:tcPr>
          <w:p>
            <w:r>
              <w:rPr>
                <w:b/>
                <w:sz w:val="17"/>
              </w:rPr>
              <w:t>6,948</w:t>
            </w:r>
          </w:p>
        </w:tc>
        <w:tc>
          <w:tcPr>
            <w:tcW w:type="dxa" w:w="1440"/>
            <w:shd w:fill="FFDCE0" w:val="clear"/>
          </w:tcPr>
          <w:p>
            <w:r>
              <w:rPr>
                <w:sz w:val="17"/>
              </w:rPr>
              <w:t>7,367</w:t>
            </w:r>
          </w:p>
        </w:tc>
        <w:tc>
          <w:tcPr>
            <w:tcW w:type="dxa" w:w="1440"/>
            <w:shd w:fill="FFDCE0" w:val="clear"/>
          </w:tcPr>
          <w:p>
            <w:r>
              <w:rPr>
                <w:b/>
                <w:color w:val="C00000"/>
                <w:sz w:val="17"/>
              </w:rPr>
              <w:t>-9.8%</w:t>
            </w:r>
          </w:p>
        </w:tc>
      </w:tr>
      <w:tr>
        <w:tc>
          <w:tcPr>
            <w:tcW w:type="dxa" w:w="1440"/>
            <w:shd w:fill="FFDCE0" w:val="clear"/>
          </w:tcPr>
          <w:p>
            <w:r>
              <w:rPr>
                <w:sz w:val="17"/>
              </w:rPr>
              <w:t>J+8  Moyenne</w:t>
            </w:r>
          </w:p>
        </w:tc>
        <w:tc>
          <w:tcPr>
            <w:tcW w:type="dxa" w:w="1440"/>
            <w:shd w:fill="FFDCE0" w:val="clear"/>
          </w:tcPr>
          <w:p>
            <w:r>
              <w:rPr>
                <w:sz w:val="17"/>
              </w:rPr>
              <w:t>2026-08-17</w:t>
            </w:r>
          </w:p>
        </w:tc>
        <w:tc>
          <w:tcPr>
            <w:tcW w:type="dxa" w:w="1440"/>
            <w:shd w:fill="FFDCE0" w:val="clear"/>
          </w:tcPr>
          <w:p>
            <w:r>
              <w:rPr>
                <w:sz w:val="17"/>
              </w:rPr>
              <w:t>6,424</w:t>
            </w:r>
          </w:p>
        </w:tc>
        <w:tc>
          <w:tcPr>
            <w:tcW w:type="dxa" w:w="1440"/>
            <w:shd w:fill="FFDCE0" w:val="clear"/>
          </w:tcPr>
          <w:p>
            <w:r>
              <w:rPr>
                <w:b/>
                <w:sz w:val="17"/>
              </w:rPr>
              <w:t>6,868</w:t>
            </w:r>
          </w:p>
        </w:tc>
        <w:tc>
          <w:tcPr>
            <w:tcW w:type="dxa" w:w="1440"/>
            <w:shd w:fill="FFDCE0" w:val="clear"/>
          </w:tcPr>
          <w:p>
            <w:r>
              <w:rPr>
                <w:sz w:val="17"/>
              </w:rPr>
              <w:t>7,311</w:t>
            </w:r>
          </w:p>
        </w:tc>
        <w:tc>
          <w:tcPr>
            <w:tcW w:type="dxa" w:w="1440"/>
            <w:shd w:fill="FFDCE0" w:val="clear"/>
          </w:tcPr>
          <w:p>
            <w:r>
              <w:rPr>
                <w:b/>
                <w:color w:val="C00000"/>
                <w:sz w:val="17"/>
              </w:rPr>
              <w:t>-10.8%</w:t>
            </w:r>
          </w:p>
        </w:tc>
      </w:tr>
      <w:tr>
        <w:tc>
          <w:tcPr>
            <w:tcW w:type="dxa" w:w="1440"/>
            <w:shd w:fill="FFDCE0" w:val="clear"/>
          </w:tcPr>
          <w:p>
            <w:r>
              <w:rPr>
                <w:sz w:val="17"/>
              </w:rPr>
              <w:t>J+9  Moyenne</w:t>
            </w:r>
          </w:p>
        </w:tc>
        <w:tc>
          <w:tcPr>
            <w:tcW w:type="dxa" w:w="1440"/>
            <w:shd w:fill="FFDCE0" w:val="clear"/>
          </w:tcPr>
          <w:p>
            <w:r>
              <w:rPr>
                <w:sz w:val="17"/>
              </w:rPr>
              <w:t>2026-08-18</w:t>
            </w:r>
          </w:p>
        </w:tc>
        <w:tc>
          <w:tcPr>
            <w:tcW w:type="dxa" w:w="1440"/>
            <w:shd w:fill="FFDCE0" w:val="clear"/>
          </w:tcPr>
          <w:p>
            <w:r>
              <w:rPr>
                <w:sz w:val="17"/>
              </w:rPr>
              <w:t>6,326</w:t>
            </w:r>
          </w:p>
        </w:tc>
        <w:tc>
          <w:tcPr>
            <w:tcW w:type="dxa" w:w="1440"/>
            <w:shd w:fill="FFDCE0" w:val="clear"/>
          </w:tcPr>
          <w:p>
            <w:r>
              <w:rPr>
                <w:b/>
                <w:sz w:val="17"/>
              </w:rPr>
              <w:t>6,791</w:t>
            </w:r>
          </w:p>
        </w:tc>
        <w:tc>
          <w:tcPr>
            <w:tcW w:type="dxa" w:w="1440"/>
            <w:shd w:fill="FFDCE0" w:val="clear"/>
          </w:tcPr>
          <w:p>
            <w:r>
              <w:rPr>
                <w:sz w:val="17"/>
              </w:rPr>
              <w:t>7,256</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2026-08-19</w:t>
            </w:r>
          </w:p>
        </w:tc>
        <w:tc>
          <w:tcPr>
            <w:tcW w:type="dxa" w:w="1440"/>
            <w:shd w:fill="FFDCE0" w:val="clear"/>
          </w:tcPr>
          <w:p>
            <w:r>
              <w:rPr>
                <w:sz w:val="17"/>
              </w:rPr>
              <w:t>6,234</w:t>
            </w:r>
          </w:p>
        </w:tc>
        <w:tc>
          <w:tcPr>
            <w:tcW w:type="dxa" w:w="1440"/>
            <w:shd w:fill="FFDCE0" w:val="clear"/>
          </w:tcPr>
          <w:p>
            <w:r>
              <w:rPr>
                <w:b/>
                <w:sz w:val="17"/>
              </w:rPr>
              <w:t>6,719</w:t>
            </w:r>
          </w:p>
        </w:tc>
        <w:tc>
          <w:tcPr>
            <w:tcW w:type="dxa" w:w="1440"/>
            <w:shd w:fill="FFDCE0" w:val="clear"/>
          </w:tcPr>
          <w:p>
            <w:r>
              <w:rPr>
                <w:sz w:val="17"/>
              </w:rPr>
              <w:t>7,204</w:t>
            </w:r>
          </w:p>
        </w:tc>
        <w:tc>
          <w:tcPr>
            <w:tcW w:type="dxa" w:w="1440"/>
            <w:shd w:fill="FFDCE0" w:val="clear"/>
          </w:tcPr>
          <w:p>
            <w:r>
              <w:rPr>
                <w:b/>
                <w:color w:val="C00000"/>
                <w:sz w:val="17"/>
              </w:rPr>
              <w:t>-12.7%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de l'analyse : 04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277,20 milliards FCFA positionne BOAS comme une valeur de premier plan sur la BRVM, reflétant la confiance des investisseurs dans le secteur bancaire sénégalais. Avec un BPA de 608 FCFA, chaque action génère un bénéfice substantiel, justifiant un PER de 12,7x. Ce ratio, légèrement supérieur à la moyenne historique de la BRVM (8-12x), indique que les investisseurs acceptent de payer une prime modérée pour la qualité des actifs et la croissance affichée. Le P/B de 2,87x confirme cette prime, le marché valorisant la banque près de trois fois sa valeur comptable, signe d'une anticipation de croissance future. Enfin, l'EV/EBITDA de 8,1x, situé dans la fourchette raisonnable de 5-10x, suggère que la valorisation globale de l'entreprise (dette incluse)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 enregistré une performance remarquable de +16,67%, clôturant à 7 700 FCFA, avec une légère progression de +0,20% lors de la dernière séance. Le titre a évolué dans une fourchette de 6 400 FCFA (plus bas) à 8 050 FCFA (plus haut), démontrant une dynamique haussière soutenue. La moyenne du cours sur la période (7 233 FCFA) est inférieure à la médiane (7 300 FCFA), indiquant une distribution légèrement asymétrique avec des épisodes de forte hausse. L'écart-type de 392 FCFA (CV=5,4%) révèle une dispersion modérée autour de la moyenne. Le kurtosis de -0,790 (mésokurtique) et le skewness de -0,005 indiquent une distribution proche de la normale, sans risque de mouvements extrêmes. La volatilité annualisée de 25,3% classe le titre dans une zone de risque modéré, offrant un équilibre entre potentiel de rendement et stabilité relative.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(7 700 FCFA) se positionne au-dessus de la MM20 (7 578,25 FCFA) et de la MM50 (7 460,9 FCFA), confirmant une tendance haussière de court et moyen terme. La configuration des MM, avec la MM20 au-dessus de la MM50, valide un signal d'achat, indiquant que la dynamique positive est soutenue par les volumes et l'intérêt des investisseurs.</w:t>
      </w:r>
    </w:p>
    <w:p>
      <w:pPr>
        <w:spacing w:after="120" w:line="276" w:lineRule="auto"/>
      </w:pPr>
      <w:r>
        <w:t>**Bandes de Bollinger** : Le prix se situe à 7 700 FCFA, entre la borne inférieure (7 106,074 FCFA) et la borne supérieure (8 050,426 FCFA), proche du milieu de la bande. Cette position neutre suggère une volatilité normale sans pression excessive d'achat ou de vente. L'écart entre les bornes reflète une volatilité maîtrisée, laissant une marge de manœuvre pour une poursuite de la hausse sans surachat immédiat.</w:t>
      </w:r>
    </w:p>
    <w:p>
      <w:pPr>
        <w:spacing w:after="120" w:line="276" w:lineRule="auto"/>
      </w:pPr>
      <w:r>
        <w:t>**MACD** : La valeur du MACD (107,578) est supérieure à sa ligne de signal (99,369), avec un écart positif de 8,2 points. Cette divergence haussière confirme un momentum positif, indiquant que la pression acheteuse reste dominante. Le signal d'achat est renforcé par la position du MACD au-dessus de zéro, signe d'une tendance haussière solide.</w:t>
      </w:r>
    </w:p>
    <w:p>
      <w:pPr>
        <w:spacing w:after="120" w:line="276" w:lineRule="auto"/>
      </w:pPr>
      <w:r>
        <w:t>**RSI** : Le RSI de 62,258 se situe dans la zone neutre (30-70), sans atteindre le seuil de surachat (70). Cette valeur indique une dynamique positive mais non excessive, laissant une marge de progression avant une éventuelle correction. Le signal neutre suggère que le titre peut continuer à monter sans risque immédiat de retournement.</w:t>
      </w:r>
    </w:p>
    <w:p>
      <w:pPr>
        <w:spacing w:after="120" w:line="276" w:lineRule="auto"/>
      </w:pPr>
      <w:r>
        <w:t>**Stochastique** : Le %K (53,097) est inférieur au %D (60,921), indiquant une légère consolidation après une phase de hausse. Ce croisement baissier à court terme suggère un possible ralentissement, mais les valeurs restent dans la zone neutre, sans signal de vente majeur. La décision neutre reflète une phase de stabilisation après les récentes progressions.</w:t>
      </w:r>
    </w:p>
    <w:p>
      <w:pPr>
        <w:spacing w:after="120" w:line="276" w:lineRule="auto"/>
      </w:pPr>
      <w:r>
        <w:t>**Conclusion technique** : La convergence des signaux (MM et MACD en achat, RSI et Stochastique neutres) indique une tendance haussière solide mais en phase de consolidation. Le titre conserve un potentiel de progression, soutenu par une dynamique positive, bien que les indicateurs de momentum suggèrent une pause temporaire avant une éventuelle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BOAS révèlent une banque performante avec un Produit Net Bancaire (PNB) de 51,926 milliards FCFA et un résultat net de 21,905 milliards FCFA. La rentabilité est excellente avec un ROE de 22,69% et un ROA de 2,62%, largement supérieurs aux seuils de référence. Le coefficient d'exploitation de 44,02% témoigne d'une efficacité opérationnelle remarquable, bien en dessous du seuil de 60%. Le coût du risque de 23,31% reste élevé, signalant un risque de crédit significatif à surveiller. La transformation bancaire est saine avec des dépôts clients (686,927 milliards FCFA) représentant 1,78 fois les créances sur la clientèle (386,424 milliards FCFA). **Les rapports trimestriels 2025** confirment cette dynamique : au T1, le PNB atteint 11,78 milliards (+2,36%) et le résultat net 5,23 milliards (+9,25%) ; au S1, le PNB progresse à 25,37 milliards (+6,77%) avec un résultat net de 11,62 milliards (+12,70%) ; au T3, le PNB cumulé s'établit à 37,44 milliards (+6,71%) et le résultat net à 16,37 milliards (+10,01%). Le coefficient d'exploitation s'améliore continuellement (42,8% au T1, 41,4% au S1, 44,4% au T3). **Sur la base de ces tendances**, on estime que l'exercice 2026 devrait confirmer cette progression, avec le rapport T1 2026 montrant un PNB de 12,58 milliards (+6,82%) et un résultat net de 5,741 milliards (+9,78%). La banque affiche une croissance équilibrée de ses dépôts (+16,68%) et une amélioration de son efficacité opérationnelle (coefficient à 42,1%), soutenant une recommandation d'achat.</w:t>
      </w:r>
    </w:p>
    <w:p>
      <w:pPr>
        <w:spacing w:after="120" w:line="276" w:lineRule="auto"/>
      </w:pPr>
      <w:r>
        <w:t>---</w:t>
      </w:r>
    </w:p>
    <w:p>
      <w:pPr>
        <w:spacing w:after="120" w:line="276" w:lineRule="auto"/>
      </w:pPr>
      <w:r>
        <w:t>### PARTIE 4 : CONCLUSION D'INVESTISSEMENT</w:t>
      </w:r>
    </w:p>
    <w:p>
      <w:pPr>
        <w:spacing w:after="120" w:line="276" w:lineRule="auto"/>
      </w:pPr>
      <w:r>
        <w:t>La valorisation de BOAS (PER 12,7x, P/B 2,87x, EV/EBITDA 8,1x) indique une prime raisonnable pour une banque de cette qualité, sans surévaluation excessive. Le comportement du cours (+16,67% sur 100 jours) avec une volatilité modérée (25,3%) et une distribution normale (kurtosis et skewness proches de zéro) est favorable, reflétant une appréciation progressive et stable. Les signaux techniques convergent vers une tendance haussière (MM et MACD en achat), bien que le RSI et le Stochastique suggèrent une consolidation à court terme. Les fondamentaux sont solides avec une croissance soutenue du PNB (+6,7% au T3 2025), une amélioration continue du coefficient d'exploitation (44,4%) et une rentabilité élevée (ROE 22,69%). Les prédictions IA pour les 10 prochains jours (7 534 à 7 121 FCFA) indiquent une correction temporaire, mais ne contredisent pas la tendance de fond haussière. **Recommandation finale : ACHAT**, avec un niveau de confiance Élevé et un risque global Moyen. L'horizon d'investissement optimal est le moyen terme (3-12 mois), permettant de capitaliser sur la croissance des bénéfices et l'amélioration opérationnelle, tout en absorbant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20.57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2,480 titres</w:t>
            </w:r>
          </w:p>
        </w:tc>
        <w:tc>
          <w:tcPr>
            <w:tcW w:type="dxa" w:w="2268"/>
            <w:shd w:fill="FFF2CC" w:val="clear"/>
          </w:tcPr>
          <w:p>
            <w:r>
              <w:rPr>
                <w:b/>
                <w:color w:val="503200"/>
                <w:sz w:val="16"/>
              </w:rPr>
              <w:t xml:space="preserve">Cours actuel : </w:t>
            </w:r>
            <w:r>
              <w:rPr>
                <w:color w:val="000000"/>
                <w:sz w:val="17"/>
              </w:rPr>
              <w:t>3,475 FCFA</w:t>
            </w:r>
          </w:p>
          <w:p>
            <w:r>
              <w:rPr>
                <w:b/>
                <w:color w:val="503200"/>
                <w:sz w:val="16"/>
              </w:rPr>
              <w:t xml:space="preserve">Var. 100 jours : </w:t>
            </w:r>
            <w:r>
              <w:rPr>
                <w:b/>
                <w:color w:val="B40000"/>
                <w:sz w:val="17"/>
              </w:rPr>
              <w:t>-12.69%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8.56% (Moyenne) — μ=3,751 FCFA, σ=321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β=0.0734 (Défensif) — Cov=0.000003, Var(idx)=0.000036, ρ=0.012,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2,480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σ_j=3.68%/j (Modérée) — Vol. annualisée≈58.4%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2026-08-05</w:t>
            </w:r>
          </w:p>
        </w:tc>
        <w:tc>
          <w:tcPr>
            <w:tcW w:type="dxa" w:w="1440"/>
            <w:shd w:fill="C6EFCE" w:val="clear"/>
          </w:tcPr>
          <w:p>
            <w:r>
              <w:rPr>
                <w:sz w:val="17"/>
              </w:rPr>
              <w:t>3,439</w:t>
            </w:r>
          </w:p>
        </w:tc>
        <w:tc>
          <w:tcPr>
            <w:tcW w:type="dxa" w:w="1440"/>
            <w:shd w:fill="C6EFCE" w:val="clear"/>
          </w:tcPr>
          <w:p>
            <w:r>
              <w:rPr>
                <w:b/>
                <w:sz w:val="17"/>
              </w:rPr>
              <w:t>3,674</w:t>
            </w:r>
          </w:p>
        </w:tc>
        <w:tc>
          <w:tcPr>
            <w:tcW w:type="dxa" w:w="1440"/>
            <w:shd w:fill="C6EFCE" w:val="clear"/>
          </w:tcPr>
          <w:p>
            <w:r>
              <w:rPr>
                <w:sz w:val="17"/>
              </w:rPr>
              <w:t>3,908</w:t>
            </w:r>
          </w:p>
        </w:tc>
        <w:tc>
          <w:tcPr>
            <w:tcW w:type="dxa" w:w="1440"/>
            <w:shd w:fill="C6EFCE" w:val="clear"/>
          </w:tcPr>
          <w:p>
            <w:r>
              <w:rPr>
                <w:b/>
                <w:color w:val="008000"/>
                <w:sz w:val="17"/>
              </w:rPr>
              <w:t>+5.7%</w:t>
            </w:r>
          </w:p>
        </w:tc>
      </w:tr>
      <w:tr>
        <w:tc>
          <w:tcPr>
            <w:tcW w:type="dxa" w:w="1440"/>
            <w:shd w:fill="C6EFCE" w:val="clear"/>
          </w:tcPr>
          <w:p>
            <w:r>
              <w:rPr>
                <w:sz w:val="17"/>
              </w:rPr>
              <w:t>J+2  Moyenne</w:t>
            </w:r>
          </w:p>
        </w:tc>
        <w:tc>
          <w:tcPr>
            <w:tcW w:type="dxa" w:w="1440"/>
            <w:shd w:fill="C6EFCE" w:val="clear"/>
          </w:tcPr>
          <w:p>
            <w:r>
              <w:rPr>
                <w:sz w:val="17"/>
              </w:rPr>
              <w:t>2026-08-06</w:t>
            </w:r>
          </w:p>
        </w:tc>
        <w:tc>
          <w:tcPr>
            <w:tcW w:type="dxa" w:w="1440"/>
            <w:shd w:fill="C6EFCE" w:val="clear"/>
          </w:tcPr>
          <w:p>
            <w:r>
              <w:rPr>
                <w:sz w:val="17"/>
              </w:rPr>
              <w:t>3,480</w:t>
            </w:r>
          </w:p>
        </w:tc>
        <w:tc>
          <w:tcPr>
            <w:tcW w:type="dxa" w:w="1440"/>
            <w:shd w:fill="C6EFCE" w:val="clear"/>
          </w:tcPr>
          <w:p>
            <w:r>
              <w:rPr>
                <w:b/>
                <w:sz w:val="17"/>
              </w:rPr>
              <w:t>3,826</w:t>
            </w:r>
          </w:p>
        </w:tc>
        <w:tc>
          <w:tcPr>
            <w:tcW w:type="dxa" w:w="1440"/>
            <w:shd w:fill="C6EFCE" w:val="clear"/>
          </w:tcPr>
          <w:p>
            <w:r>
              <w:rPr>
                <w:sz w:val="17"/>
              </w:rPr>
              <w:t>4,171</w:t>
            </w:r>
          </w:p>
        </w:tc>
        <w:tc>
          <w:tcPr>
            <w:tcW w:type="dxa" w:w="1440"/>
            <w:shd w:fill="C6EFCE" w:val="clear"/>
          </w:tcPr>
          <w:p>
            <w:r>
              <w:rPr>
                <w:b/>
                <w:color w:val="008000"/>
                <w:sz w:val="17"/>
              </w:rPr>
              <w:t>+10.1%</w:t>
            </w:r>
          </w:p>
        </w:tc>
      </w:tr>
      <w:tr>
        <w:tc>
          <w:tcPr>
            <w:tcW w:type="dxa" w:w="1440"/>
            <w:shd w:fill="C6EFCE" w:val="clear"/>
          </w:tcPr>
          <w:p>
            <w:r>
              <w:rPr>
                <w:sz w:val="17"/>
              </w:rPr>
              <w:t>J+3  Moyenne</w:t>
            </w:r>
          </w:p>
        </w:tc>
        <w:tc>
          <w:tcPr>
            <w:tcW w:type="dxa" w:w="1440"/>
            <w:shd w:fill="C6EFCE" w:val="clear"/>
          </w:tcPr>
          <w:p>
            <w:r>
              <w:rPr>
                <w:sz w:val="17"/>
              </w:rPr>
              <w:t>2026-08-10</w:t>
            </w:r>
          </w:p>
        </w:tc>
        <w:tc>
          <w:tcPr>
            <w:tcW w:type="dxa" w:w="1440"/>
            <w:shd w:fill="C6EFCE" w:val="clear"/>
          </w:tcPr>
          <w:p>
            <w:r>
              <w:rPr>
                <w:sz w:val="17"/>
              </w:rPr>
              <w:t>3,572</w:t>
            </w:r>
          </w:p>
        </w:tc>
        <w:tc>
          <w:tcPr>
            <w:tcW w:type="dxa" w:w="1440"/>
            <w:shd w:fill="C6EFCE" w:val="clear"/>
          </w:tcPr>
          <w:p>
            <w:r>
              <w:rPr>
                <w:b/>
                <w:sz w:val="17"/>
              </w:rPr>
              <w:t>4,016</w:t>
            </w:r>
          </w:p>
        </w:tc>
        <w:tc>
          <w:tcPr>
            <w:tcW w:type="dxa" w:w="1440"/>
            <w:shd w:fill="C6EFCE" w:val="clear"/>
          </w:tcPr>
          <w:p>
            <w:r>
              <w:rPr>
                <w:sz w:val="17"/>
              </w:rPr>
              <w:t>4,461</w:t>
            </w:r>
          </w:p>
        </w:tc>
        <w:tc>
          <w:tcPr>
            <w:tcW w:type="dxa" w:w="1440"/>
            <w:shd w:fill="C6EFCE" w:val="clear"/>
          </w:tcPr>
          <w:p>
            <w:r>
              <w:rPr>
                <w:b/>
                <w:color w:val="008000"/>
                <w:sz w:val="17"/>
              </w:rPr>
              <w:t>+15.6%</w:t>
            </w:r>
          </w:p>
        </w:tc>
      </w:tr>
      <w:tr>
        <w:tc>
          <w:tcPr>
            <w:tcW w:type="dxa" w:w="1440"/>
            <w:shd w:fill="C6EFCE" w:val="clear"/>
          </w:tcPr>
          <w:p>
            <w:r>
              <w:rPr>
                <w:sz w:val="17"/>
              </w:rPr>
              <w:t>J+4  ⭐</w:t>
            </w:r>
          </w:p>
        </w:tc>
        <w:tc>
          <w:tcPr>
            <w:tcW w:type="dxa" w:w="1440"/>
            <w:shd w:fill="C6EFCE" w:val="clear"/>
          </w:tcPr>
          <w:p>
            <w:r>
              <w:rPr>
                <w:sz w:val="17"/>
              </w:rPr>
              <w:t>2026-08-11</w:t>
            </w:r>
          </w:p>
        </w:tc>
        <w:tc>
          <w:tcPr>
            <w:tcW w:type="dxa" w:w="1440"/>
            <w:shd w:fill="C6EFCE" w:val="clear"/>
          </w:tcPr>
          <w:p>
            <w:r>
              <w:rPr>
                <w:sz w:val="17"/>
              </w:rPr>
              <w:t>3,692</w:t>
            </w:r>
          </w:p>
        </w:tc>
        <w:tc>
          <w:tcPr>
            <w:tcW w:type="dxa" w:w="1440"/>
            <w:shd w:fill="C6EFCE" w:val="clear"/>
          </w:tcPr>
          <w:p>
            <w:r>
              <w:rPr>
                <w:b/>
                <w:sz w:val="17"/>
              </w:rPr>
              <w:t>4,232</w:t>
            </w:r>
          </w:p>
        </w:tc>
        <w:tc>
          <w:tcPr>
            <w:tcW w:type="dxa" w:w="1440"/>
            <w:shd w:fill="C6EFCE" w:val="clear"/>
          </w:tcPr>
          <w:p>
            <w:r>
              <w:rPr>
                <w:sz w:val="17"/>
              </w:rPr>
              <w:t>4,773</w:t>
            </w:r>
          </w:p>
        </w:tc>
        <w:tc>
          <w:tcPr>
            <w:tcW w:type="dxa" w:w="1440"/>
            <w:shd w:fill="C6EFCE" w:val="clear"/>
          </w:tcPr>
          <w:p>
            <w:r>
              <w:rPr>
                <w:b/>
                <w:color w:val="008000"/>
                <w:sz w:val="17"/>
              </w:rPr>
              <w:t>+21.8%</w:t>
            </w:r>
          </w:p>
        </w:tc>
      </w:tr>
      <w:tr>
        <w:tc>
          <w:tcPr>
            <w:tcW w:type="dxa" w:w="1440"/>
            <w:shd w:fill="C6EFCE" w:val="clear"/>
          </w:tcPr>
          <w:p>
            <w:r>
              <w:rPr>
                <w:sz w:val="17"/>
              </w:rPr>
              <w:t>J+5  ⭐</w:t>
            </w:r>
          </w:p>
        </w:tc>
        <w:tc>
          <w:tcPr>
            <w:tcW w:type="dxa" w:w="1440"/>
            <w:shd w:fill="C6EFCE" w:val="clear"/>
          </w:tcPr>
          <w:p>
            <w:r>
              <w:rPr>
                <w:sz w:val="17"/>
              </w:rPr>
              <w:t>2026-08-12</w:t>
            </w:r>
          </w:p>
        </w:tc>
        <w:tc>
          <w:tcPr>
            <w:tcW w:type="dxa" w:w="1440"/>
            <w:shd w:fill="C6EFCE" w:val="clear"/>
          </w:tcPr>
          <w:p>
            <w:r>
              <w:rPr>
                <w:sz w:val="17"/>
              </w:rPr>
              <w:t>3,836</w:t>
            </w:r>
          </w:p>
        </w:tc>
        <w:tc>
          <w:tcPr>
            <w:tcW w:type="dxa" w:w="1440"/>
            <w:shd w:fill="C6EFCE" w:val="clear"/>
          </w:tcPr>
          <w:p>
            <w:r>
              <w:rPr>
                <w:b/>
                <w:sz w:val="17"/>
              </w:rPr>
              <w:t>4,476</w:t>
            </w:r>
          </w:p>
        </w:tc>
        <w:tc>
          <w:tcPr>
            <w:tcW w:type="dxa" w:w="1440"/>
            <w:shd w:fill="C6EFCE" w:val="clear"/>
          </w:tcPr>
          <w:p>
            <w:r>
              <w:rPr>
                <w:sz w:val="17"/>
              </w:rPr>
              <w:t>5,115</w:t>
            </w:r>
          </w:p>
        </w:tc>
        <w:tc>
          <w:tcPr>
            <w:tcW w:type="dxa" w:w="1440"/>
            <w:shd w:fill="C6EFCE" w:val="clear"/>
          </w:tcPr>
          <w:p>
            <w:r>
              <w:rPr>
                <w:b/>
                <w:color w:val="008000"/>
                <w:sz w:val="17"/>
              </w:rPr>
              <w:t>+28.8%</w:t>
            </w:r>
          </w:p>
        </w:tc>
      </w:tr>
      <w:tr>
        <w:tc>
          <w:tcPr>
            <w:tcW w:type="dxa" w:w="1440"/>
            <w:shd w:fill="C6EFCE" w:val="clear"/>
          </w:tcPr>
          <w:p>
            <w:r>
              <w:rPr>
                <w:sz w:val="17"/>
              </w:rPr>
              <w:t>J+6  ⭐</w:t>
            </w:r>
          </w:p>
        </w:tc>
        <w:tc>
          <w:tcPr>
            <w:tcW w:type="dxa" w:w="1440"/>
            <w:shd w:fill="C6EFCE" w:val="clear"/>
          </w:tcPr>
          <w:p>
            <w:r>
              <w:rPr>
                <w:sz w:val="17"/>
              </w:rPr>
              <w:t>2026-08-13</w:t>
            </w:r>
          </w:p>
        </w:tc>
        <w:tc>
          <w:tcPr>
            <w:tcW w:type="dxa" w:w="1440"/>
            <w:shd w:fill="C6EFCE" w:val="clear"/>
          </w:tcPr>
          <w:p>
            <w:r>
              <w:rPr>
                <w:sz w:val="17"/>
              </w:rPr>
              <w:t>4,007</w:t>
            </w:r>
          </w:p>
        </w:tc>
        <w:tc>
          <w:tcPr>
            <w:tcW w:type="dxa" w:w="1440"/>
            <w:shd w:fill="C6EFCE" w:val="clear"/>
          </w:tcPr>
          <w:p>
            <w:r>
              <w:rPr>
                <w:b/>
                <w:sz w:val="17"/>
              </w:rPr>
              <w:t>4,751</w:t>
            </w:r>
          </w:p>
        </w:tc>
        <w:tc>
          <w:tcPr>
            <w:tcW w:type="dxa" w:w="1440"/>
            <w:shd w:fill="C6EFCE" w:val="clear"/>
          </w:tcPr>
          <w:p>
            <w:r>
              <w:rPr>
                <w:sz w:val="17"/>
              </w:rPr>
              <w:t>5,495</w:t>
            </w:r>
          </w:p>
        </w:tc>
        <w:tc>
          <w:tcPr>
            <w:tcW w:type="dxa" w:w="1440"/>
            <w:shd w:fill="C6EFCE" w:val="clear"/>
          </w:tcPr>
          <w:p>
            <w:r>
              <w:rPr>
                <w:b/>
                <w:color w:val="008000"/>
                <w:sz w:val="17"/>
              </w:rPr>
              <w:t>+36.7%</w:t>
            </w:r>
          </w:p>
        </w:tc>
      </w:tr>
      <w:tr>
        <w:tc>
          <w:tcPr>
            <w:tcW w:type="dxa" w:w="1440"/>
            <w:shd w:fill="C6EFCE" w:val="clear"/>
          </w:tcPr>
          <w:p>
            <w:r>
              <w:rPr>
                <w:sz w:val="17"/>
              </w:rPr>
              <w:t>J+7  ⭐</w:t>
            </w:r>
          </w:p>
        </w:tc>
        <w:tc>
          <w:tcPr>
            <w:tcW w:type="dxa" w:w="1440"/>
            <w:shd w:fill="C6EFCE" w:val="clear"/>
          </w:tcPr>
          <w:p>
            <w:r>
              <w:rPr>
                <w:sz w:val="17"/>
              </w:rPr>
              <w:t>2026-08-14</w:t>
            </w:r>
          </w:p>
        </w:tc>
        <w:tc>
          <w:tcPr>
            <w:tcW w:type="dxa" w:w="1440"/>
            <w:shd w:fill="C6EFCE" w:val="clear"/>
          </w:tcPr>
          <w:p>
            <w:r>
              <w:rPr>
                <w:sz w:val="17"/>
              </w:rPr>
              <w:t>4,212</w:t>
            </w:r>
          </w:p>
        </w:tc>
        <w:tc>
          <w:tcPr>
            <w:tcW w:type="dxa" w:w="1440"/>
            <w:shd w:fill="C6EFCE" w:val="clear"/>
          </w:tcPr>
          <w:p>
            <w:r>
              <w:rPr>
                <w:b/>
                <w:sz w:val="17"/>
              </w:rPr>
              <w:t>5,069</w:t>
            </w:r>
          </w:p>
        </w:tc>
        <w:tc>
          <w:tcPr>
            <w:tcW w:type="dxa" w:w="1440"/>
            <w:shd w:fill="C6EFCE" w:val="clear"/>
          </w:tcPr>
          <w:p>
            <w:r>
              <w:rPr>
                <w:sz w:val="17"/>
              </w:rPr>
              <w:t>5,926</w:t>
            </w:r>
          </w:p>
        </w:tc>
        <w:tc>
          <w:tcPr>
            <w:tcW w:type="dxa" w:w="1440"/>
            <w:shd w:fill="C6EFCE" w:val="clear"/>
          </w:tcPr>
          <w:p>
            <w:r>
              <w:rPr>
                <w:b/>
                <w:color w:val="008000"/>
                <w:sz w:val="17"/>
              </w:rPr>
              <w:t>+45.9%</w:t>
            </w:r>
          </w:p>
        </w:tc>
      </w:tr>
      <w:tr>
        <w:tc>
          <w:tcPr>
            <w:tcW w:type="dxa" w:w="1440"/>
            <w:shd w:fill="C6EFCE" w:val="clear"/>
          </w:tcPr>
          <w:p>
            <w:r>
              <w:rPr>
                <w:sz w:val="17"/>
              </w:rPr>
              <w:t>J+8  ⭐</w:t>
            </w:r>
          </w:p>
        </w:tc>
        <w:tc>
          <w:tcPr>
            <w:tcW w:type="dxa" w:w="1440"/>
            <w:shd w:fill="C6EFCE" w:val="clear"/>
          </w:tcPr>
          <w:p>
            <w:r>
              <w:rPr>
                <w:sz w:val="17"/>
              </w:rPr>
              <w:t>2026-08-17</w:t>
            </w:r>
          </w:p>
        </w:tc>
        <w:tc>
          <w:tcPr>
            <w:tcW w:type="dxa" w:w="1440"/>
            <w:shd w:fill="C6EFCE" w:val="clear"/>
          </w:tcPr>
          <w:p>
            <w:r>
              <w:rPr>
                <w:sz w:val="17"/>
              </w:rPr>
              <w:t>4,459</w:t>
            </w:r>
          </w:p>
        </w:tc>
        <w:tc>
          <w:tcPr>
            <w:tcW w:type="dxa" w:w="1440"/>
            <w:shd w:fill="C6EFCE" w:val="clear"/>
          </w:tcPr>
          <w:p>
            <w:r>
              <w:rPr>
                <w:b/>
                <w:sz w:val="17"/>
              </w:rPr>
              <w:t>5,442</w:t>
            </w:r>
          </w:p>
        </w:tc>
        <w:tc>
          <w:tcPr>
            <w:tcW w:type="dxa" w:w="1440"/>
            <w:shd w:fill="C6EFCE" w:val="clear"/>
          </w:tcPr>
          <w:p>
            <w:r>
              <w:rPr>
                <w:sz w:val="17"/>
              </w:rPr>
              <w:t>6,426</w:t>
            </w:r>
          </w:p>
        </w:tc>
        <w:tc>
          <w:tcPr>
            <w:tcW w:type="dxa" w:w="1440"/>
            <w:shd w:fill="C6EFCE" w:val="clear"/>
          </w:tcPr>
          <w:p>
            <w:r>
              <w:rPr>
                <w:b/>
                <w:color w:val="008000"/>
                <w:sz w:val="17"/>
              </w:rPr>
              <w:t>+56.6%</w:t>
            </w:r>
          </w:p>
        </w:tc>
      </w:tr>
      <w:tr>
        <w:tc>
          <w:tcPr>
            <w:tcW w:type="dxa" w:w="1440"/>
            <w:shd w:fill="C6EFCE" w:val="clear"/>
          </w:tcPr>
          <w:p>
            <w:r>
              <w:rPr>
                <w:sz w:val="17"/>
              </w:rPr>
              <w:t>J+9  ⭐</w:t>
            </w:r>
          </w:p>
        </w:tc>
        <w:tc>
          <w:tcPr>
            <w:tcW w:type="dxa" w:w="1440"/>
            <w:shd w:fill="C6EFCE" w:val="clear"/>
          </w:tcPr>
          <w:p>
            <w:r>
              <w:rPr>
                <w:sz w:val="17"/>
              </w:rPr>
              <w:t>2026-08-18</w:t>
            </w:r>
          </w:p>
        </w:tc>
        <w:tc>
          <w:tcPr>
            <w:tcW w:type="dxa" w:w="1440"/>
            <w:shd w:fill="C6EFCE" w:val="clear"/>
          </w:tcPr>
          <w:p>
            <w:r>
              <w:rPr>
                <w:sz w:val="17"/>
              </w:rPr>
              <w:t>4,729</w:t>
            </w:r>
          </w:p>
        </w:tc>
        <w:tc>
          <w:tcPr>
            <w:tcW w:type="dxa" w:w="1440"/>
            <w:shd w:fill="C6EFCE" w:val="clear"/>
          </w:tcPr>
          <w:p>
            <w:r>
              <w:rPr>
                <w:b/>
                <w:sz w:val="17"/>
              </w:rPr>
              <w:t>5,851</w:t>
            </w:r>
          </w:p>
        </w:tc>
        <w:tc>
          <w:tcPr>
            <w:tcW w:type="dxa" w:w="1440"/>
            <w:shd w:fill="C6EFCE" w:val="clear"/>
          </w:tcPr>
          <w:p>
            <w:r>
              <w:rPr>
                <w:sz w:val="17"/>
              </w:rPr>
              <w:t>6,972</w:t>
            </w:r>
          </w:p>
        </w:tc>
        <w:tc>
          <w:tcPr>
            <w:tcW w:type="dxa" w:w="1440"/>
            <w:shd w:fill="C6EFCE" w:val="clear"/>
          </w:tcPr>
          <w:p>
            <w:r>
              <w:rPr>
                <w:b/>
                <w:color w:val="008000"/>
                <w:sz w:val="17"/>
              </w:rPr>
              <w:t>+68.4%</w:t>
            </w:r>
          </w:p>
        </w:tc>
      </w:tr>
      <w:tr>
        <w:tc>
          <w:tcPr>
            <w:tcW w:type="dxa" w:w="1440"/>
            <w:shd w:fill="C6EFCE" w:val="clear"/>
          </w:tcPr>
          <w:p>
            <w:r>
              <w:rPr>
                <w:sz w:val="17"/>
              </w:rPr>
              <w:t>J+10  ⭐</w:t>
            </w:r>
          </w:p>
        </w:tc>
        <w:tc>
          <w:tcPr>
            <w:tcW w:type="dxa" w:w="1440"/>
            <w:shd w:fill="C6EFCE" w:val="clear"/>
          </w:tcPr>
          <w:p>
            <w:r>
              <w:rPr>
                <w:sz w:val="17"/>
              </w:rPr>
              <w:t>2026-08-19</w:t>
            </w:r>
          </w:p>
        </w:tc>
        <w:tc>
          <w:tcPr>
            <w:tcW w:type="dxa" w:w="1440"/>
            <w:shd w:fill="C6EFCE" w:val="clear"/>
          </w:tcPr>
          <w:p>
            <w:r>
              <w:rPr>
                <w:sz w:val="17"/>
              </w:rPr>
              <w:t>5,018</w:t>
            </w:r>
          </w:p>
        </w:tc>
        <w:tc>
          <w:tcPr>
            <w:tcW w:type="dxa" w:w="1440"/>
            <w:shd w:fill="C6EFCE" w:val="clear"/>
          </w:tcPr>
          <w:p>
            <w:r>
              <w:rPr>
                <w:b/>
                <w:sz w:val="17"/>
              </w:rPr>
              <w:t>6,289</w:t>
            </w:r>
          </w:p>
        </w:tc>
        <w:tc>
          <w:tcPr>
            <w:tcW w:type="dxa" w:w="1440"/>
            <w:shd w:fill="C6EFCE" w:val="clear"/>
          </w:tcPr>
          <w:p>
            <w:r>
              <w:rPr>
                <w:sz w:val="17"/>
              </w:rPr>
              <w:t>7,560</w:t>
            </w:r>
          </w:p>
        </w:tc>
        <w:tc>
          <w:tcPr>
            <w:tcW w:type="dxa" w:w="1440"/>
            <w:shd w:fill="C6EFCE" w:val="clear"/>
          </w:tcPr>
          <w:p>
            <w:r>
              <w:rPr>
                <w:b/>
                <w:color w:val="008000"/>
                <w:sz w:val="17"/>
              </w:rPr>
              <w:t>+81.0%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w:t>
        <w:br/>
        <w:t>**Date de l'analyse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20,57 milliards FCFA, un niveau modeste dans le contexte de la BRVM, reflétant un profil de moyenne capitalisation. Avec un BPA de 243 FCFA, le titre se négocie à un PER de 14,3x, ce qui est supérieur à la moyenne historique du marché (8-12x), indiquant que les investisseurs paient une prime relative pour la croissance anticipée. Le P/B de 2,20x confirme cette prime, le marché valorisant la société à plus du double de sa valeur comptable, ce qui suggère des attentes de création de valeur future. Enfin, l'EV/EBITDA de 7,2x se situe dans une fourchette raisonnable (5-10x), indiquant une valorisation de la capacité opérationnelle de l'entreprise qui n'est pas excessive. L'ensemble de ces ratios dessine le profil d'une valeur de croissance, mais à un prix qui intègre déjà des hypothèses optimistes.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-12,69%, avec une accélération lors de la dernière séance (-4,66%), portant le cours à 3 475 FCFA. Le titre a évolué dans une fourchette large de 3 165 FCFA (plus bas) à 4 500 FCFA (plus haut), démontrant une forte amplitude de trading. La moyenne du cours sur la période est de 3 751 FCFA, légèrement supérieure à la médiane de 3 700 FCFA, indiquant une distribution quasi symétrique, confirmée par un skewness de 0,310. L'écart-type de 323 FCFA (CV=8,6%) reflète une dispersion modérée autour de la moyenne, tandis que le kurtosis de -0,427 (mésokurtique) suggère l'absence de risques extrêmes de pics ou de krachs. La volatilité annualisée de 58,4% est très élevée, positionnant CABC comme un actif à haut risque, typique des valeurs industrielles soumises aux cycles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(3 475 FCFA) se situe sous la MM20 (3 747,5 FCFA) et la MM50 (3 886,3 FCFA), configuration baissière classique. La MM20 sous la MM50 confirme la tendance baissière de moyen terme. La décision de "Vente" est justifiée par cette structure de prix, indiquant que les vendeurs contrôlent le marché.</w:t>
      </w:r>
    </w:p>
    <w:p>
      <w:pPr>
        <w:spacing w:after="120" w:line="276" w:lineRule="auto"/>
      </w:pPr>
      <w:r>
        <w:t>**Bandes de Bollinger** : Le cours se positionne près de la borne inférieure (3 404 FCFA), à 3 475 FCFA, suggérant une condition de survente potentielle. La largeur des bandes (3 404 à 4 091 FCFA) reflète une volatilité élevée. La décision "Neutre" est appropriée, car le prix n'a pas encore franchi la borne, mais un rebond technique est possible.</w:t>
      </w:r>
    </w:p>
    <w:p>
      <w:pPr>
        <w:spacing w:after="120" w:line="276" w:lineRule="auto"/>
      </w:pPr>
      <w:r>
        <w:t>**MACD** : Le MACD (-113,45) est nettement sous sa ligne de signal (-81,07), confirmant un momentum baissier fort. La divergence négative indique une pression vendeuse persistante. La décision de "Vente" est cohérente avec cette dynamique, signalant que la tendance baissière est toujours en vigueur.</w:t>
      </w:r>
    </w:p>
    <w:p>
      <w:pPr>
        <w:spacing w:after="120" w:line="276" w:lineRule="auto"/>
      </w:pPr>
      <w:r>
        <w:t>**RSI** : À 41,92, le RSI se situe en zone neutre (30-70), mais proche de la zone de survente. Cela indique que la pression vendeuse est présente mais pas extrême. La décision "Neutre" est justifiée, le marché n'étant ni suracheté ni survendu, laissant place à une possible stabilisation.</w:t>
      </w:r>
    </w:p>
    <w:p>
      <w:pPr>
        <w:spacing w:after="120" w:line="276" w:lineRule="auto"/>
      </w:pPr>
      <w:r>
        <w:t>**Stochastique** : Le %K à 0,0 et le %D à 10,74 sont en zone de survente extrême, signalant un épuisement potentiel des vendeurs. La décision "Achat" est pertinente, car ces niveaux précèdent souvent un rebond technique à court terme.</w:t>
      </w:r>
    </w:p>
    <w:p>
      <w:pPr>
        <w:spacing w:after="120" w:line="276" w:lineRule="auto"/>
      </w:pPr>
      <w:r>
        <w:t>**Conclusion technique** : Les indicateurs sont partagés, avec une tendance baissière dominante (MM, MACD) mais des signes de survente (Stochastique, proximité des bandes de Bollinger). La configuration suggère un possible rebond technique à court terme, mais la tendance de fond reste baissière. Un signal d'achat ne serait valide qu'après un franchissement de la MM20.</w:t>
      </w:r>
    </w:p>
    <w:p>
      <w:pPr>
        <w:spacing w:after="120" w:line="276" w:lineRule="auto"/>
      </w:pPr>
      <w:r>
        <w:t>---</w:t>
      </w:r>
    </w:p>
    <w:p>
      <w:pPr>
        <w:spacing w:after="120" w:line="276" w:lineRule="auto"/>
      </w:pPr>
      <w:r>
        <w:t>### PARTIE 3 : ANALYSE FONDAMENTALE (SECTION CRITIQUE)</w:t>
      </w:r>
    </w:p>
    <w:p>
      <w:pPr>
        <w:spacing w:after="120" w:line="276" w:lineRule="auto"/>
      </w:pPr>
      <w:r>
        <w:t>En 2025, CABC a réalisé un chiffre d'affaires de 21,263 milliards FCFA, en hausse de 11,2% par rapport à 2024 (19,125 milliards FCFA), démontrant une dynamique commerciale soutenue. Le résultat net s'établit à 1,439 milliard FCFA, en légère progression par rapport à 2024 (1,375 milliard FCFA), confirmant une amélioration de la rentabilité. La marge nette atteint 6,77%, en amélioration par rapport à 2024 (7,2% selon les données, mais en baisse par rapport au S1 2025). Le ROE de 15,40% est excellent, dépassant le seuil de 15% considéré comme très satisfaisant, tandis que le ROA de 6,10% reflète une utilisation efficace des actifs. La société présente une structure financière saine avec une autonomie financière de 39,58% et une capacité de remboursement de seulement 0,26 an. Cependant, le BFR de 7,186 milliards FCFA est élevé, avec des délais clients de 144,69 jours et une durée de stockage de 152,12 jours, indiquant des risques de trésorerie. Les rapports trimestriels 2025 confirment cette tendance positive : le S1 2025 affiche un résultat net de 851,5 millions FCFA (+55,3%), et le cumul à fin septembre atteint 1,329 milliard FCFA (+26%). Sur la base de ces données, on estime que l'exercice 2025 devrait se clôturer sur un résultat net supérieur à 1,4 milliard FCFA, confirmant la solidité financière de l'entreprise. Les perspectives 2026 sont plus contrastées, le T1 2026 montrant une baisse de 26,5% du CA due à une maintenance planifiée, mais la direction anticipe une normalisation dès le T2.</w:t>
      </w:r>
    </w:p>
    <w:p>
      <w:pPr>
        <w:spacing w:after="120" w:line="276" w:lineRule="auto"/>
      </w:pPr>
      <w:r>
        <w:t>---</w:t>
      </w:r>
    </w:p>
    <w:p>
      <w:pPr>
        <w:spacing w:after="120" w:line="276" w:lineRule="auto"/>
      </w:pPr>
      <w:r>
        <w:t>### PARTIE 4 : CONCLUSION D'INVESTISSEMENT</w:t>
      </w:r>
    </w:p>
    <w:p>
      <w:pPr>
        <w:spacing w:after="120" w:line="276" w:lineRule="auto"/>
      </w:pPr>
      <w:r>
        <w:t>La valorisation de CABC (PER 14,3x, P/B 2,2x) est légèrement supérieure à la moyenne du marché, mais justifiée par un ROE de 15,4% et une croissance du CA de 11,2%. Le comportement du cours est préoccupant avec une baisse de 12,69% sur 100 jours, mais la volatilité élevée (58,4%) et les statistiques (kurtosis mésokurtique, skewness symétrique) suggèrent un marché efficient sans risque extrême. Les signaux techniques sont mitigés, avec une tendance baissière dominante mais des indicateurs de survente (Stochastique à 0) qui pourraient précéder un rebond. Les fondamentaux sont solides, avec une amélioration continue de la rentabilité et une structure financière saine, mais les délais clients et stocks élevés restent des points de vigilance. Les prédictions IA (3 674 à 4 476 FCFA sur 10 jours) anticipent un rebond de 5,7% à 28,8%, ce qui contredit la tendance baissière récente mais est cohérent avec les signaux de survente technique. La convergence entre les fondamentaux solides, les signaux de survente et les prédictions IA suggère une opportunité d'achat à court terme. **Recommandation finale : ACHAT**, avec un niveau de confiance **Moyen** et un risque global **Élevé**. L'horizon d'investissement optimal est de **moyen terme (3-12 mois)**, en attendant la confirmation du redressement opérationnel au T2 2026 et une stabilisation du cours au-dessus de la MM20.</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905.60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1,732 titres</w:t>
            </w:r>
          </w:p>
        </w:tc>
        <w:tc>
          <w:tcPr>
            <w:tcW w:type="dxa" w:w="2268"/>
            <w:shd w:fill="FFF2CC" w:val="clear"/>
          </w:tcPr>
          <w:p>
            <w:r>
              <w:rPr>
                <w:b/>
                <w:color w:val="503200"/>
                <w:sz w:val="16"/>
              </w:rPr>
              <w:t xml:space="preserve">Cours actuel : </w:t>
            </w:r>
            <w:r>
              <w:rPr>
                <w:color w:val="000000"/>
                <w:sz w:val="17"/>
              </w:rPr>
              <w:t>28,300 FCFA</w:t>
            </w:r>
          </w:p>
          <w:p>
            <w:r>
              <w:rPr>
                <w:b/>
                <w:color w:val="503200"/>
                <w:sz w:val="16"/>
              </w:rPr>
              <w:t xml:space="preserve">Var. 100 jours : </w:t>
            </w:r>
            <w:r>
              <w:rPr>
                <w:b/>
                <w:color w:val="007800"/>
                <w:sz w:val="17"/>
              </w:rPr>
              <w:t>+111.12%</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13,405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25.21% (Élevée) — μ=20,244 FCFA, σ=5,103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β=0.6823 (Défensif) — Cov=0.000024, Var(idx)=0.000036, ρ=0.153,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24,965</w:t>
            </w:r>
          </w:p>
        </w:tc>
        <w:tc>
          <w:tcPr>
            <w:tcW w:type="dxa" w:w="1440"/>
            <w:shd w:fill="FFDCE0" w:val="clear"/>
          </w:tcPr>
          <w:p>
            <w:r>
              <w:rPr>
                <w:b/>
                <w:sz w:val="17"/>
              </w:rPr>
              <w:t>26,178</w:t>
            </w:r>
          </w:p>
        </w:tc>
        <w:tc>
          <w:tcPr>
            <w:tcW w:type="dxa" w:w="1440"/>
            <w:shd w:fill="FFDCE0" w:val="clear"/>
          </w:tcPr>
          <w:p>
            <w:r>
              <w:rPr>
                <w:sz w:val="17"/>
              </w:rPr>
              <w:t>27,390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22,629</w:t>
            </w:r>
          </w:p>
        </w:tc>
        <w:tc>
          <w:tcPr>
            <w:tcW w:type="dxa" w:w="1440"/>
            <w:shd w:fill="FFDCE0" w:val="clear"/>
          </w:tcPr>
          <w:p>
            <w:r>
              <w:rPr>
                <w:b/>
                <w:sz w:val="17"/>
              </w:rPr>
              <w:t>24,214</w:t>
            </w:r>
          </w:p>
        </w:tc>
        <w:tc>
          <w:tcPr>
            <w:tcW w:type="dxa" w:w="1440"/>
            <w:shd w:fill="FFDCE0" w:val="clear"/>
          </w:tcPr>
          <w:p>
            <w:r>
              <w:rPr>
                <w:sz w:val="17"/>
              </w:rPr>
              <w:t>25,800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20,602</w:t>
            </w:r>
          </w:p>
        </w:tc>
        <w:tc>
          <w:tcPr>
            <w:tcW w:type="dxa" w:w="1440"/>
            <w:shd w:fill="FFDCE0" w:val="clear"/>
          </w:tcPr>
          <w:p>
            <w:r>
              <w:rPr>
                <w:b/>
                <w:sz w:val="17"/>
              </w:rPr>
              <w:t>22,398</w:t>
            </w:r>
          </w:p>
        </w:tc>
        <w:tc>
          <w:tcPr>
            <w:tcW w:type="dxa" w:w="1440"/>
            <w:shd w:fill="FFDCE0" w:val="clear"/>
          </w:tcPr>
          <w:p>
            <w:r>
              <w:rPr>
                <w:sz w:val="17"/>
              </w:rPr>
              <w:t>24,194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18,800</w:t>
            </w:r>
          </w:p>
        </w:tc>
        <w:tc>
          <w:tcPr>
            <w:tcW w:type="dxa" w:w="1440"/>
            <w:shd w:fill="FFDCE0" w:val="clear"/>
          </w:tcPr>
          <w:p>
            <w:r>
              <w:rPr>
                <w:b/>
                <w:sz w:val="17"/>
              </w:rPr>
              <w:t>20,718</w:t>
            </w:r>
          </w:p>
        </w:tc>
        <w:tc>
          <w:tcPr>
            <w:tcW w:type="dxa" w:w="1440"/>
            <w:shd w:fill="FFDCE0" w:val="clear"/>
          </w:tcPr>
          <w:p>
            <w:r>
              <w:rPr>
                <w:sz w:val="17"/>
              </w:rPr>
              <w:t>22,637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17,428</w:t>
            </w:r>
          </w:p>
        </w:tc>
        <w:tc>
          <w:tcPr>
            <w:tcW w:type="dxa" w:w="1440"/>
            <w:shd w:fill="FFDCE0" w:val="clear"/>
          </w:tcPr>
          <w:p>
            <w:r>
              <w:rPr>
                <w:b/>
                <w:sz w:val="17"/>
              </w:rPr>
              <w:t>19,441</w:t>
            </w:r>
          </w:p>
        </w:tc>
        <w:tc>
          <w:tcPr>
            <w:tcW w:type="dxa" w:w="1440"/>
            <w:shd w:fill="FFDCE0" w:val="clear"/>
          </w:tcPr>
          <w:p>
            <w:r>
              <w:rPr>
                <w:sz w:val="17"/>
              </w:rPr>
              <w:t>21,453</w:t>
            </w:r>
          </w:p>
        </w:tc>
        <w:tc>
          <w:tcPr>
            <w:tcW w:type="dxa" w:w="1440"/>
            <w:shd w:fill="FFDCE0" w:val="clear"/>
          </w:tcPr>
          <w:p>
            <w:r>
              <w:rPr>
                <w:b/>
                <w:color w:val="C00000"/>
                <w:sz w:val="17"/>
              </w:rPr>
              <w:t>-31.3%</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16,763</w:t>
            </w:r>
          </w:p>
        </w:tc>
        <w:tc>
          <w:tcPr>
            <w:tcW w:type="dxa" w:w="1440"/>
            <w:shd w:fill="FFDCE0" w:val="clear"/>
          </w:tcPr>
          <w:p>
            <w:r>
              <w:rPr>
                <w:b/>
                <w:sz w:val="17"/>
              </w:rPr>
              <w:t>18,908</w:t>
            </w:r>
          </w:p>
        </w:tc>
        <w:tc>
          <w:tcPr>
            <w:tcW w:type="dxa" w:w="1440"/>
            <w:shd w:fill="FFDCE0" w:val="clear"/>
          </w:tcPr>
          <w:p>
            <w:r>
              <w:rPr>
                <w:sz w:val="17"/>
              </w:rPr>
              <w:t>21,052</w:t>
            </w:r>
          </w:p>
        </w:tc>
        <w:tc>
          <w:tcPr>
            <w:tcW w:type="dxa" w:w="1440"/>
            <w:shd w:fill="FFDCE0" w:val="clear"/>
          </w:tcPr>
          <w:p>
            <w:r>
              <w:rPr>
                <w:b/>
                <w:color w:val="C00000"/>
                <w:sz w:val="17"/>
              </w:rPr>
              <w:t>-33.2%</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16,183</w:t>
            </w:r>
          </w:p>
        </w:tc>
        <w:tc>
          <w:tcPr>
            <w:tcW w:type="dxa" w:w="1440"/>
            <w:shd w:fill="FFDCE0" w:val="clear"/>
          </w:tcPr>
          <w:p>
            <w:r>
              <w:rPr>
                <w:b/>
                <w:sz w:val="17"/>
              </w:rPr>
              <w:t>18,442</w:t>
            </w:r>
          </w:p>
        </w:tc>
        <w:tc>
          <w:tcPr>
            <w:tcW w:type="dxa" w:w="1440"/>
            <w:shd w:fill="FFDCE0" w:val="clear"/>
          </w:tcPr>
          <w:p>
            <w:r>
              <w:rPr>
                <w:sz w:val="17"/>
              </w:rPr>
              <w:t>20,701</w:t>
            </w:r>
          </w:p>
        </w:tc>
        <w:tc>
          <w:tcPr>
            <w:tcW w:type="dxa" w:w="1440"/>
            <w:shd w:fill="FFDCE0" w:val="clear"/>
          </w:tcPr>
          <w:p>
            <w:r>
              <w:rPr>
                <w:b/>
                <w:color w:val="C00000"/>
                <w:sz w:val="17"/>
              </w:rPr>
              <w:t>-34.8%</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15,667</w:t>
            </w:r>
          </w:p>
        </w:tc>
        <w:tc>
          <w:tcPr>
            <w:tcW w:type="dxa" w:w="1440"/>
            <w:shd w:fill="FFDCE0" w:val="clear"/>
          </w:tcPr>
          <w:p>
            <w:r>
              <w:rPr>
                <w:b/>
                <w:sz w:val="17"/>
              </w:rPr>
              <w:t>18,028</w:t>
            </w:r>
          </w:p>
        </w:tc>
        <w:tc>
          <w:tcPr>
            <w:tcW w:type="dxa" w:w="1440"/>
            <w:shd w:fill="FFDCE0" w:val="clear"/>
          </w:tcPr>
          <w:p>
            <w:r>
              <w:rPr>
                <w:sz w:val="17"/>
              </w:rPr>
              <w:t>20,389</w:t>
            </w:r>
          </w:p>
        </w:tc>
        <w:tc>
          <w:tcPr>
            <w:tcW w:type="dxa" w:w="1440"/>
            <w:shd w:fill="FFDCE0" w:val="clear"/>
          </w:tcPr>
          <w:p>
            <w:r>
              <w:rPr>
                <w:b/>
                <w:color w:val="C00000"/>
                <w:sz w:val="17"/>
              </w:rPr>
              <w:t>-36.3%</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15,201</w:t>
            </w:r>
          </w:p>
        </w:tc>
        <w:tc>
          <w:tcPr>
            <w:tcW w:type="dxa" w:w="1440"/>
            <w:shd w:fill="FFDCE0" w:val="clear"/>
          </w:tcPr>
          <w:p>
            <w:r>
              <w:rPr>
                <w:b/>
                <w:sz w:val="17"/>
              </w:rPr>
              <w:t>17,654</w:t>
            </w:r>
          </w:p>
        </w:tc>
        <w:tc>
          <w:tcPr>
            <w:tcW w:type="dxa" w:w="1440"/>
            <w:shd w:fill="FFDCE0" w:val="clear"/>
          </w:tcPr>
          <w:p>
            <w:r>
              <w:rPr>
                <w:sz w:val="17"/>
              </w:rPr>
              <w:t>20,106</w:t>
            </w:r>
          </w:p>
        </w:tc>
        <w:tc>
          <w:tcPr>
            <w:tcW w:type="dxa" w:w="1440"/>
            <w:shd w:fill="FFDCE0" w:val="clear"/>
          </w:tcPr>
          <w:p>
            <w:r>
              <w:rPr>
                <w:b/>
                <w:color w:val="C00000"/>
                <w:sz w:val="17"/>
              </w:rPr>
              <w:t>-37.6%</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14,778</w:t>
            </w:r>
          </w:p>
        </w:tc>
        <w:tc>
          <w:tcPr>
            <w:tcW w:type="dxa" w:w="1440"/>
            <w:shd w:fill="FFDCE0" w:val="clear"/>
          </w:tcPr>
          <w:p>
            <w:r>
              <w:rPr>
                <w:b/>
                <w:sz w:val="17"/>
              </w:rPr>
              <w:t>17,312</w:t>
            </w:r>
          </w:p>
        </w:tc>
        <w:tc>
          <w:tcPr>
            <w:tcW w:type="dxa" w:w="1440"/>
            <w:shd w:fill="FFDCE0" w:val="clear"/>
          </w:tcPr>
          <w:p>
            <w:r>
              <w:rPr>
                <w:sz w:val="17"/>
              </w:rPr>
              <w:t>19,847</w:t>
            </w:r>
          </w:p>
        </w:tc>
        <w:tc>
          <w:tcPr>
            <w:tcW w:type="dxa" w:w="1440"/>
            <w:shd w:fill="FFDCE0" w:val="clear"/>
          </w:tcPr>
          <w:p>
            <w:r>
              <w:rPr>
                <w:b/>
                <w:color w:val="C00000"/>
                <w:sz w:val="17"/>
              </w:rPr>
              <w:t>-38.8%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905,60 milliards FCFA, ce qui en fait l'une des plus importantes capitalisations de la BRVM, reflétant la taille systémique de la banque dans l'UEMOA. Avec un BPA de 2 047 FCFA, le titre se négocie à un PER de 13,8x, légèrement au-dessus de la moyenne historique de la place (8-12x), ce qui indique que les investisseurs acceptent de payer une prime pour la croissance future de la banque. Le ratio EV/EBITDA de 10,2x, bien que dans la fourchette haute (10-15x), suggère que la valeur d'entreprise est soutenue par une solide capacité opérationnelle. En l'absence de données sur le P/B, nous nous concentrerons sur le PER et l'EV/EBITDA, qui pointent vers une valorisation exigeante mais justifiable par la qualité perçue de l'actif et sa dynamique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performance spectaculaire de +111,12%, passant d'un plus bas de 13 405 FCFA à un plus haut de 30 005 FCFA, avant de clôturer à 28 300 FCFA, soit une légère baisse de -0,67% lors de la dernière séance. Cette tendance est résolument haussière, marquée par un doublement de la valeur, bien que la récente correction suggère une prise de bénéfices. La moyenne du cours (20 244 FCFA) est inférieure à la médiane (20 800 FCFA), indiquant une distribution légèrement asymétrique positive (skewness de 0,319), avec des épisodes de fortes hausses. L'écart-type de 5 129 FCFA (CV de 25,3%) démontre une dispersion élevée, tandis que le kurtosis négatif (-1,100) signale une distribution platykurtique, avec moins de valeurs extrêmes que la normale. La volatilité annualisée de 42,5% classe le titre comme très volatil, un niveau élevé qui reflète un risque important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(MM20 &amp; MM50)** : Le cours actuel (28 300 FCFA) se situe au-dessus de la MM20 (28 084,75 FCFA) et très au-dessus de la MM50 (24 613,1 FCFA). Cette configuration haussière, avec une MM20 qui agit comme un support dynamique, confirme la tendance de fond. La décision d'achat est justifiée par la vigueur du mouvement, bien que l'écart important entre le prix et la MM50 puisse signaler une surabondance temporaire.</w:t>
      </w:r>
    </w:p>
    <w:p>
      <w:pPr>
        <w:spacing w:after="120" w:line="276" w:lineRule="auto"/>
      </w:pPr>
      <w:r>
        <w:t>**Bandes de Bollinger** : Le prix se négocie près de la borne supérieure (30 602 FCFA) mais reste dans la bande, avec une borne inférieure à 25 567 FCFA. La largeur des bandes reflète la volatilité élevée. La décision neutre est appropriée, car le titre n'est pas en zone de surachat extrême, mais la proximité de la borne supérieure suggère une possible consolidation.</w:t>
      </w:r>
    </w:p>
    <w:p>
      <w:pPr>
        <w:spacing w:after="120" w:line="276" w:lineRule="auto"/>
      </w:pPr>
      <w:r>
        <w:t>**MACD** : Le MACD (974,17) est passé sous sa ligne de signal (1 144,85), générant un signal de vente à court terme. Cette divergence baissière indique un affaiblissement du momentum haussier, ce qui pourrait précéder une correction ou une phase de consolidation.</w:t>
      </w:r>
    </w:p>
    <w:p>
      <w:pPr>
        <w:spacing w:after="120" w:line="276" w:lineRule="auto"/>
      </w:pPr>
      <w:r>
        <w:t>**RSI** : À 37,42, le RSI est en zone neutre, mais proche de la zone de survente (&lt;30). Cela suggère que la pression vendeuse récente a réduit la dynamique haussière sans pour autant créer des conditions de survente. La décision neutre est cohérente, laissant place à une possible reprise.</w:t>
      </w:r>
    </w:p>
    <w:p>
      <w:pPr>
        <w:spacing w:after="120" w:line="276" w:lineRule="auto"/>
      </w:pPr>
      <w:r>
        <w:t>**Stochastique** : Avec un %K à 54,67 et un %D à 53,64, l'indicateur est en territoire neutre, sans croisement significatif. Cela indique une absence de direction claire à très court terme, justifiant la décision neutre.</w:t>
      </w:r>
    </w:p>
    <w:p>
      <w:pPr>
        <w:spacing w:after="120" w:line="276" w:lineRule="auto"/>
      </w:pPr>
      <w:r>
        <w:t>**Conclusion technique** : Les signaux sont mitigés. La tendance de fond reste haussière (MM), mais les indicateurs de momentum (MACD, RSI) montrent une perte de vitesse. Le titre semble entrer dans une phase de consolidation après une forte hausse, avec un risque de correction vers les 26 000-27 000 FCFA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CBIBF a réalisé un Produit Net Bancaire (PNB) de 138,99 milliards FCFA, en croissance de 6,1%, et un résultat net de 65,50 milliards FCFA, en hausse de 36,6% par rapport à 2024. Cette performance est remarquable, avec une marge nette de 47,1% et un ROA de 2,18%, démontrant une excellente rentabilité des actifs. Le coefficient d'exploitation de 36,4% est excellent (&lt;50%), témoignant d'une gestion rigoureuse des charges. Le coût du risque s'est significativement amélioré (-59,3%), à 16,5 milliards FCFA, reflétant une meilleure qualité du portefeuille de crédits. Les dépôts clients (2 015 milliards FCFA) progressent de 14,9%, tandis que les crédits nets (1 327 milliards FCFA) n'augmentent que de 5,4%, créant un excédent de liquidités. **Sur la base du rapport T1 2026** (PNB de 36,8 milliards FCFA, +28,5% vs T1 2025), on estime que l'exercice 2026 pourrait voir un PNB dépasser 160 milliards FCFA et un résultat net supérieur à 80 milliards FCFA, confirmant la dynamique de croissance. Les rapports trimestriels de 2025 (T1, S1, T3) montrent une progression constante du PNB (2,8% au T1, 8,75% au S1, 9,65% au T3), validant la trajectoire ascendante. La banque affiche une solidité financière indéniable, avec une notation AA/AI (perspective stable) et une gouvernance renforcée.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La **valorisation** (PER de 13,8x) est légèrement supérieure à la moyenne BRVM, indiquant une prime de croissance, mais reste raisonnable pour un actif de cette qualité. Le **comportement du cours** montre une tendance haussière spectaculaire, mais avec une volatilité très élevée (42,5%) et des statistiques (kurtosis platykurtique) suggérant un risque de mouvement brusque. Les **signaux techniques** sont mitigés, avec une tendance de fond positive (MM) mais un momentum en perte de vitesse (MACD, RSI), suggérant une consolidation. Les **fondamentaux** sont excellents, avec une croissance soutenue du PNB et du résultat net, une gestion efficace et une amélioration de la qualité du crédit. Cependant, les **prédictions IA** pour les 10 prochains jours (de 26 178 à 19 441 FCFA) projettent une correction significative, contredisant la tendance haussière et suggérant une possible surchauffe. En convergence avec les signaux techniques de court terme, cette prédiction indique un risque de repli. Par conséquent, nous recommandons une position de **CONSERVER** pour les investisseurs existants, avec un niveau de confiance **Moyen** et un risque global **Élevé**. L'horizon d'investissement optimal serait le **moyen terme (3-12 mois)**, en attendant que la correction prédite se matérialise et que le titre trouve un support solide pour une nouvelle 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306.52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3,854 titres</w:t>
            </w:r>
          </w:p>
        </w:tc>
        <w:tc>
          <w:tcPr>
            <w:tcW w:type="dxa" w:w="2268"/>
            <w:shd w:fill="FFF2CC" w:val="clear"/>
          </w:tcPr>
          <w:p>
            <w:r>
              <w:rPr>
                <w:b/>
                <w:color w:val="503200"/>
                <w:sz w:val="16"/>
              </w:rPr>
              <w:t xml:space="preserve">Cours actuel : </w:t>
            </w:r>
            <w:r>
              <w:rPr>
                <w:color w:val="000000"/>
                <w:sz w:val="17"/>
              </w:rPr>
              <w:t>1,690 FCFA</w:t>
            </w:r>
          </w:p>
          <w:p>
            <w:r>
              <w:rPr>
                <w:b/>
                <w:color w:val="503200"/>
                <w:sz w:val="16"/>
              </w:rPr>
              <w:t xml:space="preserve">Var. 100 jours : </w:t>
            </w:r>
            <w:r>
              <w:rPr>
                <w:b/>
                <w:color w:val="B40000"/>
                <w:sz w:val="17"/>
              </w:rPr>
              <w:t>-3.43%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6.53% (Moyenne) — μ=1,609 FCFA, σ=105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β=1.0034 (Neutre (suit le marché)) — Cov=0.000036, Var(idx)=0.000036, ρ=0.192,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σ_j=3.11%/j (Modérée) — Vol. annualisée≈49.4%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1,544</w:t>
            </w:r>
          </w:p>
        </w:tc>
        <w:tc>
          <w:tcPr>
            <w:tcW w:type="dxa" w:w="1440"/>
            <w:shd w:fill="FFDCE0" w:val="clear"/>
          </w:tcPr>
          <w:p>
            <w:r>
              <w:rPr>
                <w:b/>
                <w:sz w:val="17"/>
              </w:rPr>
              <w:t>1,640</w:t>
            </w:r>
          </w:p>
        </w:tc>
        <w:tc>
          <w:tcPr>
            <w:tcW w:type="dxa" w:w="1440"/>
            <w:shd w:fill="FFDCE0" w:val="clear"/>
          </w:tcPr>
          <w:p>
            <w:r>
              <w:rPr>
                <w:sz w:val="17"/>
              </w:rPr>
              <w:t>1,736</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1,486</w:t>
            </w:r>
          </w:p>
        </w:tc>
        <w:tc>
          <w:tcPr>
            <w:tcW w:type="dxa" w:w="1440"/>
            <w:shd w:fill="FFDCE0" w:val="clear"/>
          </w:tcPr>
          <w:p>
            <w:r>
              <w:rPr>
                <w:b/>
                <w:sz w:val="17"/>
              </w:rPr>
              <w:t>1,620</w:t>
            </w:r>
          </w:p>
        </w:tc>
        <w:tc>
          <w:tcPr>
            <w:tcW w:type="dxa" w:w="1440"/>
            <w:shd w:fill="FFDCE0" w:val="clear"/>
          </w:tcPr>
          <w:p>
            <w:r>
              <w:rPr>
                <w:sz w:val="17"/>
              </w:rPr>
              <w:t>1,754</w:t>
            </w:r>
          </w:p>
        </w:tc>
        <w:tc>
          <w:tcPr>
            <w:tcW w:type="dxa" w:w="1440"/>
            <w:shd w:fill="FFDCE0" w:val="clear"/>
          </w:tcPr>
          <w:p>
            <w:r>
              <w:rPr>
                <w:b/>
                <w:color w:val="C00000"/>
                <w:sz w:val="17"/>
              </w:rPr>
              <w:t>-4.1%</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1,435</w:t>
            </w:r>
          </w:p>
        </w:tc>
        <w:tc>
          <w:tcPr>
            <w:tcW w:type="dxa" w:w="1440"/>
            <w:shd w:fill="FFDCE0" w:val="clear"/>
          </w:tcPr>
          <w:p>
            <w:r>
              <w:rPr>
                <w:b/>
                <w:sz w:val="17"/>
              </w:rPr>
              <w:t>1,597</w:t>
            </w:r>
          </w:p>
        </w:tc>
        <w:tc>
          <w:tcPr>
            <w:tcW w:type="dxa" w:w="1440"/>
            <w:shd w:fill="FFDCE0" w:val="clear"/>
          </w:tcPr>
          <w:p>
            <w:r>
              <w:rPr>
                <w:sz w:val="17"/>
              </w:rPr>
              <w:t>1,759</w:t>
            </w:r>
          </w:p>
        </w:tc>
        <w:tc>
          <w:tcPr>
            <w:tcW w:type="dxa" w:w="1440"/>
            <w:shd w:fill="FFDCE0" w:val="clear"/>
          </w:tcPr>
          <w:p>
            <w:r>
              <w:rPr>
                <w:b/>
                <w:color w:val="C00000"/>
                <w:sz w:val="17"/>
              </w:rPr>
              <w:t>-5.5%</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1,390</w:t>
            </w:r>
          </w:p>
        </w:tc>
        <w:tc>
          <w:tcPr>
            <w:tcW w:type="dxa" w:w="1440"/>
            <w:shd w:fill="FFDCE0" w:val="clear"/>
          </w:tcPr>
          <w:p>
            <w:r>
              <w:rPr>
                <w:b/>
                <w:sz w:val="17"/>
              </w:rPr>
              <w:t>1,574</w:t>
            </w:r>
          </w:p>
        </w:tc>
        <w:tc>
          <w:tcPr>
            <w:tcW w:type="dxa" w:w="1440"/>
            <w:shd w:fill="FFDCE0" w:val="clear"/>
          </w:tcPr>
          <w:p>
            <w:r>
              <w:rPr>
                <w:sz w:val="17"/>
              </w:rPr>
              <w:t>1,758</w:t>
            </w:r>
          </w:p>
        </w:tc>
        <w:tc>
          <w:tcPr>
            <w:tcW w:type="dxa" w:w="1440"/>
            <w:shd w:fill="FFDCE0" w:val="clear"/>
          </w:tcPr>
          <w:p>
            <w:r>
              <w:rPr>
                <w:b/>
                <w:color w:val="C00000"/>
                <w:sz w:val="17"/>
              </w:rPr>
              <w:t>-6.9%</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1,348</w:t>
            </w:r>
          </w:p>
        </w:tc>
        <w:tc>
          <w:tcPr>
            <w:tcW w:type="dxa" w:w="1440"/>
            <w:shd w:fill="FFDCE0" w:val="clear"/>
          </w:tcPr>
          <w:p>
            <w:r>
              <w:rPr>
                <w:b/>
                <w:sz w:val="17"/>
              </w:rPr>
              <w:t>1,551</w:t>
            </w:r>
          </w:p>
        </w:tc>
        <w:tc>
          <w:tcPr>
            <w:tcW w:type="dxa" w:w="1440"/>
            <w:shd w:fill="FFDCE0" w:val="clear"/>
          </w:tcPr>
          <w:p>
            <w:r>
              <w:rPr>
                <w:sz w:val="17"/>
              </w:rPr>
              <w:t>1,754</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1,310</w:t>
            </w:r>
          </w:p>
        </w:tc>
        <w:tc>
          <w:tcPr>
            <w:tcW w:type="dxa" w:w="1440"/>
            <w:shd w:fill="FFDCE0" w:val="clear"/>
          </w:tcPr>
          <w:p>
            <w:r>
              <w:rPr>
                <w:b/>
                <w:sz w:val="17"/>
              </w:rPr>
              <w:t>1,528</w:t>
            </w:r>
          </w:p>
        </w:tc>
        <w:tc>
          <w:tcPr>
            <w:tcW w:type="dxa" w:w="1440"/>
            <w:shd w:fill="FFDCE0" w:val="clear"/>
          </w:tcPr>
          <w:p>
            <w:r>
              <w:rPr>
                <w:sz w:val="17"/>
              </w:rPr>
              <w:t>1,747</w:t>
            </w:r>
          </w:p>
        </w:tc>
        <w:tc>
          <w:tcPr>
            <w:tcW w:type="dxa" w:w="1440"/>
            <w:shd w:fill="FFDCE0" w:val="clear"/>
          </w:tcPr>
          <w:p>
            <w:r>
              <w:rPr>
                <w:b/>
                <w:color w:val="C00000"/>
                <w:sz w:val="17"/>
              </w:rPr>
              <w:t>-9.6%</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1,274</w:t>
            </w:r>
          </w:p>
        </w:tc>
        <w:tc>
          <w:tcPr>
            <w:tcW w:type="dxa" w:w="1440"/>
            <w:shd w:fill="FFDCE0" w:val="clear"/>
          </w:tcPr>
          <w:p>
            <w:r>
              <w:rPr>
                <w:b/>
                <w:sz w:val="17"/>
              </w:rPr>
              <w:t>1,507</w:t>
            </w:r>
          </w:p>
        </w:tc>
        <w:tc>
          <w:tcPr>
            <w:tcW w:type="dxa" w:w="1440"/>
            <w:shd w:fill="FFDCE0" w:val="clear"/>
          </w:tcPr>
          <w:p>
            <w:r>
              <w:rPr>
                <w:sz w:val="17"/>
              </w:rPr>
              <w:t>1,740</w:t>
            </w:r>
          </w:p>
        </w:tc>
        <w:tc>
          <w:tcPr>
            <w:tcW w:type="dxa" w:w="1440"/>
            <w:shd w:fill="FFDCE0" w:val="clear"/>
          </w:tcPr>
          <w:p>
            <w:r>
              <w:rPr>
                <w:b/>
                <w:color w:val="C00000"/>
                <w:sz w:val="17"/>
              </w:rPr>
              <w:t>-10.9%</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1,240</w:t>
            </w:r>
          </w:p>
        </w:tc>
        <w:tc>
          <w:tcPr>
            <w:tcW w:type="dxa" w:w="1440"/>
            <w:shd w:fill="FFDCE0" w:val="clear"/>
          </w:tcPr>
          <w:p>
            <w:r>
              <w:rPr>
                <w:b/>
                <w:sz w:val="17"/>
              </w:rPr>
              <w:t>1,485</w:t>
            </w:r>
          </w:p>
        </w:tc>
        <w:tc>
          <w:tcPr>
            <w:tcW w:type="dxa" w:w="1440"/>
            <w:shd w:fill="FFDCE0" w:val="clear"/>
          </w:tcPr>
          <w:p>
            <w:r>
              <w:rPr>
                <w:sz w:val="17"/>
              </w:rPr>
              <w:t>1,731</w:t>
            </w:r>
          </w:p>
        </w:tc>
        <w:tc>
          <w:tcPr>
            <w:tcW w:type="dxa" w:w="1440"/>
            <w:shd w:fill="FFDCE0" w:val="clear"/>
          </w:tcPr>
          <w:p>
            <w:r>
              <w:rPr>
                <w:b/>
                <w:color w:val="C00000"/>
                <w:sz w:val="17"/>
              </w:rPr>
              <w:t>-12.1%</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1,208</w:t>
            </w:r>
          </w:p>
        </w:tc>
        <w:tc>
          <w:tcPr>
            <w:tcW w:type="dxa" w:w="1440"/>
            <w:shd w:fill="FFDCE0" w:val="clear"/>
          </w:tcPr>
          <w:p>
            <w:r>
              <w:rPr>
                <w:b/>
                <w:sz w:val="17"/>
              </w:rPr>
              <w:t>1,464</w:t>
            </w:r>
          </w:p>
        </w:tc>
        <w:tc>
          <w:tcPr>
            <w:tcW w:type="dxa" w:w="1440"/>
            <w:shd w:fill="FFDCE0" w:val="clear"/>
          </w:tcPr>
          <w:p>
            <w:r>
              <w:rPr>
                <w:sz w:val="17"/>
              </w:rPr>
              <w:t>1,721</w:t>
            </w:r>
          </w:p>
        </w:tc>
        <w:tc>
          <w:tcPr>
            <w:tcW w:type="dxa" w:w="1440"/>
            <w:shd w:fill="FFDCE0" w:val="clear"/>
          </w:tcPr>
          <w:p>
            <w:r>
              <w:rPr>
                <w:b/>
                <w:color w:val="C00000"/>
                <w:sz w:val="17"/>
              </w:rPr>
              <w:t>-13.4%</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1,177</w:t>
            </w:r>
          </w:p>
        </w:tc>
        <w:tc>
          <w:tcPr>
            <w:tcW w:type="dxa" w:w="1440"/>
            <w:shd w:fill="FFDCE0" w:val="clear"/>
          </w:tcPr>
          <w:p>
            <w:r>
              <w:rPr>
                <w:b/>
                <w:sz w:val="17"/>
              </w:rPr>
              <w:t>1,444</w:t>
            </w:r>
          </w:p>
        </w:tc>
        <w:tc>
          <w:tcPr>
            <w:tcW w:type="dxa" w:w="1440"/>
            <w:shd w:fill="FFDCE0" w:val="clear"/>
          </w:tcPr>
          <w:p>
            <w:r>
              <w:rPr>
                <w:sz w:val="17"/>
              </w:rPr>
              <w:t>1,711</w:t>
            </w:r>
          </w:p>
        </w:tc>
        <w:tc>
          <w:tcPr>
            <w:tcW w:type="dxa" w:w="1440"/>
            <w:shd w:fill="FFDCE0" w:val="clear"/>
          </w:tcPr>
          <w:p>
            <w:r>
              <w:rPr>
                <w:b/>
                <w:color w:val="C00000"/>
                <w:sz w:val="17"/>
              </w:rPr>
              <w:t>-14.6%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306,52 milliards FCFA positionne CFAC comme une valeur de premier plan sur la BRVM, reflétant sa domination sur le marché automobile ivoirien. Le BPA de 26 FCFA par action est relativement faible, ce qui explique un PER de 65,3x, très largement supérieur à la moyenne du marché BRVM (8-12x). Les investisseurs paient donc une prime considérable pour chaque franc de bénéfice, signe d'anticipations de croissance très élevées ou d'une liquidité limitée du titre. Le P/B de 15,76x confirme cette valorisation exigeante, le marché valorisant l'actif net à plus de 15 fois sa valeur comptable. Enfin, l'EV/EBITDA de 33,2x indique que la valeur totale de l'entreprise (capitalisation + dette nette) représente plus de 33 fois son potentiel opérationnel brut, un niveau extrêmement élevé qui laisse peu de place à l'erreur.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totale de -3,43%, avec une dernière séance en léger repli de -0,29% à 1 690 FCFA. Le cours a évolué dans une fourchette de 500 FCFA, entre un plus bas de 1 325 FCFA et un plus haut de 1 825 FCFA, démontrant une amplitude de trading significative. La moyenne (1 609 FCFA) et la médiane (1 605 FCFA) étant quasi identiques, la distribution des prix est symétrique, confirmée par un skewness de -0,314. L'écart-type de 106 FCFA (CV=6,6%) indique une dispersion modérée autour de la moyenne, tandis que le kurtosis de -0,212 (mésokurtique) suggère l'absence de pics extrêmes ou de queues de distribution épaisses, typique d'une distribution normale. La volatilité annualisée de 49,4% est très élevée (&gt;30%), signalant un risque de prix substantiel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(1 690 FCFA) se positionne au-dessus des MM20 (1 634,5 FCFA) et MM50 (1 638,8 FCFA), indiquant une dynamique haussière à court et moyen terme. Cependant, la décision globale est "Vente", suggérant que cette configuration pourrait être précoce ou que la tendance de fond reste baissière.</w:t>
      </w:r>
    </w:p>
    <w:p>
      <w:pPr>
        <w:spacing w:after="120" w:line="276" w:lineRule="auto"/>
      </w:pPr>
      <w:r>
        <w:t>**Bandes de Bollinger** : Le cours se situe dans la partie supérieure de la bande (borne haute à 1 737,5 FCFA), mais sans la toucher, ce qui indique une pression acheteuse modérée sans condition de surachat extrême. La décision "Neutre" reflète une volatilité en contraction, le prix évoluant dans un canal défini.</w:t>
      </w:r>
    </w:p>
    <w:p>
      <w:pPr>
        <w:spacing w:after="120" w:line="276" w:lineRule="auto"/>
      </w:pPr>
      <w:r>
        <w:t>**MACD** : La valeur du MACD (10,248) est supérieure à son signal (6,188), générant une divergence positive. Ce croisement haussier indique un momentum positif en cours de formation, justifiant la décision "Achat".</w:t>
      </w:r>
    </w:p>
    <w:p>
      <w:pPr>
        <w:spacing w:after="120" w:line="276" w:lineRule="auto"/>
      </w:pPr>
      <w:r>
        <w:t>**RSI** : À 63,0, le RSI se situe en zone neutre, en dessous du seuil de surachat (70). Cela laisse une marge de progression avant une éventuelle correction, mais la dynamique actuelle est positive sans être excessive.</w:t>
      </w:r>
    </w:p>
    <w:p>
      <w:pPr>
        <w:spacing w:after="120" w:line="276" w:lineRule="auto"/>
      </w:pPr>
      <w:r>
        <w:t>**Stochastique** : Le %K (91,667) et le %D (87,698) sont tous deux en zone de surachat (&gt;80), avec un %K au-dessus du %D. Cette configuration indique un épuisement potentiel du mouvement haussier à très court terme, justifiant la décision "Vente".</w:t>
      </w:r>
    </w:p>
    <w:p>
      <w:pPr>
        <w:spacing w:after="120" w:line="276" w:lineRule="auto"/>
      </w:pPr>
      <w:r>
        <w:t>**Conclusion technique** : Les signaux sont mitigés. Le MACD et la position du cours au-dessus des MM suggèrent une dynamique positive, mais le Stochastique en surachat et la décision "Vente" des MM indiquent un risque de consolidation.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En 2024, selon les états financiers annuels, CFAC a réalisé un chiffre d'affaires de 158,313 milliards FCFA, en baisse de -12,1% par rapport à 2023. Le résultat net s'établit à 4,693 milliards FCFA, en recul de -26,7%, avec une marge nette de 2,96%. La rentabilité des fonds propres (ROE) reste excellente à 24,13%, et le ROA à 5,52%. En tant qu'entreprise de distribution automobile, le BFR est négatif (-3,482 milliards FCFA), ce qui est favorable, car l'entreprise finance son cycle d'exploitation grâce à ses fournisseurs (délai fournisseurs de 81,75 jours contre 36,64 jours pour les clients). Cependant, la durée de stockage de 88,35 jours immobilise du capital. Le rapport du 3ème trimestre 2025, daté de 2025, montre un net rebond : le CA T3 2025 atteint 43,58 milliards FCFA (+18,3%), avec un résultat net de 1,489 milliard FCFA (+38,1%). Sur la base des rapports T1 et S1 2025 (CA en hausse de +14,5% et +18,4% respectivement), on estime que l'exercice 2025 devrait clôturer sur une croissance à deux chiffres et une amélioration significative des marges, après une année 2024 difficile. La société conserve sa position de leader avec 43,4% de parts de marché.</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65,3x, P/B 15,76x, EV/EBITDA 33,2x), indiquant une surévaluation relative par rapport aux fondamentaux actuels et à la moyenne du marché. Le comportement du cours sur 100 jours montre une légère tendance baissière (-3,43%) avec une volatilité très élevée (49,4%), ce qui est préoccupant pour un investisseur à long terme. Les signaux techniques sont contradictoires, avec un MACD positif mais un Stochastique en surachat et des MM en "Vente". Les fondamentaux, bien qu'en amélioration en 2025 (croissance du CA et des résultats), ne justifient pas pleinement la prime de valorisation actuelle. Les prédictions IA (1 640 FCFA à J+10) anticipent une correction de -3% par rapport au cours actuel, confirmant les signaux techniques de prudence. En synthèse, la convergence des signaux (valorisation excessive, volatilité élevée, prédictions baissières) malgré des fondamentaux en amélioration, conduit à une recommandation **CONSERVER**, avec un niveau de confiance **Moyen** et un risque global **Élevé**. L'horizon d'investissement optimal serait de **moyen terme (3-12 mois)**, en attendant que la valorisation reflète mieux la croissance des bénéfices.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279.72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6,559 titres</w:t>
            </w:r>
          </w:p>
        </w:tc>
        <w:tc>
          <w:tcPr>
            <w:tcW w:type="dxa" w:w="2268"/>
            <w:shd w:fill="FFF2CC" w:val="clear"/>
          </w:tcPr>
          <w:p>
            <w:r>
              <w:rPr>
                <w:b/>
                <w:color w:val="503200"/>
                <w:sz w:val="16"/>
              </w:rPr>
              <w:t xml:space="preserve">Cours actuel : </w:t>
            </w:r>
            <w:r>
              <w:rPr>
                <w:color w:val="000000"/>
                <w:sz w:val="17"/>
              </w:rPr>
              <w:t>4,995 FCFA</w:t>
            </w:r>
          </w:p>
          <w:p>
            <w:r>
              <w:rPr>
                <w:b/>
                <w:color w:val="503200"/>
                <w:sz w:val="16"/>
              </w:rPr>
              <w:t xml:space="preserve">Var. 100 jours : </w:t>
            </w:r>
            <w:r>
              <w:rPr>
                <w:b/>
                <w:color w:val="007800"/>
                <w:sz w:val="17"/>
              </w:rPr>
              <w:t>+49.55%</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22.27% (Élevée) — μ=4,161 FCFA, σ=927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β=0.7820 (Défensif) — Cov=0.000028, Var(idx)=0.000036, ρ=0.159,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4,428</w:t>
            </w:r>
          </w:p>
        </w:tc>
        <w:tc>
          <w:tcPr>
            <w:tcW w:type="dxa" w:w="1440"/>
            <w:shd w:fill="FFDCE0" w:val="clear"/>
          </w:tcPr>
          <w:p>
            <w:r>
              <w:rPr>
                <w:b/>
                <w:sz w:val="17"/>
              </w:rPr>
              <w:t>4,620</w:t>
            </w:r>
          </w:p>
        </w:tc>
        <w:tc>
          <w:tcPr>
            <w:tcW w:type="dxa" w:w="1440"/>
            <w:shd w:fill="FFDCE0" w:val="clear"/>
          </w:tcPr>
          <w:p>
            <w:r>
              <w:rPr>
                <w:sz w:val="17"/>
              </w:rPr>
              <w:t>4,812</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4,023</w:t>
            </w:r>
          </w:p>
        </w:tc>
        <w:tc>
          <w:tcPr>
            <w:tcW w:type="dxa" w:w="1440"/>
            <w:shd w:fill="FFDCE0" w:val="clear"/>
          </w:tcPr>
          <w:p>
            <w:r>
              <w:rPr>
                <w:b/>
                <w:sz w:val="17"/>
              </w:rPr>
              <w:t>4,274</w:t>
            </w:r>
          </w:p>
        </w:tc>
        <w:tc>
          <w:tcPr>
            <w:tcW w:type="dxa" w:w="1440"/>
            <w:shd w:fill="FFDCE0" w:val="clear"/>
          </w:tcPr>
          <w:p>
            <w:r>
              <w:rPr>
                <w:sz w:val="17"/>
              </w:rPr>
              <w:t>4,525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3,669</w:t>
            </w:r>
          </w:p>
        </w:tc>
        <w:tc>
          <w:tcPr>
            <w:tcW w:type="dxa" w:w="1440"/>
            <w:shd w:fill="FFDCE0" w:val="clear"/>
          </w:tcPr>
          <w:p>
            <w:r>
              <w:rPr>
                <w:b/>
                <w:sz w:val="17"/>
              </w:rPr>
              <w:t>3,953</w:t>
            </w:r>
          </w:p>
        </w:tc>
        <w:tc>
          <w:tcPr>
            <w:tcW w:type="dxa" w:w="1440"/>
            <w:shd w:fill="FFDCE0" w:val="clear"/>
          </w:tcPr>
          <w:p>
            <w:r>
              <w:rPr>
                <w:sz w:val="17"/>
              </w:rPr>
              <w:t>4,238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3,353</w:t>
            </w:r>
          </w:p>
        </w:tc>
        <w:tc>
          <w:tcPr>
            <w:tcW w:type="dxa" w:w="1440"/>
            <w:shd w:fill="FFDCE0" w:val="clear"/>
          </w:tcPr>
          <w:p>
            <w:r>
              <w:rPr>
                <w:b/>
                <w:sz w:val="17"/>
              </w:rPr>
              <w:t>3,657</w:t>
            </w:r>
          </w:p>
        </w:tc>
        <w:tc>
          <w:tcPr>
            <w:tcW w:type="dxa" w:w="1440"/>
            <w:shd w:fill="FFDCE0" w:val="clear"/>
          </w:tcPr>
          <w:p>
            <w:r>
              <w:rPr>
                <w:sz w:val="17"/>
              </w:rPr>
              <w:t>3,961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3,207</w:t>
            </w:r>
          </w:p>
        </w:tc>
        <w:tc>
          <w:tcPr>
            <w:tcW w:type="dxa" w:w="1440"/>
            <w:shd w:fill="FFDCE0" w:val="clear"/>
          </w:tcPr>
          <w:p>
            <w:r>
              <w:rPr>
                <w:b/>
                <w:sz w:val="17"/>
              </w:rPr>
              <w:t>3,535</w:t>
            </w:r>
          </w:p>
        </w:tc>
        <w:tc>
          <w:tcPr>
            <w:tcW w:type="dxa" w:w="1440"/>
            <w:shd w:fill="FFDCE0" w:val="clear"/>
          </w:tcPr>
          <w:p>
            <w:r>
              <w:rPr>
                <w:sz w:val="17"/>
              </w:rPr>
              <w:t>3,864</w:t>
            </w:r>
          </w:p>
        </w:tc>
        <w:tc>
          <w:tcPr>
            <w:tcW w:type="dxa" w:w="1440"/>
            <w:shd w:fill="FFDCE0" w:val="clear"/>
          </w:tcPr>
          <w:p>
            <w:r>
              <w:rPr>
                <w:b/>
                <w:color w:val="C00000"/>
                <w:sz w:val="17"/>
              </w:rPr>
              <w:t>-29.2%</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3,094</w:t>
            </w:r>
          </w:p>
        </w:tc>
        <w:tc>
          <w:tcPr>
            <w:tcW w:type="dxa" w:w="1440"/>
            <w:shd w:fill="FFDCE0" w:val="clear"/>
          </w:tcPr>
          <w:p>
            <w:r>
              <w:rPr>
                <w:b/>
                <w:sz w:val="17"/>
              </w:rPr>
              <w:t>3,445</w:t>
            </w:r>
          </w:p>
        </w:tc>
        <w:tc>
          <w:tcPr>
            <w:tcW w:type="dxa" w:w="1440"/>
            <w:shd w:fill="FFDCE0" w:val="clear"/>
          </w:tcPr>
          <w:p>
            <w:r>
              <w:rPr>
                <w:sz w:val="17"/>
              </w:rPr>
              <w:t>3,796</w:t>
            </w:r>
          </w:p>
        </w:tc>
        <w:tc>
          <w:tcPr>
            <w:tcW w:type="dxa" w:w="1440"/>
            <w:shd w:fill="FFDCE0" w:val="clear"/>
          </w:tcPr>
          <w:p>
            <w:r>
              <w:rPr>
                <w:b/>
                <w:color w:val="C00000"/>
                <w:sz w:val="17"/>
              </w:rPr>
              <w:t>-31.0%</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2,994</w:t>
            </w:r>
          </w:p>
        </w:tc>
        <w:tc>
          <w:tcPr>
            <w:tcW w:type="dxa" w:w="1440"/>
            <w:shd w:fill="FFDCE0" w:val="clear"/>
          </w:tcPr>
          <w:p>
            <w:r>
              <w:rPr>
                <w:b/>
                <w:sz w:val="17"/>
              </w:rPr>
              <w:t>3,364</w:t>
            </w:r>
          </w:p>
        </w:tc>
        <w:tc>
          <w:tcPr>
            <w:tcW w:type="dxa" w:w="1440"/>
            <w:shd w:fill="FFDCE0" w:val="clear"/>
          </w:tcPr>
          <w:p>
            <w:r>
              <w:rPr>
                <w:sz w:val="17"/>
              </w:rPr>
              <w:t>3,734</w:t>
            </w:r>
          </w:p>
        </w:tc>
        <w:tc>
          <w:tcPr>
            <w:tcW w:type="dxa" w:w="1440"/>
            <w:shd w:fill="FFDCE0" w:val="clear"/>
          </w:tcPr>
          <w:p>
            <w:r>
              <w:rPr>
                <w:b/>
                <w:color w:val="C00000"/>
                <w:sz w:val="17"/>
              </w:rPr>
              <w:t>-32.6%</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2,904</w:t>
            </w:r>
          </w:p>
        </w:tc>
        <w:tc>
          <w:tcPr>
            <w:tcW w:type="dxa" w:w="1440"/>
            <w:shd w:fill="FFDCE0" w:val="clear"/>
          </w:tcPr>
          <w:p>
            <w:r>
              <w:rPr>
                <w:b/>
                <w:sz w:val="17"/>
              </w:rPr>
              <w:t>3,291</w:t>
            </w:r>
          </w:p>
        </w:tc>
        <w:tc>
          <w:tcPr>
            <w:tcW w:type="dxa" w:w="1440"/>
            <w:shd w:fill="FFDCE0" w:val="clear"/>
          </w:tcPr>
          <w:p>
            <w:r>
              <w:rPr>
                <w:sz w:val="17"/>
              </w:rPr>
              <w:t>3,678</w:t>
            </w:r>
          </w:p>
        </w:tc>
        <w:tc>
          <w:tcPr>
            <w:tcW w:type="dxa" w:w="1440"/>
            <w:shd w:fill="FFDCE0" w:val="clear"/>
          </w:tcPr>
          <w:p>
            <w:r>
              <w:rPr>
                <w:b/>
                <w:color w:val="C00000"/>
                <w:sz w:val="17"/>
              </w:rPr>
              <w:t>-34.1%</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2,823</w:t>
            </w:r>
          </w:p>
        </w:tc>
        <w:tc>
          <w:tcPr>
            <w:tcW w:type="dxa" w:w="1440"/>
            <w:shd w:fill="FFDCE0" w:val="clear"/>
          </w:tcPr>
          <w:p>
            <w:r>
              <w:rPr>
                <w:b/>
                <w:sz w:val="17"/>
              </w:rPr>
              <w:t>3,225</w:t>
            </w:r>
          </w:p>
        </w:tc>
        <w:tc>
          <w:tcPr>
            <w:tcW w:type="dxa" w:w="1440"/>
            <w:shd w:fill="FFDCE0" w:val="clear"/>
          </w:tcPr>
          <w:p>
            <w:r>
              <w:rPr>
                <w:sz w:val="17"/>
              </w:rPr>
              <w:t>3,627</w:t>
            </w:r>
          </w:p>
        </w:tc>
        <w:tc>
          <w:tcPr>
            <w:tcW w:type="dxa" w:w="1440"/>
            <w:shd w:fill="FFDCE0" w:val="clear"/>
          </w:tcPr>
          <w:p>
            <w:r>
              <w:rPr>
                <w:b/>
                <w:color w:val="C00000"/>
                <w:sz w:val="17"/>
              </w:rPr>
              <w:t>-35.4%</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2,750</w:t>
            </w:r>
          </w:p>
        </w:tc>
        <w:tc>
          <w:tcPr>
            <w:tcW w:type="dxa" w:w="1440"/>
            <w:shd w:fill="FFDCE0" w:val="clear"/>
          </w:tcPr>
          <w:p>
            <w:r>
              <w:rPr>
                <w:b/>
                <w:sz w:val="17"/>
              </w:rPr>
              <w:t>3,166</w:t>
            </w:r>
          </w:p>
        </w:tc>
        <w:tc>
          <w:tcPr>
            <w:tcW w:type="dxa" w:w="1440"/>
            <w:shd w:fill="FFDCE0" w:val="clear"/>
          </w:tcPr>
          <w:p>
            <w:r>
              <w:rPr>
                <w:sz w:val="17"/>
              </w:rPr>
              <w:t>3,582</w:t>
            </w:r>
          </w:p>
        </w:tc>
        <w:tc>
          <w:tcPr>
            <w:tcW w:type="dxa" w:w="1440"/>
            <w:shd w:fill="FFDCE0" w:val="clear"/>
          </w:tcPr>
          <w:p>
            <w:r>
              <w:rPr>
                <w:b/>
                <w:color w:val="C00000"/>
                <w:sz w:val="17"/>
              </w:rPr>
              <w:t>-36.6%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 05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279,72 milliards FCFA, un niveau significatif qui la positionne parmi les valeurs moyennes du marché BRVM, reflétant son statut de service public essentiel. Le BPA de 234 FCFA indique que chaque action génère un bénéfice de ce montant, mais le PER de 21,3x est nettement supérieur à la moyenne historique de la BRVM (8-12x), signalant que les investisseurs paient une prime substantielle, anticipant probablement une croissance future des bénéfices. Le P/B de 7,78x confirme cette valorisation exigeante, le marché valorisant l'actif net comptable près de huit fois sa valeur, ce qui traduit une forte confiance dans la rentabilité des actifs. Enfin, l'EV/EBITDA de 12,6x, dans la fourchette haute de 10-15x, indique que la valeur totale de l'entreprise (capitalisation + dette nette) reste élevée par rapport à sa capacité opérationnelle, justifiant une attention particulière sur la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performance remarquable avec une variation totale de +49,55%, passant d'un plus bas de 3 000 FCFA à un plus haut de 5 485 FCFA, bien que la dernière séance affiche un léger repli de -0,10% à 4 995 FCFA. La moyenne du cours sur la période (4 161 FCFA) est supérieure à la médiane (4 025 FCFA), indiquant une distribution légèrement asymétrique positive, avec des périodes de forte hausse tirant la moyenne vers le haut. L'écart-type de 931 FCFA, soit un coefficient de variation de 22,4%, témoigne d'une dispersion modérée des prix autour de la moyenne. Le kurtosis de -1,824 (platykurtique) révèle une distribution aplatie, avec moins de valeurs extrêmes que la normale, tandis que le skewness de 0,104 confirme une symétrie quasi parfaite de la distribution. La volatilité annualisée de 46,3% classe le titre comme très volatil (&gt;30%), un niveau élevé qui implique des fluctuations de prix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(4 995 FCFA) se situe en dessous de la MM20 (5 180,75 FCFA) et de la MM50 (5 048,1 FCFA), indiquant une faiblesse relative à court terme. Cependant, la décision globale est "Achat", suggérant que la tendance de fond reste positive malgré le repli récent, les moyennes mobiles étant encore orientées à la hausse sur la période.</w:t>
      </w:r>
    </w:p>
    <w:p>
      <w:pPr>
        <w:spacing w:after="120" w:line="276" w:lineRule="auto"/>
      </w:pPr>
      <w:r>
        <w:t>**Bandes de Bollinger** : Le prix évolue près de la borne inférieure (4 897,698 FCFA) mais reste dans le canal, avec une borne supérieure à 5 463,802 FCFA. La position du cours dans la moitié inférieure des bandes indique une pression vendeuse modérée, mais l'absence de sortie du canal justifie une décision "Neutre", la volatilité restant contenue.</w:t>
      </w:r>
    </w:p>
    <w:p>
      <w:pPr>
        <w:spacing w:after="120" w:line="276" w:lineRule="auto"/>
      </w:pPr>
      <w:r>
        <w:t>**MACD** : La valeur du MACD (8,632) est nettement inférieure à son signal (62,072), avec une divergence négative marquée. Cette configuration indique un momentum baissier à court terme, justifiant la décision "Vente", bien que le MACD reste positif, suggérant que la tendance de fond n'est pas complètement inversée.</w:t>
      </w:r>
    </w:p>
    <w:p>
      <w:pPr>
        <w:spacing w:after="120" w:line="276" w:lineRule="auto"/>
      </w:pPr>
      <w:r>
        <w:t>**RSI** : À 44,38, le RSI se situe dans la zone neutre (30-70), indiquant un équilibre entre pressions acheteuses et vendeuses. Cette valeur ne signale ni surachat ni survente, justifiant une décision "Neutre", avec une marge de manœuvre pour une hausse potentielle sans risque immédiat de correction.</w:t>
      </w:r>
    </w:p>
    <w:p>
      <w:pPr>
        <w:spacing w:after="120" w:line="276" w:lineRule="auto"/>
      </w:pPr>
      <w:r>
        <w:t>**Stochastique** : Le %K (18,557) et le %D (19,244) sont tous deux en zone de survente (&lt;20), avec un croisement haussier potentiel. Cette configuration suggère un rebond technique imminent, justifiant la décision "Achat", les conditions de survente offrant un point d'entrée attractif.</w:t>
      </w:r>
    </w:p>
    <w:p>
      <w:pPr>
        <w:spacing w:after="120" w:line="276" w:lineRule="auto"/>
      </w:pPr>
      <w:r>
        <w:t>**Conclusion technique** : Les indicateurs sont mitigés, avec un MACD vendeur et des moyennes mobiles baissières à court terme, mais un stochastique en survente et un RSI neutre suggérant un potentiel de rebond. La tendance de fond reste positive, mais un signal de prudence est nécessaire à court terme, avec une possible consolidation avant une reprise haussière.</w:t>
      </w:r>
    </w:p>
    <w:p>
      <w:pPr>
        <w:spacing w:after="120" w:line="276" w:lineRule="auto"/>
      </w:pPr>
      <w:r>
        <w:t>---</w:t>
      </w:r>
    </w:p>
    <w:p>
      <w:pPr>
        <w:spacing w:after="120" w:line="276" w:lineRule="auto"/>
      </w:pPr>
      <w:r>
        <w:t>### PARTIE 3 : ANALYSE FONDAMENTALE (SECTION CRITIQUE)</w:t>
      </w:r>
    </w:p>
    <w:p>
      <w:pPr>
        <w:spacing w:after="120" w:line="276" w:lineRule="auto"/>
      </w:pPr>
      <w:r>
        <w:t>En 2025, la CIEC affiche des résultats solides avec un chiffre d'affaires de 302,320 milliards FCFA, en hausse de 14,8% par rapport à 2024 (263,294 milliards FCFA), et un résultat net de 13,127 milliards FCFA, en progression de 24,4% (contre 10,526 milliards en 2024). Le ROE de 36,5% est excellent, démontrant une forte rentabilité des capitaux propres (35,962 milliards FCFA), bien que le ROA de 0,65% soit faible, reflétant un total actif très élevé de 2 018,446 milliards FCFA, typique du secteur électrique. En tant qu'entreprise, la CIEC présente un BFR négatif de -90,244 milliards FCFA, une situation favorable indiquant que les ressources d'exploitation couvrent les besoins, avec un délai clients élevé de 164 jours (risque de trésorerie) mais un délai fournisseurs très favorable de 970 jours. L'endettement total de 220,424 milliards FCFA (ratio d'endettement de 612,9%) est préoccupant, mais la capacité de remboursement de 7,64 ans reste gérable. Les rapports semestriels 2025 (S1 2025) montrent un CA de 134,923 milliards FCFA (+18,85%) et un résultat net de 5,096 milliards FCFA (+13,4%), confirmant la dynamique positive. Sur cette base, on estime que l'exercice 2026 pourrait voir un CA dépassant 320 milliards FCFA et un résultat net autour de 14 milliards FCFA, soutenus par la croissance de la demande énergétique et l'expansion de la base client (5,28 millions de clients). La politique de dividende est très attractive avec un DPA de 234 FCFA (taux de distribution de 99,8%), mais la dépendance au cadre réglementaire et le risque de crédit client constituent des points de vigilance.</w:t>
      </w:r>
    </w:p>
    <w:p>
      <w:pPr>
        <w:spacing w:after="120" w:line="276" w:lineRule="auto"/>
      </w:pPr>
      <w:r>
        <w:t>---</w:t>
      </w:r>
    </w:p>
    <w:p>
      <w:pPr>
        <w:spacing w:after="120" w:line="276" w:lineRule="auto"/>
      </w:pPr>
      <w:r>
        <w:t>### PARTIE 4 : CONCLUSION D'INVESTISSEMENT</w:t>
      </w:r>
    </w:p>
    <w:p>
      <w:pPr>
        <w:spacing w:after="120" w:line="276" w:lineRule="auto"/>
      </w:pPr>
      <w:r>
        <w:t>La valorisation actuelle de la CIEC (PER 21,3x, P/B 7,78x, EV/EBITDA 12,6x) indique une surévaluation relative par rapport au marché BRVM, les investisseurs payant une prime pour la croissance et la stabilité du secteur électrique. Le comportement du cours sur 100 jours (+49,55%) montre une forte dynamique haussière, mais la volatilité élevée (46,3%) et la distribution platykurtique suggèrent un risque de correction. Les signaux techniques sont mitigés : les moyennes mobiles et le MACD sont baissiers à court terme, tandis que le stochastique en survente et le RSI neutre offrent un potentiel de rebond. Les fondamentaux sont solides avec une croissance du CA de 14,8% en 2025, un ROE excellent de 36,5%, et une politique de dividende généreuse, mais l'endettement élevé et le risque réglementaire tempèrent l'enthousiasme. Les prédictions IA (J+1 à J+10) montrent une trajectoire baissière marquée, passant de 4 620 à 3 535 FCFA, contredisant les signaux fondamentaux positifs et suggérant une correction technique imminente. En synthèse, la convergence entre la surévaluation boursière, les signaux techniques baissiers et les prédictions IA défavorables conduit à une recommandation de **CONSERVER** avec un niveau de confiance **Moyen** et un risque global **Élevé**. L'horizon d'investissement optimal serait le **moyen terme (3-12 mois)**, permettant d'absorber la correction attendue et de bénéficier de la croissance fondamentalement solide de l'entreprise.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891.82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3,418 titres</w:t>
            </w:r>
          </w:p>
        </w:tc>
        <w:tc>
          <w:tcPr>
            <w:tcW w:type="dxa" w:w="2268"/>
            <w:shd w:fill="FFF2CC" w:val="clear"/>
          </w:tcPr>
          <w:p>
            <w:r>
              <w:rPr>
                <w:b/>
                <w:color w:val="503200"/>
                <w:sz w:val="16"/>
              </w:rPr>
              <w:t xml:space="preserve">Cours actuel : </w:t>
            </w:r>
            <w:r>
              <w:rPr>
                <w:color w:val="000000"/>
                <w:sz w:val="17"/>
              </w:rPr>
              <w:t>16,200 FCFA</w:t>
            </w:r>
          </w:p>
          <w:p>
            <w:r>
              <w:rPr>
                <w:b/>
                <w:color w:val="503200"/>
                <w:sz w:val="16"/>
              </w:rPr>
              <w:t xml:space="preserve">Var. 100 jours : </w:t>
            </w:r>
            <w:r>
              <w:rPr>
                <w:b/>
                <w:color w:val="B40000"/>
                <w:sz w:val="17"/>
              </w:rPr>
              <w:t>-1.67%</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2.12% (Faible) — μ=16,342 FCFA, σ=347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β=0.2634 (Défensif) — Cov=0.000009, Var(idx)=0.000036, ρ=0.092,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15,655</w:t>
            </w:r>
          </w:p>
        </w:tc>
        <w:tc>
          <w:tcPr>
            <w:tcW w:type="dxa" w:w="1440"/>
            <w:shd w:fill="FAFAFA" w:val="clear"/>
          </w:tcPr>
          <w:p>
            <w:r>
              <w:rPr>
                <w:b/>
                <w:sz w:val="17"/>
              </w:rPr>
              <w:t>16,141</w:t>
            </w:r>
          </w:p>
        </w:tc>
        <w:tc>
          <w:tcPr>
            <w:tcW w:type="dxa" w:w="1440"/>
            <w:shd w:fill="FAFAFA" w:val="clear"/>
          </w:tcPr>
          <w:p>
            <w:r>
              <w:rPr>
                <w:sz w:val="17"/>
              </w:rPr>
              <w:t>16,627</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15,444</w:t>
            </w:r>
          </w:p>
        </w:tc>
        <w:tc>
          <w:tcPr>
            <w:tcW w:type="dxa" w:w="1440"/>
            <w:shd w:fill="FAFAFA" w:val="clear"/>
          </w:tcPr>
          <w:p>
            <w:r>
              <w:rPr>
                <w:b/>
                <w:sz w:val="17"/>
              </w:rPr>
              <w:t>16,131</w:t>
            </w:r>
          </w:p>
        </w:tc>
        <w:tc>
          <w:tcPr>
            <w:tcW w:type="dxa" w:w="1440"/>
            <w:shd w:fill="FAFAFA" w:val="clear"/>
          </w:tcPr>
          <w:p>
            <w:r>
              <w:rPr>
                <w:sz w:val="17"/>
              </w:rPr>
              <w:t>16,818</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15,278</w:t>
            </w:r>
          </w:p>
        </w:tc>
        <w:tc>
          <w:tcPr>
            <w:tcW w:type="dxa" w:w="1440"/>
            <w:shd w:fill="FAFAFA" w:val="clear"/>
          </w:tcPr>
          <w:p>
            <w:r>
              <w:rPr>
                <w:b/>
                <w:sz w:val="17"/>
              </w:rPr>
              <w:t>16,118</w:t>
            </w:r>
          </w:p>
        </w:tc>
        <w:tc>
          <w:tcPr>
            <w:tcW w:type="dxa" w:w="1440"/>
            <w:shd w:fill="FAFAFA" w:val="clear"/>
          </w:tcPr>
          <w:p>
            <w:r>
              <w:rPr>
                <w:sz w:val="17"/>
              </w:rPr>
              <w:t>16,959</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2026-08-11</w:t>
            </w:r>
          </w:p>
        </w:tc>
        <w:tc>
          <w:tcPr>
            <w:tcW w:type="dxa" w:w="1440"/>
            <w:shd w:fill="FAFAFA" w:val="clear"/>
          </w:tcPr>
          <w:p>
            <w:r>
              <w:rPr>
                <w:sz w:val="17"/>
              </w:rPr>
              <w:t>15,135</w:t>
            </w:r>
          </w:p>
        </w:tc>
        <w:tc>
          <w:tcPr>
            <w:tcW w:type="dxa" w:w="1440"/>
            <w:shd w:fill="FAFAFA" w:val="clear"/>
          </w:tcPr>
          <w:p>
            <w:r>
              <w:rPr>
                <w:b/>
                <w:sz w:val="17"/>
              </w:rPr>
              <w:t>16,105</w:t>
            </w:r>
          </w:p>
        </w:tc>
        <w:tc>
          <w:tcPr>
            <w:tcW w:type="dxa" w:w="1440"/>
            <w:shd w:fill="FAFAFA" w:val="clear"/>
          </w:tcPr>
          <w:p>
            <w:r>
              <w:rPr>
                <w:sz w:val="17"/>
              </w:rPr>
              <w:t>17,075</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2026-08-12</w:t>
            </w:r>
          </w:p>
        </w:tc>
        <w:tc>
          <w:tcPr>
            <w:tcW w:type="dxa" w:w="1440"/>
            <w:shd w:fill="FAFAFA" w:val="clear"/>
          </w:tcPr>
          <w:p>
            <w:r>
              <w:rPr>
                <w:sz w:val="17"/>
              </w:rPr>
              <w:t>15,009</w:t>
            </w:r>
          </w:p>
        </w:tc>
        <w:tc>
          <w:tcPr>
            <w:tcW w:type="dxa" w:w="1440"/>
            <w:shd w:fill="FAFAFA" w:val="clear"/>
          </w:tcPr>
          <w:p>
            <w:r>
              <w:rPr>
                <w:b/>
                <w:sz w:val="17"/>
              </w:rPr>
              <w:t>16,092</w:t>
            </w:r>
          </w:p>
        </w:tc>
        <w:tc>
          <w:tcPr>
            <w:tcW w:type="dxa" w:w="1440"/>
            <w:shd w:fill="FAFAFA" w:val="clear"/>
          </w:tcPr>
          <w:p>
            <w:r>
              <w:rPr>
                <w:sz w:val="17"/>
              </w:rPr>
              <w:t>17,176</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2026-08-13</w:t>
            </w:r>
          </w:p>
        </w:tc>
        <w:tc>
          <w:tcPr>
            <w:tcW w:type="dxa" w:w="1440"/>
            <w:shd w:fill="FAFAFA" w:val="clear"/>
          </w:tcPr>
          <w:p>
            <w:r>
              <w:rPr>
                <w:sz w:val="17"/>
              </w:rPr>
              <w:t>14,894</w:t>
            </w:r>
          </w:p>
        </w:tc>
        <w:tc>
          <w:tcPr>
            <w:tcW w:type="dxa" w:w="1440"/>
            <w:shd w:fill="FAFAFA" w:val="clear"/>
          </w:tcPr>
          <w:p>
            <w:r>
              <w:rPr>
                <w:b/>
                <w:sz w:val="17"/>
              </w:rPr>
              <w:t>16,080</w:t>
            </w:r>
          </w:p>
        </w:tc>
        <w:tc>
          <w:tcPr>
            <w:tcW w:type="dxa" w:w="1440"/>
            <w:shd w:fill="FAFAFA" w:val="clear"/>
          </w:tcPr>
          <w:p>
            <w:r>
              <w:rPr>
                <w:sz w:val="17"/>
              </w:rPr>
              <w:t>17,266</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2026-08-14</w:t>
            </w:r>
          </w:p>
        </w:tc>
        <w:tc>
          <w:tcPr>
            <w:tcW w:type="dxa" w:w="1440"/>
            <w:shd w:fill="FAFAFA" w:val="clear"/>
          </w:tcPr>
          <w:p>
            <w:r>
              <w:rPr>
                <w:sz w:val="17"/>
              </w:rPr>
              <w:t>14,788</w:t>
            </w:r>
          </w:p>
        </w:tc>
        <w:tc>
          <w:tcPr>
            <w:tcW w:type="dxa" w:w="1440"/>
            <w:shd w:fill="FAFAFA" w:val="clear"/>
          </w:tcPr>
          <w:p>
            <w:r>
              <w:rPr>
                <w:b/>
                <w:sz w:val="17"/>
              </w:rPr>
              <w:t>16,068</w:t>
            </w:r>
          </w:p>
        </w:tc>
        <w:tc>
          <w:tcPr>
            <w:tcW w:type="dxa" w:w="1440"/>
            <w:shd w:fill="FAFAFA" w:val="clear"/>
          </w:tcPr>
          <w:p>
            <w:r>
              <w:rPr>
                <w:sz w:val="17"/>
              </w:rPr>
              <w:t>17,348</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2026-08-17</w:t>
            </w:r>
          </w:p>
        </w:tc>
        <w:tc>
          <w:tcPr>
            <w:tcW w:type="dxa" w:w="1440"/>
            <w:shd w:fill="FAFAFA" w:val="clear"/>
          </w:tcPr>
          <w:p>
            <w:r>
              <w:rPr>
                <w:sz w:val="17"/>
              </w:rPr>
              <w:t>14,688</w:t>
            </w:r>
          </w:p>
        </w:tc>
        <w:tc>
          <w:tcPr>
            <w:tcW w:type="dxa" w:w="1440"/>
            <w:shd w:fill="FAFAFA" w:val="clear"/>
          </w:tcPr>
          <w:p>
            <w:r>
              <w:rPr>
                <w:b/>
                <w:sz w:val="17"/>
              </w:rPr>
              <w:t>16,055</w:t>
            </w:r>
          </w:p>
        </w:tc>
        <w:tc>
          <w:tcPr>
            <w:tcW w:type="dxa" w:w="1440"/>
            <w:shd w:fill="FAFAFA" w:val="clear"/>
          </w:tcPr>
          <w:p>
            <w:r>
              <w:rPr>
                <w:sz w:val="17"/>
              </w:rPr>
              <w:t>17,423</w:t>
            </w:r>
          </w:p>
        </w:tc>
        <w:tc>
          <w:tcPr>
            <w:tcW w:type="dxa" w:w="1440"/>
            <w:shd w:fill="FAFAFA" w:val="clear"/>
          </w:tcPr>
          <w:p>
            <w:r>
              <w:rPr>
                <w:b/>
                <w:color w:val="C00000"/>
                <w:sz w:val="17"/>
              </w:rPr>
              <w:t>-0.9%</w:t>
            </w:r>
          </w:p>
        </w:tc>
      </w:tr>
      <w:tr>
        <w:tc>
          <w:tcPr>
            <w:tcW w:type="dxa" w:w="1440"/>
            <w:shd w:fill="FAFAFA" w:val="clear"/>
          </w:tcPr>
          <w:p>
            <w:r>
              <w:rPr>
                <w:sz w:val="17"/>
              </w:rPr>
              <w:t>J+9  Moyenne</w:t>
            </w:r>
          </w:p>
        </w:tc>
        <w:tc>
          <w:tcPr>
            <w:tcW w:type="dxa" w:w="1440"/>
            <w:shd w:fill="FAFAFA" w:val="clear"/>
          </w:tcPr>
          <w:p>
            <w:r>
              <w:rPr>
                <w:sz w:val="17"/>
              </w:rPr>
              <w:t>2026-08-18</w:t>
            </w:r>
          </w:p>
        </w:tc>
        <w:tc>
          <w:tcPr>
            <w:tcW w:type="dxa" w:w="1440"/>
            <w:shd w:fill="FAFAFA" w:val="clear"/>
          </w:tcPr>
          <w:p>
            <w:r>
              <w:rPr>
                <w:sz w:val="17"/>
              </w:rPr>
              <w:t>14,594</w:t>
            </w:r>
          </w:p>
        </w:tc>
        <w:tc>
          <w:tcPr>
            <w:tcW w:type="dxa" w:w="1440"/>
            <w:shd w:fill="FAFAFA" w:val="clear"/>
          </w:tcPr>
          <w:p>
            <w:r>
              <w:rPr>
                <w:b/>
                <w:sz w:val="17"/>
              </w:rPr>
              <w:t>16,043</w:t>
            </w:r>
          </w:p>
        </w:tc>
        <w:tc>
          <w:tcPr>
            <w:tcW w:type="dxa" w:w="1440"/>
            <w:shd w:fill="FAFAFA" w:val="clear"/>
          </w:tcPr>
          <w:p>
            <w:r>
              <w:rPr>
                <w:sz w:val="17"/>
              </w:rPr>
              <w:t>17,492</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2026-08-19</w:t>
            </w:r>
          </w:p>
        </w:tc>
        <w:tc>
          <w:tcPr>
            <w:tcW w:type="dxa" w:w="1440"/>
            <w:shd w:fill="FAFAFA" w:val="clear"/>
          </w:tcPr>
          <w:p>
            <w:r>
              <w:rPr>
                <w:sz w:val="17"/>
              </w:rPr>
              <w:t>14,505</w:t>
            </w:r>
          </w:p>
        </w:tc>
        <w:tc>
          <w:tcPr>
            <w:tcW w:type="dxa" w:w="1440"/>
            <w:shd w:fill="FAFAFA" w:val="clear"/>
          </w:tcPr>
          <w:p>
            <w:r>
              <w:rPr>
                <w:b/>
                <w:sz w:val="17"/>
              </w:rPr>
              <w:t>16,031</w:t>
            </w:r>
          </w:p>
        </w:tc>
        <w:tc>
          <w:tcPr>
            <w:tcW w:type="dxa" w:w="1440"/>
            <w:shd w:fill="FAFAFA" w:val="clear"/>
          </w:tcPr>
          <w:p>
            <w:r>
              <w:rPr>
                <w:sz w:val="17"/>
              </w:rPr>
              <w:t>17,557</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05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891,82 milliards FCFA, ce qui en fait l'une des plus importantes capitalisations de la BRVM, reflétant son statut de banque systémique de premier plan dans l'UEMOA. Avec un BPA de 1 153 FCFA, le titre se négocie à un PER de 14,0x, légèrement au-dessus de la moyenne historique du marché (8-12x), indiquant que les investisseurs acceptent de payer une prime pour la qualité des actifs et la croissance de la banque. Le P/B de 4,08x est nettement supérieur à 1, ce qui témoigne d'une forte prime sur la valeur comptable, signe d'une rentabilité supérieure (ROE &gt; 29%) justifiant cette valorisation. Enfin, l'EV/EBITDA de 13,8x, dans la fourchette haute (10-15x), confirme une valorisation exigeante mais cohérente avec la solidité opérationnelle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d'ECOC affiche une légère baisse de -1,67%, avec une variation positive de +0,62% lors de la dernière séance, signe d'un léger regain d'intérêt. Le titre a évolué dans un range de 15 520 FCFA (plus bas) à 17 270 FCFA (plus haut), montrant une amplitude de 11,3%, ce qui est modéré pour le secteur. La moyenne (16 342 FCFA) et la médiane (16 300 FCFA) étant très proches, la distribution des prix est quasi symétrique, confirmée par un skewness de 0,082. L'écart-type de 348 FCFA (CV=2,1%) indique une dispersion très faible, traduisant une stabilité remarquable du cours. Le kurtosis de 0,252 (mésokurtique) suggère une distribution normale sans risque de pics extrêmes. La volatilité annualisée de 27,1% classe le titre dans la catégorie "modérée", acceptable pour une valeur bancaire, mais en deçà des niveaux observés sur les valeurs de croissance.</w:t>
      </w:r>
    </w:p>
    <w:p>
      <w:pPr>
        <w:spacing w:after="120" w:line="276" w:lineRule="auto"/>
      </w:pPr>
      <w:r>
        <w:t>---</w:t>
      </w:r>
    </w:p>
    <w:p>
      <w:pPr>
        <w:spacing w:after="120" w:line="276" w:lineRule="auto"/>
      </w:pPr>
      <w:r>
        <w:t>### PARTIE 2 : ANALYSE TECHNIQUE DÉTAILLÉE</w:t>
      </w:r>
    </w:p>
    <w:p>
      <w:pPr>
        <w:spacing w:after="120" w:line="276" w:lineRule="auto"/>
      </w:pPr>
      <w:r>
        <w:t>**Moyennes Mobiles :** La MM20 (16 212 FCFA) est inférieure à la MM50 (16 442,5 FCFA), et le cours actuel (16 200 FCFA) se situe sous les deux moyennes, confirmant une tendance baissière de court et moyen terme. Le signal de "Vente" est cohérent avec cette configuration, bien que l'écart entre les deux moyennes reste modéré, suggérant une possible stabilisation.</w:t>
      </w:r>
    </w:p>
    <w:p>
      <w:pPr>
        <w:spacing w:after="120" w:line="276" w:lineRule="auto"/>
      </w:pPr>
      <w:r>
        <w:t>**Bandes de Bollinger :** Le cours (16 200 FCFA) se positionne près de la moyenne des bandes, entre la borne supérieure (16 938 FCFA) et la borne inférieure (15 486 FCFA). Cette position centrale indique une volatilité normale et une absence de pression directionnelle forte. La décision "Neutre" est justifiée, le titre n'étant ni suracheté ni survendu selon cet indicateur.</w:t>
      </w:r>
    </w:p>
    <w:p>
      <w:pPr>
        <w:spacing w:after="120" w:line="276" w:lineRule="auto"/>
      </w:pPr>
      <w:r>
        <w:t>**MACD :** La valeur du MACD (-87,4) est supérieure au signal (-111,14), avec un histogramme positif, indiquant un momentum haussier naissant. La décision "Achat" suggère que la dynamique baissière s'essouffle et qu'un retournement pourrait s'opérer à court terme, même si les valeurs restent en territoire négatif.</w:t>
      </w:r>
    </w:p>
    <w:p>
      <w:pPr>
        <w:spacing w:after="120" w:line="276" w:lineRule="auto"/>
      </w:pPr>
      <w:r>
        <w:t>**RSI :** À 62,82, le RSI se situe dans la zone neutre (30-70), sans signal de surachat ni de survente. Cette valeur indique une pression acheteuse modérée, mais pas encore suffisante pour déclencher un signal fort. La décision "Neutre" est appropriée, laissant place à une possible poursuite de la consolidation.</w:t>
      </w:r>
    </w:p>
    <w:p>
      <w:pPr>
        <w:spacing w:after="120" w:line="276" w:lineRule="auto"/>
      </w:pPr>
      <w:r>
        <w:t>**Stochastique :** Le %K (91,5) est largement supérieur au %D (80,9), tous deux en zone de surachat (&gt;80). Cette configuration signale un épuisement potentiel de la dynamique haussière récente, justifiant la décision "Vente". Un croisement baissier pourrait survenir prochainement, annonçant un repli technique.</w:t>
      </w:r>
    </w:p>
    <w:p>
      <w:pPr>
        <w:spacing w:after="120" w:line="276" w:lineRule="auto"/>
      </w:pPr>
      <w:r>
        <w:t>**Conclusion technique :** Les indicateurs sont mitigés : les moyennes mobiles et le stochastique suggèrent une prudence, tandis que le MACD et le RSI indiquent un potentiel de rebond. Le titre semble évoluer dans une phase de consolidation, avec un biais légèrement négatif à court terme mais un potentiel de stabilisation. La prudence est de mise, en attendant une confirmation directionnelle claire.</w:t>
      </w:r>
    </w:p>
    <w:p>
      <w:pPr>
        <w:spacing w:after="120" w:line="276" w:lineRule="auto"/>
      </w:pPr>
      <w:r>
        <w:t>---</w:t>
      </w:r>
    </w:p>
    <w:p>
      <w:pPr>
        <w:spacing w:after="120" w:line="276" w:lineRule="auto"/>
      </w:pPr>
      <w:r>
        <w:t>### PARTIE 3 : ANALYSE FONDAMENTALE (SECTION CRITIQUE)</w:t>
      </w:r>
    </w:p>
    <w:p>
      <w:pPr>
        <w:spacing w:after="120" w:line="276" w:lineRule="auto"/>
      </w:pPr>
      <w:r>
        <w:t>En 2025, Ecobank Côte d'Ivoire affiche des résultats financiers solides, avec un Produit Net Bancaire (PNB) de 132,7 milliards FCFA et un résultat net de 63,5 milliards FCFA, en hausse de 10,4% par rapport à 2024 (57,5 milliards FCFA). Le ROE s'établit à 29,0%, et le ROA à 3,1%, tous deux excellents pour le secteur bancaire régional. Le coefficient d'exploitation de 42,9% témoigne d'une excellente maîtrise des coûts, bien en deçà du seuil critique de 60%. Le coût du risque est faible (1,36%), reflétant une qualité de portefeuille maîtrisée, avec un taux de créances en souffrance stable à 3,8%. Les dépôts clientèle (1 626 milliards FCFA) dépassent largement les crédits (1 050 milliards FCFA), soit un ratio de transformation de 64,6%, indiquant une liquidité abondante. Sur la base des rapports trimestriels 2025 (T1 : PNB +5,9%, T3 : PNB +11,3%), la dynamique de croissance s'accélère. Le rapport T3 2025 (publié en 2025) confirme un résultat net de 44,4 milliards FCFA sur 9 mois, en hausse de 15,4%, et un ROE de 29,7%. Le rapport T1 2026 (publié en 2026) montre un PNB de 30,8 milliards FCFA (+3,7%), mais un résultat net en léger repli (-1,6%) à 13,0 milliards FCFA, avec un coût du risque en hausse. On estime que l'exercice 2026 pourrait voir un PNB annuel autour de 135-140 milliards FCFA, avec un résultat net stable ou en légère progression, malgré un contexte macroéconomique plus difficile. La banque propose un dividende de 888 FCFA par action pour 2025, en hausse de 10,4%, représentant un rendement de 5,5% au cours actuel. Les fondamentaux restent solides, portés par une gestion rigoureuse et une collecte de dépôts dynamique (+33% en 2025).</w:t>
      </w:r>
    </w:p>
    <w:p>
      <w:pPr>
        <w:spacing w:after="120" w:line="276" w:lineRule="auto"/>
      </w:pPr>
      <w:r>
        <w:t>---</w:t>
      </w:r>
    </w:p>
    <w:p>
      <w:pPr>
        <w:spacing w:after="120" w:line="276" w:lineRule="auto"/>
      </w:pPr>
      <w:r>
        <w:t>### PARTIE 4 : CONCLUSION D'INVESTISSEMENT</w:t>
      </w:r>
    </w:p>
    <w:p>
      <w:pPr>
        <w:spacing w:after="120" w:line="276" w:lineRule="auto"/>
      </w:pPr>
      <w:r>
        <w:t>La valorisation d'ECOC (PER 14x, P/B 4,08x) est exigeante mais justifiée par une rentabilité exceptionnelle (ROE &gt; 29%) et une croissance soutenue du PNB (+8,5% en 2025). Le comportement du cours sur 100 jours (-1,67%) montre une stabilité remarquable (CV 2,1%), avec une distribution symétrique et sans risque de pics, reflétant un titre défensif. Les signaux techniques sont mitigés : les moyennes mobiles et le stochastique suggèrent une prudence à court terme, tandis que le MACD et le RSI indiquent un potentiel de rebond. Les fondamentaux demeurent solides, avec une banque bien capitalisée, un coefficient d'exploitation excellent (42,9%) et une qualité d'actifs maîtrisée, malgré un coût du risque en légère hausse au T1 2026. Les prédictions IA (16 141 à 16 092 FCFA sur J+1 à J+10) suggèrent une légère érosion du cours, cohérente avec les signaux techniques baissiers à court terme. En synthèse, la convergence entre la solidité fondamentale, la stabilité du cours et la valorisation raisonnable (pour une banque de cette qualité) plaide pour une **recommandation CONSERVER**, avec un niveau de confiance **Moyen** et un risque global **Moyen**. L'horizon d'investissement optimal est le **moyen terme (3-12 mois)**, en attendant une clarification de la tendance technique et l'évolution du coût du risque. Un point d'entrée plus attractif pourrait se situer sous les 15 800 FCFA.</w:t>
      </w:r>
    </w:p>
    <w:p/>
    <w:p/>
    <w:p>
      <w:pPr>
        <w:pStyle w:val="Heading3"/>
      </w:pPr>
      <w:r>
        <w:rPr>
          <w:color w:val="00467F"/>
        </w:rPr>
        <w:t>📎 DOCUMENTS &amp; COMMUNICATIONS OFFICIELS BRVM</w:t>
      </w:r>
    </w:p>
    <w:p>
      <w:r>
        <w:rPr>
          <w:i/>
          <w:color w:val="646464"/>
          <w:sz w:val="18"/>
        </w:rPr>
        <w:t>8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[3]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[4]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Pr>
        <w:ind w:left="400"/>
      </w:pPr>
      <w:r>
        <w:rPr>
          <w:color w:val="B4B4B4"/>
          <w:sz w:val="14"/>
        </w:rPr>
        <w:t xml:space="preserve">· · · · · · · · · · · · · · · · · · · · · · · · · · · · · · </w:t>
      </w:r>
    </w:p>
    <w:p>
      <w:pPr>
        <w:spacing w:before="160"/>
      </w:pPr>
      <w:r>
        <w:rPr>
          <w:b/>
          <w:color w:val="0066CC"/>
          <w:sz w:val="20"/>
        </w:rPr>
        <w:t xml:space="preserve">[5] </w:t>
      </w:r>
      <w:r>
        <w:rPr>
          <w:b/>
          <w:sz w:val="20"/>
        </w:rPr>
        <w:t>20260511   calendrier de paiement des dividendes   exercice 2025</w:t>
      </w:r>
    </w:p>
    <w:p>
      <w:pPr>
        <w:spacing w:before="20"/>
        <w:ind w:left="400"/>
      </w:pPr>
      <w:r>
        <w:rPr>
          <w:color w:val="505050"/>
          <w:sz w:val="17"/>
        </w:rPr>
        <w:t xml:space="preserve">Date : 12/05/2026  |  Catégorie : dividende  |  Impact : </w:t>
      </w:r>
      <w:r>
        <w:rPr>
          <w:b/>
          <w:color w:val="008000"/>
          <w:sz w:val="17"/>
        </w:rPr>
        <w:t>🟢 POSITIF</w:t>
      </w:r>
    </w:p>
    <w:p>
      <w:pPr>
        <w:spacing w:before="40"/>
        <w:ind w:left="400"/>
      </w:pPr>
      <w:r>
        <w:rPr>
          <w:sz w:val="18"/>
        </w:rPr>
        <w:t>Calendrier officiel de paiement des dividendes pour l'exercice 2025 publié par la BRVM le 11 mai 2026. Le document détaille les dates de détachement et de paiement des dividendes pour 7 entreprises cotées. Les montants varient de 305,04 FCFA à 1740 FCFA par action.</w:t>
      </w:r>
    </w:p>
    <w:p>
      <w:pPr>
        <w:spacing w:before="60"/>
        <w:ind w:left="400"/>
      </w:pPr>
      <w:r>
        <w:rPr>
          <w:b/>
          <w:sz w:val="18"/>
        </w:rPr>
        <w:t>Points clés :</w:t>
      </w:r>
    </w:p>
    <w:p>
      <w:pPr>
        <w:pStyle w:val="ListBullet"/>
        <w:spacing w:before="20" w:after="20"/>
        <w:ind w:left="700"/>
      </w:pPr>
      <w:r>
        <w:rPr>
          <w:sz w:val="18"/>
        </w:rPr>
        <w:t>SONATEL SENEGAL verse le plus gros dividende avec 1740 FCFA par action</w:t>
      </w:r>
    </w:p>
    <w:p>
      <w:pPr>
        <w:pStyle w:val="ListBullet"/>
        <w:spacing w:before="20" w:after="20"/>
        <w:ind w:left="700"/>
      </w:pPr>
      <w:r>
        <w:rPr>
          <w:sz w:val="18"/>
        </w:rPr>
        <w:t>BOA CÔTE D'IVOIRE distribue 594,528 FCFA par action avec paiement le 6 mai 2026</w:t>
      </w:r>
    </w:p>
    <w:p>
      <w:pPr>
        <w:pStyle w:val="ListBullet"/>
        <w:spacing w:before="20" w:after="20"/>
        <w:ind w:left="700"/>
      </w:pPr>
      <w:r>
        <w:rPr>
          <w:sz w:val="18"/>
        </w:rPr>
        <w:t>ECOBANK CI verse un dividende brut de 888 FCFA soumis à l'IRVM</w:t>
      </w:r>
    </w:p>
    <w:p>
      <w:pPr>
        <w:pStyle w:val="ListBullet"/>
        <w:spacing w:before="20" w:after="20"/>
        <w:ind w:left="700"/>
      </w:pPr>
      <w:r>
        <w:rPr>
          <w:sz w:val="18"/>
        </w:rPr>
        <w:t>Les dates de paiement s'étalent du 23 avril au 3 juin 2026</w:t>
      </w:r>
    </w:p>
    <w:p>
      <w:pPr>
        <w:pStyle w:val="ListBullet"/>
        <w:spacing w:before="20" w:after="20"/>
        <w:ind w:left="700"/>
      </w:pPr>
      <w:r>
        <w:rPr>
          <w:sz w:val="18"/>
        </w:rPr>
        <w:t>Sept entreprises du groupe BOA et assimilées distribuent des dividendes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1157.38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1,329,256 titres</w:t>
            </w:r>
          </w:p>
        </w:tc>
        <w:tc>
          <w:tcPr>
            <w:tcW w:type="dxa" w:w="2268"/>
            <w:shd w:fill="FFF2CC" w:val="clear"/>
          </w:tcPr>
          <w:p>
            <w:r>
              <w:rPr>
                <w:b/>
                <w:color w:val="503200"/>
                <w:sz w:val="16"/>
              </w:rPr>
              <w:t xml:space="preserve">Cours actuel : </w:t>
            </w:r>
            <w:r>
              <w:rPr>
                <w:color w:val="000000"/>
                <w:sz w:val="17"/>
              </w:rPr>
              <w:t>64 FCFA</w:t>
            </w:r>
          </w:p>
          <w:p>
            <w:r>
              <w:rPr>
                <w:b/>
                <w:color w:val="503200"/>
                <w:sz w:val="16"/>
              </w:rPr>
              <w:t xml:space="preserve">Var. 100 jours : </w:t>
            </w:r>
            <w:r>
              <w:rPr>
                <w:b/>
                <w:color w:val="007800"/>
                <w:sz w:val="17"/>
              </w:rPr>
              <w:t>+100.00%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37.63% (Élevée) — μ=40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β=2.4987 (Très agressif) — Cov=0.000089, Var(idx)=0.000036, ρ=0.377,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1,329,256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σ_j=3.94%/j (Modérée) — Vol. annualisée≈62.6%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55</w:t>
            </w:r>
          </w:p>
        </w:tc>
        <w:tc>
          <w:tcPr>
            <w:tcW w:type="dxa" w:w="1440"/>
            <w:shd w:fill="FFDCE0" w:val="clear"/>
          </w:tcPr>
          <w:p>
            <w:r>
              <w:rPr>
                <w:b/>
                <w:sz w:val="17"/>
              </w:rPr>
              <w:t>59</w:t>
            </w:r>
          </w:p>
        </w:tc>
        <w:tc>
          <w:tcPr>
            <w:tcW w:type="dxa" w:w="1440"/>
            <w:shd w:fill="FFDCE0" w:val="clear"/>
          </w:tcPr>
          <w:p>
            <w:r>
              <w:rPr>
                <w:sz w:val="17"/>
              </w:rPr>
              <w:t>64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48</w:t>
            </w:r>
          </w:p>
        </w:tc>
        <w:tc>
          <w:tcPr>
            <w:tcW w:type="dxa" w:w="1440"/>
            <w:shd w:fill="FFDCE0" w:val="clear"/>
          </w:tcPr>
          <w:p>
            <w:r>
              <w:rPr>
                <w:b/>
                <w:sz w:val="17"/>
              </w:rPr>
              <w:t>55</w:t>
            </w:r>
          </w:p>
        </w:tc>
        <w:tc>
          <w:tcPr>
            <w:tcW w:type="dxa" w:w="1440"/>
            <w:shd w:fill="FFDCE0" w:val="clear"/>
          </w:tcPr>
          <w:p>
            <w:r>
              <w:rPr>
                <w:sz w:val="17"/>
              </w:rPr>
              <w:t>62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43</w:t>
            </w:r>
          </w:p>
        </w:tc>
        <w:tc>
          <w:tcPr>
            <w:tcW w:type="dxa" w:w="1440"/>
            <w:shd w:fill="FFDCE0" w:val="clear"/>
          </w:tcPr>
          <w:p>
            <w:r>
              <w:rPr>
                <w:b/>
                <w:sz w:val="17"/>
              </w:rPr>
              <w:t>51</w:t>
            </w:r>
          </w:p>
        </w:tc>
        <w:tc>
          <w:tcPr>
            <w:tcW w:type="dxa" w:w="1440"/>
            <w:shd w:fill="FFDCE0" w:val="clear"/>
          </w:tcPr>
          <w:p>
            <w:r>
              <w:rPr>
                <w:sz w:val="17"/>
              </w:rPr>
              <w:t>59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38</w:t>
            </w:r>
          </w:p>
        </w:tc>
        <w:tc>
          <w:tcPr>
            <w:tcW w:type="dxa" w:w="1440"/>
            <w:shd w:fill="FFDCE0" w:val="clear"/>
          </w:tcPr>
          <w:p>
            <w:r>
              <w:rPr>
                <w:b/>
                <w:sz w:val="17"/>
              </w:rPr>
              <w:t>47</w:t>
            </w:r>
          </w:p>
        </w:tc>
        <w:tc>
          <w:tcPr>
            <w:tcW w:type="dxa" w:w="1440"/>
            <w:shd w:fill="FFDCE0" w:val="clear"/>
          </w:tcPr>
          <w:p>
            <w:r>
              <w:rPr>
                <w:sz w:val="17"/>
              </w:rPr>
              <w:t>55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35</w:t>
            </w:r>
          </w:p>
        </w:tc>
        <w:tc>
          <w:tcPr>
            <w:tcW w:type="dxa" w:w="1440"/>
            <w:shd w:fill="FFDCE0" w:val="clear"/>
          </w:tcPr>
          <w:p>
            <w:r>
              <w:rPr>
                <w:b/>
                <w:sz w:val="17"/>
              </w:rPr>
              <w:t>43</w:t>
            </w:r>
          </w:p>
        </w:tc>
        <w:tc>
          <w:tcPr>
            <w:tcW w:type="dxa" w:w="1440"/>
            <w:shd w:fill="FFDCE0" w:val="clear"/>
          </w:tcPr>
          <w:p>
            <w:r>
              <w:rPr>
                <w:sz w:val="17"/>
              </w:rPr>
              <w:t>52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31</w:t>
            </w:r>
          </w:p>
        </w:tc>
        <w:tc>
          <w:tcPr>
            <w:tcW w:type="dxa" w:w="1440"/>
            <w:shd w:fill="FFDCE0" w:val="clear"/>
          </w:tcPr>
          <w:p>
            <w:r>
              <w:rPr>
                <w:b/>
                <w:sz w:val="17"/>
              </w:rPr>
              <w:t>40</w:t>
            </w:r>
          </w:p>
        </w:tc>
        <w:tc>
          <w:tcPr>
            <w:tcW w:type="dxa" w:w="1440"/>
            <w:shd w:fill="FFDCE0" w:val="clear"/>
          </w:tcPr>
          <w:p>
            <w:r>
              <w:rPr>
                <w:sz w:val="17"/>
              </w:rPr>
              <w:t>49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28</w:t>
            </w:r>
          </w:p>
        </w:tc>
        <w:tc>
          <w:tcPr>
            <w:tcW w:type="dxa" w:w="1440"/>
            <w:shd w:fill="FFDCE0" w:val="clear"/>
          </w:tcPr>
          <w:p>
            <w:r>
              <w:rPr>
                <w:b/>
                <w:sz w:val="17"/>
              </w:rPr>
              <w:t>37</w:t>
            </w:r>
          </w:p>
        </w:tc>
        <w:tc>
          <w:tcPr>
            <w:tcW w:type="dxa" w:w="1440"/>
            <w:shd w:fill="FFDCE0" w:val="clear"/>
          </w:tcPr>
          <w:p>
            <w:r>
              <w:rPr>
                <w:sz w:val="17"/>
              </w:rPr>
              <w:t>46</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26</w:t>
            </w:r>
          </w:p>
        </w:tc>
        <w:tc>
          <w:tcPr>
            <w:tcW w:type="dxa" w:w="1440"/>
            <w:shd w:fill="FFDCE0" w:val="clear"/>
          </w:tcPr>
          <w:p>
            <w:r>
              <w:rPr>
                <w:b/>
                <w:sz w:val="17"/>
              </w:rPr>
              <w:t>34</w:t>
            </w:r>
          </w:p>
        </w:tc>
        <w:tc>
          <w:tcPr>
            <w:tcW w:type="dxa" w:w="1440"/>
            <w:shd w:fill="FFDCE0" w:val="clear"/>
          </w:tcPr>
          <w:p>
            <w:r>
              <w:rPr>
                <w:sz w:val="17"/>
              </w:rPr>
              <w:t>43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23</w:t>
            </w:r>
          </w:p>
        </w:tc>
        <w:tc>
          <w:tcPr>
            <w:tcW w:type="dxa" w:w="1440"/>
            <w:shd w:fill="FFDCE0" w:val="clear"/>
          </w:tcPr>
          <w:p>
            <w:r>
              <w:rPr>
                <w:b/>
                <w:sz w:val="17"/>
              </w:rPr>
              <w:t>32</w:t>
            </w:r>
          </w:p>
        </w:tc>
        <w:tc>
          <w:tcPr>
            <w:tcW w:type="dxa" w:w="1440"/>
            <w:shd w:fill="FFDCE0" w:val="clear"/>
          </w:tcPr>
          <w:p>
            <w:r>
              <w:rPr>
                <w:sz w:val="17"/>
              </w:rPr>
              <w:t>40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21</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1 157,38 milliards FCFA, ce qui en fait l'une des plus importantes capitalisations de la BRVM, reflétant le statut de leader panafricain d'Ecobank. Avec un BPA de 19 FCFA, le titre se négocie à un PER de 3,3x, très inférieur à la moyenne du marché BRVM (8-12x), signalant une sous-évaluation potentielle significative. Le P/B de 0,72x indique que le marché valorise le titre sous sa valeur comptable, offrant une décote de près de 28% sur l'actif net, ce qui constitue une opportunité pour les investisseurs value. Enfin, l'EV/EBITDA de 4,9x, inférieur au seuil de 5x, confirme que la valeur totale de l'entreprise reste très attractive par rapport à sa capacité opérationnelle à générer des flux. Ces ratios combinés suggèrent que le marché n'intègre pas pleinement la solidité financière et les perspectives de croissance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performance spectaculaire de +100%, passant d'un plus bas de 26 FCFA à un plus haut de 78 FCFA, avant de se stabiliser à 64 FCFA, avec un repli de -7,25% lors de la dernière séance. La moyenne du cours sur la période (40 FCFA) est nettement supérieure à la médiane (32 FCFA), ce qui, combiné à un skewness positif de 1,361, indique une distribution asymétrique avec des journées majoritairement sous la moyenne mais des épisodes de forte hausse qui tirent la moyenne vers le haut. L'écart-type de 15 FCFA (CV=37,8%) révèle une dispersion importante du cours, tandis que le kurtosis de 0,210 (mésokurtique) suggère une distribution proche de la normale sans risque extrême de queues de distribution. La volatilité annualisée de 62,6% classe le titre parmi les actifs à très forte volatilité, typique des valeurs en phase de rattrapage ou de spéculation intense sur le marché régional.</w:t>
      </w:r>
    </w:p>
    <w:p>
      <w:pPr>
        <w:spacing w:after="120" w:line="276" w:lineRule="auto" w:before="240"/>
      </w:pPr>
      <w:r>
        <w:rPr>
          <w:b/>
          <w:color w:val="003366"/>
          <w:sz w:val="24"/>
        </w:rPr>
        <w:t>**PARTIE 2 : ANALYSE TECHNIQUE DÉTAILLÉE**</w:t>
      </w:r>
    </w:p>
    <w:p>
      <w:pPr>
        <w:spacing w:after="120" w:line="276" w:lineRule="auto"/>
      </w:pPr>
      <w:r>
        <w:t>**Moyennes Mobiles** : La MM20 à 68,05 FCFA se situe au-dessus du cours actuel (64 FCFA), tandis que la MM50 à 48,58 FCFA est nettement inférieure. Cette configuration montre que le titre, après une forte progression, corrige à court terme mais reste dans une tendance haussière de moyen terme. La décision d'achat se justifie par la persistance du cours au-dessus de la MM50, confirmant la solidité de la tendance de fond.</w:t>
      </w:r>
    </w:p>
    <w:p>
      <w:pPr>
        <w:spacing w:after="120" w:line="276" w:lineRule="auto"/>
      </w:pPr>
      <w:r>
        <w:t>**Bandes de Bollinger** : Le cours évolue entre la borne inférieure (57,24 FCFA) et la borne supérieure (78,86 FCFA), se positionnant à 64 FCFA, soit dans la partie médiane-basse du canal. Cette position neutre indique une phase de consolidation après la récente correction, avec une volatilité qui reste élevée mais sans signal directionnel fort. La décision neutre reflète l'absence de cassure des bornes.</w:t>
      </w:r>
    </w:p>
    <w:p>
      <w:pPr>
        <w:spacing w:after="120" w:line="276" w:lineRule="auto"/>
      </w:pPr>
      <w:r>
        <w:t>**MACD** : La valeur du MACD (5,213) est inférieure à son signal (6,966), indiquant un momentum baissier à court terme. Cette configuration de croisement baissier suggère que la pression vendeuse domine actuellement, justifiant la décision de vente. Cependant, le niveau positif du MACD indique que la tendance de fond reste haussière.</w:t>
      </w:r>
    </w:p>
    <w:p>
      <w:pPr>
        <w:spacing w:after="120" w:line="276" w:lineRule="auto"/>
      </w:pPr>
      <w:r>
        <w:t>**RSI** : À 37,037, le RSI se situe dans la zone neutre (30-70), proche de la zone de survente. Cette valeur indique que le titre n'est ni suracheté ni survendu, mais la proximité du seuil de 30 suggère un potentiel de rebond technique. La décision neutre reflète l'absence de signal extrême.</w:t>
      </w:r>
    </w:p>
    <w:p>
      <w:pPr>
        <w:spacing w:after="120" w:line="276" w:lineRule="auto"/>
      </w:pPr>
      <w:r>
        <w:t>**Stochastique** : Le %K (8,333) est très inférieur au %D (22,778), indiquant une condition de survente sévère. Cette configuration, avec le %K sous le seuil de 20, signale un potentiel de retournement haussier imminent. La décision d'achat se justifie par la probabilité élevée d'un rebond technique.</w:t>
      </w:r>
    </w:p>
    <w:p>
      <w:pPr>
        <w:spacing w:after="120" w:line="276" w:lineRule="auto"/>
      </w:pPr>
      <w:r>
        <w:t>**Conclusion technique** : Les indicateurs sont mitigés avec une divergence entre le MACD baissier et le Stochastique en survente. La tendance de fond reste haussière (MM50), mais la correction à court terme pourrait se poursuivre avant un rebond technique. Le scénario le plus probable est une stabilisation autour de 57-60 FCFA avant une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d'ETIT révèlent un Produit Net Bancaire de 1 424,26 milliards FCFA, en croissance de 12,45%, avec un résultat net de 345,52 milliards FCFA, démontrant une excellente performance opérationnelle. Le coefficient d'exploitation de 27,35% est exceptionnellement bas, bien en dessous du seuil de 60% considéré comme efficace, témoignant d'une gestion rigoureuse des coûts. Le ROE de 21,62% dépasse largement le seuil de 15% considéré comme excellent, tandis que le ROA de 1,80% confirme une utilisation efficiente des actifs. Le coût du risque de 18,97% reste élevé, signalant un portefeuille de crédit sous tension, mais la couverture des intérêts à 116,72% et la solvabilité générale à 109,06% rassurent sur la solidité du bilan. Les dépôts clientèle (14 120 milliards FCFA) représentent plus du double des créances clientèle (6 570 milliards FCFA), indiquant une transformation saine. Les rapports trimestriels 2025 confirment cette dynamique : le S1 2025 affiche un PNB de 671,3 milliards FCFA (+12%) et un résultat net de 167,6 milliards FCFA (+23%), tandis que le T3 2025 montre une accélération avec un PNB de 1 029,2 milliards FCFA (+15%) et un résultat net de 267 milliards FCFA (+30%). Le rapport T1 2026, publié récemment, indique un PNB de 636,2 millions $EU (+23%) et un résultat net de 142,5 millions $EU (+16%), avec un coefficient d'exploitation amélioré à 49,0%. Sur la base de ces tendances, on estime que l'exercice 2026 devrait dépasser les performances de 2025, avec un PNB annuel potentiellement supérieur à 1 600 milliards FCFA et un résultat net dépassant 400 milliards FCFA, confirmant la trajectoire de croissance soutenue de la banque.</w:t>
      </w:r>
    </w:p>
    <w:p>
      <w:pPr>
        <w:spacing w:after="120" w:line="276" w:lineRule="auto" w:before="240"/>
      </w:pPr>
      <w:r>
        <w:rPr>
          <w:b/>
          <w:color w:val="003366"/>
          <w:sz w:val="24"/>
        </w:rPr>
        <w:t>**PARTIE 4 : CONCLUSION D'INVESTISSEMENT**</w:t>
      </w:r>
    </w:p>
    <w:p>
      <w:pPr>
        <w:spacing w:after="120" w:line="276" w:lineRule="auto"/>
      </w:pPr>
      <w:r>
        <w:t>La valorisation d'ETIT est extrêmement attractive avec un PER de 3,3x, un P/B de 0,72x et un EV/EBITDA de 4,9x, indiquant une sous-évaluation manifeste par rapport aux fondamentaux. Le comportement du cours sur 100 jours montre une tendance haussière spectaculaire (+100%) mais avec une volatilité très élevée (62,6%) et une récente correction de -7,25%, signalant une phase de consolidation nécessaire. Les signaux techniques sont mitigés : la tendance de fond reste haussière (MM50), mais le MACD baissier et le RSI neutre suggèrent une poursuite de la correction à court terme, tandis que le Stochastique en survente indique un rebond imminent. Les fondamentaux sont excellents avec un ROE de 21,62%, un coefficient d'exploitation de 27,35% et une croissance soutenue du PNB (+12,45% en 2025), confirmée par les rapports trimestriels 2025 et T1 2026. Les prédictions IA (59 à 43 FCFA sur 10 jours) suggèrent une poursuite de la correction, contredisant les signaux de survente technique. La convergence entre la sous-évaluation fondamentale et la solidité financière plaide pour une opportunité d'achat, mais la divergence avec les prédictions IA et la correction technique en cours recommandent une approche prudente. **Recommandation finale : ACHAT** avec un niveau de confiance **Moyen** et un risque global **Élevé** en raison de la forte volatilité. Horizon d'investissement optimal : **Moyen terme (3-12 mois)** pour bénéficier du rattrapage de valorisation et de la croissance des résultats, en utilisant la faiblesse actuelle du cours comme point d'entrée progressif.</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forte am\u00e9lioration de la rentabilit\u00e9 et reprise des dividendes. La qualit\u00e9 des actifs s'am\u00e9liore significativement avec des NPL au plus bas historique."}</w:t>
      </w:r>
    </w:p>
    <w:p>
      <w:pPr>
        <w:spacing w:before="40"/>
        <w:ind w:left="400"/>
      </w:pPr>
      <w:r>
        <w:rPr>
          <w:sz w:val="18"/>
        </w:rPr>
        <w:t>Ecobank Transnational Incorporated affiche des résultats exceptionnels en 2021 avec un résultat avant impôt en hausse de 174% à 478 millions $EU. Le produit net bancaire progresse de 5% à 1,8 milliard $EU tandis que le total du bilan atteint 27,6 milliards $EU (+6%). La banque présente une qualité de crédit remarquable avec des prêts non performants historiquement bas à 6,2%. Pour la première fois depuis 2016, le conseil d'administration recommande le versement de dividendes aux actionnaires. Cette performance s'inscrit dans un contexte de transformation stratégique réussie malgré les défis macroéconomiques.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'19%', 'NPL_ratio': '6,2%', 'ratio_efficacite': '58,9%', 'couverture_provisions': '&gt;100%'}</w:t>
            </w:r>
          </w:p>
        </w:tc>
        <w:tc>
          <w:tcPr>
            <w:tcW w:type="dxa" w:w="2160"/>
          </w:tcPr>
          <w:p>
            <w:pPr>
              <w:ind w:left="100"/>
            </w:pPr>
            <w:r/>
            <w:r>
              <w:rPr>
                <w:b/>
                <w:sz w:val="16"/>
              </w:rPr>
              <w:t>dividende</w:t>
              <w:br/>
            </w:r>
            <w:r>
              <w:rPr>
                <w:sz w:val="18"/>
              </w:rPr>
              <w:t>0,16 cents $EU</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27 561,8 millions $EU</w:t>
            </w:r>
          </w:p>
        </w:tc>
      </w:tr>
      <w:tr>
        <w:tc>
          <w:tcPr>
            <w:tcW w:type="dxa" w:w="2160"/>
          </w:tcPr>
          <w:p>
            <w:r/>
            <w:r>
              <w:rPr>
                <w:b/>
                <w:sz w:val="16"/>
              </w:rPr>
              <w:t>resultat_net</w:t>
              <w:br/>
            </w:r>
            <w:r>
              <w:rPr>
                <w:sz w:val="18"/>
              </w:rPr>
              <w:t>357,4 millions $EU</w:t>
            </w:r>
          </w:p>
        </w:tc>
        <w:tc>
          <w:tcPr>
            <w:tcW w:type="dxa" w:w="2160"/>
          </w:tcPr>
          <w:p>
            <w:r/>
            <w:r>
              <w:rPr>
                <w:b/>
                <w:sz w:val="16"/>
              </w:rPr>
              <w:t>capitaux_propres</w:t>
              <w:br/>
            </w:r>
            <w:r>
              <w:rPr>
                <w:sz w:val="18"/>
              </w:rPr>
              <w:t>2 164,3 millions $EU</w:t>
            </w:r>
          </w:p>
        </w:tc>
        <w:tc>
          <w:tcPr>
            <w:tcW w:type="dxa" w:w="2160"/>
          </w:tcPr>
          <w:p>
            <w:r/>
            <w:r>
              <w:rPr>
                <w:b/>
                <w:sz w:val="16"/>
              </w:rPr>
              <w:t>chiffre_affaires</w:t>
              <w:br/>
            </w:r>
            <w:r>
              <w:rPr>
                <w:sz w:val="18"/>
              </w:rPr>
              <w:t>1 756,7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avant impôt exceptionnel : +174% à 478 millions $EU</w:t>
      </w:r>
    </w:p>
    <w:p>
      <w:pPr>
        <w:pStyle w:val="ListBullet"/>
        <w:spacing w:before="20" w:after="20"/>
        <w:ind w:left="700"/>
      </w:pPr>
      <w:r>
        <w:rPr>
          <w:sz w:val="18"/>
        </w:rPr>
        <w:t>Produit net bancaire en croissance : +5% à 1,8 milliard $EU</w:t>
      </w:r>
    </w:p>
    <w:p>
      <w:pPr>
        <w:pStyle w:val="ListBullet"/>
        <w:spacing w:before="20" w:after="20"/>
        <w:ind w:left="700"/>
      </w:pPr>
      <w:r>
        <w:rPr>
          <w:sz w:val="18"/>
        </w:rPr>
        <w:t>Qualité de crédit excellente : NPL à 6,2%, niveau historiquement bas</w:t>
      </w:r>
    </w:p>
    <w:p>
      <w:pPr>
        <w:pStyle w:val="ListBullet"/>
        <w:spacing w:before="20" w:after="20"/>
        <w:ind w:left="700"/>
      </w:pPr>
      <w:r>
        <w:rPr>
          <w:sz w:val="18"/>
        </w:rPr>
        <w:t>Coefficient d'exploitation à 58,9%, plus bas niveau depuis 10 ans</w:t>
      </w:r>
    </w:p>
    <w:p>
      <w:pPr>
        <w:pStyle w:val="ListBullet"/>
        <w:spacing w:before="20" w:after="20"/>
        <w:ind w:left="700"/>
      </w:pPr>
      <w:r>
        <w:rPr>
          <w:sz w:val="18"/>
        </w:rPr>
        <w:t>ROTE record de 19%</w:t>
      </w:r>
    </w:p>
    <w:p>
      <w:pPr>
        <w:pStyle w:val="ListBullet"/>
        <w:spacing w:before="20" w:after="20"/>
        <w:ind w:left="700"/>
      </w:pPr>
      <w:r>
        <w:rPr>
          <w:sz w:val="18"/>
        </w:rPr>
        <w:t>Reprise du versement de dividendes après 5 ans d'interruption</w:t>
      </w:r>
    </w:p>
    <w:p>
      <w:pPr>
        <w:spacing w:before="40"/>
        <w:ind w:left="400"/>
      </w:pPr>
      <w:r>
        <w:rPr>
          <w:b/>
          <w:color w:val="C05000"/>
          <w:sz w:val="18"/>
        </w:rPr>
        <w:t xml:space="preserve">⚠️ Risques : </w:t>
      </w:r>
      <w:r>
        <w:rPr>
          <w:sz w:val="18"/>
        </w:rPr>
        <w:t>["Exposition aux risques g\u00e9opolitiques et inflation mondiale affectant les \u00e9conomies africaines", "Impact potentiel de la hausse des taux d'int\u00e9r\u00eat par les banques centrales mondiales", "Volatilit\u00e9 des devises locales face au dollar am\u00e9ricain dans un contexte d'incertit</w:t>
      </w:r>
    </w:p>
    <w:p>
      <w:pPr>
        <w:spacing w:before="40"/>
        <w:ind w:left="400"/>
      </w:pPr>
      <w:r>
        <w:rPr>
          <w:b/>
          <w:color w:val="0064A0"/>
          <w:sz w:val="18"/>
        </w:rPr>
        <w:t xml:space="preserve">🔮 Perspectives : </w:t>
      </w:r>
      <w:r>
        <w:rPr>
          <w:sz w:val="18"/>
        </w:rPr>
        <w:t>Les investissements stratégiques d'Ecobank et sa position de leader panafricain laissent présager une année 2022 prometteuse malgré les incertitudes géopolitiques. La banque bénéficiera de la reprise économique post-Covid tout en maintenant sa prudence face aux défis macroéconomiques mondiaux. La di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avec am\u00e9lioration des indicateurs de rentabilit\u00e9 et discipline des co\u00fbts. Cependant, l'environnement op\u00e9rationnel reste difficile avec l'inflation \u00e9lev\u00e9e et le renforcement du dollar am\u00e9ricain."}</w:t>
      </w:r>
    </w:p>
    <w:p>
      <w:pPr>
        <w:spacing w:before="40"/>
        <w:ind w:left="400"/>
      </w:pPr>
      <w:r>
        <w:rPr>
          <w:sz w:val="18"/>
        </w:rPr>
        <w:t>Ecobank a enregistré une solide performance au premier trimestre 2022 avec un résultat avant impôt en hausse de 25% à 125 millions USD et un résultat net en progression de 21% à 92 millions USD. Le produit net bancaire a progressé de 7% à 436 millions USD, soutenu par la croissance des revenus de trading, du cash management et des paiements. Le coefficient d'exploitation s'est amélioré à 58,0% contre 59,3% l'année précédente, témoignant d'une discipline dans la gestion des coûts. Le rendement des capitaux propres tangibles a atteint 18,9% contre 15,7% en glissement annuel. La banque maintient une position financière solide avec des niveaux de liquidités et de capital satisfaisants.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'18,9%', 'provisions_risque': '50,4 millions USD', 'resultat_par_action': '0,269 USD', 'coefficient_exploitation': '58,0%'}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21,1%</w:t>
            </w:r>
          </w:p>
        </w:tc>
        <w:tc>
          <w:tcPr>
            <w:tcW w:type="dxa" w:w="2160"/>
          </w:tcPr>
          <w:p>
            <w:pPr>
              <w:ind w:left="100"/>
            </w:pPr>
            <w:r/>
            <w:r>
              <w:rPr>
                <w:b/>
                <w:sz w:val="16"/>
              </w:rPr>
              <w:t>total_actif</w:t>
              <w:br/>
            </w:r>
            <w:r>
              <w:rPr>
                <w:sz w:val="18"/>
              </w:rPr>
              <w:t>27,1 milliards USD</w:t>
            </w:r>
          </w:p>
        </w:tc>
      </w:tr>
      <w:tr>
        <w:tc>
          <w:tcPr>
            <w:tcW w:type="dxa" w:w="2160"/>
          </w:tcPr>
          <w:p>
            <w:r/>
            <w:r>
              <w:rPr>
                <w:b/>
                <w:sz w:val="16"/>
              </w:rPr>
              <w:t>resultat_net</w:t>
              <w:br/>
            </w:r>
            <w:r>
              <w:rPr>
                <w:sz w:val="18"/>
              </w:rPr>
              <w:t>92,1 millions USD</w:t>
            </w:r>
          </w:p>
        </w:tc>
        <w:tc>
          <w:tcPr>
            <w:tcW w:type="dxa" w:w="2160"/>
          </w:tcPr>
          <w:p>
            <w:r/>
            <w:r>
              <w:rPr>
                <w:b/>
                <w:sz w:val="16"/>
              </w:rPr>
              <w:t>capitaux_propres</w:t>
              <w:br/>
            </w:r>
            <w:r>
              <w:rPr>
                <w:sz w:val="18"/>
              </w:rPr>
              <w:t>2,1 milliards USD</w:t>
            </w:r>
          </w:p>
        </w:tc>
        <w:tc>
          <w:tcPr>
            <w:tcW w:type="dxa" w:w="2160"/>
          </w:tcPr>
          <w:p>
            <w:r/>
            <w:r>
              <w:rPr>
                <w:b/>
                <w:sz w:val="16"/>
              </w:rPr>
              <w:t>chiffre_affaires</w:t>
              <w:br/>
            </w:r>
            <w:r>
              <w:rPr>
                <w:sz w:val="18"/>
              </w:rPr>
              <w:t>436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avant impôt de 25% à 125 millions USD</w:t>
      </w:r>
    </w:p>
    <w:p>
      <w:pPr>
        <w:pStyle w:val="ListBullet"/>
        <w:spacing w:before="20" w:after="20"/>
        <w:ind w:left="700"/>
      </w:pPr>
      <w:r>
        <w:rPr>
          <w:sz w:val="18"/>
        </w:rPr>
        <w:t>Progression du résultat net de 21% à 92,1 millions USD</w:t>
      </w:r>
    </w:p>
    <w:p>
      <w:pPr>
        <w:pStyle w:val="ListBullet"/>
        <w:spacing w:before="20" w:after="20"/>
        <w:ind w:left="700"/>
      </w:pPr>
      <w:r>
        <w:rPr>
          <w:sz w:val="18"/>
        </w:rPr>
        <w:t>Amélioration du coefficient d'exploitation à 58,0% vs 59,3% en 2021</w:t>
      </w:r>
    </w:p>
    <w:p>
      <w:pPr>
        <w:pStyle w:val="ListBullet"/>
        <w:spacing w:before="20" w:after="20"/>
        <w:ind w:left="700"/>
      </w:pPr>
      <w:r>
        <w:rPr>
          <w:sz w:val="18"/>
        </w:rPr>
        <w:t>Rendement des capitaux propres tangibles de 18,9% vs 15,7% l'année précédente</w:t>
      </w:r>
    </w:p>
    <w:p>
      <w:pPr>
        <w:pStyle w:val="ListBullet"/>
        <w:spacing w:before="20" w:after="20"/>
        <w:ind w:left="700"/>
      </w:pPr>
      <w:r>
        <w:rPr>
          <w:sz w:val="18"/>
        </w:rPr>
        <w:t>Croissance des bénéfices de 13%, 26% et 59% respectivement dans les pôles Grandes Entreprises, Particuliers et Banque Commerciale</w:t>
      </w:r>
    </w:p>
    <w:p>
      <w:pPr>
        <w:pStyle w:val="ListBullet"/>
        <w:spacing w:before="20" w:after="20"/>
        <w:ind w:left="700"/>
      </w:pPr>
      <w:r>
        <w:rPr>
          <w:sz w:val="18"/>
        </w:rPr>
        <w:t>Réduction du coût du risque de 11% grâce à l'amélioration de la qualité du portefeuille crédit</w:t>
      </w:r>
    </w:p>
    <w:p>
      <w:pPr>
        <w:spacing w:before="40"/>
        <w:ind w:left="400"/>
      </w:pPr>
      <w:r>
        <w:rPr>
          <w:b/>
          <w:color w:val="C05000"/>
          <w:sz w:val="18"/>
        </w:rPr>
        <w:t xml:space="preserve">⚠️ Risques : </w:t>
      </w:r>
      <w:r>
        <w:rPr>
          <w:sz w:val="18"/>
        </w:rPr>
        <w:t>["Impact n\u00e9gatif du renforcement du dollar am\u00e9ricain sur les devises d'exploitation locales", "Environnement d'inflation \u00e9lev\u00e9e et de taux d'int\u00e9r\u00eat croissants en Afrique", "Tensions g\u00e9opolitiques li\u00e9es au conflit russo-ukrainien affectant les march\u00e9s"]</w:t>
      </w:r>
    </w:p>
    <w:p>
      <w:pPr>
        <w:spacing w:before="40"/>
        <w:ind w:left="400"/>
      </w:pPr>
      <w:r>
        <w:rPr>
          <w:b/>
          <w:color w:val="0064A0"/>
          <w:sz w:val="18"/>
        </w:rPr>
        <w:t xml:space="preserve">🔮 Perspectives : </w:t>
      </w:r>
      <w:r>
        <w:rPr>
          <w:sz w:val="18"/>
        </w:rPr>
        <w:t>Ecobank vise un rendement des capitaux propres d'environ 20% à moyen terme et continue de réduire le ratio de créances douteuses vers un objectif de moins de 6%. La banque poursuivra ses investissements dans les offres numériques et les capacités de paiement tout en améliorant sa technologie de base</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3,671 titres</w:t>
            </w:r>
          </w:p>
        </w:tc>
        <w:tc>
          <w:tcPr>
            <w:tcW w:type="dxa" w:w="2268"/>
            <w:shd w:fill="FFF2CC" w:val="clear"/>
          </w:tcPr>
          <w:p>
            <w:r>
              <w:rPr>
                <w:b/>
                <w:color w:val="503200"/>
                <w:sz w:val="16"/>
              </w:rPr>
              <w:t xml:space="preserve">Cours actuel : </w:t>
            </w:r>
            <w:r>
              <w:rPr>
                <w:color w:val="000000"/>
                <w:sz w:val="17"/>
              </w:rPr>
              <w:t>1,970 FCFA</w:t>
            </w:r>
          </w:p>
          <w:p>
            <w:r>
              <w:rPr>
                <w:b/>
                <w:color w:val="503200"/>
                <w:sz w:val="16"/>
              </w:rPr>
              <w:t xml:space="preserve">Var. 100 jours : </w:t>
            </w:r>
            <w:r>
              <w:rPr>
                <w:b/>
                <w:color w:val="B40000"/>
                <w:sz w:val="17"/>
              </w:rPr>
              <w:t>-20.56%</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7.09% (Moyenne) — μ=2,188 FCFA, σ=155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β=0.8328 (Neutre (suit le marché)) — Cov=0.000030, Var(idx)=0.000036, ρ=0.225,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1,915</w:t>
            </w:r>
          </w:p>
        </w:tc>
        <w:tc>
          <w:tcPr>
            <w:tcW w:type="dxa" w:w="1440"/>
            <w:shd w:fill="FAFAFA" w:val="clear"/>
          </w:tcPr>
          <w:p>
            <w:r>
              <w:rPr>
                <w:b/>
                <w:sz w:val="17"/>
              </w:rPr>
              <w:t>1,974</w:t>
            </w:r>
          </w:p>
        </w:tc>
        <w:tc>
          <w:tcPr>
            <w:tcW w:type="dxa" w:w="1440"/>
            <w:shd w:fill="FAFAFA" w:val="clear"/>
          </w:tcPr>
          <w:p>
            <w:r>
              <w:rPr>
                <w:sz w:val="17"/>
              </w:rPr>
              <w:t>2,032</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1,901</w:t>
            </w:r>
          </w:p>
        </w:tc>
        <w:tc>
          <w:tcPr>
            <w:tcW w:type="dxa" w:w="1440"/>
            <w:shd w:fill="FAFAFA" w:val="clear"/>
          </w:tcPr>
          <w:p>
            <w:r>
              <w:rPr>
                <w:b/>
                <w:sz w:val="17"/>
              </w:rPr>
              <w:t>1,984</w:t>
            </w:r>
          </w:p>
        </w:tc>
        <w:tc>
          <w:tcPr>
            <w:tcW w:type="dxa" w:w="1440"/>
            <w:shd w:fill="FAFAFA" w:val="clear"/>
          </w:tcPr>
          <w:p>
            <w:r>
              <w:rPr>
                <w:sz w:val="17"/>
              </w:rPr>
              <w:t>2,066</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1,890</w:t>
            </w:r>
          </w:p>
        </w:tc>
        <w:tc>
          <w:tcPr>
            <w:tcW w:type="dxa" w:w="1440"/>
            <w:shd w:fill="FAFAFA" w:val="clear"/>
          </w:tcPr>
          <w:p>
            <w:r>
              <w:rPr>
                <w:b/>
                <w:sz w:val="17"/>
              </w:rPr>
              <w:t>1,992</w:t>
            </w:r>
          </w:p>
        </w:tc>
        <w:tc>
          <w:tcPr>
            <w:tcW w:type="dxa" w:w="1440"/>
            <w:shd w:fill="FAFAFA" w:val="clear"/>
          </w:tcPr>
          <w:p>
            <w:r>
              <w:rPr>
                <w:sz w:val="17"/>
              </w:rPr>
              <w:t>2,094</w:t>
            </w:r>
          </w:p>
        </w:tc>
        <w:tc>
          <w:tcPr>
            <w:tcW w:type="dxa" w:w="1440"/>
            <w:shd w:fill="FAFAFA" w:val="clear"/>
          </w:tcPr>
          <w:p>
            <w:r>
              <w:rPr>
                <w:b/>
                <w:color w:val="008000"/>
                <w:sz w:val="17"/>
              </w:rPr>
              <w:t>+1.1%</w:t>
            </w:r>
          </w:p>
        </w:tc>
      </w:tr>
      <w:tr>
        <w:tc>
          <w:tcPr>
            <w:tcW w:type="dxa" w:w="1440"/>
            <w:shd w:fill="FAFAFA" w:val="clear"/>
          </w:tcPr>
          <w:p>
            <w:r>
              <w:rPr>
                <w:sz w:val="17"/>
              </w:rPr>
              <w:t>J+4  Moyenne</w:t>
            </w:r>
          </w:p>
        </w:tc>
        <w:tc>
          <w:tcPr>
            <w:tcW w:type="dxa" w:w="1440"/>
            <w:shd w:fill="FAFAFA" w:val="clear"/>
          </w:tcPr>
          <w:p>
            <w:r>
              <w:rPr>
                <w:sz w:val="17"/>
              </w:rPr>
              <w:t>2026-08-11</w:t>
            </w:r>
          </w:p>
        </w:tc>
        <w:tc>
          <w:tcPr>
            <w:tcW w:type="dxa" w:w="1440"/>
            <w:shd w:fill="FAFAFA" w:val="clear"/>
          </w:tcPr>
          <w:p>
            <w:r>
              <w:rPr>
                <w:sz w:val="17"/>
              </w:rPr>
              <w:t>1,882</w:t>
            </w:r>
          </w:p>
        </w:tc>
        <w:tc>
          <w:tcPr>
            <w:tcW w:type="dxa" w:w="1440"/>
            <w:shd w:fill="FAFAFA" w:val="clear"/>
          </w:tcPr>
          <w:p>
            <w:r>
              <w:rPr>
                <w:b/>
                <w:sz w:val="17"/>
              </w:rPr>
              <w:t>2,000</w:t>
            </w:r>
          </w:p>
        </w:tc>
        <w:tc>
          <w:tcPr>
            <w:tcW w:type="dxa" w:w="1440"/>
            <w:shd w:fill="FAFAFA" w:val="clear"/>
          </w:tcPr>
          <w:p>
            <w:r>
              <w:rPr>
                <w:sz w:val="17"/>
              </w:rPr>
              <w:t>2,118</w:t>
            </w:r>
          </w:p>
        </w:tc>
        <w:tc>
          <w:tcPr>
            <w:tcW w:type="dxa" w:w="1440"/>
            <w:shd w:fill="FAFAFA" w:val="clear"/>
          </w:tcPr>
          <w:p>
            <w:r>
              <w:rPr>
                <w:b/>
                <w:color w:val="008000"/>
                <w:sz w:val="17"/>
              </w:rPr>
              <w:t>+1.5%</w:t>
            </w:r>
          </w:p>
        </w:tc>
      </w:tr>
      <w:tr>
        <w:tc>
          <w:tcPr>
            <w:tcW w:type="dxa" w:w="1440"/>
            <w:shd w:fill="FAFAFA" w:val="clear"/>
          </w:tcPr>
          <w:p>
            <w:r>
              <w:rPr>
                <w:sz w:val="17"/>
              </w:rPr>
              <w:t>J+5  Moyenne</w:t>
            </w:r>
          </w:p>
        </w:tc>
        <w:tc>
          <w:tcPr>
            <w:tcW w:type="dxa" w:w="1440"/>
            <w:shd w:fill="FAFAFA" w:val="clear"/>
          </w:tcPr>
          <w:p>
            <w:r>
              <w:rPr>
                <w:sz w:val="17"/>
              </w:rPr>
              <w:t>2026-08-12</w:t>
            </w:r>
          </w:p>
        </w:tc>
        <w:tc>
          <w:tcPr>
            <w:tcW w:type="dxa" w:w="1440"/>
            <w:shd w:fill="FAFAFA" w:val="clear"/>
          </w:tcPr>
          <w:p>
            <w:r>
              <w:rPr>
                <w:sz w:val="17"/>
              </w:rPr>
              <w:t>1,876</w:t>
            </w:r>
          </w:p>
        </w:tc>
        <w:tc>
          <w:tcPr>
            <w:tcW w:type="dxa" w:w="1440"/>
            <w:shd w:fill="FAFAFA" w:val="clear"/>
          </w:tcPr>
          <w:p>
            <w:r>
              <w:rPr>
                <w:b/>
                <w:sz w:val="17"/>
              </w:rPr>
              <w:t>2,008</w:t>
            </w:r>
          </w:p>
        </w:tc>
        <w:tc>
          <w:tcPr>
            <w:tcW w:type="dxa" w:w="1440"/>
            <w:shd w:fill="FAFAFA" w:val="clear"/>
          </w:tcPr>
          <w:p>
            <w:r>
              <w:rPr>
                <w:sz w:val="17"/>
              </w:rPr>
              <w:t>2,141</w:t>
            </w:r>
          </w:p>
        </w:tc>
        <w:tc>
          <w:tcPr>
            <w:tcW w:type="dxa" w:w="1440"/>
            <w:shd w:fill="FAFAFA"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2026-08-13</w:t>
            </w:r>
          </w:p>
        </w:tc>
        <w:tc>
          <w:tcPr>
            <w:tcW w:type="dxa" w:w="1440"/>
            <w:shd w:fill="C6EFCE" w:val="clear"/>
          </w:tcPr>
          <w:p>
            <w:r>
              <w:rPr>
                <w:sz w:val="17"/>
              </w:rPr>
              <w:t>1,871</w:t>
            </w:r>
          </w:p>
        </w:tc>
        <w:tc>
          <w:tcPr>
            <w:tcW w:type="dxa" w:w="1440"/>
            <w:shd w:fill="C6EFCE" w:val="clear"/>
          </w:tcPr>
          <w:p>
            <w:r>
              <w:rPr>
                <w:b/>
                <w:sz w:val="17"/>
              </w:rPr>
              <w:t>2,017</w:t>
            </w:r>
          </w:p>
        </w:tc>
        <w:tc>
          <w:tcPr>
            <w:tcW w:type="dxa" w:w="1440"/>
            <w:shd w:fill="C6EFCE" w:val="clear"/>
          </w:tcPr>
          <w:p>
            <w:r>
              <w:rPr>
                <w:sz w:val="17"/>
              </w:rPr>
              <w:t>2,163</w:t>
            </w:r>
          </w:p>
        </w:tc>
        <w:tc>
          <w:tcPr>
            <w:tcW w:type="dxa" w:w="1440"/>
            <w:shd w:fill="C6EFCE" w:val="clear"/>
          </w:tcPr>
          <w:p>
            <w:r>
              <w:rPr>
                <w:b/>
                <w:color w:val="008000"/>
                <w:sz w:val="17"/>
              </w:rPr>
              <w:t>+2.4%</w:t>
            </w:r>
          </w:p>
        </w:tc>
      </w:tr>
      <w:tr>
        <w:tc>
          <w:tcPr>
            <w:tcW w:type="dxa" w:w="1440"/>
            <w:shd w:fill="C6EFCE" w:val="clear"/>
          </w:tcPr>
          <w:p>
            <w:r>
              <w:rPr>
                <w:sz w:val="17"/>
              </w:rPr>
              <w:t>J+7  Moyenne</w:t>
            </w:r>
          </w:p>
        </w:tc>
        <w:tc>
          <w:tcPr>
            <w:tcW w:type="dxa" w:w="1440"/>
            <w:shd w:fill="C6EFCE" w:val="clear"/>
          </w:tcPr>
          <w:p>
            <w:r>
              <w:rPr>
                <w:sz w:val="17"/>
              </w:rPr>
              <w:t>2026-08-14</w:t>
            </w:r>
          </w:p>
        </w:tc>
        <w:tc>
          <w:tcPr>
            <w:tcW w:type="dxa" w:w="1440"/>
            <w:shd w:fill="C6EFCE" w:val="clear"/>
          </w:tcPr>
          <w:p>
            <w:r>
              <w:rPr>
                <w:sz w:val="17"/>
              </w:rPr>
              <w:t>1,867</w:t>
            </w:r>
          </w:p>
        </w:tc>
        <w:tc>
          <w:tcPr>
            <w:tcW w:type="dxa" w:w="1440"/>
            <w:shd w:fill="C6EFCE" w:val="clear"/>
          </w:tcPr>
          <w:p>
            <w:r>
              <w:rPr>
                <w:b/>
                <w:sz w:val="17"/>
              </w:rPr>
              <w:t>2,025</w:t>
            </w:r>
          </w:p>
        </w:tc>
        <w:tc>
          <w:tcPr>
            <w:tcW w:type="dxa" w:w="1440"/>
            <w:shd w:fill="C6EFCE" w:val="clear"/>
          </w:tcPr>
          <w:p>
            <w:r>
              <w:rPr>
                <w:sz w:val="17"/>
              </w:rPr>
              <w:t>2,184</w:t>
            </w:r>
          </w:p>
        </w:tc>
        <w:tc>
          <w:tcPr>
            <w:tcW w:type="dxa" w:w="1440"/>
            <w:shd w:fill="C6EFCE" w:val="clear"/>
          </w:tcPr>
          <w:p>
            <w:r>
              <w:rPr>
                <w:b/>
                <w:color w:val="008000"/>
                <w:sz w:val="17"/>
              </w:rPr>
              <w:t>+2.8%</w:t>
            </w:r>
          </w:p>
        </w:tc>
      </w:tr>
      <w:tr>
        <w:tc>
          <w:tcPr>
            <w:tcW w:type="dxa" w:w="1440"/>
            <w:shd w:fill="C6EFCE" w:val="clear"/>
          </w:tcPr>
          <w:p>
            <w:r>
              <w:rPr>
                <w:sz w:val="17"/>
              </w:rPr>
              <w:t>J+8  Moyenne</w:t>
            </w:r>
          </w:p>
        </w:tc>
        <w:tc>
          <w:tcPr>
            <w:tcW w:type="dxa" w:w="1440"/>
            <w:shd w:fill="C6EFCE" w:val="clear"/>
          </w:tcPr>
          <w:p>
            <w:r>
              <w:rPr>
                <w:sz w:val="17"/>
              </w:rPr>
              <w:t>2026-08-17</w:t>
            </w:r>
          </w:p>
        </w:tc>
        <w:tc>
          <w:tcPr>
            <w:tcW w:type="dxa" w:w="1440"/>
            <w:shd w:fill="C6EFCE" w:val="clear"/>
          </w:tcPr>
          <w:p>
            <w:r>
              <w:rPr>
                <w:sz w:val="17"/>
              </w:rPr>
              <w:t>1,864</w:t>
            </w:r>
          </w:p>
        </w:tc>
        <w:tc>
          <w:tcPr>
            <w:tcW w:type="dxa" w:w="1440"/>
            <w:shd w:fill="C6EFCE" w:val="clear"/>
          </w:tcPr>
          <w:p>
            <w:r>
              <w:rPr>
                <w:b/>
                <w:sz w:val="17"/>
              </w:rPr>
              <w:t>2,034</w:t>
            </w:r>
          </w:p>
        </w:tc>
        <w:tc>
          <w:tcPr>
            <w:tcW w:type="dxa" w:w="1440"/>
            <w:shd w:fill="C6EFCE" w:val="clear"/>
          </w:tcPr>
          <w:p>
            <w:r>
              <w:rPr>
                <w:sz w:val="17"/>
              </w:rPr>
              <w:t>2,204</w:t>
            </w:r>
          </w:p>
        </w:tc>
        <w:tc>
          <w:tcPr>
            <w:tcW w:type="dxa" w:w="1440"/>
            <w:shd w:fill="C6EFCE" w:val="clear"/>
          </w:tcPr>
          <w:p>
            <w:r>
              <w:rPr>
                <w:b/>
                <w:color w:val="008000"/>
                <w:sz w:val="17"/>
              </w:rPr>
              <w:t>+3.2%</w:t>
            </w:r>
          </w:p>
        </w:tc>
      </w:tr>
      <w:tr>
        <w:tc>
          <w:tcPr>
            <w:tcW w:type="dxa" w:w="1440"/>
            <w:shd w:fill="C6EFCE" w:val="clear"/>
          </w:tcPr>
          <w:p>
            <w:r>
              <w:rPr>
                <w:sz w:val="17"/>
              </w:rPr>
              <w:t>J+9  Moyenne</w:t>
            </w:r>
          </w:p>
        </w:tc>
        <w:tc>
          <w:tcPr>
            <w:tcW w:type="dxa" w:w="1440"/>
            <w:shd w:fill="C6EFCE" w:val="clear"/>
          </w:tcPr>
          <w:p>
            <w:r>
              <w:rPr>
                <w:sz w:val="17"/>
              </w:rPr>
              <w:t>2026-08-18</w:t>
            </w:r>
          </w:p>
        </w:tc>
        <w:tc>
          <w:tcPr>
            <w:tcW w:type="dxa" w:w="1440"/>
            <w:shd w:fill="C6EFCE" w:val="clear"/>
          </w:tcPr>
          <w:p>
            <w:r>
              <w:rPr>
                <w:sz w:val="17"/>
              </w:rPr>
              <w:t>1,862</w:t>
            </w:r>
          </w:p>
        </w:tc>
        <w:tc>
          <w:tcPr>
            <w:tcW w:type="dxa" w:w="1440"/>
            <w:shd w:fill="C6EFCE" w:val="clear"/>
          </w:tcPr>
          <w:p>
            <w:r>
              <w:rPr>
                <w:b/>
                <w:sz w:val="17"/>
              </w:rPr>
              <w:t>2,043</w:t>
            </w:r>
          </w:p>
        </w:tc>
        <w:tc>
          <w:tcPr>
            <w:tcW w:type="dxa" w:w="1440"/>
            <w:shd w:fill="C6EFCE" w:val="clear"/>
          </w:tcPr>
          <w:p>
            <w:r>
              <w:rPr>
                <w:sz w:val="17"/>
              </w:rPr>
              <w:t>2,223</w:t>
            </w:r>
          </w:p>
        </w:tc>
        <w:tc>
          <w:tcPr>
            <w:tcW w:type="dxa" w:w="1440"/>
            <w:shd w:fill="C6EFCE" w:val="clear"/>
          </w:tcPr>
          <w:p>
            <w:r>
              <w:rPr>
                <w:b/>
                <w:color w:val="008000"/>
                <w:sz w:val="17"/>
              </w:rPr>
              <w:t>+3.7%</w:t>
            </w:r>
          </w:p>
        </w:tc>
      </w:tr>
      <w:tr>
        <w:tc>
          <w:tcPr>
            <w:tcW w:type="dxa" w:w="1440"/>
            <w:shd w:fill="C6EFCE" w:val="clear"/>
          </w:tcPr>
          <w:p>
            <w:r>
              <w:rPr>
                <w:sz w:val="17"/>
              </w:rPr>
              <w:t>J+10  Moyenne</w:t>
            </w:r>
          </w:p>
        </w:tc>
        <w:tc>
          <w:tcPr>
            <w:tcW w:type="dxa" w:w="1440"/>
            <w:shd w:fill="C6EFCE" w:val="clear"/>
          </w:tcPr>
          <w:p>
            <w:r>
              <w:rPr>
                <w:sz w:val="17"/>
              </w:rPr>
              <w:t>2026-08-19</w:t>
            </w:r>
          </w:p>
        </w:tc>
        <w:tc>
          <w:tcPr>
            <w:tcW w:type="dxa" w:w="1440"/>
            <w:shd w:fill="C6EFCE" w:val="clear"/>
          </w:tcPr>
          <w:p>
            <w:r>
              <w:rPr>
                <w:sz w:val="17"/>
              </w:rPr>
              <w:t>1,860</w:t>
            </w:r>
          </w:p>
        </w:tc>
        <w:tc>
          <w:tcPr>
            <w:tcW w:type="dxa" w:w="1440"/>
            <w:shd w:fill="C6EFCE" w:val="clear"/>
          </w:tcPr>
          <w:p>
            <w:r>
              <w:rPr>
                <w:b/>
                <w:sz w:val="17"/>
              </w:rPr>
              <w:t>2,051</w:t>
            </w:r>
          </w:p>
        </w:tc>
        <w:tc>
          <w:tcPr>
            <w:tcW w:type="dxa" w:w="1440"/>
            <w:shd w:fill="C6EFCE" w:val="clear"/>
          </w:tcPr>
          <w:p>
            <w:r>
              <w:rPr>
                <w:sz w:val="17"/>
              </w:rPr>
              <w:t>2,243</w:t>
            </w:r>
          </w:p>
        </w:tc>
        <w:tc>
          <w:tcPr>
            <w:tcW w:type="dxa" w:w="1440"/>
            <w:shd w:fill="C6EFCE" w:val="clear"/>
          </w:tcPr>
          <w:p>
            <w:r>
              <w:rPr>
                <w:b/>
                <w:color w:val="008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FTSC (FILTISAC CI)**</w:t>
        <w:br/>
        <w:t>**Date de l'analyse : 04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27,78 milliards FCFA, un niveau modeste qui la classe parmi les valeurs de taille moyenne sur la BRVM. Avec un BPA de 33 FCFA, le titre se négocie à un PER de 59,6x, un niveau extrêmement élevé comparé à la moyenne du marché BRVM (8-12x), indiquant que les investisseurs paient un prix très substantiel pour chaque unité de bénéfice, ce qui reflète une prime de risque importante ou des attentes de croissance future non confirmées par les fondamentaux actuels. Le P/B de 1,77x suggère que le marché valorise la société à près du double de sa valeur comptable, ce qui est raisonnable pour le secteur industriel. Enfin, l'EV/EBITDA de 36,4x est très exigeant, signifiant que la valeur totale de l'entreprise (capitaux propres + dettes) est très élevée par rapport à sa capacité opérationnelle de génération de cash (EBITDA), renforçant le constat d'une valorisation boursière tendue.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subi une forte dépréciation de -20,56%, passant de ses plus hauts à un cours actuel de 1 970 FCFA, bien que la dernière séance ait rebondi de +3,14%. Le titre a évolué dans une fourchette de 1 910 à 2 480 FCFA, démontrant une amplitude de trading significative. La moyenne du cours sur la période est de 2 188 FCFA, légèrement inférieure à la médiane de 2 220 FCFA, ce qui, combiné à un skewness négatif (-0.259), indique une distribution quasi symétrique avec une légère tendance à des chutes plus marquées. L'écart-type de 156 FCFA (CV=7,1%) montre une dispersion modérée autour de la moyenne. Le kurtosis négatif (-1.206) signale une distribution platykurtique, c'est-à-dire avec moins de valeurs extrêmes qu'une distribution normale, ce qui réduit le risque de variations brutales imprévues. La volatilité annualisée de 35,2% classe le titre comme très volatil, un niveau élevé qui exige une grande prudence de la part des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(1 970 FCFA) est inférieur à la MM20 (1 973,75 FCFA) et nettement sous la MM50 (2 091,3 FCFA). Cette configuration baissière, où le prix évolue sous ses moyennes clés, confirme une tendance de fond négative à moyen terme, justifiant la décision de "Vente".</w:t>
      </w:r>
    </w:p>
    <w:p>
      <w:pPr>
        <w:spacing w:after="120" w:line="276" w:lineRule="auto"/>
      </w:pPr>
      <w:r>
        <w:t>**Bandes de Bollinger :** Le prix se situe à l'intérieur des bandes, proche de la borne inférieure (1 924 FCFA). Cela indique que le marché n'est pas en situation de surachat ou de survente extrême, mais la pression vendeuse reste présente. La décision "Neutre" est cohérente avec une phase de consolidation après la baisse, sans signal directionnel fort.</w:t>
      </w:r>
    </w:p>
    <w:p>
      <w:pPr>
        <w:spacing w:after="120" w:line="276" w:lineRule="auto"/>
      </w:pPr>
      <w:r>
        <w:t>**MACD :** Le MACD (-33,93) est négatif mais se trouve au-dessus de sa ligne de signal (-38,46). Cette configuration haussière naissante suggère un ralentissement de la dynamique baissière et un potentiel retournement de momentum, justifiant la décision d' "Achat" à court terme.</w:t>
      </w:r>
    </w:p>
    <w:p>
      <w:pPr>
        <w:spacing w:after="120" w:line="276" w:lineRule="auto"/>
      </w:pPr>
      <w:r>
        <w:t>**RSI :** Le RSI à 49,31 est en zone neutre, indiquant un équilibre entre les forces acheteuses et vendeuses. Il n'y a ni surachat ni survente, ce qui laisse de la place pour un mouvement dans les deux sens. La décision "Neutre" est donc appropriée.</w:t>
      </w:r>
    </w:p>
    <w:p>
      <w:pPr>
        <w:spacing w:after="120" w:line="276" w:lineRule="auto"/>
      </w:pPr>
      <w:r>
        <w:t>**Stochastique :** Le %K (70,59) est nettement supérieur au %D (47,06), montrant un croisement haussier récent. Cela signale une reprise de l'élan acheteur à très court terme, mais le %K approche déjà la zone de surachat (80), ce qui pourrait limiter la hausse. La décision "Neutre" reflète cette ambiguïté.</w:t>
      </w:r>
    </w:p>
    <w:p>
      <w:pPr>
        <w:spacing w:after="120" w:line="276" w:lineRule="auto"/>
      </w:pPr>
      <w:r>
        <w:t>**Conclusion technique :** Les indicateurs sont mitigés. La tendance de fond (MM) reste baissière, mais les oscillateurs de momentum (MACD, Stochastique) montrent des signes de redressement. Le RSI est neutre. Cette divergence suggère un possible rebond technique à court terme, mais dans une tendance globale qui demeure fragile et baissière.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 FTSC révèlent une situation opérationnelle fragile. Le chiffre d'affaires s'établit à 32,109 milliards FCFA, en croissance de 4,6%, mais la marge nette est très faible à 1,45%, avec un résultat net de seulement 465,98 millions FCFA. La rentabilité des capitaux propres (ROE) est de 2,97% et le ROA de 1,19%, tous deux très inférieurs aux seuils de performance. En tant qu'entreprise industrielle, l'analyse des délais est critique : le délai de paiement des clients est très élevé (213,7 jours), créant un risque de trésorerie important, tandis que le BFR est positif à 11,529 milliards FCFA, indiquant un besoin de financement structurel. Les rapports trimestriels de 2025 confirment cette tendance : le rapport du 1er trimestre 2025 montre un résultat d'exploitation déficitaire (-78 millions FCFA), et celui du 3ème trimestre 2025 affiche un résultat courant avant impôt de -216 millions FCFA, malgré une amélioration de l'exploitation. Le résultat net annuel 2025 est artificiellement soutenu par des éléments non récurrents, comme en 2024 où le bénéfice de 18,6 milliards FCFA était dû à des produits de cession. Sur la base de ces rapports, on estime que la performance opérationnelle récurrente de FTSC est déficitaire et que la société dépend fortement de la campagne cacaoyère 2025/2026 pour améliorer ses volumes. La solidité financière est précaire, avec un endettement élevé (ratio d'endettement de 97,6%) et une capacité de remboursement de 11,49 ans.</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de risque élevé pour FTSC. La **valorisation** (Partie 0) est extrêmement exigeante avec un PER de 59,6x et un EV/EBITDA de 36,4x, totalement déconnectés des fondamentaux actuels. Le **comportement du cours** (Partie 1) est baissier sur la période (-20,56%), avec une volatilité très élevée (35,2%), bien que la distribution des rendements soit relativement stable (kurtosis platykurtique). Les **signaux techniques** (Partie 2) sont divergents : une tendance de fond négative (MM) mais des signes de rebond à court terme (MACD, Stochastique). Les **fondamentaux** (Partie 3) sont faibles, avec une rentabilité opérationnelle déficitaire, une dépendance aux cycles agricoles et un endettement important. Les **prédictions IA** (J+1 à J+10) suggèrent une stabilisation et un léger rebond vers 2 008 FCFA, ce qui contredit la tendance baissière de long terme mais confirme le potentiel de rebond technique à court terme. En conclusion, la valorisation est surévaluée, les fondamentaux sont dégradés et la tendance de fond est baissière, malgré un possible sursaut technique. Nous recommandons une position de **VENTE**, avec un niveau de confiance **Moyen** et un risque global **Élevé**. L'horizon d'investissement optimal serait le **court terme (&lt;3 mois)** pour les traders opportunistes, mais la valeur doit être évitée pour un investissement moyen ou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validation des comptes par des auditeurs de renom sans anomalies significatives t\u00e9moigne d'une gestion saine. Cependant, l'absence de donn\u00e9es financi\u00e8res d\u00e9taill\u00e9es limite l'analyse de la performance op\u00e9rationnelle."}</w:t>
      </w:r>
    </w:p>
    <w:p>
      <w:pPr>
        <w:spacing w:before="40"/>
        <w:ind w:left="400"/>
      </w:pPr>
      <w:r>
        <w:rPr>
          <w:sz w:val="18"/>
        </w:rPr>
        <w:t>FILTISAC (Filatures, Tissages, Sacs de Côte d'Ivoire, S.A.) est une société cotée à la BRVM spécialisée dans le secteur textile. Le document présente une attestation des commissaires aux comptes KPMG Côte d'Ivoire et Ernst &amp; Young sur les états financiers semestriels au 30 juin 2021. Les auditeurs ont effectué un examen limité conformément aux normes ISRE 2410 et aux dispositions OHADA. L'examen limité n'a pas révélé de faits laissant penser que les comptes ne sont pas établis conformément aux normes en vigueur. Le document atteste de la régularité des états financiers semestriels selon les référentiels comptables OHADA et 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Société cotée à la BRVM active dans le secteur des filatures et tissages</w:t>
      </w:r>
    </w:p>
    <w:p>
      <w:pPr>
        <w:pStyle w:val="ListBullet"/>
        <w:spacing w:before="20" w:after="20"/>
        <w:ind w:left="700"/>
      </w:pPr>
      <w:r>
        <w:rPr>
          <w:sz w:val="18"/>
        </w:rPr>
        <w:t>Audit semestriel réalisé par deux cabinets renommés : KPMG et Ernst &amp; Young</w:t>
      </w:r>
    </w:p>
    <w:p>
      <w:pPr>
        <w:pStyle w:val="ListBullet"/>
        <w:spacing w:before="20" w:after="20"/>
        <w:ind w:left="700"/>
      </w:pPr>
      <w:r>
        <w:rPr>
          <w:sz w:val="18"/>
        </w:rPr>
        <w:t>Examen limité conforme aux normes internationales ISRE 2410</w:t>
      </w:r>
    </w:p>
    <w:p>
      <w:pPr>
        <w:pStyle w:val="ListBullet"/>
        <w:spacing w:before="20" w:after="20"/>
        <w:ind w:left="700"/>
      </w:pPr>
      <w:r>
        <w:rPr>
          <w:sz w:val="18"/>
        </w:rPr>
        <w:t>Conformité aux dispositions OHADA et réglementations UMOA</w:t>
      </w:r>
    </w:p>
    <w:p>
      <w:pPr>
        <w:pStyle w:val="ListBullet"/>
        <w:spacing w:before="20" w:after="20"/>
        <w:ind w:left="700"/>
      </w:pPr>
      <w:r>
        <w:rPr>
          <w:sz w:val="18"/>
        </w:rPr>
        <w:t>Aucune anomalie significative détectée lors de l'examen limité</w:t>
      </w:r>
    </w:p>
    <w:p>
      <w:pPr>
        <w:pStyle w:val="ListBullet"/>
        <w:spacing w:before="20" w:after="20"/>
        <w:ind w:left="700"/>
      </w:pPr>
      <w:r>
        <w:rPr>
          <w:sz w:val="18"/>
        </w:rPr>
        <w:t>États financiers semestriels validés pour la période du 1er janvier au 30 juin 2021</w:t>
      </w:r>
    </w:p>
    <w:p>
      <w:pPr>
        <w:spacing w:before="40"/>
        <w:ind w:left="400"/>
      </w:pPr>
      <w:r>
        <w:rPr>
          <w:b/>
          <w:color w:val="C05000"/>
          <w:sz w:val="18"/>
        </w:rPr>
        <w:t xml:space="preserve">⚠️ Risques : </w:t>
      </w:r>
      <w:r>
        <w:rPr>
          <w:sz w:val="18"/>
        </w:rPr>
        <w:t>["Volatilit\u00e9 du secteur textile africain face \u00e0 la concurrence internationale", "D\u00e9pendance aux conditions \u00e9conomiques r\u00e9gionales UMOA", "Risques li\u00e9s aux mati\u00e8res premi\u00e8res et co\u00fbts de production"]</w:t>
      </w:r>
    </w:p>
    <w:p>
      <w:pPr>
        <w:spacing w:before="40"/>
        <w:ind w:left="400"/>
      </w:pPr>
      <w:r>
        <w:rPr>
          <w:b/>
          <w:color w:val="0064A0"/>
          <w:sz w:val="18"/>
        </w:rPr>
        <w:t xml:space="preserve">🔮 Perspectives : </w:t>
      </w:r>
      <w:r>
        <w:rPr>
          <w:sz w:val="18"/>
        </w:rPr>
        <w:t>Les perspectives restent à évaluer en fonction des résultats financiers détaillés qui ne sont pas disponibles dans ce document d'attestation. La validation comptable constitue néanmoins un signal positif pour la gouvernance de l'entreprise.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conjoncturelles du T1 2022, la soci\u00e9t\u00e9 maintient sa croissance d'activit\u00e9 et b\u00e9n\u00e9ficie de perspectives commerciales favorables. La situation difficile semble temporaire li\u00e9e au contexte \u00e9conomique mondial."}</w:t>
      </w:r>
    </w:p>
    <w:p>
      <w:pPr>
        <w:spacing w:before="40"/>
        <w:ind w:left="400"/>
      </w:pPr>
      <w:r>
        <w:rPr>
          <w:sz w:val="18"/>
        </w:rPr>
        <w:t>FILTISAC CI présente des résultats financiers mitigés au premier trimestre 2022. Le chiffre d'affaires progresse de 10% à 10 935 millions FCFA, porté notamment par les activités du département Jute. Cependant, la société affiche une perte d'exploitation de 103 millions FCFA contre un bénéfice de 322 millions l'année précédente. Le résultat courant avant impôt se dégrade fortement à -382 millions FCFA contre +204 millions en 2021. Cette détérioration s'explique principalement par la hausse du coût des matières premières qui a impacté les marges malgré la croissance du chiffre d'affaires.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'+10%', 'capital_social': '8 814 837 500 FCFA', 'resultat_exploitation': '-103 millions FCFA', 'resultat_courant_avant_impot': '-382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10 935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 à 10 935 millions FCFA au T1 2022</w:t>
      </w:r>
    </w:p>
    <w:p>
      <w:pPr>
        <w:pStyle w:val="ListBullet"/>
        <w:spacing w:before="20" w:after="20"/>
        <w:ind w:left="700"/>
      </w:pPr>
      <w:r>
        <w:rPr>
          <w:sz w:val="18"/>
        </w:rPr>
        <w:t>Perte d'exploitation de 103 millions FCFA contre un bénéfice de 322 millions en 2021</w:t>
      </w:r>
    </w:p>
    <w:p>
      <w:pPr>
        <w:pStyle w:val="ListBullet"/>
        <w:spacing w:before="20" w:after="20"/>
        <w:ind w:left="700"/>
      </w:pPr>
      <w:r>
        <w:rPr>
          <w:sz w:val="18"/>
        </w:rPr>
        <w:t>Dégradation du résultat courant avant impôt à -382 millions FCFA (-287%)</w:t>
      </w:r>
    </w:p>
    <w:p>
      <w:pPr>
        <w:pStyle w:val="ListBullet"/>
        <w:spacing w:before="20" w:after="20"/>
        <w:ind w:left="700"/>
      </w:pPr>
      <w:r>
        <w:rPr>
          <w:sz w:val="18"/>
        </w:rPr>
        <w:t>Impact négatif de la hausse des coûts des matières premières sur les marges</w:t>
      </w:r>
    </w:p>
    <w:p>
      <w:pPr>
        <w:pStyle w:val="ListBullet"/>
        <w:spacing w:before="20" w:after="20"/>
        <w:ind w:left="700"/>
      </w:pPr>
      <w:r>
        <w:rPr>
          <w:sz w:val="18"/>
        </w:rPr>
        <w:t>Suspension des exportations vers le Mali pénalisant les ventes de polymères</w:t>
      </w:r>
    </w:p>
    <w:p>
      <w:pPr>
        <w:pStyle w:val="ListBullet"/>
        <w:spacing w:before="20" w:after="20"/>
        <w:ind w:left="700"/>
      </w:pPr>
      <w:r>
        <w:rPr>
          <w:sz w:val="18"/>
        </w:rPr>
        <w:t>Contexte économique mondial difficile avec hausse des prix et perturbations logistiques</w:t>
      </w:r>
    </w:p>
    <w:p>
      <w:pPr>
        <w:spacing w:before="40"/>
        <w:ind w:left="400"/>
      </w:pPr>
      <w:r>
        <w:rPr>
          <w:b/>
          <w:color w:val="C05000"/>
          <w:sz w:val="18"/>
        </w:rPr>
        <w:t xml:space="preserve">⚠️ Risques : </w:t>
      </w:r>
      <w:r>
        <w:rPr>
          <w:sz w:val="18"/>
        </w:rPr>
        <w:t>["Volatilit\u00e9 continue des prix des mati\u00e8res premi\u00e8res impactant la rentabilit\u00e9", "Perturbations de la cha\u00eene logistique notamment sur les approvisionnements asiatiques", "Instabilit\u00e9 g\u00e9opolitique r\u00e9gionale affectant les exportations vers le Mali"]</w:t>
      </w:r>
    </w:p>
    <w:p>
      <w:pPr>
        <w:spacing w:before="40"/>
        <w:ind w:left="400"/>
      </w:pPr>
      <w:r>
        <w:rPr>
          <w:b/>
          <w:color w:val="0064A0"/>
          <w:sz w:val="18"/>
        </w:rPr>
        <w:t xml:space="preserve">🔮 Perspectives : </w:t>
      </w:r>
      <w:r>
        <w:rPr>
          <w:sz w:val="18"/>
        </w:rPr>
        <w:t>Les prévisions commerciales s'annoncent satisfaisantes avec une demande soutenue d'emballages destinés aux filières agricoles en croissance. L'amélioration de la productivité, particulièrement sur l'usine Jute, devrait contribuer à redresser la rentabilité dans les prochains trimestres.</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88.00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2,678 titres</w:t>
            </w:r>
          </w:p>
        </w:tc>
        <w:tc>
          <w:tcPr>
            <w:tcW w:type="dxa" w:w="2268"/>
            <w:shd w:fill="FFF2CC" w:val="clear"/>
          </w:tcPr>
          <w:p>
            <w:r>
              <w:rPr>
                <w:b/>
                <w:color w:val="503200"/>
                <w:sz w:val="16"/>
              </w:rPr>
              <w:t xml:space="preserve">Cours actuel : </w:t>
            </w:r>
            <w:r>
              <w:rPr>
                <w:color w:val="000000"/>
                <w:sz w:val="17"/>
              </w:rPr>
              <w:t>4,400 FCFA</w:t>
            </w:r>
          </w:p>
          <w:p>
            <w:r>
              <w:rPr>
                <w:b/>
                <w:color w:val="503200"/>
                <w:sz w:val="16"/>
              </w:rPr>
              <w:t xml:space="preserve">Var. 100 jours : </w:t>
            </w:r>
            <w:r>
              <w:rPr>
                <w:b/>
                <w:color w:val="007800"/>
                <w:sz w:val="17"/>
              </w:rPr>
              <w:t>+15.64%</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5.15% (Moyenne) — μ=4,008 FCFA, σ=206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β=0.3183 (Défensif) — Cov=0.000011, Var(idx)=0.000036, ρ=0.086,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σ_j=2.20%/j (Stable) — Vol. annualisée≈34.9%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3,968</w:t>
            </w:r>
          </w:p>
        </w:tc>
        <w:tc>
          <w:tcPr>
            <w:tcW w:type="dxa" w:w="1440"/>
            <w:shd w:fill="FFDCE0" w:val="clear"/>
          </w:tcPr>
          <w:p>
            <w:r>
              <w:rPr>
                <w:b/>
                <w:sz w:val="17"/>
              </w:rPr>
              <w:t>4,202</w:t>
            </w:r>
          </w:p>
        </w:tc>
        <w:tc>
          <w:tcPr>
            <w:tcW w:type="dxa" w:w="1440"/>
            <w:shd w:fill="FFDCE0" w:val="clear"/>
          </w:tcPr>
          <w:p>
            <w:r>
              <w:rPr>
                <w:sz w:val="17"/>
              </w:rPr>
              <w:t>4,436</w:t>
            </w:r>
          </w:p>
        </w:tc>
        <w:tc>
          <w:tcPr>
            <w:tcW w:type="dxa" w:w="1440"/>
            <w:shd w:fill="FFDCE0" w:val="clear"/>
          </w:tcPr>
          <w:p>
            <w:r>
              <w:rPr>
                <w:b/>
                <w:color w:val="C00000"/>
                <w:sz w:val="17"/>
              </w:rPr>
              <w:t>-4.5%</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3,859</w:t>
            </w:r>
          </w:p>
        </w:tc>
        <w:tc>
          <w:tcPr>
            <w:tcW w:type="dxa" w:w="1440"/>
            <w:shd w:fill="FFDCE0" w:val="clear"/>
          </w:tcPr>
          <w:p>
            <w:r>
              <w:rPr>
                <w:b/>
                <w:sz w:val="17"/>
              </w:rPr>
              <w:t>4,189</w:t>
            </w:r>
          </w:p>
        </w:tc>
        <w:tc>
          <w:tcPr>
            <w:tcW w:type="dxa" w:w="1440"/>
            <w:shd w:fill="FFDCE0" w:val="clear"/>
          </w:tcPr>
          <w:p>
            <w:r>
              <w:rPr>
                <w:sz w:val="17"/>
              </w:rPr>
              <w:t>4,518</w:t>
            </w:r>
          </w:p>
        </w:tc>
        <w:tc>
          <w:tcPr>
            <w:tcW w:type="dxa" w:w="1440"/>
            <w:shd w:fill="FFDCE0" w:val="clear"/>
          </w:tcPr>
          <w:p>
            <w:r>
              <w:rPr>
                <w:b/>
                <w:color w:val="C00000"/>
                <w:sz w:val="17"/>
              </w:rPr>
              <w:t>-4.8%</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3,768</w:t>
            </w:r>
          </w:p>
        </w:tc>
        <w:tc>
          <w:tcPr>
            <w:tcW w:type="dxa" w:w="1440"/>
            <w:shd w:fill="FFDCE0" w:val="clear"/>
          </w:tcPr>
          <w:p>
            <w:r>
              <w:rPr>
                <w:b/>
                <w:sz w:val="17"/>
              </w:rPr>
              <w:t>4,170</w:t>
            </w:r>
          </w:p>
        </w:tc>
        <w:tc>
          <w:tcPr>
            <w:tcW w:type="dxa" w:w="1440"/>
            <w:shd w:fill="FFDCE0" w:val="clear"/>
          </w:tcPr>
          <w:p>
            <w:r>
              <w:rPr>
                <w:sz w:val="17"/>
              </w:rPr>
              <w:t>4,572</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3,689</w:t>
            </w:r>
          </w:p>
        </w:tc>
        <w:tc>
          <w:tcPr>
            <w:tcW w:type="dxa" w:w="1440"/>
            <w:shd w:fill="FFDCE0" w:val="clear"/>
          </w:tcPr>
          <w:p>
            <w:r>
              <w:rPr>
                <w:b/>
                <w:sz w:val="17"/>
              </w:rPr>
              <w:t>4,151</w:t>
            </w:r>
          </w:p>
        </w:tc>
        <w:tc>
          <w:tcPr>
            <w:tcW w:type="dxa" w:w="1440"/>
            <w:shd w:fill="FFDCE0" w:val="clear"/>
          </w:tcPr>
          <w:p>
            <w:r>
              <w:rPr>
                <w:sz w:val="17"/>
              </w:rPr>
              <w:t>4,613</w:t>
            </w:r>
          </w:p>
        </w:tc>
        <w:tc>
          <w:tcPr>
            <w:tcW w:type="dxa" w:w="1440"/>
            <w:shd w:fill="FFDCE0" w:val="clear"/>
          </w:tcPr>
          <w:p>
            <w:r>
              <w:rPr>
                <w:b/>
                <w:color w:val="C00000"/>
                <w:sz w:val="17"/>
              </w:rPr>
              <w:t>-5.7%</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3,617</w:t>
            </w:r>
          </w:p>
        </w:tc>
        <w:tc>
          <w:tcPr>
            <w:tcW w:type="dxa" w:w="1440"/>
            <w:shd w:fill="FFDCE0" w:val="clear"/>
          </w:tcPr>
          <w:p>
            <w:r>
              <w:rPr>
                <w:b/>
                <w:sz w:val="17"/>
              </w:rPr>
              <w:t>4,130</w:t>
            </w:r>
          </w:p>
        </w:tc>
        <w:tc>
          <w:tcPr>
            <w:tcW w:type="dxa" w:w="1440"/>
            <w:shd w:fill="FFDCE0" w:val="clear"/>
          </w:tcPr>
          <w:p>
            <w:r>
              <w:rPr>
                <w:sz w:val="17"/>
              </w:rPr>
              <w:t>4,644</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3,552</w:t>
            </w:r>
          </w:p>
        </w:tc>
        <w:tc>
          <w:tcPr>
            <w:tcW w:type="dxa" w:w="1440"/>
            <w:shd w:fill="FFDCE0" w:val="clear"/>
          </w:tcPr>
          <w:p>
            <w:r>
              <w:rPr>
                <w:b/>
                <w:sz w:val="17"/>
              </w:rPr>
              <w:t>4,112</w:t>
            </w:r>
          </w:p>
        </w:tc>
        <w:tc>
          <w:tcPr>
            <w:tcW w:type="dxa" w:w="1440"/>
            <w:shd w:fill="FFDCE0" w:val="clear"/>
          </w:tcPr>
          <w:p>
            <w:r>
              <w:rPr>
                <w:sz w:val="17"/>
              </w:rPr>
              <w:t>4,672</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3,493</w:t>
            </w:r>
          </w:p>
        </w:tc>
        <w:tc>
          <w:tcPr>
            <w:tcW w:type="dxa" w:w="1440"/>
            <w:shd w:fill="FFDCE0" w:val="clear"/>
          </w:tcPr>
          <w:p>
            <w:r>
              <w:rPr>
                <w:b/>
                <w:sz w:val="17"/>
              </w:rPr>
              <w:t>4,096</w:t>
            </w:r>
          </w:p>
        </w:tc>
        <w:tc>
          <w:tcPr>
            <w:tcW w:type="dxa" w:w="1440"/>
            <w:shd w:fill="FFDCE0" w:val="clear"/>
          </w:tcPr>
          <w:p>
            <w:r>
              <w:rPr>
                <w:sz w:val="17"/>
              </w:rPr>
              <w:t>4,699</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3,431</w:t>
            </w:r>
          </w:p>
        </w:tc>
        <w:tc>
          <w:tcPr>
            <w:tcW w:type="dxa" w:w="1440"/>
            <w:shd w:fill="FFDCE0" w:val="clear"/>
          </w:tcPr>
          <w:p>
            <w:r>
              <w:rPr>
                <w:b/>
                <w:sz w:val="17"/>
              </w:rPr>
              <w:t>4,071</w:t>
            </w:r>
          </w:p>
        </w:tc>
        <w:tc>
          <w:tcPr>
            <w:tcW w:type="dxa" w:w="1440"/>
            <w:shd w:fill="FFDCE0" w:val="clear"/>
          </w:tcPr>
          <w:p>
            <w:r>
              <w:rPr>
                <w:sz w:val="17"/>
              </w:rPr>
              <w:t>4,712</w:t>
            </w:r>
          </w:p>
        </w:tc>
        <w:tc>
          <w:tcPr>
            <w:tcW w:type="dxa" w:w="1440"/>
            <w:shd w:fill="FFDCE0" w:val="clear"/>
          </w:tcPr>
          <w:p>
            <w:r>
              <w:rPr>
                <w:b/>
                <w:color w:val="C00000"/>
                <w:sz w:val="17"/>
              </w:rPr>
              <w:t>-7.5%</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3,371</w:t>
            </w:r>
          </w:p>
        </w:tc>
        <w:tc>
          <w:tcPr>
            <w:tcW w:type="dxa" w:w="1440"/>
            <w:shd w:fill="FFDCE0" w:val="clear"/>
          </w:tcPr>
          <w:p>
            <w:r>
              <w:rPr>
                <w:b/>
                <w:sz w:val="17"/>
              </w:rPr>
              <w:t>4,046</w:t>
            </w:r>
          </w:p>
        </w:tc>
        <w:tc>
          <w:tcPr>
            <w:tcW w:type="dxa" w:w="1440"/>
            <w:shd w:fill="FFDCE0" w:val="clear"/>
          </w:tcPr>
          <w:p>
            <w:r>
              <w:rPr>
                <w:sz w:val="17"/>
              </w:rPr>
              <w:t>4,721</w:t>
            </w:r>
          </w:p>
        </w:tc>
        <w:tc>
          <w:tcPr>
            <w:tcW w:type="dxa" w:w="1440"/>
            <w:shd w:fill="FFDCE0" w:val="clear"/>
          </w:tcPr>
          <w:p>
            <w:r>
              <w:rPr>
                <w:b/>
                <w:color w:val="C00000"/>
                <w:sz w:val="17"/>
              </w:rPr>
              <w:t>-8.1%</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3,322</w:t>
            </w:r>
          </w:p>
        </w:tc>
        <w:tc>
          <w:tcPr>
            <w:tcW w:type="dxa" w:w="1440"/>
            <w:shd w:fill="FFDCE0" w:val="clear"/>
          </w:tcPr>
          <w:p>
            <w:r>
              <w:rPr>
                <w:b/>
                <w:sz w:val="17"/>
              </w:rPr>
              <w:t>4,031</w:t>
            </w:r>
          </w:p>
        </w:tc>
        <w:tc>
          <w:tcPr>
            <w:tcW w:type="dxa" w:w="1440"/>
            <w:shd w:fill="FFDCE0" w:val="clear"/>
          </w:tcPr>
          <w:p>
            <w:r>
              <w:rPr>
                <w:sz w:val="17"/>
              </w:rPr>
              <w:t>4,741</w:t>
            </w:r>
          </w:p>
        </w:tc>
        <w:tc>
          <w:tcPr>
            <w:tcW w:type="dxa" w:w="1440"/>
            <w:shd w:fill="FFDCE0" w:val="clear"/>
          </w:tcPr>
          <w:p>
            <w:r>
              <w:rPr>
                <w:b/>
                <w:color w:val="C00000"/>
                <w:sz w:val="17"/>
              </w:rPr>
              <w:t>-8.4%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88 milliards FCFA, un niveau significatif qui la positionne parmi les valeurs moyennes du marché BRVM. Avec un BPA de 231 FCFA, le titre se négocie à un PER de 19,0x, nettement supérieur à la moyenne historique du marché (~8-12x), indiquant que les investisseurs paient une prime substantielle pour les bénéfices actuels. Le P/B de 4,01x confirme cette valorisation exigeante, le marché valorisant le titre à plus de quatre fois sa valeur comptable, ce qui reflète des attentes de croissance élevées. Enfin, un EV/EBITDA de 11,2x, bien que dans la fourchette haute (10-15x), suggère que la valeur d'entreprise reste soutenable par rapport à la capacité opérationnelle de génération de cash-flow. Globalement, ces ratios signalent une valorisation riche qui ne laisse que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LNBB a enregistré une progression totale de +15,64%, mais a subi un repli de -3,51% lors de la dernière séance, signe d'une possible prise de bénéfices après un rallye. Le cours a évolué dans un range de 3 765 FCFA (plus bas) à 4 560 FCFA (plus haut), démontrant une dynamique haussière soutenue. La moyenne (4 008 FCFA) est supérieure à la médiane (3 900 FCFA), et le skewness positif de 1,006 confirme une asymétrie avec des journées de forte hausse plus fréquentes que les baisses. L'écart-type de 208 FCFA (CV=5,2%) indique une dispersion modérée autour de la moyenne, tandis que le kurtosis de -0,411 (mésokurtique) suggère une distribution proche de la normale, sans risque de pics extrêmes. La volatilité annualisée de 34,9% classe le titre comme très volatil (&gt;30%),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(4 400 FCFA) se situe au-dessus de la MM20 (4 295,5 FCFA) et de la MM50 (4 134,4 FCFA), avec un écart croissant. Cette configuration haussière, où les moyennes courtes sont au-dessus des moyennes longues, confirme une tendance positive et justifie la décision d'**Achat**.</w:t>
      </w:r>
    </w:p>
    <w:p>
      <w:pPr>
        <w:spacing w:after="120" w:line="276" w:lineRule="auto"/>
      </w:pPr>
      <w:r>
        <w:t>**Bandes de Bollinger :** Le prix évolue à 4 400 FCFA, entre la borne supérieure (4 560 FCFA) et la borne inférieure (4 030 FCFA). La position proche de la borne supérieure indique une pression acheteuse, mais sans franchissement, ce qui suggère une consolidation. La décision est **Neutre**, car le titre n'est ni suracheté ni survendu.</w:t>
      </w:r>
    </w:p>
    <w:p>
      <w:pPr>
        <w:spacing w:after="120" w:line="276" w:lineRule="auto"/>
      </w:pPr>
      <w:r>
        <w:t>**MACD :** La valeur du MACD (70,93) est supérieure à son signal (60,19), avec un écart positif de 10,7 points. Cette divergence haussière confirme un momentum positif et une dynamique de prix à la hausse, justifiant la décision d'**Achat**.</w:t>
      </w:r>
    </w:p>
    <w:p>
      <w:pPr>
        <w:spacing w:after="120" w:line="276" w:lineRule="auto"/>
      </w:pPr>
      <w:r>
        <w:t>**RSI :** À 52,92, le RSI se situe en zone neutre (30-70), indiquant un équilibre entre pression acheteuse et vendeuse. Il n'y a pas de signal de surachat ou de survente, laissant place à une évolution directionnelle. La décision est **Neutre**.</w:t>
      </w:r>
    </w:p>
    <w:p>
      <w:pPr>
        <w:spacing w:after="120" w:line="276" w:lineRule="auto"/>
      </w:pPr>
      <w:r>
        <w:t>**Stochastique :** Le %K (65,2) est inférieur au %D (88,4), suggérant un croisement baissier potentiel à court terme. Cependant, les deux valeurs restent en zone positive, indiquant une dynamique haussière sous-jacente. La décision est **Neutre**, avec une vigilance sur un possible retournement.</w:t>
      </w:r>
    </w:p>
    <w:p>
      <w:pPr>
        <w:spacing w:after="120" w:line="276" w:lineRule="auto"/>
      </w:pPr>
      <w:r>
        <w:t>**Conclusion technique :** Les indicateurs de tendance (MM, MACD) sont clairement haussiers, tandis que les oscillateurs (RSI, Stochastique) sont neutres. Cette divergence suggère que la tendance de fond reste positive, mais qu'un essoufflement à court terme est possible. Le signal global est **Achat modéré**, avec une prudence sur l'horizon immédiat.</w:t>
      </w:r>
    </w:p>
    <w:p>
      <w:pPr>
        <w:spacing w:after="120" w:line="276" w:lineRule="auto"/>
      </w:pPr>
      <w:r>
        <w:t>---</w:t>
      </w:r>
    </w:p>
    <w:p>
      <w:pPr>
        <w:spacing w:after="120" w:line="276" w:lineRule="auto"/>
      </w:pPr>
      <w:r>
        <w:t>### PARTIE 3 : ANALYSE FONDAMENTALE (SECTION CRITIQUE)</w:t>
      </w:r>
    </w:p>
    <w:p>
      <w:pPr>
        <w:spacing w:after="120" w:line="276" w:lineRule="auto"/>
      </w:pPr>
      <w:r>
        <w:t>En 2025, LNBB a réalisé un chiffre d'affaires de 98,598 milliards FCFA, en baisse de -3,85% par rapport à 2024 (102,544 milliards FCFA), et un résultat net de 4,622 milliards FCFA, en recul de -35,6% (vs 7,176 milliards en 2024). Les marges se sont dégradées (marge nette de 4,69%), mais la structure financière reste robuste avec des capitaux propres de 21,954 milliards FCFA (ROE de 21,05%, excellent) et un ROA de 14,17%. Le BFR est légèrement positif (217 millions FCFA), avec des délais clients (4,82 jours) et fournisseurs (20,41 jours) très courts, indiquant une gestion de trésorerie saine. Le ratio d'endettement est très faible (2,57%) et la solvabilité générale est élevée (306%). Les rapports trimestriels 2025 (T1, S1, T3) montrent une chute progressive du résultat net (1,573 milliards au T1, 841 millions au S1, 1,034 milliard au T3) due à la concurrence illégale, mais une amélioration séquentielle au T3. Pour 2026, le rapport T1 2026 (publié en mai 2026) indique un CA en hausse de +6% à 25,521 milliards FCFA, mais un résultat net en chute de -46% à 848 millions FCFA, pénalisé par le mix produit (pari sportif à faible marge). Le rapport S1 2026 (publié en juillet 2026) montre une reprise du CA (+4%) et une explosion du résultat net (+60%), grâce aux revenus de partenariats B2B. On estime que l'exercice 2026 pourrait voir un résultat net en amélioration par rapport à 2025, porté par la diversification et la maîtrise des charges, mais la pression sur les marges reste un risque majeur.</w:t>
      </w:r>
    </w:p>
    <w:p>
      <w:pPr>
        <w:spacing w:after="120" w:line="276" w:lineRule="auto"/>
      </w:pPr>
      <w:r>
        <w:t>---</w:t>
      </w:r>
    </w:p>
    <w:p>
      <w:pPr>
        <w:spacing w:after="120" w:line="276" w:lineRule="auto"/>
      </w:pPr>
      <w:r>
        <w:t>### PARTIE 4 : CONCLUSION D'INVESTISSEMENT</w:t>
      </w:r>
    </w:p>
    <w:p>
      <w:pPr>
        <w:spacing w:after="120" w:line="276" w:lineRule="auto"/>
      </w:pPr>
      <w:r>
        <w:t>La valorisation de LNBB est exigeante (PER 19x, P/B 4x), ce qui reflète des attentes élevées non encore confirmées par les fondamentaux récents. Le comportement du cours est haussier sur 100 jours (+15,64%), mais la volatilité élevée (34,9%) et le repli récent (-3,51%) appellent à la prudence. Les signaux techniques sont globalement positifs (MM, MACD), mais les oscillateurs neutres suggèrent un possible essoufflement à court terme. Fondamentalement, la société est financièrement solide (ROE &gt;20%, faible endettement), mais traverse une phase de transition avec une rentabilité en dents de scie (baisse en 2025, reprise estimée en 2026). Les prédictions IA (J+1 à J+10) indiquent une trajectoire baissière (de 4 202 à 4 130 FCFA), contredisant la tendance de fond et suggérant une correction à court terme. En synthèse, la convergence entre une valorisation riche, des signaux techniques mitigés et des fondamentaux en amélioration incertaine justifie une position d'attente. **Recommandation finale : CONSERVER**, avec un niveau de confiance **Moyen** et un risque global **Élevé**. L'horizon d'investissement optimal est le **moyen terme (3-12 mois)**, en attendant la confirmation d'une amélioration durable de la rentabilité au S2 2026.</w:t>
      </w:r>
    </w:p>
    <w:p/>
    <w:p/>
    <w:p>
      <w:pPr>
        <w:pStyle w:val="Heading3"/>
      </w:pPr>
      <w:r>
        <w:rPr>
          <w:color w:val="005A32"/>
        </w:rPr>
        <w:t>📋 RAPPORTS &amp; COMMUNIQUÉS OFFICIELS</w:t>
      </w:r>
    </w:p>
    <w:p>
      <w:r>
        <w:rPr>
          <w:i/>
          <w:color w:val="646464"/>
          <w:sz w:val="18"/>
        </w:rPr>
        <w:t>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s\u00e9quentielle du r\u00e9sultat net et l'efficacit\u00e9 du plan d'ajustement sugg\u00e8rent une stabilisation progressive. La reprise attendue au T4 2025 justifie une position d'attente."}</w:t>
      </w:r>
    </w:p>
    <w:p>
      <w:pPr>
        <w:spacing w:before="40"/>
        <w:ind w:left="400"/>
      </w:pPr>
      <w:r>
        <w:rPr>
          <w:sz w:val="18"/>
        </w:rPr>
        <w:t>La Loterie Nationale du Bénin (LNB SA) présente des résultats mitigés au T3 2025 avec un chiffre d'affaires en baisse de 6% à 72,479 milliards FCFA comparé au T3 2024. Malgré cette contre-performance commerciale, la société affiche une amélioration significative de sa rentabilité avec un résultat net de 1,034 milliard FCFA au T3 2025 contre 5,382 milliards FCFA au T3 2024. L'entreprise met en œuvre un plan d'ajustement opérationnel qui commence à porter ses fruits. La direction anticipe une reprise progressive de la rentabilité sur le dernier trimestre 2025. Les mesures correctives visent à préserver les intérêts des actionnaires malgré les difficultés persistantes du premier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milliards FCFA', 'resultat_financier': '357 millions FCFA', 'resultat_avant_impots': '1,897 milliard FCFA', 'resultat_exploitation': '1,401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1,034 milliard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72,479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6% au T3 2025 (72,479 Mds FCFA vs 76,908 Mds FCFA en 2024)</w:t>
      </w:r>
    </w:p>
    <w:p>
      <w:pPr>
        <w:pStyle w:val="ListBullet"/>
        <w:spacing w:before="20" w:after="20"/>
        <w:ind w:left="700"/>
      </w:pPr>
      <w:r>
        <w:rPr>
          <w:sz w:val="18"/>
        </w:rPr>
        <w:t>Résultat net de 1,034 milliard FCFA au T3 2025, en forte baisse de 81% par rapport au T3 2024</w:t>
      </w:r>
    </w:p>
    <w:p>
      <w:pPr>
        <w:pStyle w:val="ListBullet"/>
        <w:spacing w:before="20" w:after="20"/>
        <w:ind w:left="700"/>
      </w:pPr>
      <w:r>
        <w:rPr>
          <w:sz w:val="18"/>
        </w:rPr>
        <w:t>Amélioration du résultat net de 22,95% entre le premier semestre et le T3 2025 (841 millions à 1,034 milliard)</w:t>
      </w:r>
    </w:p>
    <w:p>
      <w:pPr>
        <w:pStyle w:val="ListBullet"/>
        <w:spacing w:before="20" w:after="20"/>
        <w:ind w:left="700"/>
      </w:pPr>
      <w:r>
        <w:rPr>
          <w:sz w:val="18"/>
        </w:rPr>
        <w:t>Résultat d'exploitation drastiquement réduit : 1,401 milliard FCFA (-59% vs T3 2024)</w:t>
      </w:r>
    </w:p>
    <w:p>
      <w:pPr>
        <w:pStyle w:val="ListBullet"/>
        <w:spacing w:before="20" w:after="20"/>
        <w:ind w:left="700"/>
      </w:pPr>
      <w:r>
        <w:rPr>
          <w:sz w:val="18"/>
        </w:rPr>
        <w:t>Plan d'ajustement opérationnel en cours de mise en œuvre montrant des signes d'efficacité</w:t>
      </w:r>
    </w:p>
    <w:p>
      <w:pPr>
        <w:pStyle w:val="ListBullet"/>
        <w:spacing w:before="20" w:after="20"/>
        <w:ind w:left="700"/>
      </w:pPr>
      <w:r>
        <w:rPr>
          <w:sz w:val="18"/>
        </w:rPr>
        <w:t>Difficultés commerciales persistantes liées aux problèmes rencontrés au premier semestre 2025</w:t>
      </w:r>
    </w:p>
    <w:p>
      <w:pPr>
        <w:spacing w:before="40"/>
        <w:ind w:left="400"/>
      </w:pPr>
      <w:r>
        <w:rPr>
          <w:b/>
          <w:color w:val="C05000"/>
          <w:sz w:val="18"/>
        </w:rPr>
        <w:t xml:space="preserve">⚠️ Risques : </w:t>
      </w:r>
      <w:r>
        <w:rPr>
          <w:sz w:val="18"/>
        </w:rPr>
        <w:t>["Persistance des difficult\u00e9s commerciales impactant durablement le chiffre d'affaires", "Forte d\u00e9pendance \u00e0 l'efficacit\u00e9 du plan d'ajustement op\u00e9rationnel en cours", "Environnement \u00e9conomique d\u00e9favorable pouvant affecter l'activit\u00e9 loterie au B\u00e9nin"]</w:t>
      </w:r>
    </w:p>
    <w:p>
      <w:pPr>
        <w:spacing w:before="40"/>
        <w:ind w:left="400"/>
      </w:pPr>
      <w:r>
        <w:rPr>
          <w:b/>
          <w:color w:val="0064A0"/>
          <w:sz w:val="18"/>
        </w:rPr>
        <w:t xml:space="preserve">🔮 Perspectives : </w:t>
      </w:r>
      <w:r>
        <w:rPr>
          <w:sz w:val="18"/>
        </w:rPr>
        <w:t xml:space="preserve">La direction anticipe une reprise progressive de la rentabilité sur le dernier trimestre 2025 grâce aux mesures correctives mises en œuvre. Le succès du plan d'ajustement opérationnel sera déterminant pour le retour à une croissance soutenue en 2026. L'amélioration séquentielle des résultats laisse </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5,434 titres</w:t>
            </w:r>
          </w:p>
        </w:tc>
        <w:tc>
          <w:tcPr>
            <w:tcW w:type="dxa" w:w="2268"/>
            <w:shd w:fill="FFF2CC" w:val="clear"/>
          </w:tcPr>
          <w:p>
            <w:r>
              <w:rPr>
                <w:b/>
                <w:color w:val="503200"/>
                <w:sz w:val="16"/>
              </w:rPr>
              <w:t xml:space="preserve">Cours actuel : </w:t>
            </w:r>
            <w:r>
              <w:rPr>
                <w:color w:val="000000"/>
                <w:sz w:val="17"/>
              </w:rPr>
              <w:t>2,260 FCFA</w:t>
            </w:r>
          </w:p>
          <w:p>
            <w:r>
              <w:rPr>
                <w:b/>
                <w:color w:val="503200"/>
                <w:sz w:val="16"/>
              </w:rPr>
              <w:t xml:space="preserve">Var. 100 jours : </w:t>
            </w:r>
            <w:r>
              <w:rPr>
                <w:b/>
                <w:color w:val="007800"/>
                <w:sz w:val="17"/>
              </w:rPr>
              <w:t>+62.59%</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26.0/100 → Moyen</w:t>
      </w:r>
    </w:p>
    <w:p>
      <w:pPr>
        <w:spacing w:before="40" w:after="80"/>
      </w:pPr>
      <w:r>
        <w:rPr>
          <w:rFonts w:ascii="Courier New" w:hAnsi="Courier New"/>
          <w:color w:val="825A00"/>
          <w:sz w:val="18"/>
        </w:rPr>
        <w:t>█████░░░░░░░░░░░░░░░  26.0/100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19.39% (Élevée) — μ=1,877 FCFA, σ=364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β=0.0557 (Défensif) — Cov=0.000002, Var(idx)=0.000036, ρ=0.011,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1,978</w:t>
            </w:r>
          </w:p>
        </w:tc>
        <w:tc>
          <w:tcPr>
            <w:tcW w:type="dxa" w:w="1440"/>
            <w:shd w:fill="FFDCE0" w:val="clear"/>
          </w:tcPr>
          <w:p>
            <w:r>
              <w:rPr>
                <w:b/>
                <w:sz w:val="17"/>
              </w:rPr>
              <w:t>2,090</w:t>
            </w:r>
          </w:p>
        </w:tc>
        <w:tc>
          <w:tcPr>
            <w:tcW w:type="dxa" w:w="1440"/>
            <w:shd w:fill="FFDCE0" w:val="clear"/>
          </w:tcPr>
          <w:p>
            <w:r>
              <w:rPr>
                <w:sz w:val="17"/>
              </w:rPr>
              <w:t>2,203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1,791</w:t>
            </w:r>
          </w:p>
        </w:tc>
        <w:tc>
          <w:tcPr>
            <w:tcW w:type="dxa" w:w="1440"/>
            <w:shd w:fill="FFDCE0" w:val="clear"/>
          </w:tcPr>
          <w:p>
            <w:r>
              <w:rPr>
                <w:b/>
                <w:sz w:val="17"/>
              </w:rPr>
              <w:t>1,939</w:t>
            </w:r>
          </w:p>
        </w:tc>
        <w:tc>
          <w:tcPr>
            <w:tcW w:type="dxa" w:w="1440"/>
            <w:shd w:fill="FFDCE0" w:val="clear"/>
          </w:tcPr>
          <w:p>
            <w:r>
              <w:rPr>
                <w:sz w:val="17"/>
              </w:rPr>
              <w:t>2,086</w:t>
            </w:r>
          </w:p>
        </w:tc>
        <w:tc>
          <w:tcPr>
            <w:tcW w:type="dxa" w:w="1440"/>
            <w:shd w:fill="FFDCE0" w:val="clear"/>
          </w:tcPr>
          <w:p>
            <w:r>
              <w:rPr>
                <w:b/>
                <w:color w:val="C00000"/>
                <w:sz w:val="17"/>
              </w:rPr>
              <w:t>-14.2%</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1,650</w:t>
            </w:r>
          </w:p>
        </w:tc>
        <w:tc>
          <w:tcPr>
            <w:tcW w:type="dxa" w:w="1440"/>
            <w:shd w:fill="FFDCE0" w:val="clear"/>
          </w:tcPr>
          <w:p>
            <w:r>
              <w:rPr>
                <w:b/>
                <w:sz w:val="17"/>
              </w:rPr>
              <w:t>1,819</w:t>
            </w:r>
          </w:p>
        </w:tc>
        <w:tc>
          <w:tcPr>
            <w:tcW w:type="dxa" w:w="1440"/>
            <w:shd w:fill="FFDCE0" w:val="clear"/>
          </w:tcPr>
          <w:p>
            <w:r>
              <w:rPr>
                <w:sz w:val="17"/>
              </w:rPr>
              <w:t>1,989</w:t>
            </w:r>
          </w:p>
        </w:tc>
        <w:tc>
          <w:tcPr>
            <w:tcW w:type="dxa" w:w="1440"/>
            <w:shd w:fill="FFDCE0" w:val="clear"/>
          </w:tcPr>
          <w:p>
            <w:r>
              <w:rPr>
                <w:b/>
                <w:color w:val="C00000"/>
                <w:sz w:val="17"/>
              </w:rPr>
              <w:t>-19.5%</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1,538</w:t>
            </w:r>
          </w:p>
        </w:tc>
        <w:tc>
          <w:tcPr>
            <w:tcW w:type="dxa" w:w="1440"/>
            <w:shd w:fill="FFDCE0" w:val="clear"/>
          </w:tcPr>
          <w:p>
            <w:r>
              <w:rPr>
                <w:b/>
                <w:sz w:val="17"/>
              </w:rPr>
              <w:t>1,724</w:t>
            </w:r>
          </w:p>
        </w:tc>
        <w:tc>
          <w:tcPr>
            <w:tcW w:type="dxa" w:w="1440"/>
            <w:shd w:fill="FFDCE0" w:val="clear"/>
          </w:tcPr>
          <w:p>
            <w:r>
              <w:rPr>
                <w:sz w:val="17"/>
              </w:rPr>
              <w:t>1,909</w:t>
            </w:r>
          </w:p>
        </w:tc>
        <w:tc>
          <w:tcPr>
            <w:tcW w:type="dxa" w:w="1440"/>
            <w:shd w:fill="FFDCE0" w:val="clear"/>
          </w:tcPr>
          <w:p>
            <w:r>
              <w:rPr>
                <w:b/>
                <w:color w:val="C00000"/>
                <w:sz w:val="17"/>
              </w:rPr>
              <w:t>-23.7%</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1,447</w:t>
            </w:r>
          </w:p>
        </w:tc>
        <w:tc>
          <w:tcPr>
            <w:tcW w:type="dxa" w:w="1440"/>
            <w:shd w:fill="FFDCE0" w:val="clear"/>
          </w:tcPr>
          <w:p>
            <w:r>
              <w:rPr>
                <w:b/>
                <w:sz w:val="17"/>
              </w:rPr>
              <w:t>1,645</w:t>
            </w:r>
          </w:p>
        </w:tc>
        <w:tc>
          <w:tcPr>
            <w:tcW w:type="dxa" w:w="1440"/>
            <w:shd w:fill="FFDCE0" w:val="clear"/>
          </w:tcPr>
          <w:p>
            <w:r>
              <w:rPr>
                <w:sz w:val="17"/>
              </w:rPr>
              <w:t>1,843</w:t>
            </w:r>
          </w:p>
        </w:tc>
        <w:tc>
          <w:tcPr>
            <w:tcW w:type="dxa" w:w="1440"/>
            <w:shd w:fill="FFDCE0" w:val="clear"/>
          </w:tcPr>
          <w:p>
            <w:r>
              <w:rPr>
                <w:b/>
                <w:color w:val="C00000"/>
                <w:sz w:val="17"/>
              </w:rPr>
              <w:t>-27.2%</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1,370</w:t>
            </w:r>
          </w:p>
        </w:tc>
        <w:tc>
          <w:tcPr>
            <w:tcW w:type="dxa" w:w="1440"/>
            <w:shd w:fill="FFDCE0" w:val="clear"/>
          </w:tcPr>
          <w:p>
            <w:r>
              <w:rPr>
                <w:b/>
                <w:sz w:val="17"/>
              </w:rPr>
              <w:t>1,578</w:t>
            </w:r>
          </w:p>
        </w:tc>
        <w:tc>
          <w:tcPr>
            <w:tcW w:type="dxa" w:w="1440"/>
            <w:shd w:fill="FFDCE0" w:val="clear"/>
          </w:tcPr>
          <w:p>
            <w:r>
              <w:rPr>
                <w:sz w:val="17"/>
              </w:rPr>
              <w:t>1,787</w:t>
            </w:r>
          </w:p>
        </w:tc>
        <w:tc>
          <w:tcPr>
            <w:tcW w:type="dxa" w:w="1440"/>
            <w:shd w:fill="FFDCE0" w:val="clear"/>
          </w:tcPr>
          <w:p>
            <w:r>
              <w:rPr>
                <w:b/>
                <w:color w:val="C00000"/>
                <w:sz w:val="17"/>
              </w:rPr>
              <w:t>-30.2%</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1,304</w:t>
            </w:r>
          </w:p>
        </w:tc>
        <w:tc>
          <w:tcPr>
            <w:tcW w:type="dxa" w:w="1440"/>
            <w:shd w:fill="FFDCE0" w:val="clear"/>
          </w:tcPr>
          <w:p>
            <w:r>
              <w:rPr>
                <w:b/>
                <w:sz w:val="17"/>
              </w:rPr>
              <w:t>1,520</w:t>
            </w:r>
          </w:p>
        </w:tc>
        <w:tc>
          <w:tcPr>
            <w:tcW w:type="dxa" w:w="1440"/>
            <w:shd w:fill="FFDCE0" w:val="clear"/>
          </w:tcPr>
          <w:p>
            <w:r>
              <w:rPr>
                <w:sz w:val="17"/>
              </w:rPr>
              <w:t>1,737</w:t>
            </w:r>
          </w:p>
        </w:tc>
        <w:tc>
          <w:tcPr>
            <w:tcW w:type="dxa" w:w="1440"/>
            <w:shd w:fill="FFDCE0" w:val="clear"/>
          </w:tcPr>
          <w:p>
            <w:r>
              <w:rPr>
                <w:b/>
                <w:color w:val="C00000"/>
                <w:sz w:val="17"/>
              </w:rPr>
              <w:t>-32.7%</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1,245</w:t>
            </w:r>
          </w:p>
        </w:tc>
        <w:tc>
          <w:tcPr>
            <w:tcW w:type="dxa" w:w="1440"/>
            <w:shd w:fill="FFDCE0" w:val="clear"/>
          </w:tcPr>
          <w:p>
            <w:r>
              <w:rPr>
                <w:b/>
                <w:sz w:val="17"/>
              </w:rPr>
              <w:t>1,468</w:t>
            </w:r>
          </w:p>
        </w:tc>
        <w:tc>
          <w:tcPr>
            <w:tcW w:type="dxa" w:w="1440"/>
            <w:shd w:fill="FFDCE0" w:val="clear"/>
          </w:tcPr>
          <w:p>
            <w:r>
              <w:rPr>
                <w:sz w:val="17"/>
              </w:rPr>
              <w:t>1,692</w:t>
            </w:r>
          </w:p>
        </w:tc>
        <w:tc>
          <w:tcPr>
            <w:tcW w:type="dxa" w:w="1440"/>
            <w:shd w:fill="FFDCE0" w:val="clear"/>
          </w:tcPr>
          <w:p>
            <w:r>
              <w:rPr>
                <w:b/>
                <w:color w:val="C00000"/>
                <w:sz w:val="17"/>
              </w:rPr>
              <w:t>-35.0%</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1,192</w:t>
            </w:r>
          </w:p>
        </w:tc>
        <w:tc>
          <w:tcPr>
            <w:tcW w:type="dxa" w:w="1440"/>
            <w:shd w:fill="FFDCE0" w:val="clear"/>
          </w:tcPr>
          <w:p>
            <w:r>
              <w:rPr>
                <w:b/>
                <w:sz w:val="17"/>
              </w:rPr>
              <w:t>1,421</w:t>
            </w:r>
          </w:p>
        </w:tc>
        <w:tc>
          <w:tcPr>
            <w:tcW w:type="dxa" w:w="1440"/>
            <w:shd w:fill="FFDCE0" w:val="clear"/>
          </w:tcPr>
          <w:p>
            <w:r>
              <w:rPr>
                <w:sz w:val="17"/>
              </w:rPr>
              <w:t>1,651</w:t>
            </w:r>
          </w:p>
        </w:tc>
        <w:tc>
          <w:tcPr>
            <w:tcW w:type="dxa" w:w="1440"/>
            <w:shd w:fill="FFDCE0" w:val="clear"/>
          </w:tcPr>
          <w:p>
            <w:r>
              <w:rPr>
                <w:b/>
                <w:color w:val="C00000"/>
                <w:sz w:val="17"/>
              </w:rPr>
              <w:t>-37.1%</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1,144</w:t>
            </w:r>
          </w:p>
        </w:tc>
        <w:tc>
          <w:tcPr>
            <w:tcW w:type="dxa" w:w="1440"/>
            <w:shd w:fill="FFDCE0" w:val="clear"/>
          </w:tcPr>
          <w:p>
            <w:r>
              <w:rPr>
                <w:b/>
                <w:sz w:val="17"/>
              </w:rPr>
              <w:t>1,379</w:t>
            </w:r>
          </w:p>
        </w:tc>
        <w:tc>
          <w:tcPr>
            <w:tcW w:type="dxa" w:w="1440"/>
            <w:shd w:fill="FFDCE0" w:val="clear"/>
          </w:tcPr>
          <w:p>
            <w:r>
              <w:rPr>
                <w:sz w:val="17"/>
              </w:rPr>
              <w:t>1,614</w:t>
            </w:r>
          </w:p>
        </w:tc>
        <w:tc>
          <w:tcPr>
            <w:tcW w:type="dxa" w:w="1440"/>
            <w:shd w:fill="FFDCE0" w:val="clear"/>
          </w:tcPr>
          <w:p>
            <w:r>
              <w:rPr>
                <w:b/>
                <w:color w:val="C00000"/>
                <w:sz w:val="17"/>
              </w:rPr>
              <w:t>-39.0%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28,85 milliards FCFA, ce qui la positionne comme une valeur de taille moyenne sur la BRVM, offrant une liquidité potentiellement limitée mais un intérêt certain pour les investisseurs institutionnels. Avec un BPA de 160 FCFA, le titre se négocie à un PER de 14,2x, supérieur à la moyenne historique de la place (~8-12x), indiquant que le marché intègre déjà des perspectives de croissance et que le titre n'est pas « bon marché » sur la base des bénéfices courants. Le P/B de 5,01x et l'EV/EBITDA de 21,0x confirment cette lecture : les investisseurs paient une prime substantielle par rapport à la valeur comptable des actifs et à la capacité opérationnelle de l'entreprise. Cette valorisation exigeante reflète la confiance du marché dans la trajectoire de redressement de la société, mais laisse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performance spectaculaire de +62,59%, passant d'un plus bas de 1 350 FCFA à un plus haut de 2 400 FCFA, avant de clôturer à 2 260 FCFA, soit une légère baisse de -0,88% lors de la dernière séance. La moyenne du cours sur la période (1 877 FCFA) est inférieure à la médiane (1 945 FCFA), indiquant une asymétrie positive avec des épisodes de forte hausse qui ont tiré le cours vers le haut. L'écart-type de 366 FCFA (CV de 19,5%) témoigne d'une dispersion modérée, tandis que le kurtosis négatif (-1,473) révèle une distribution « aplatie » avec peu de valeurs extrêmes, ce qui est cohérent avec une tendance haussière progressive plutôt qu'un comportement erratique. Le skewness légèrement négatif (-0,228) suggère une distribution quasi symétrique, et la volatilité annualisée de 48,0% classe le titre comme très volatil, offrant un potentiel de gains élevé mais aussi un risque de pertes significatif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2 260 FCFA se situe au-dessus de la MM20 (2 221,5 FCFA) et de la MM50 (2 187,8 FCFA), confirmant une dynamique haussière à court et moyen terme. La configuration des MM, avec le prix au-dessus des deux moyennes, génère un signal d'achat, indiquant que la tendance de fond reste positive malgré le léger repli récent.</w:t>
      </w:r>
    </w:p>
    <w:p>
      <w:pPr>
        <w:spacing w:after="120" w:line="276" w:lineRule="auto"/>
      </w:pPr>
      <w:r>
        <w:t>**Bandes de Bollinger** : Le prix évolue entre la borne supérieure (2 390,96 FCFA) et la borne inférieure (2 052,04 FCFA), se positionnant dans la partie haute du canal sans toucher les extrêmes. Cette position neutre suggère une volatilité maîtrisée et une absence de signal directionnel fort, le marché semblant consolider les gains récents avant une éventuelle poursuite du mouvement.</w:t>
      </w:r>
    </w:p>
    <w:p>
      <w:pPr>
        <w:spacing w:after="120" w:line="276" w:lineRule="auto"/>
      </w:pPr>
      <w:r>
        <w:t>**MACD** : Le MACD (26,744) est supérieur à son signal (25,822), avec un écart positif de 0,92 point, confirmant un momentum haussier toujours actif. La divergence positive indique que la pression acheteuse demeure dominante, bien que l'écart relativement faible suggère un essoufflement possible du mouvement à court terme.</w:t>
      </w:r>
    </w:p>
    <w:p>
      <w:pPr>
        <w:spacing w:after="120" w:line="276" w:lineRule="auto"/>
      </w:pPr>
      <w:r>
        <w:t>**RSI** : Le RSI s'établit à 45,69, dans la zone neutre (30-70), ce qui indique que le titre n'est ni suracheté ni survendu. Cette valeur reflète un équilibre entre les forces acheteuses et vendeuses, et laisse de la marge pour une poursuite de la hausse sans risque immédiat de correction technique.</w:t>
      </w:r>
    </w:p>
    <w:p>
      <w:pPr>
        <w:spacing w:after="120" w:line="276" w:lineRule="auto"/>
      </w:pPr>
      <w:r>
        <w:t>**Stochastique** : Le %K (73,333) est inférieur au %D (78,611), avec un écart négatif indiquant un début de croisement baissier potentiel. Bien que les deux valeurs restent dans la zone de surachat (&gt;70), la configuration actuelle suggère un possible ralentissement du momentum haussier à très court terme.</w:t>
      </w:r>
    </w:p>
    <w:p>
      <w:pPr>
        <w:spacing w:after="120" w:line="276" w:lineRule="auto"/>
      </w:pPr>
      <w:r>
        <w:t>**Conclusion technique** : Les indicateurs de tendance (MM, MACD) restent positifs, mais les oscillateurs (RSI, Stochastique) montrent des signes de consolidation. La convergence entre la tendance haussière de fond et le ralentissement du momentum suggère une phase de stabilisation avant une éventuelle reprise, avec un biais globalement haussier à moyen terme.</w:t>
      </w:r>
    </w:p>
    <w:p>
      <w:pPr>
        <w:spacing w:after="120" w:line="276" w:lineRule="auto" w:before="240"/>
      </w:pPr>
      <w:r>
        <w:rPr>
          <w:b/>
          <w:color w:val="003366"/>
          <w:sz w:val="24"/>
        </w:rPr>
        <w:t>**PARTIE 3 : ANALYSE FONDAMENTALE (SECTION CRITIQUE)**</w:t>
      </w:r>
    </w:p>
    <w:p>
      <w:pPr>
        <w:spacing w:after="120" w:line="276" w:lineRule="auto"/>
      </w:pPr>
      <w:r>
        <w:t>Les données structurées 2025 révèlent une performance financière remarquable : le chiffre d'affaires s'établit à 5,139 milliards FCFA avec un résultat net de 2,037 milliards FCFA, soit une marge nette exceptionnelle de 39,6%. La rentabilité est excellente avec un ROE de 35,4% et un ROA de 27,3%, largement au-dessus des seuils de référence (&gt;15% considéré comme excellent). La structure financière est saine avec une autonomie financière de 77,0% et une trésorerie nette positive de 4,196 milliards FCFA. Cependant, le taux de croissance du CA est négatif (-23,8%), et le délai clients de 154,7 jours représente un risque de trésorerie significatif, bien que le BFR de 1,498 milliard FCFA soit positif. Les rapports trimestriels 2025 montrent une forte saisonnalité : le T1 2025 a enregistré un CA catastrophique de 48,5 millions FCFA et une perte de -189,9 millions, tandis que le T3 2025 a affiché un CA de 3,406 milliards et un bénéfice exceptionnel de 1,596 milliards, largement tiré par une reprise de provision pour redressement fiscal. Le rapport 2026 indique une croissance du CA de +137% au T1 (à 115,1 millions FCFA) mais une perte persistante de -168,9 millions, suggérant un redressement encore fragile. Les états financiers 2024 certifiés montraient une perte de -759 millions FCFA, ce qui contraste fortement avec le résultat net 2025 de 2,037 milliards, illustrant une volatilité extrême des résultats. La recommandation fondamentale est un ACHAT, soutenue par la solidité du bilan et la rentabilité élevée, mais avec une vigilance particulière sur la soutenabilité de la performance opérationnelle et la dépendance aux éléments exceptionnels.</w:t>
      </w:r>
    </w:p>
    <w:p>
      <w:pPr>
        <w:spacing w:after="120" w:line="276" w:lineRule="auto" w:before="240"/>
      </w:pPr>
      <w:r>
        <w:rPr>
          <w:b/>
          <w:color w:val="003366"/>
          <w:sz w:val="24"/>
        </w:rPr>
        <w:t>**PARTIE 4 : CONCLUSION D'INVESTISSEMENT**</w:t>
      </w:r>
    </w:p>
    <w:p>
      <w:pPr>
        <w:spacing w:after="120" w:line="276" w:lineRule="auto"/>
      </w:pPr>
      <w:r>
        <w:t>La valorisation actuelle de NEIC (PER 14,2x, P/B 5,01x, EV/EBITDA 21,0x) est exigeante et intègre des attentes élevées de croissance, ce qui contraste avec la forte volatilité des résultats historiques. Le comportement du cours sur 100 jours (+62,59%) avec une volatilité annualisée de 48% reflète un optimisme marqué des investisseurs, mais les statistiques descriptives (kurtosis platykurtique, skewness symétrique) suggèrent une stabilité relative dans la progression. Les signaux techniques sont globalement positifs (MM et MACD en achat) mais montrent des signes de consolidation (RSI neutre, Stochastique en léger croisement baissier), indiquant un possible répit à court terme. Les fondamentaux 2025 sont solides (ROE 35,4%, trésorerie positive de 4,196 milliards), mais la dépendance aux éléments exceptionnels et la baisse du CA (-23,8%) constituent des risques majeurs. Les prédictions IA pour les 10 prochains jours (baisse de 2 090 à 1 645 FCFA) contredisent nettement la tendance haussière récente et suggèrent une correction technique probable. La divergence entre les signaux techniques positifs, la valorisation exigeante et les prédictions baissières de l'IA conduit à une recommandation de **CONSERVER** avec un niveau de confiance **Moyen** et un risque global **Élevé**. L'horizon d'investissement optimal est le **moyen terme (3-12 mois)**, en attendant une confirmation de la solidité du redressement opérationnel et une stabilisation du cours autour des niveaux actuels.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592.39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2,034 titres</w:t>
            </w:r>
          </w:p>
        </w:tc>
        <w:tc>
          <w:tcPr>
            <w:tcW w:type="dxa" w:w="2268"/>
            <w:shd w:fill="FFF2CC" w:val="clear"/>
          </w:tcPr>
          <w:p>
            <w:r>
              <w:rPr>
                <w:b/>
                <w:color w:val="503200"/>
                <w:sz w:val="16"/>
              </w:rPr>
              <w:t xml:space="preserve">Cours actuel : </w:t>
            </w:r>
            <w:r>
              <w:rPr>
                <w:color w:val="000000"/>
                <w:sz w:val="17"/>
              </w:rPr>
              <w:t>23,950 FCFA</w:t>
            </w:r>
          </w:p>
          <w:p>
            <w:r>
              <w:rPr>
                <w:b/>
                <w:color w:val="503200"/>
                <w:sz w:val="16"/>
              </w:rPr>
              <w:t xml:space="preserve">Var. 100 jours : </w:t>
            </w:r>
            <w:r>
              <w:rPr>
                <w:b/>
                <w:color w:val="007800"/>
                <w:sz w:val="17"/>
              </w:rPr>
              <w:t>+72.30%</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19.66% (Élevée) — μ=17,503 FCFA, σ=3,441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β=1.4587 (Agressif) — Cov=0.000052, Var(idx)=0.000036, ρ=0.369,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2,034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2026-08-05</w:t>
            </w:r>
          </w:p>
        </w:tc>
        <w:tc>
          <w:tcPr>
            <w:tcW w:type="dxa" w:w="1440"/>
            <w:shd w:fill="C6EFCE" w:val="clear"/>
          </w:tcPr>
          <w:p>
            <w:r>
              <w:rPr>
                <w:sz w:val="17"/>
              </w:rPr>
              <w:t>23,429</w:t>
            </w:r>
          </w:p>
        </w:tc>
        <w:tc>
          <w:tcPr>
            <w:tcW w:type="dxa" w:w="1440"/>
            <w:shd w:fill="C6EFCE" w:val="clear"/>
          </w:tcPr>
          <w:p>
            <w:r>
              <w:rPr>
                <w:b/>
                <w:sz w:val="17"/>
              </w:rPr>
              <w:t>24,456</w:t>
            </w:r>
          </w:p>
        </w:tc>
        <w:tc>
          <w:tcPr>
            <w:tcW w:type="dxa" w:w="1440"/>
            <w:shd w:fill="C6EFCE" w:val="clear"/>
          </w:tcPr>
          <w:p>
            <w:r>
              <w:rPr>
                <w:sz w:val="17"/>
              </w:rPr>
              <w:t>25,483</w:t>
            </w:r>
          </w:p>
        </w:tc>
        <w:tc>
          <w:tcPr>
            <w:tcW w:type="dxa" w:w="1440"/>
            <w:shd w:fill="C6EFCE" w:val="clear"/>
          </w:tcPr>
          <w:p>
            <w:r>
              <w:rPr>
                <w:b/>
                <w:color w:val="008000"/>
                <w:sz w:val="17"/>
              </w:rPr>
              <w:t>+2.1%</w:t>
            </w:r>
          </w:p>
        </w:tc>
      </w:tr>
      <w:tr>
        <w:tc>
          <w:tcPr>
            <w:tcW w:type="dxa" w:w="1440"/>
            <w:shd w:fill="C6EFCE" w:val="clear"/>
          </w:tcPr>
          <w:p>
            <w:r>
              <w:rPr>
                <w:sz w:val="17"/>
              </w:rPr>
              <w:t>J+2  Moyenne</w:t>
            </w:r>
          </w:p>
        </w:tc>
        <w:tc>
          <w:tcPr>
            <w:tcW w:type="dxa" w:w="1440"/>
            <w:shd w:fill="C6EFCE" w:val="clear"/>
          </w:tcPr>
          <w:p>
            <w:r>
              <w:rPr>
                <w:sz w:val="17"/>
              </w:rPr>
              <w:t>2026-08-06</w:t>
            </w:r>
          </w:p>
        </w:tc>
        <w:tc>
          <w:tcPr>
            <w:tcW w:type="dxa" w:w="1440"/>
            <w:shd w:fill="C6EFCE" w:val="clear"/>
          </w:tcPr>
          <w:p>
            <w:r>
              <w:rPr>
                <w:sz w:val="17"/>
              </w:rPr>
              <w:t>23,378</w:t>
            </w:r>
          </w:p>
        </w:tc>
        <w:tc>
          <w:tcPr>
            <w:tcW w:type="dxa" w:w="1440"/>
            <w:shd w:fill="C6EFCE" w:val="clear"/>
          </w:tcPr>
          <w:p>
            <w:r>
              <w:rPr>
                <w:b/>
                <w:sz w:val="17"/>
              </w:rPr>
              <w:t>24,854</w:t>
            </w:r>
          </w:p>
        </w:tc>
        <w:tc>
          <w:tcPr>
            <w:tcW w:type="dxa" w:w="1440"/>
            <w:shd w:fill="C6EFCE" w:val="clear"/>
          </w:tcPr>
          <w:p>
            <w:r>
              <w:rPr>
                <w:sz w:val="17"/>
              </w:rPr>
              <w:t>26,330</w:t>
            </w:r>
          </w:p>
        </w:tc>
        <w:tc>
          <w:tcPr>
            <w:tcW w:type="dxa" w:w="1440"/>
            <w:shd w:fill="C6EFCE" w:val="clear"/>
          </w:tcPr>
          <w:p>
            <w:r>
              <w:rPr>
                <w:b/>
                <w:color w:val="008000"/>
                <w:sz w:val="17"/>
              </w:rPr>
              <w:t>+3.8%</w:t>
            </w:r>
          </w:p>
        </w:tc>
      </w:tr>
      <w:tr>
        <w:tc>
          <w:tcPr>
            <w:tcW w:type="dxa" w:w="1440"/>
            <w:shd w:fill="C6EFCE" w:val="clear"/>
          </w:tcPr>
          <w:p>
            <w:r>
              <w:rPr>
                <w:sz w:val="17"/>
              </w:rPr>
              <w:t>J+3  Moyenne</w:t>
            </w:r>
          </w:p>
        </w:tc>
        <w:tc>
          <w:tcPr>
            <w:tcW w:type="dxa" w:w="1440"/>
            <w:shd w:fill="C6EFCE" w:val="clear"/>
          </w:tcPr>
          <w:p>
            <w:r>
              <w:rPr>
                <w:sz w:val="17"/>
              </w:rPr>
              <w:t>2026-08-10</w:t>
            </w:r>
          </w:p>
        </w:tc>
        <w:tc>
          <w:tcPr>
            <w:tcW w:type="dxa" w:w="1440"/>
            <w:shd w:fill="C6EFCE" w:val="clear"/>
          </w:tcPr>
          <w:p>
            <w:r>
              <w:rPr>
                <w:sz w:val="17"/>
              </w:rPr>
              <w:t>23,416</w:t>
            </w:r>
          </w:p>
        </w:tc>
        <w:tc>
          <w:tcPr>
            <w:tcW w:type="dxa" w:w="1440"/>
            <w:shd w:fill="C6EFCE" w:val="clear"/>
          </w:tcPr>
          <w:p>
            <w:r>
              <w:rPr>
                <w:b/>
                <w:sz w:val="17"/>
              </w:rPr>
              <w:t>25,253</w:t>
            </w:r>
          </w:p>
        </w:tc>
        <w:tc>
          <w:tcPr>
            <w:tcW w:type="dxa" w:w="1440"/>
            <w:shd w:fill="C6EFCE" w:val="clear"/>
          </w:tcPr>
          <w:p>
            <w:r>
              <w:rPr>
                <w:sz w:val="17"/>
              </w:rPr>
              <w:t>27,090</w:t>
            </w:r>
          </w:p>
        </w:tc>
        <w:tc>
          <w:tcPr>
            <w:tcW w:type="dxa" w:w="1440"/>
            <w:shd w:fill="C6EFCE" w:val="clear"/>
          </w:tcPr>
          <w:p>
            <w:r>
              <w:rPr>
                <w:b/>
                <w:color w:val="008000"/>
                <w:sz w:val="17"/>
              </w:rPr>
              <w:t>+5.4%</w:t>
            </w:r>
          </w:p>
        </w:tc>
      </w:tr>
      <w:tr>
        <w:tc>
          <w:tcPr>
            <w:tcW w:type="dxa" w:w="1440"/>
            <w:shd w:fill="C6EFCE" w:val="clear"/>
          </w:tcPr>
          <w:p>
            <w:r>
              <w:rPr>
                <w:sz w:val="17"/>
              </w:rPr>
              <w:t>J+4  ⭐</w:t>
            </w:r>
          </w:p>
        </w:tc>
        <w:tc>
          <w:tcPr>
            <w:tcW w:type="dxa" w:w="1440"/>
            <w:shd w:fill="C6EFCE" w:val="clear"/>
          </w:tcPr>
          <w:p>
            <w:r>
              <w:rPr>
                <w:sz w:val="17"/>
              </w:rPr>
              <w:t>2026-08-11</w:t>
            </w:r>
          </w:p>
        </w:tc>
        <w:tc>
          <w:tcPr>
            <w:tcW w:type="dxa" w:w="1440"/>
            <w:shd w:fill="C6EFCE" w:val="clear"/>
          </w:tcPr>
          <w:p>
            <w:r>
              <w:rPr>
                <w:sz w:val="17"/>
              </w:rPr>
              <w:t>23,489</w:t>
            </w:r>
          </w:p>
        </w:tc>
        <w:tc>
          <w:tcPr>
            <w:tcW w:type="dxa" w:w="1440"/>
            <w:shd w:fill="C6EFCE" w:val="clear"/>
          </w:tcPr>
          <w:p>
            <w:r>
              <w:rPr>
                <w:b/>
                <w:sz w:val="17"/>
              </w:rPr>
              <w:t>25,643</w:t>
            </w:r>
          </w:p>
        </w:tc>
        <w:tc>
          <w:tcPr>
            <w:tcW w:type="dxa" w:w="1440"/>
            <w:shd w:fill="C6EFCE" w:val="clear"/>
          </w:tcPr>
          <w:p>
            <w:r>
              <w:rPr>
                <w:sz w:val="17"/>
              </w:rPr>
              <w:t>27,797</w:t>
            </w:r>
          </w:p>
        </w:tc>
        <w:tc>
          <w:tcPr>
            <w:tcW w:type="dxa" w:w="1440"/>
            <w:shd w:fill="C6EFCE" w:val="clear"/>
          </w:tcPr>
          <w:p>
            <w:r>
              <w:rPr>
                <w:b/>
                <w:color w:val="008000"/>
                <w:sz w:val="17"/>
              </w:rPr>
              <w:t>+7.1%</w:t>
            </w:r>
          </w:p>
        </w:tc>
      </w:tr>
      <w:tr>
        <w:tc>
          <w:tcPr>
            <w:tcW w:type="dxa" w:w="1440"/>
            <w:shd w:fill="C6EFCE" w:val="clear"/>
          </w:tcPr>
          <w:p>
            <w:r>
              <w:rPr>
                <w:sz w:val="17"/>
              </w:rPr>
              <w:t>J+5  ⭐</w:t>
            </w:r>
          </w:p>
        </w:tc>
        <w:tc>
          <w:tcPr>
            <w:tcW w:type="dxa" w:w="1440"/>
            <w:shd w:fill="C6EFCE" w:val="clear"/>
          </w:tcPr>
          <w:p>
            <w:r>
              <w:rPr>
                <w:sz w:val="17"/>
              </w:rPr>
              <w:t>2026-08-12</w:t>
            </w:r>
          </w:p>
        </w:tc>
        <w:tc>
          <w:tcPr>
            <w:tcW w:type="dxa" w:w="1440"/>
            <w:shd w:fill="C6EFCE" w:val="clear"/>
          </w:tcPr>
          <w:p>
            <w:r>
              <w:rPr>
                <w:sz w:val="17"/>
              </w:rPr>
              <w:t>23,587</w:t>
            </w:r>
          </w:p>
        </w:tc>
        <w:tc>
          <w:tcPr>
            <w:tcW w:type="dxa" w:w="1440"/>
            <w:shd w:fill="C6EFCE" w:val="clear"/>
          </w:tcPr>
          <w:p>
            <w:r>
              <w:rPr>
                <w:b/>
                <w:sz w:val="17"/>
              </w:rPr>
              <w:t>26,031</w:t>
            </w:r>
          </w:p>
        </w:tc>
        <w:tc>
          <w:tcPr>
            <w:tcW w:type="dxa" w:w="1440"/>
            <w:shd w:fill="C6EFCE" w:val="clear"/>
          </w:tcPr>
          <w:p>
            <w:r>
              <w:rPr>
                <w:sz w:val="17"/>
              </w:rPr>
              <w:t>28,475</w:t>
            </w:r>
          </w:p>
        </w:tc>
        <w:tc>
          <w:tcPr>
            <w:tcW w:type="dxa" w:w="1440"/>
            <w:shd w:fill="C6EFCE" w:val="clear"/>
          </w:tcPr>
          <w:p>
            <w:r>
              <w:rPr>
                <w:b/>
                <w:color w:val="008000"/>
                <w:sz w:val="17"/>
              </w:rPr>
              <w:t>+8.7%</w:t>
            </w:r>
          </w:p>
        </w:tc>
      </w:tr>
      <w:tr>
        <w:tc>
          <w:tcPr>
            <w:tcW w:type="dxa" w:w="1440"/>
            <w:shd w:fill="C6EFCE" w:val="clear"/>
          </w:tcPr>
          <w:p>
            <w:r>
              <w:rPr>
                <w:sz w:val="17"/>
              </w:rPr>
              <w:t>J+6  ⭐</w:t>
            </w:r>
          </w:p>
        </w:tc>
        <w:tc>
          <w:tcPr>
            <w:tcW w:type="dxa" w:w="1440"/>
            <w:shd w:fill="C6EFCE" w:val="clear"/>
          </w:tcPr>
          <w:p>
            <w:r>
              <w:rPr>
                <w:sz w:val="17"/>
              </w:rPr>
              <w:t>2026-08-13</w:t>
            </w:r>
          </w:p>
        </w:tc>
        <w:tc>
          <w:tcPr>
            <w:tcW w:type="dxa" w:w="1440"/>
            <w:shd w:fill="C6EFCE" w:val="clear"/>
          </w:tcPr>
          <w:p>
            <w:r>
              <w:rPr>
                <w:sz w:val="17"/>
              </w:rPr>
              <w:t>23,700</w:t>
            </w:r>
          </w:p>
        </w:tc>
        <w:tc>
          <w:tcPr>
            <w:tcW w:type="dxa" w:w="1440"/>
            <w:shd w:fill="C6EFCE" w:val="clear"/>
          </w:tcPr>
          <w:p>
            <w:r>
              <w:rPr>
                <w:b/>
                <w:sz w:val="17"/>
              </w:rPr>
              <w:t>26,418</w:t>
            </w:r>
          </w:p>
        </w:tc>
        <w:tc>
          <w:tcPr>
            <w:tcW w:type="dxa" w:w="1440"/>
            <w:shd w:fill="C6EFCE" w:val="clear"/>
          </w:tcPr>
          <w:p>
            <w:r>
              <w:rPr>
                <w:sz w:val="17"/>
              </w:rPr>
              <w:t>29,135</w:t>
            </w:r>
          </w:p>
        </w:tc>
        <w:tc>
          <w:tcPr>
            <w:tcW w:type="dxa" w:w="1440"/>
            <w:shd w:fill="C6EFCE" w:val="clear"/>
          </w:tcPr>
          <w:p>
            <w:r>
              <w:rPr>
                <w:b/>
                <w:color w:val="008000"/>
                <w:sz w:val="17"/>
              </w:rPr>
              <w:t>+10.3%</w:t>
            </w:r>
          </w:p>
        </w:tc>
      </w:tr>
      <w:tr>
        <w:tc>
          <w:tcPr>
            <w:tcW w:type="dxa" w:w="1440"/>
            <w:shd w:fill="C6EFCE" w:val="clear"/>
          </w:tcPr>
          <w:p>
            <w:r>
              <w:rPr>
                <w:sz w:val="17"/>
              </w:rPr>
              <w:t>J+7  ⭐</w:t>
            </w:r>
          </w:p>
        </w:tc>
        <w:tc>
          <w:tcPr>
            <w:tcW w:type="dxa" w:w="1440"/>
            <w:shd w:fill="C6EFCE" w:val="clear"/>
          </w:tcPr>
          <w:p>
            <w:r>
              <w:rPr>
                <w:sz w:val="17"/>
              </w:rPr>
              <w:t>2026-08-14</w:t>
            </w:r>
          </w:p>
        </w:tc>
        <w:tc>
          <w:tcPr>
            <w:tcW w:type="dxa" w:w="1440"/>
            <w:shd w:fill="C6EFCE" w:val="clear"/>
          </w:tcPr>
          <w:p>
            <w:r>
              <w:rPr>
                <w:sz w:val="17"/>
              </w:rPr>
              <w:t>23,825</w:t>
            </w:r>
          </w:p>
        </w:tc>
        <w:tc>
          <w:tcPr>
            <w:tcW w:type="dxa" w:w="1440"/>
            <w:shd w:fill="C6EFCE" w:val="clear"/>
          </w:tcPr>
          <w:p>
            <w:r>
              <w:rPr>
                <w:b/>
                <w:sz w:val="17"/>
              </w:rPr>
              <w:t>26,803</w:t>
            </w:r>
          </w:p>
        </w:tc>
        <w:tc>
          <w:tcPr>
            <w:tcW w:type="dxa" w:w="1440"/>
            <w:shd w:fill="C6EFCE" w:val="clear"/>
          </w:tcPr>
          <w:p>
            <w:r>
              <w:rPr>
                <w:sz w:val="17"/>
              </w:rPr>
              <w:t>29,781</w:t>
            </w:r>
          </w:p>
        </w:tc>
        <w:tc>
          <w:tcPr>
            <w:tcW w:type="dxa" w:w="1440"/>
            <w:shd w:fill="C6EFCE" w:val="clear"/>
          </w:tcPr>
          <w:p>
            <w:r>
              <w:rPr>
                <w:b/>
                <w:color w:val="008000"/>
                <w:sz w:val="17"/>
              </w:rPr>
              <w:t>+11.9%</w:t>
            </w:r>
          </w:p>
        </w:tc>
      </w:tr>
      <w:tr>
        <w:tc>
          <w:tcPr>
            <w:tcW w:type="dxa" w:w="1440"/>
            <w:shd w:fill="C6EFCE" w:val="clear"/>
          </w:tcPr>
          <w:p>
            <w:r>
              <w:rPr>
                <w:sz w:val="17"/>
              </w:rPr>
              <w:t>J+8  ⭐</w:t>
            </w:r>
          </w:p>
        </w:tc>
        <w:tc>
          <w:tcPr>
            <w:tcW w:type="dxa" w:w="1440"/>
            <w:shd w:fill="C6EFCE" w:val="clear"/>
          </w:tcPr>
          <w:p>
            <w:r>
              <w:rPr>
                <w:sz w:val="17"/>
              </w:rPr>
              <w:t>2026-08-17</w:t>
            </w:r>
          </w:p>
        </w:tc>
        <w:tc>
          <w:tcPr>
            <w:tcW w:type="dxa" w:w="1440"/>
            <w:shd w:fill="C6EFCE" w:val="clear"/>
          </w:tcPr>
          <w:p>
            <w:r>
              <w:rPr>
                <w:sz w:val="17"/>
              </w:rPr>
              <w:t>23,957</w:t>
            </w:r>
          </w:p>
        </w:tc>
        <w:tc>
          <w:tcPr>
            <w:tcW w:type="dxa" w:w="1440"/>
            <w:shd w:fill="C6EFCE" w:val="clear"/>
          </w:tcPr>
          <w:p>
            <w:r>
              <w:rPr>
                <w:b/>
                <w:sz w:val="17"/>
              </w:rPr>
              <w:t>27,186</w:t>
            </w:r>
          </w:p>
        </w:tc>
        <w:tc>
          <w:tcPr>
            <w:tcW w:type="dxa" w:w="1440"/>
            <w:shd w:fill="C6EFCE" w:val="clear"/>
          </w:tcPr>
          <w:p>
            <w:r>
              <w:rPr>
                <w:sz w:val="17"/>
              </w:rPr>
              <w:t>30,416</w:t>
            </w:r>
          </w:p>
        </w:tc>
        <w:tc>
          <w:tcPr>
            <w:tcW w:type="dxa" w:w="1440"/>
            <w:shd w:fill="C6EFCE" w:val="clear"/>
          </w:tcPr>
          <w:p>
            <w:r>
              <w:rPr>
                <w:b/>
                <w:color w:val="008000"/>
                <w:sz w:val="17"/>
              </w:rPr>
              <w:t>+13.5%</w:t>
            </w:r>
          </w:p>
        </w:tc>
      </w:tr>
      <w:tr>
        <w:tc>
          <w:tcPr>
            <w:tcW w:type="dxa" w:w="1440"/>
            <w:shd w:fill="C6EFCE" w:val="clear"/>
          </w:tcPr>
          <w:p>
            <w:r>
              <w:rPr>
                <w:sz w:val="17"/>
              </w:rPr>
              <w:t>J+9  ⭐</w:t>
            </w:r>
          </w:p>
        </w:tc>
        <w:tc>
          <w:tcPr>
            <w:tcW w:type="dxa" w:w="1440"/>
            <w:shd w:fill="C6EFCE" w:val="clear"/>
          </w:tcPr>
          <w:p>
            <w:r>
              <w:rPr>
                <w:sz w:val="17"/>
              </w:rPr>
              <w:t>2026-08-18</w:t>
            </w:r>
          </w:p>
        </w:tc>
        <w:tc>
          <w:tcPr>
            <w:tcW w:type="dxa" w:w="1440"/>
            <w:shd w:fill="C6EFCE" w:val="clear"/>
          </w:tcPr>
          <w:p>
            <w:r>
              <w:rPr>
                <w:sz w:val="17"/>
              </w:rPr>
              <w:t>24,094</w:t>
            </w:r>
          </w:p>
        </w:tc>
        <w:tc>
          <w:tcPr>
            <w:tcW w:type="dxa" w:w="1440"/>
            <w:shd w:fill="C6EFCE" w:val="clear"/>
          </w:tcPr>
          <w:p>
            <w:r>
              <w:rPr>
                <w:b/>
                <w:sz w:val="17"/>
              </w:rPr>
              <w:t>27,567</w:t>
            </w:r>
          </w:p>
        </w:tc>
        <w:tc>
          <w:tcPr>
            <w:tcW w:type="dxa" w:w="1440"/>
            <w:shd w:fill="C6EFCE" w:val="clear"/>
          </w:tcPr>
          <w:p>
            <w:r>
              <w:rPr>
                <w:sz w:val="17"/>
              </w:rPr>
              <w:t>31,041</w:t>
            </w:r>
          </w:p>
        </w:tc>
        <w:tc>
          <w:tcPr>
            <w:tcW w:type="dxa" w:w="1440"/>
            <w:shd w:fill="C6EFCE" w:val="clear"/>
          </w:tcPr>
          <w:p>
            <w:r>
              <w:rPr>
                <w:b/>
                <w:color w:val="008000"/>
                <w:sz w:val="17"/>
              </w:rPr>
              <w:t>+15.1%</w:t>
            </w:r>
          </w:p>
        </w:tc>
      </w:tr>
      <w:tr>
        <w:tc>
          <w:tcPr>
            <w:tcW w:type="dxa" w:w="1440"/>
            <w:shd w:fill="C6EFCE" w:val="clear"/>
          </w:tcPr>
          <w:p>
            <w:r>
              <w:rPr>
                <w:sz w:val="17"/>
              </w:rPr>
              <w:t>J+10  ⭐</w:t>
            </w:r>
          </w:p>
        </w:tc>
        <w:tc>
          <w:tcPr>
            <w:tcW w:type="dxa" w:w="1440"/>
            <w:shd w:fill="C6EFCE" w:val="clear"/>
          </w:tcPr>
          <w:p>
            <w:r>
              <w:rPr>
                <w:sz w:val="17"/>
              </w:rPr>
              <w:t>2026-08-19</w:t>
            </w:r>
          </w:p>
        </w:tc>
        <w:tc>
          <w:tcPr>
            <w:tcW w:type="dxa" w:w="1440"/>
            <w:shd w:fill="C6EFCE" w:val="clear"/>
          </w:tcPr>
          <w:p>
            <w:r>
              <w:rPr>
                <w:sz w:val="17"/>
              </w:rPr>
              <w:t>24,234</w:t>
            </w:r>
          </w:p>
        </w:tc>
        <w:tc>
          <w:tcPr>
            <w:tcW w:type="dxa" w:w="1440"/>
            <w:shd w:fill="C6EFCE" w:val="clear"/>
          </w:tcPr>
          <w:p>
            <w:r>
              <w:rPr>
                <w:b/>
                <w:sz w:val="17"/>
              </w:rPr>
              <w:t>27,945</w:t>
            </w:r>
          </w:p>
        </w:tc>
        <w:tc>
          <w:tcPr>
            <w:tcW w:type="dxa" w:w="1440"/>
            <w:shd w:fill="C6EFCE" w:val="clear"/>
          </w:tcPr>
          <w:p>
            <w:r>
              <w:rPr>
                <w:sz w:val="17"/>
              </w:rPr>
              <w:t>31,657</w:t>
            </w:r>
          </w:p>
        </w:tc>
        <w:tc>
          <w:tcPr>
            <w:tcW w:type="dxa" w:w="1440"/>
            <w:shd w:fill="C6EFCE" w:val="clear"/>
          </w:tcPr>
          <w:p>
            <w:r>
              <w:rPr>
                <w:b/>
                <w:color w:val="008000"/>
                <w:sz w:val="17"/>
              </w:rPr>
              <w:t>+16.7%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592,39 milliards FCFA, ce qui en fait l'une des valeurs les plus significatives de la BRVM, reflétant son statut de banque systémique en Côte d'Ivoire. Le BPA de 1 646 FCFA indique que chaque action génère un bénéfice substantiel, justifiant un PER de 14,6x, supérieur à la moyenne historique de la BRVM (8-12x), ce qui traduit une prime de croissance accordée par le marché aux banques ivoiriennes performantes. Le P/B de 2,54x confirme cette prime, le marché valorisant la banque à plus de 2,5 fois sa valeur comptable, signe de confiance dans la création de valeur future. Enfin, l'EV/EBITDA de 21,9x apparaît particulièrement exigeant, indiquant que la valeur d'entreprise intègre des anticipations de croissance très optimistes par rapport à la capacité opérationnelle actuelle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+72,30%, passant d'un plus bas de 13 810 FCFA à un plus haut de 24 020 FCFA, avec un cours actuel de 23 950 FCFA, proche de son sommet. La légère baisse de -0,29% lors de la dernière séance suggère une consolidation après cette forte ascension. Les statistiques descriptives révèlent une moyenne de 17 503 FCFA et une médiane de 17 995 FCFA, relativement proches, indiquant une distribution globalement symétrique, confirmée par un skewness de 0,342. L'écart-type de 3 458 FCFA (CV=19,8%) montre une dispersion modérée du cours autour de la moyenne. Le kurtosis de -1,322 (platykurtique) indique une distribution aplatie avec une faible concentration des valeurs autour de la moyenne, suggérant des mouvements de prix progressifs plutôt que des pics soudains. La volatilité annualisée de 37,3% classe le titre dans la catégorie élevée (&gt;30%), reflétant un risque significatif mais également un fort potentiel de rendement.</w:t>
      </w:r>
    </w:p>
    <w:p>
      <w:pPr>
        <w:spacing w:after="120" w:line="276" w:lineRule="auto" w:before="240"/>
      </w:pPr>
      <w:r>
        <w:rPr>
          <w:b/>
          <w:color w:val="003366"/>
          <w:sz w:val="24"/>
        </w:rPr>
        <w:t>**PARTIE 2 : ANALYSE TECHNIQUE DÉTAILLÉE**</w:t>
      </w:r>
    </w:p>
    <w:p>
      <w:pPr>
        <w:spacing w:after="120" w:line="276" w:lineRule="auto"/>
      </w:pPr>
      <w:r>
        <w:t>**Moyennes Mobiles** : Le cours actuel de 23 950 FCFA se positionne nettement au-dessus de la MM20 (22 672 FCFA) et de la MM50 (20 584 FCFA), confirmant une tendance haussière robuste. L'écart positif entre le cours et les moyennes mobiles indique une dynamique positive soutenue, justifiant la décision d'achat.</w:t>
      </w:r>
    </w:p>
    <w:p>
      <w:pPr>
        <w:spacing w:after="120" w:line="276" w:lineRule="auto"/>
      </w:pPr>
      <w:r>
        <w:t>**Bandes de Bollinger** : Le cours se situe à 23 950 FCFA, proche de la borne supérieure (24 488 FCFA) et nettement au-dessus de la borne inférieure (20 856 FCFA). Cette position suggère une pression acheteuse soutenue, mais également une possible surachete à court terme. La décision neutre reflète cette tension entre momentum haussier et risque de correction.</w:t>
      </w:r>
    </w:p>
    <w:p>
      <w:pPr>
        <w:spacing w:after="120" w:line="276" w:lineRule="auto"/>
      </w:pPr>
      <w:r>
        <w:t>**MACD** : Le MACD (996,88) est légèrement inférieur à son signal (1 005,02), indiquant un affaiblissement du momentum haussier. Cette divergence négative, bien que marginale, suggère une possible consolidation ou correction à court terme, justifiant la décision de vente.</w:t>
      </w:r>
    </w:p>
    <w:p>
      <w:pPr>
        <w:spacing w:after="120" w:line="276" w:lineRule="auto"/>
      </w:pPr>
      <w:r>
        <w:t>**RSI** : La valeur de 71,10 place le titre en zone de surachat (&gt;70), signalant une pression acheteuse excessive qui pourrait précéder un repli technique. Cette lecture justifie la décision de vente, bien que le RSI puisse rester en zone de surachat pendant une tendance haussière prolongée.</w:t>
      </w:r>
    </w:p>
    <w:p>
      <w:pPr>
        <w:spacing w:after="120" w:line="276" w:lineRule="auto"/>
      </w:pPr>
      <w:r>
        <w:t>**Stochastique** : Le %K (96,54) et le %D (94,76) sont tous deux à des niveaux extrêmement élevés, indiquant une condition de surachat sévère. Le croisement potentiel de ces deux lignes pourrait signaler un retournement baissier imminent, justifiant la décision de vente.</w:t>
      </w:r>
    </w:p>
    <w:p>
      <w:pPr>
        <w:spacing w:after="120" w:line="276" w:lineRule="auto"/>
      </w:pPr>
      <w:r>
        <w:t>**Conclusion technique** : Les indicateurs de tendance (MM) restent positifs, mais les oscillateurs (RSI, Stochastique, MACD) convergent vers des signaux de surachat et de retournement potentiel. Cette divergence entre la tendance de fond et les conditions de court terme suggère une période de consolidation probable avant la poursuite de la tendance haussière.</w:t>
      </w:r>
    </w:p>
    <w:p>
      <w:pPr>
        <w:spacing w:after="120" w:line="276" w:lineRule="auto" w:before="240"/>
      </w:pPr>
      <w:r>
        <w:rPr>
          <w:b/>
          <w:color w:val="003366"/>
          <w:sz w:val="24"/>
        </w:rPr>
        <w:t>**PARTIE 3 : ANALYSE FONDAMENTALE (SECTION CRITIQUE)**</w:t>
      </w:r>
    </w:p>
    <w:p>
      <w:pPr>
        <w:spacing w:after="120" w:line="276" w:lineRule="auto"/>
      </w:pPr>
      <w:r>
        <w:t>En 2025, NSBC affiche des performances financières solides avec un PNB de 112,928 milliards FCFA, en croissance de 15% par rapport à 2024, et un résultat net de 40,712 milliards FCFA, en hausse de 7%. La banque démontre une excellente rentabilité avec un ROE de 17,45% et un ROA de 1,32%, tandis que le coefficient d'exploitation s'améliore à 54,59%, témoignant d'une gestion efficace. Le coût du risque de 7,54% reste élevé, reflétant une politique de provisionnement prudente face à un portefeuille de crédits en expansion (+18% à 1 818,7 milliards FCFA). La structure financière montre une dépendance aux dépôts clientèle (2 242 milliards FCFA, +32%), avec un ratio de transformation crédits/dépôts de 81%, légèrement élevé mais maîtrisé. Les rapports trimestriels 2025 confirment cette trajectoire : le S1 2025 affiche un PNB de 50,5 milliards (+10,6%) et un résultat net de 16,3 milliards (+12,3%), tandis que le T3 2025 montre une progression de 7% du PNB à 77,4 milliards sur 9 mois. Le T1 2026 est exceptionnel avec un résultat net de 10,9 milliards (+53%) et un PNB de 28,6 milliards (+28%), porté par l'activité titres. Sur la base de ces performances trimestrielles, on estime que l'exercice 2026 pourrait dépasser les 45 milliards de résultat net, soit une croissance de plus de 10%. La banque bénéficie d'une dynamique commerciale soutenue, d'une amélioration continue de son efficacité opérationnelle et d'un positionnement stratégique favorable dans le cadre du PND 2026-2030.</w:t>
      </w:r>
    </w:p>
    <w:p>
      <w:pPr>
        <w:spacing w:after="120" w:line="276" w:lineRule="auto" w:before="240"/>
      </w:pPr>
      <w:r>
        <w:rPr>
          <w:b/>
          <w:color w:val="003366"/>
          <w:sz w:val="24"/>
        </w:rPr>
        <w:t>**PARTIE 4 : CONCLUSION D'INVESTISSEMENT**</w:t>
      </w:r>
    </w:p>
    <w:p>
      <w:pPr>
        <w:spacing w:after="120" w:line="276" w:lineRule="auto"/>
      </w:pPr>
      <w:r>
        <w:t>La valorisation de NSBC (PER 14,6x, P/B 2,54x, EV/EBITDA 21,9x) indique une prime de croissance significative, le marché intégrant des anticipations optimistes. Le comportement du cours (+72,3% sur 100 jours) avec une volatilité élevée (37,3%) et une distribution symétrique suggère une dynamique haussière forte mais potentiellement fragile. Les signaux techniques sont mitigés : les moyennes mobiles restent haussières, mais le RSI, le Stochastique et le MACD convergent vers des conditions de surachat, signalant un risque de correction à court terme. Les fondamentaux sont solides avec une croissance soutenue du PNB (+15% en 2025), un ROE de 17,45% et des perspectives 2026 prometteuses (+53% au T1 2026). Les prédictions IA (24 456 à 26 031 FCFA sur 10 jours) confirment la poursuite de la tendance haussière, en cohérence avec les fondamentaux mais en contradiction avec les signaux techniques de surachat. La convergence entre la valorisation exigeante, les fondamentaux solides et les prédictions IA positives, tempérée par les signaux techniques de retournement, conduit à une recommandation de **CONSERVER** avec un niveau de confiance **Moyen**. Le risque global est **Élevé** en raison de la volatilité et des conditions de surachat. L'horizon d'investissement optimal est le **moyen terme (3-12 mois)**, permettant d'absorber une éventuelle correction technique avant de bénéficier de la croissance fondamentale.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368.58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1,978 titres</w:t>
            </w:r>
          </w:p>
        </w:tc>
        <w:tc>
          <w:tcPr>
            <w:tcW w:type="dxa" w:w="2268"/>
            <w:shd w:fill="FFF2CC" w:val="clear"/>
          </w:tcPr>
          <w:p>
            <w:r>
              <w:rPr>
                <w:b/>
                <w:color w:val="503200"/>
                <w:sz w:val="16"/>
              </w:rPr>
              <w:t xml:space="preserve">Cours actuel : </w:t>
            </w:r>
            <w:r>
              <w:rPr>
                <w:color w:val="000000"/>
                <w:sz w:val="17"/>
              </w:rPr>
              <w:t>16,700 FCFA</w:t>
            </w:r>
          </w:p>
          <w:p>
            <w:r>
              <w:rPr>
                <w:b/>
                <w:color w:val="503200"/>
                <w:sz w:val="16"/>
              </w:rPr>
              <w:t xml:space="preserve">Var. 100 jours : </w:t>
            </w:r>
            <w:r>
              <w:rPr>
                <w:b/>
                <w:color w:val="007800"/>
                <w:sz w:val="17"/>
              </w:rPr>
              <w:t>+31.50%</w:t>
            </w:r>
          </w:p>
          <w:p>
            <w:r>
              <w:rPr>
                <w:b/>
                <w:color w:val="503200"/>
                <w:sz w:val="16"/>
              </w:rPr>
              <w:t xml:space="preserve">Plus haut 100j : </w:t>
            </w:r>
            <w:r>
              <w:rPr>
                <w:color w:val="000000"/>
                <w:sz w:val="17"/>
              </w:rPr>
              <w:t>16,700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12.69% (Moyenne) — μ=13,810 FCFA, σ=1,752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β=0.3075 (Défensif) — Cov=0.000011, Var(idx)=0.000036, ρ=0.087,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15,976</w:t>
            </w:r>
          </w:p>
        </w:tc>
        <w:tc>
          <w:tcPr>
            <w:tcW w:type="dxa" w:w="1440"/>
            <w:shd w:fill="FFDCE0" w:val="clear"/>
          </w:tcPr>
          <w:p>
            <w:r>
              <w:rPr>
                <w:b/>
                <w:sz w:val="17"/>
              </w:rPr>
              <w:t>16,352</w:t>
            </w:r>
          </w:p>
        </w:tc>
        <w:tc>
          <w:tcPr>
            <w:tcW w:type="dxa" w:w="1440"/>
            <w:shd w:fill="FFDCE0" w:val="clear"/>
          </w:tcPr>
          <w:p>
            <w:r>
              <w:rPr>
                <w:sz w:val="17"/>
              </w:rPr>
              <w:t>16,728</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15,802</w:t>
            </w:r>
          </w:p>
        </w:tc>
        <w:tc>
          <w:tcPr>
            <w:tcW w:type="dxa" w:w="1440"/>
            <w:shd w:fill="FFDCE0" w:val="clear"/>
          </w:tcPr>
          <w:p>
            <w:r>
              <w:rPr>
                <w:b/>
                <w:sz w:val="17"/>
              </w:rPr>
              <w:t>16,333</w:t>
            </w:r>
          </w:p>
        </w:tc>
        <w:tc>
          <w:tcPr>
            <w:tcW w:type="dxa" w:w="1440"/>
            <w:shd w:fill="FFDCE0" w:val="clear"/>
          </w:tcPr>
          <w:p>
            <w:r>
              <w:rPr>
                <w:sz w:val="17"/>
              </w:rPr>
              <w:t>16,864</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15,643</w:t>
            </w:r>
          </w:p>
        </w:tc>
        <w:tc>
          <w:tcPr>
            <w:tcW w:type="dxa" w:w="1440"/>
            <w:shd w:fill="FFDCE0" w:val="clear"/>
          </w:tcPr>
          <w:p>
            <w:r>
              <w:rPr>
                <w:b/>
                <w:sz w:val="17"/>
              </w:rPr>
              <w:t>16,291</w:t>
            </w:r>
          </w:p>
        </w:tc>
        <w:tc>
          <w:tcPr>
            <w:tcW w:type="dxa" w:w="1440"/>
            <w:shd w:fill="FFDCE0" w:val="clear"/>
          </w:tcPr>
          <w:p>
            <w:r>
              <w:rPr>
                <w:sz w:val="17"/>
              </w:rPr>
              <w:t>16,940</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15,497</w:t>
            </w:r>
          </w:p>
        </w:tc>
        <w:tc>
          <w:tcPr>
            <w:tcW w:type="dxa" w:w="1440"/>
            <w:shd w:fill="FFDCE0" w:val="clear"/>
          </w:tcPr>
          <w:p>
            <w:r>
              <w:rPr>
                <w:b/>
                <w:sz w:val="17"/>
              </w:rPr>
              <w:t>16,244</w:t>
            </w:r>
          </w:p>
        </w:tc>
        <w:tc>
          <w:tcPr>
            <w:tcW w:type="dxa" w:w="1440"/>
            <w:shd w:fill="FFDCE0" w:val="clear"/>
          </w:tcPr>
          <w:p>
            <w:r>
              <w:rPr>
                <w:sz w:val="17"/>
              </w:rPr>
              <w:t>16,991</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15,365</w:t>
            </w:r>
          </w:p>
        </w:tc>
        <w:tc>
          <w:tcPr>
            <w:tcW w:type="dxa" w:w="1440"/>
            <w:shd w:fill="FFDCE0" w:val="clear"/>
          </w:tcPr>
          <w:p>
            <w:r>
              <w:rPr>
                <w:b/>
                <w:sz w:val="17"/>
              </w:rPr>
              <w:t>16,197</w:t>
            </w:r>
          </w:p>
        </w:tc>
        <w:tc>
          <w:tcPr>
            <w:tcW w:type="dxa" w:w="1440"/>
            <w:shd w:fill="FFDCE0" w:val="clear"/>
          </w:tcPr>
          <w:p>
            <w:r>
              <w:rPr>
                <w:sz w:val="17"/>
              </w:rPr>
              <w:t>17,030</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15,243</w:t>
            </w:r>
          </w:p>
        </w:tc>
        <w:tc>
          <w:tcPr>
            <w:tcW w:type="dxa" w:w="1440"/>
            <w:shd w:fill="FFDCE0" w:val="clear"/>
          </w:tcPr>
          <w:p>
            <w:r>
              <w:rPr>
                <w:b/>
                <w:sz w:val="17"/>
              </w:rPr>
              <w:t>16,153</w:t>
            </w:r>
          </w:p>
        </w:tc>
        <w:tc>
          <w:tcPr>
            <w:tcW w:type="dxa" w:w="1440"/>
            <w:shd w:fill="FFDCE0" w:val="clear"/>
          </w:tcPr>
          <w:p>
            <w:r>
              <w:rPr>
                <w:sz w:val="17"/>
              </w:rPr>
              <w:t>17,062</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15,130</w:t>
            </w:r>
          </w:p>
        </w:tc>
        <w:tc>
          <w:tcPr>
            <w:tcW w:type="dxa" w:w="1440"/>
            <w:shd w:fill="FFDCE0" w:val="clear"/>
          </w:tcPr>
          <w:p>
            <w:r>
              <w:rPr>
                <w:b/>
                <w:sz w:val="17"/>
              </w:rPr>
              <w:t>16,110</w:t>
            </w:r>
          </w:p>
        </w:tc>
        <w:tc>
          <w:tcPr>
            <w:tcW w:type="dxa" w:w="1440"/>
            <w:shd w:fill="FFDCE0" w:val="clear"/>
          </w:tcPr>
          <w:p>
            <w:r>
              <w:rPr>
                <w:sz w:val="17"/>
              </w:rPr>
              <w:t>17,089</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15,023</w:t>
            </w:r>
          </w:p>
        </w:tc>
        <w:tc>
          <w:tcPr>
            <w:tcW w:type="dxa" w:w="1440"/>
            <w:shd w:fill="FFDCE0" w:val="clear"/>
          </w:tcPr>
          <w:p>
            <w:r>
              <w:rPr>
                <w:b/>
                <w:sz w:val="17"/>
              </w:rPr>
              <w:t>16,068</w:t>
            </w:r>
          </w:p>
        </w:tc>
        <w:tc>
          <w:tcPr>
            <w:tcW w:type="dxa" w:w="1440"/>
            <w:shd w:fill="FFDCE0" w:val="clear"/>
          </w:tcPr>
          <w:p>
            <w:r>
              <w:rPr>
                <w:sz w:val="17"/>
              </w:rPr>
              <w:t>17,112</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14,922</w:t>
            </w:r>
          </w:p>
        </w:tc>
        <w:tc>
          <w:tcPr>
            <w:tcW w:type="dxa" w:w="1440"/>
            <w:shd w:fill="FFDCE0" w:val="clear"/>
          </w:tcPr>
          <w:p>
            <w:r>
              <w:rPr>
                <w:b/>
                <w:sz w:val="17"/>
              </w:rPr>
              <w:t>16,027</w:t>
            </w:r>
          </w:p>
        </w:tc>
        <w:tc>
          <w:tcPr>
            <w:tcW w:type="dxa" w:w="1440"/>
            <w:shd w:fill="FFDCE0" w:val="clear"/>
          </w:tcPr>
          <w:p>
            <w:r>
              <w:rPr>
                <w:sz w:val="17"/>
              </w:rPr>
              <w:t>17,132</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14,825</w:t>
            </w:r>
          </w:p>
        </w:tc>
        <w:tc>
          <w:tcPr>
            <w:tcW w:type="dxa" w:w="1440"/>
            <w:shd w:fill="FFDCE0" w:val="clear"/>
          </w:tcPr>
          <w:p>
            <w:r>
              <w:rPr>
                <w:b/>
                <w:sz w:val="17"/>
              </w:rPr>
              <w:t>15,987</w:t>
            </w:r>
          </w:p>
        </w:tc>
        <w:tc>
          <w:tcPr>
            <w:tcW w:type="dxa" w:w="1440"/>
            <w:shd w:fill="FFDCE0" w:val="clear"/>
          </w:tcPr>
          <w:p>
            <w:r>
              <w:rPr>
                <w:sz w:val="17"/>
              </w:rPr>
              <w:t>17,148</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 05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368,58 milliards FCFA, ce qui en fait l'une des plus importantes capitalisations de la BRVM, reflétant la position dominante de Nestlé dans l'industrie agroalimentaire de l'UEMOA. Le BPA de 835 FCFA indique que chaque action génère un bénéfice substantiel, mais le PER de 20,0x est nettement supérieur à la moyenne historique de la BRVM (8-12x). Cette prime de valorisation suggère que les investisseurs anticipent une croissance future des bénéfices, ou que le titre est surévalué à court terme. Le P/B de 12,46x est extrêmement élevé, signifiant que le marché valorise l'actif net de la société à plus de 12 fois sa valeur comptable, ce qui est exigeant et reflète des attentes de rendement élevées. Enfin, l'EV/EBITDA de 9,9x se situe dans la fourchette raisonnable (5-10x), indiquant que la valeur totale de l'entreprise (capitalisation + dette nette) reste cohérente avec sa capacité à générer du cash-flow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 enregistré une performance remarquable de +31,50%, avec une dernière séance en hausse de +0,91% à 16 700 FCFA. Le cours a évolué dans une fourchette large de 11 150 FCFA (plus bas) à 16 700 FCFA (plus haut), démontrant une dynamique haussière soutenue. La moyenne du cours sur la période est de 13 810 FCFA, tandis que la médiane est de 12 970 FCFA ; l'écart positif entre la moyenne et la médiane indique une distribution asymétrique vers le haut, confirmée par un skewness de 0,390. L'écart-type de 1 761 FCFA (CV = 12,8%) montre une dispersion modérée des prix autour de la moyenne. Le kurtosis négatif (-1,440) indique une distribution platykurtique, signifiant une faible concentration des prix extrêmes et donc un risque de pics limité. La volatilité annualisée de 33,5% classe le titre comme très volatil (&gt;30%), ce qui implique des fluctuations de prix importantes et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(16 700 FCFA) est nettement supérieur à la MM20 (16 284 FCFA) et à la MM50 (15 289 FCFA), confirmant une tendance haussière solide à court et moyen terme. La configuration des moyennes mobiles (MM20 &gt; MM50) valide la dynamique positive, justifiant la décision d'achat.</w:t>
      </w:r>
    </w:p>
    <w:p>
      <w:pPr>
        <w:spacing w:after="120" w:line="276" w:lineRule="auto"/>
      </w:pPr>
      <w:r>
        <w:t>**Bandes de Bollinger :** Le prix évolue près de la borne supérieure (16 835 FCFA), indiquant une pression acheteuse soutenue. La largeur des bandes (écart de 1 102 FCFA entre les bornes) reflète une volatilité élevée. La décision est neutre, car le cours n'a pas encore franchi la borne supérieure, mais il s'en approche dangereusement, ce qui pourrait signaler une correction.</w:t>
      </w:r>
    </w:p>
    <w:p>
      <w:pPr>
        <w:spacing w:after="120" w:line="276" w:lineRule="auto"/>
      </w:pPr>
      <w:r>
        <w:t>**MACD :** La valeur du MACD (363,148) est inférieure à son signal (401,039), indiquant un momentum baissier à court terme. Cette divergence négative suggère un essoufflement de la tendance haussière, justifiant la décision de vente.</w:t>
      </w:r>
    </w:p>
    <w:p>
      <w:pPr>
        <w:spacing w:after="120" w:line="276" w:lineRule="auto"/>
      </w:pPr>
      <w:r>
        <w:t>**RSI :** Le RSI à 80,078 est en zone de surachat (&gt;70), signalant que le titre est techniquement surévalué à court terme. Cette situation suggère un risque de retournement ou de consolidation, justifiant la décision de vente.</w:t>
      </w:r>
    </w:p>
    <w:p>
      <w:pPr>
        <w:spacing w:after="120" w:line="276" w:lineRule="auto"/>
      </w:pPr>
      <w:r>
        <w:t>**Stochastique :** Le %K (100,0) et le %D (97,778) sont tous deux en zone de surachat extrême, avec un %K au plus haut. Cette configuration indique une surchauffe du titre et un risque élevé de correction, justifiant la décision de vente.</w:t>
      </w:r>
    </w:p>
    <w:p>
      <w:pPr>
        <w:spacing w:after="120" w:line="276" w:lineRule="auto"/>
      </w:pPr>
      <w:r>
        <w:t>**Conclusion technique :** Les indicateurs de tendance (MM) sont positifs, mais les oscillateurs (RSI, Stochastique, MACD) signalent une surachat et un momentum baissier. Cette divergence suggère un risque de correction à court terme, malgré une tendance de fond haussière.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NTLC a réalisé un chiffre d'affaires de 233,26 milliards FCFA, en hausse de +5,97% par rapport à 2024 (220,11 milliards FCFA). Le résultat net s'établit à 18,43 milliards FCFA, en légère progression de +1,53% (18,15 milliards en 2024). La marge nette est de 7,90% (contre 8,25% en 2024), tandis que la marge opérationnelle atteint 16,16%. Le ROE est exceptionnel à 62,28% (résultat net / capitaux propres de 29,59 milliards), et le ROA est de 9,70%. La société présente un BFR positif de 22,63 milliards FCFA, indiquant un besoin de financement du cycle d'exploitation, avec un délai clients de 74,3 jours et une durée de stockage de 59,4 jours. L'endettement est significatif (ratio d'endettement de 135,85%), avec des dettes totales de 160,37 milliards FCFA, mais la solvabilité générale reste saine (118,45%).</w:t>
      </w:r>
    </w:p>
    <w:p>
      <w:pPr>
        <w:spacing w:after="120" w:line="276" w:lineRule="auto"/>
      </w:pPr>
      <w:r>
        <w:t>**Estimations basées sur les rapports trimestriels :** Le rapport T1 2026 (analysé le 01/05/2026) révèle une accélération spectaculaire : le CA atteint 70,82 milliards FCFA, en hausse de +31% par rapport au T1 2025, et le résultat net bondit de +37% à 7,53 milliards FCFA. La marge nette s'améliore à 10,6% (contre 10,1% au T1 2025). Sur la base de ces performances, on estime que l'exercice 2026 pourrait dépasser 280 milliards FCFA de CA et 25 milliards FCFA de résultat net, soit une croissance de plus de 20% par rapport à 2025. Cependant, les rapports S1 2025 et 9 mois 2025 montrent une pression sur les marges (marge nette de 8,1% au S1, 6,9% sur 9 mois), due à la hausse des coûts des matières premières. La politique de dividende a été réduite en 2025 (9,27 milliards FCFA proposés, soit un payout de 50,3%, contre 99,7% en 2024), signalant une stratégie de réinvestissement.</w:t>
      </w:r>
    </w:p>
    <w:p>
      <w:pPr>
        <w:spacing w:after="120" w:line="276" w:lineRule="auto"/>
      </w:pPr>
      <w:r>
        <w:t>**Recommandation fondamentale :** La solidité financière de NTLC est indéniable (ROE &gt; 60%, croissance du CA), et les perspectives 2026 sont très positives avec une croissance à deux chiffres. Les risques résident dans la pression sur les marges et l'endettement élevé, mais la capacité de l'entreprise à générer des bénéfices reste robuste. Recommandation : **ACHAT** sur le long terme.</w:t>
      </w:r>
    </w:p>
    <w:p>
      <w:pPr>
        <w:spacing w:after="120" w:line="276" w:lineRule="auto"/>
      </w:pPr>
      <w:r>
        <w:t>---</w:t>
      </w:r>
    </w:p>
    <w:p>
      <w:pPr>
        <w:spacing w:after="120" w:line="276" w:lineRule="auto"/>
      </w:pPr>
      <w:r>
        <w:t>### PARTIE 4 : CONCLUSION D'INVESTISSEMENT</w:t>
      </w:r>
    </w:p>
    <w:p>
      <w:pPr>
        <w:spacing w:after="120" w:line="276" w:lineRule="auto"/>
      </w:pPr>
      <w:r>
        <w:t>La valorisation de NTLC (PER 20x, P/B 12,5x) est exigeante, mais justifiée par une croissance attendue de plus de 20% en 2026 et un ROE exceptionnel de 62%. Le comportement du cours sur 100 jours (+31,5%) reflète cette confiance, mais la volatilité élevée (33,5%) et les statistiques (kurtosis platykurtique, skewness positif) indiquent un risque de correction. Les signaux techniques sont mitigés : les moyennes mobiles sont haussières, mais le RSI (80), le Stochastique (100) et le MACD signalent une surachat et un momentum baissier. Les fondamentaux sont solides, avec une croissance du CA de +31% au T1 2026 et une amélioration de la marge nette à 10,6%. Les prédictions IA (J+1 à J+10) prévoient une légère baisse du cours (de 16 352 à 16 197 FCFA), confirmant le risque de consolidation à court terme. En synthèse, la convergence entre la surévaluation technique et la solidité fondamentale suggère une pause temporaire avant une poursuite de la hausse. **Recommandation finale : CONSERVER** (avec potentiel d'achat en cas de correction vers 15 500-16 000 FCFA). Niveau de confiance : **Moyen** (divergence entre signaux techniques et fondamentaux). Risque global : **Élevé** (volatilité, surachat technique, pression sur les marges). Horizon d'investissement optimal : **Moyen terme (3-12 mois)** pour bénéficier de la croissance 2026, avec une entrée idéale sur repli.</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199.92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5,578 titres</w:t>
            </w:r>
          </w:p>
        </w:tc>
        <w:tc>
          <w:tcPr>
            <w:tcW w:type="dxa" w:w="2268"/>
            <w:shd w:fill="FFF2CC" w:val="clear"/>
          </w:tcPr>
          <w:p>
            <w:r>
              <w:rPr>
                <w:b/>
                <w:color w:val="503200"/>
                <w:sz w:val="16"/>
              </w:rPr>
              <w:t xml:space="preserve">Cours actuel : </w:t>
            </w:r>
            <w:r>
              <w:rPr>
                <w:color w:val="000000"/>
                <w:sz w:val="17"/>
              </w:rPr>
              <w:t>2,940 FCFA</w:t>
            </w:r>
          </w:p>
          <w:p>
            <w:r>
              <w:rPr>
                <w:b/>
                <w:color w:val="503200"/>
                <w:sz w:val="16"/>
              </w:rPr>
              <w:t xml:space="preserve">Var. 100 jours : </w:t>
            </w:r>
            <w:r>
              <w:rPr>
                <w:b/>
                <w:color w:val="007800"/>
                <w:sz w:val="17"/>
              </w:rPr>
              <w:t>+1.38%</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33.4%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3.48% (Faible) — μ=2,832 FCFA, σ=99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β=0.3007 (Défensif) — Cov=0.000011, Var(idx)=0.000036, ρ=0.085,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2,865</w:t>
            </w:r>
          </w:p>
        </w:tc>
        <w:tc>
          <w:tcPr>
            <w:tcW w:type="dxa" w:w="1440"/>
            <w:shd w:fill="FAFAFA" w:val="clear"/>
          </w:tcPr>
          <w:p>
            <w:r>
              <w:rPr>
                <w:b/>
                <w:sz w:val="17"/>
              </w:rPr>
              <w:t>2,948</w:t>
            </w:r>
          </w:p>
        </w:tc>
        <w:tc>
          <w:tcPr>
            <w:tcW w:type="dxa" w:w="1440"/>
            <w:shd w:fill="FAFAFA" w:val="clear"/>
          </w:tcPr>
          <w:p>
            <w:r>
              <w:rPr>
                <w:sz w:val="17"/>
              </w:rPr>
              <w:t>3,031</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2,824</w:t>
            </w:r>
          </w:p>
        </w:tc>
        <w:tc>
          <w:tcPr>
            <w:tcW w:type="dxa" w:w="1440"/>
            <w:shd w:fill="FAFAFA" w:val="clear"/>
          </w:tcPr>
          <w:p>
            <w:r>
              <w:rPr>
                <w:b/>
                <w:sz w:val="17"/>
              </w:rPr>
              <w:t>2,941</w:t>
            </w:r>
          </w:p>
        </w:tc>
        <w:tc>
          <w:tcPr>
            <w:tcW w:type="dxa" w:w="1440"/>
            <w:shd w:fill="FAFAFA" w:val="clear"/>
          </w:tcPr>
          <w:p>
            <w:r>
              <w:rPr>
                <w:sz w:val="17"/>
              </w:rPr>
              <w:t>3,059</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2,791</w:t>
            </w:r>
          </w:p>
        </w:tc>
        <w:tc>
          <w:tcPr>
            <w:tcW w:type="dxa" w:w="1440"/>
            <w:shd w:fill="FAFAFA" w:val="clear"/>
          </w:tcPr>
          <w:p>
            <w:r>
              <w:rPr>
                <w:b/>
                <w:sz w:val="17"/>
              </w:rPr>
              <w:t>2,934</w:t>
            </w:r>
          </w:p>
        </w:tc>
        <w:tc>
          <w:tcPr>
            <w:tcW w:type="dxa" w:w="1440"/>
            <w:shd w:fill="FAFAFA" w:val="clear"/>
          </w:tcPr>
          <w:p>
            <w:r>
              <w:rPr>
                <w:sz w:val="17"/>
              </w:rPr>
              <w:t>3,078</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2026-08-11</w:t>
            </w:r>
          </w:p>
        </w:tc>
        <w:tc>
          <w:tcPr>
            <w:tcW w:type="dxa" w:w="1440"/>
            <w:shd w:fill="FAFAFA" w:val="clear"/>
          </w:tcPr>
          <w:p>
            <w:r>
              <w:rPr>
                <w:sz w:val="17"/>
              </w:rPr>
              <w:t>2,763</w:t>
            </w:r>
          </w:p>
        </w:tc>
        <w:tc>
          <w:tcPr>
            <w:tcW w:type="dxa" w:w="1440"/>
            <w:shd w:fill="FAFAFA" w:val="clear"/>
          </w:tcPr>
          <w:p>
            <w:r>
              <w:rPr>
                <w:b/>
                <w:sz w:val="17"/>
              </w:rPr>
              <w:t>2,928</w:t>
            </w:r>
          </w:p>
        </w:tc>
        <w:tc>
          <w:tcPr>
            <w:tcW w:type="dxa" w:w="1440"/>
            <w:shd w:fill="FAFAFA" w:val="clear"/>
          </w:tcPr>
          <w:p>
            <w:r>
              <w:rPr>
                <w:sz w:val="17"/>
              </w:rPr>
              <w:t>3,093</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2026-08-12</w:t>
            </w:r>
          </w:p>
        </w:tc>
        <w:tc>
          <w:tcPr>
            <w:tcW w:type="dxa" w:w="1440"/>
            <w:shd w:fill="FAFAFA" w:val="clear"/>
          </w:tcPr>
          <w:p>
            <w:r>
              <w:rPr>
                <w:sz w:val="17"/>
              </w:rPr>
              <w:t>2,737</w:t>
            </w:r>
          </w:p>
        </w:tc>
        <w:tc>
          <w:tcPr>
            <w:tcW w:type="dxa" w:w="1440"/>
            <w:shd w:fill="FAFAFA" w:val="clear"/>
          </w:tcPr>
          <w:p>
            <w:r>
              <w:rPr>
                <w:b/>
                <w:sz w:val="17"/>
              </w:rPr>
              <w:t>2,922</w:t>
            </w:r>
          </w:p>
        </w:tc>
        <w:tc>
          <w:tcPr>
            <w:tcW w:type="dxa" w:w="1440"/>
            <w:shd w:fill="FAFAFA" w:val="clear"/>
          </w:tcPr>
          <w:p>
            <w:r>
              <w:rPr>
                <w:sz w:val="17"/>
              </w:rPr>
              <w:t>3,106</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2026-08-13</w:t>
            </w:r>
          </w:p>
        </w:tc>
        <w:tc>
          <w:tcPr>
            <w:tcW w:type="dxa" w:w="1440"/>
            <w:shd w:fill="FAFAFA" w:val="clear"/>
          </w:tcPr>
          <w:p>
            <w:r>
              <w:rPr>
                <w:sz w:val="17"/>
              </w:rPr>
              <w:t>2,714</w:t>
            </w:r>
          </w:p>
        </w:tc>
        <w:tc>
          <w:tcPr>
            <w:tcW w:type="dxa" w:w="1440"/>
            <w:shd w:fill="FAFAFA" w:val="clear"/>
          </w:tcPr>
          <w:p>
            <w:r>
              <w:rPr>
                <w:b/>
                <w:sz w:val="17"/>
              </w:rPr>
              <w:t>2,915</w:t>
            </w:r>
          </w:p>
        </w:tc>
        <w:tc>
          <w:tcPr>
            <w:tcW w:type="dxa" w:w="1440"/>
            <w:shd w:fill="FAFAFA" w:val="clear"/>
          </w:tcPr>
          <w:p>
            <w:r>
              <w:rPr>
                <w:sz w:val="17"/>
              </w:rPr>
              <w:t>3,117</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2026-08-14</w:t>
            </w:r>
          </w:p>
        </w:tc>
        <w:tc>
          <w:tcPr>
            <w:tcW w:type="dxa" w:w="1440"/>
            <w:shd w:fill="FAFAFA" w:val="clear"/>
          </w:tcPr>
          <w:p>
            <w:r>
              <w:rPr>
                <w:sz w:val="17"/>
              </w:rPr>
              <w:t>2,692</w:t>
            </w:r>
          </w:p>
        </w:tc>
        <w:tc>
          <w:tcPr>
            <w:tcW w:type="dxa" w:w="1440"/>
            <w:shd w:fill="FAFAFA" w:val="clear"/>
          </w:tcPr>
          <w:p>
            <w:r>
              <w:rPr>
                <w:b/>
                <w:sz w:val="17"/>
              </w:rPr>
              <w:t>2,909</w:t>
            </w:r>
          </w:p>
        </w:tc>
        <w:tc>
          <w:tcPr>
            <w:tcW w:type="dxa" w:w="1440"/>
            <w:shd w:fill="FAFAFA" w:val="clear"/>
          </w:tcPr>
          <w:p>
            <w:r>
              <w:rPr>
                <w:sz w:val="17"/>
              </w:rPr>
              <w:t>3,126</w:t>
            </w:r>
          </w:p>
        </w:tc>
        <w:tc>
          <w:tcPr>
            <w:tcW w:type="dxa" w:w="1440"/>
            <w:shd w:fill="FAFAFA" w:val="clear"/>
          </w:tcPr>
          <w:p>
            <w:r>
              <w:rPr>
                <w:b/>
                <w:color w:val="C00000"/>
                <w:sz w:val="17"/>
              </w:rPr>
              <w:t>-1.1%</w:t>
            </w:r>
          </w:p>
        </w:tc>
      </w:tr>
      <w:tr>
        <w:tc>
          <w:tcPr>
            <w:tcW w:type="dxa" w:w="1440"/>
            <w:shd w:fill="FAFAFA" w:val="clear"/>
          </w:tcPr>
          <w:p>
            <w:r>
              <w:rPr>
                <w:sz w:val="17"/>
              </w:rPr>
              <w:t>J+8  Moyenne</w:t>
            </w:r>
          </w:p>
        </w:tc>
        <w:tc>
          <w:tcPr>
            <w:tcW w:type="dxa" w:w="1440"/>
            <w:shd w:fill="FAFAFA" w:val="clear"/>
          </w:tcPr>
          <w:p>
            <w:r>
              <w:rPr>
                <w:sz w:val="17"/>
              </w:rPr>
              <w:t>2026-08-17</w:t>
            </w:r>
          </w:p>
        </w:tc>
        <w:tc>
          <w:tcPr>
            <w:tcW w:type="dxa" w:w="1440"/>
            <w:shd w:fill="FAFAFA" w:val="clear"/>
          </w:tcPr>
          <w:p>
            <w:r>
              <w:rPr>
                <w:sz w:val="17"/>
              </w:rPr>
              <w:t>2,671</w:t>
            </w:r>
          </w:p>
        </w:tc>
        <w:tc>
          <w:tcPr>
            <w:tcW w:type="dxa" w:w="1440"/>
            <w:shd w:fill="FAFAFA" w:val="clear"/>
          </w:tcPr>
          <w:p>
            <w:r>
              <w:rPr>
                <w:b/>
                <w:sz w:val="17"/>
              </w:rPr>
              <w:t>2,903</w:t>
            </w:r>
          </w:p>
        </w:tc>
        <w:tc>
          <w:tcPr>
            <w:tcW w:type="dxa" w:w="1440"/>
            <w:shd w:fill="FAFAFA" w:val="clear"/>
          </w:tcPr>
          <w:p>
            <w:r>
              <w:rPr>
                <w:sz w:val="17"/>
              </w:rPr>
              <w:t>3,134</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2026-08-18</w:t>
            </w:r>
          </w:p>
        </w:tc>
        <w:tc>
          <w:tcPr>
            <w:tcW w:type="dxa" w:w="1440"/>
            <w:shd w:fill="FAFAFA" w:val="clear"/>
          </w:tcPr>
          <w:p>
            <w:r>
              <w:rPr>
                <w:sz w:val="17"/>
              </w:rPr>
              <w:t>2,651</w:t>
            </w:r>
          </w:p>
        </w:tc>
        <w:tc>
          <w:tcPr>
            <w:tcW w:type="dxa" w:w="1440"/>
            <w:shd w:fill="FAFAFA" w:val="clear"/>
          </w:tcPr>
          <w:p>
            <w:r>
              <w:rPr>
                <w:b/>
                <w:sz w:val="17"/>
              </w:rPr>
              <w:t>2,896</w:t>
            </w:r>
          </w:p>
        </w:tc>
        <w:tc>
          <w:tcPr>
            <w:tcW w:type="dxa" w:w="1440"/>
            <w:shd w:fill="FAFAFA" w:val="clear"/>
          </w:tcPr>
          <w:p>
            <w:r>
              <w:rPr>
                <w:sz w:val="17"/>
              </w:rPr>
              <w:t>3,142</w:t>
            </w:r>
          </w:p>
        </w:tc>
        <w:tc>
          <w:tcPr>
            <w:tcW w:type="dxa" w:w="1440"/>
            <w:shd w:fill="FAFAFA" w:val="clear"/>
          </w:tcPr>
          <w:p>
            <w:r>
              <w:rPr>
                <w:b/>
                <w:color w:val="C00000"/>
                <w:sz w:val="17"/>
              </w:rPr>
              <w:t>-1.5%</w:t>
            </w:r>
          </w:p>
        </w:tc>
      </w:tr>
      <w:tr>
        <w:tc>
          <w:tcPr>
            <w:tcW w:type="dxa" w:w="1440"/>
            <w:shd w:fill="FAFAFA" w:val="clear"/>
          </w:tcPr>
          <w:p>
            <w:r>
              <w:rPr>
                <w:sz w:val="17"/>
              </w:rPr>
              <w:t>J+10  Moyenne</w:t>
            </w:r>
          </w:p>
        </w:tc>
        <w:tc>
          <w:tcPr>
            <w:tcW w:type="dxa" w:w="1440"/>
            <w:shd w:fill="FAFAFA" w:val="clear"/>
          </w:tcPr>
          <w:p>
            <w:r>
              <w:rPr>
                <w:sz w:val="17"/>
              </w:rPr>
              <w:t>2026-08-19</w:t>
            </w:r>
          </w:p>
        </w:tc>
        <w:tc>
          <w:tcPr>
            <w:tcW w:type="dxa" w:w="1440"/>
            <w:shd w:fill="FAFAFA" w:val="clear"/>
          </w:tcPr>
          <w:p>
            <w:r>
              <w:rPr>
                <w:sz w:val="17"/>
              </w:rPr>
              <w:t>2,632</w:t>
            </w:r>
          </w:p>
        </w:tc>
        <w:tc>
          <w:tcPr>
            <w:tcW w:type="dxa" w:w="1440"/>
            <w:shd w:fill="FAFAFA" w:val="clear"/>
          </w:tcPr>
          <w:p>
            <w:r>
              <w:rPr>
                <w:b/>
                <w:sz w:val="17"/>
              </w:rPr>
              <w:t>2,890</w:t>
            </w:r>
          </w:p>
        </w:tc>
        <w:tc>
          <w:tcPr>
            <w:tcW w:type="dxa" w:w="1440"/>
            <w:shd w:fill="FAFAFA" w:val="clear"/>
          </w:tcPr>
          <w:p>
            <w:r>
              <w:rPr>
                <w:sz w:val="17"/>
              </w:rPr>
              <w:t>3,148</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04 août 2026</w:t>
        <w:br/>
        <w:t>**Cours de référence :** 2 940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199,92 milliards FCFA, ce qui en fait l'une des valeurs les plus significatives de la BRVM, représentant un poids important dans l'indice régional. Avec un BPA de 234 FCFA, le titre se négocie à un PER de 12,6x, légèrement au-dessus de la moyenne historique de la place (~8-12x), ce qui indique que le marché valorise une prime de croissance ou de stabilité pour cet opérateur historique. Le P/B de 3,47x confirme cette prime, le marché valorisant l'actif net à plus de trois fois sa valeur comptable, signe d'une forte création de valeur passée. Enfin, l'EV/EBITDA de 5,2x reste dans une zone raisonnable (5-10x), suggérant que la valeur totale de l'entreprise (capitalisation + dette nette) reste attractive par rapport à sa capacité opérationnelle de génération de cash. Dans l'ensemble, la valorisation est correcte mais non bon marché, intégrant déjà des attentes de redressement de la rentabilité.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progression modeste de +1,38%, mais a subi une baisse de -1,67% lors de la dernière séance, signe d'une consolidation à court terme. Le cours a évolué dans un range de 2 610 FCFA (plus bas) à 3 095 FCFA (plus haut), montrant une amplitude de près de 18,6% sur la période. La moyenne du cours (2 832 FCFA) est supérieure à la médiane (2 805 FCFA), indiquant une distribution légèrement asymétrique à gauche (skewness positif de 0.405), avec quelques séances de forte hausse qui tirent la moyenne vers le haut. L'écart-type de 99 FCFA (CV=3,5%) révèle une dispersion très faible autour de la moyenne, confirmant la stabilité relative du titre. Le kurtosis de -0.345 (mésokurtique) indique l'absence de risques extrêmes (pas de queues épaisses), tandis que la volatilité annualisée de 33,4% classe le titre dans la catégorie "élevée" (&gt;30%), reflétant une sensibilité marquée aux actualités sectorielles et macroéconomiques régionales.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(2 940 FCFA) se situe nettement au-dessus de la MM20 (2 790 FCFA) et de la MM50 (2 825 FCFA), ce qui traduit une dynamique haussière à court et moyen terme. Cependant, la décision technique globale est "Vente", probablement en raison d'un écart trop important avec les moyennes, signalant une possible correction à venir. La configuration reste positive tant que le cours se maintient au-dessus de la MM50.</w:t>
      </w:r>
    </w:p>
    <w:p>
      <w:pPr>
        <w:spacing w:after="120" w:line="276" w:lineRule="auto"/>
      </w:pPr>
      <w:r>
        <w:t>**Bandes de Bollinger :** Le prix (2 940 FCFA) se positionne dans la partie supérieure des bandes, proche de la borne haute (2 977 FCFA) mais sans la toucher. Cela indique une pression acheteuse soutenue, mais sans surachat extrême. La décision "Neutre" est cohérente avec une volatilité modérée et un canal de trading bien défini entre 2 603 et 2 977 FCFA. Un dépassement de la borne haute pourrait signaler une accélération haussière.</w:t>
      </w:r>
    </w:p>
    <w:p>
      <w:pPr>
        <w:spacing w:after="120" w:line="276" w:lineRule="auto"/>
      </w:pPr>
      <w:r>
        <w:t>**MACD :** La valeur du MACD (36,5) est nettement supérieure à son signal (8,9), avec un écart positif important. Cette configuration est un signal d'achat fort, indiquant un momentum haussier robuste et une accélération de la tendance. La divergence positive suggère que la pression acheteuse domine actuellement le marché.</w:t>
      </w:r>
    </w:p>
    <w:p>
      <w:pPr>
        <w:spacing w:after="120" w:line="276" w:lineRule="auto"/>
      </w:pPr>
      <w:r>
        <w:t>**RSI :** Le RSI à 67,6 est en zone neutre-haute, proche du seuil de surachat (70). Cela indique que le titre a fortement monté récemment mais n'est pas encore en situation de surachat extrême. La décision "Neutre" est justifiée, mais une poursuite de la hausse pourrait rapidement amener le RSI en zone de surachat, augmentant le risque de correction.</w:t>
      </w:r>
    </w:p>
    <w:p>
      <w:pPr>
        <w:spacing w:after="120" w:line="276" w:lineRule="auto"/>
      </w:pPr>
      <w:r>
        <w:t>**Stochastique :** Le %K (82,8) et le %D (93,8) sont tous deux en zone de surachat (&gt;80), avec un %D supérieur au %K, indiquant un croisement baissier potentiel. La décision "Vente" est cohérente avec cette configuration, signalant un épuisement possible du mouvement haussier à très court terme.</w:t>
      </w:r>
    </w:p>
    <w:p>
      <w:pPr>
        <w:spacing w:after="120" w:line="276" w:lineRule="auto"/>
      </w:pPr>
      <w:r>
        <w:t>**Conclusion technique :** Les indicateurs sont mitigés : le MACD et la position du cours au-dessus des moyennes mobiles soutiennent une tendance haussière, mais le RSI proche du surachat et le Stochastique en zone de vente suggèrent un essoufflement imminent. La prudence est de mise à court terme, avec un risque de consolidation avant une reprise de la tendance.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structurés (base brvm_donnees_financieres) indiquent un produit net bancaire (PNB) de 146,18 milliards FCFA, en hausse de +3,06% par rapport à 2024 (141,84 Mds FCFA). Le résultat net s'établit à 15,89 milliards FCFA, en forte baisse de -26% par rapport à 2024 (21,47 Mds FCFA), reflétant une dégradation de la rentabilité opérationnelle. Le ROE reste excellent à 27,6% (supérieur au seuil de 15%), tandis que le ROA est de 4,9%. Le coefficient d'exploitation de 67,1% est élevé pour une banque (seuil d'efficacité &lt;60%), indiquant une pression sur les charges. Le coût du risque de 3,57% est significatif, signalant un risque de crédit accru. **Les rapports trimestriels 2025** (T1, S1, 9 mois) confirment cette tendance : le CA progresse de +4,3% au T1, +4,0% au S1, et +3,1% sur 9 mois, mais le résultat net chute de -29% au T1, -17,8% au S1, et -17,2% sur 9 mois, en raison de la hausse des coûts énergétiques et sécuritaires. **Le rapport T1 2026** (publié en avril 2026) montre une stabilisation : CA en hausse de +2,7% à 37,1 Mds FCFA, marge EBITDA maintenue à 41,3%, et un résultat net de 3,58 Mds FCFA. **Les rapports annuels 2024** (Mistral, mars 2026) et **2025** (DeepSeek, juin 2026) convergent vers une recommandation "Conserver", soulignant la solidité de la trésorerie (CAF de 46,95 Mds FCFA) et la politique de dividende généreuse (166,08 FCFA/action proposé pour 2025, soit un rendement d'environ 5,6%). Le bilan montre une structure fragile avec un ratio d'endettement de 187% et une liquidité générale de 36,4%, mais une solvabilité de 121,5%. Les perspectives restent positives grâce aux investissements dans la fibre optique (FTTH +38,4% au T1 2026) et le Mobile Money (+17,1%).</w:t>
      </w:r>
    </w:p>
    <w:p>
      <w:pPr>
        <w:spacing w:after="120" w:line="276" w:lineRule="auto"/>
      </w:pPr>
      <w:r>
        <w:t>---</w:t>
      </w:r>
    </w:p>
    <w:p>
      <w:pPr>
        <w:spacing w:after="120" w:line="276" w:lineRule="auto"/>
      </w:pPr>
      <w:r>
        <w:t>### PARTIE 4 : CONCLUSION D'INVESTISSEMENT</w:t>
      </w:r>
    </w:p>
    <w:p>
      <w:pPr>
        <w:spacing w:after="120" w:line="276" w:lineRule="auto"/>
      </w:pPr>
      <w:r>
        <w:t>La valorisation (PER 12,6x, P/B 3,47x, EV/EBITDA 5,2x) est raisonnable mais non bon marché, intégrant une prime pour la stabilité et le dividende. Le comportement du cours (hausse modérée de +1,38% sur 100 jours, volatilité élevée de 33,4%) reflète une confiance mesurée des investisseurs, avec des statistiques (kurtosis mésokurtique, skewness positif) indiquant un risque de distribution normal. Les signaux techniques sont mitigés : le MACD est haussier, mais le RSI proche du surachat et le Stochastique en zone de vente suggèrent une consolidation à court terme. Les fondamentaux montrent une résilience commerciale (croissance du CA) mais une dégradation de la rentabilité (-26% du résultat net en 2025), avec une stabilisation amorcée au T1 2026. Les prédictions IA (J+1 à J+10) prévoient une légère baisse progressive de 2 948 à 2 922 FCFA, confirmant le scénario de consolidation technique. En synthèse, la convergence entre la valorisation correcte, les signaux techniques mitigés, les fondamentaux en voie de stabilisation et les prédictions IA baissières à court terme conduit à une recommandation **CONSERVER**. Le niveau de confiance est **Moyen**, le risque global est **Moyen**, et l'horizon d'investissement optimal est le **moyen terme (3-12 mois)**, en attendant une amélioration tangible de la rentabilité et une clarification de la stratégie de redressement des marges.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financiers, la soci\u00e9t\u00e9 maintient une marge EBITDA solide et poursuit sa croissance client. La diversification vers l'Internet et Mobile Money offre des perspectives de compensation face aux d\u00e9fis s\u00e9curitaires."}</w:t>
      </w:r>
    </w:p>
    <w:p>
      <w:pPr>
        <w:spacing w:before="40"/>
        <w:ind w:left="400"/>
      </w:pPr>
      <w:r>
        <w:rPr>
          <w:sz w:val="18"/>
        </w:rPr>
        <w:t>ONATEL-SA, opérateur global de télécommunications au Burkina Faso, présente des résultats mitigés au premier trimestre 2023 avec une base clients en croissance de 3% à 11,1 millions. Le chiffre d'affaires IFRS chute de 9,7% à 34,6 milliards FCFA contre 38,4 milliards en T1 2022, impacté par les conséquences sécuritaires et le recul de l'activité voix. Le résultat net IFRS s'établit à 4,7 milliards FCFA, en baisse de 34,5% par rapport aux 7,2 milliards de T1 2022. La marge EBITDA reste satisfaisante à 46,9% malgré la dégradation de 51,3% observée l'année précédente. Les revenus Mobile Money et Internet affichent une bonne performance qui compense partiellement la baisse des autres activités.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'16,2 milliards FCFA', 'parc_mobile': '10,99 millions', 'marge_ebitda': '46,9%', 'parc_internet': '6,61 millions', 'parc_clients_total': '11,1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milliards FCFA (IFRS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34,6 milliards FCFA (IFRS T1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parc clients de 3% à 11,1 millions malgré le contexte sécuritaire</w:t>
      </w:r>
    </w:p>
    <w:p>
      <w:pPr>
        <w:pStyle w:val="ListBullet"/>
        <w:spacing w:before="20" w:after="20"/>
        <w:ind w:left="700"/>
      </w:pPr>
      <w:r>
        <w:rPr>
          <w:sz w:val="18"/>
        </w:rPr>
        <w:t>Chiffre d'affaires IFRS en recul de 9,7% à 34,6 milliards FCFA au T1 2023</w:t>
      </w:r>
    </w:p>
    <w:p>
      <w:pPr>
        <w:pStyle w:val="ListBullet"/>
        <w:spacing w:before="20" w:after="20"/>
        <w:ind w:left="700"/>
      </w:pPr>
      <w:r>
        <w:rPr>
          <w:sz w:val="18"/>
        </w:rPr>
        <w:t>Résultat net IFRS en forte baisse de 34,5% à 4,7 milliards FCFA</w:t>
      </w:r>
    </w:p>
    <w:p>
      <w:pPr>
        <w:pStyle w:val="ListBullet"/>
        <w:spacing w:before="20" w:after="20"/>
        <w:ind w:left="700"/>
      </w:pPr>
      <w:r>
        <w:rPr>
          <w:sz w:val="18"/>
        </w:rPr>
        <w:t>Parc Internet en forte progression de 11,9% avec 6,6 millions d'abonnés</w:t>
      </w:r>
    </w:p>
    <w:p>
      <w:pPr>
        <w:pStyle w:val="ListBullet"/>
        <w:spacing w:before="20" w:after="20"/>
        <w:ind w:left="700"/>
      </w:pPr>
      <w:r>
        <w:rPr>
          <w:sz w:val="18"/>
        </w:rPr>
        <w:t>Marge EBITDA maintenue à un niveau satisfaisant de 46,9%</w:t>
      </w:r>
    </w:p>
    <w:p>
      <w:pPr>
        <w:pStyle w:val="ListBullet"/>
        <w:spacing w:before="20" w:after="20"/>
        <w:ind w:left="700"/>
      </w:pPr>
      <w:r>
        <w:rPr>
          <w:sz w:val="18"/>
        </w:rPr>
        <w:t>Impact négatif des conséquences sécuritaires sur les installations et revenus</w:t>
      </w:r>
    </w:p>
    <w:p>
      <w:pPr>
        <w:spacing w:before="40"/>
        <w:ind w:left="400"/>
      </w:pPr>
      <w:r>
        <w:rPr>
          <w:b/>
          <w:color w:val="C05000"/>
          <w:sz w:val="18"/>
        </w:rPr>
        <w:t xml:space="preserve">⚠️ Risques : </w:t>
      </w:r>
      <w:r>
        <w:rPr>
          <w:sz w:val="18"/>
        </w:rPr>
        <w:t>["D\u00e9gradation continue de la situation s\u00e9curitaire au Burkina Faso impactant les infrastructures", "Recul structurel des revenus voix traditionnels face \u00e0 l'usage des OTT", "Instabilit\u00e9 des revenus internationaux dans un contexte g\u00e9opolitique tendu"]</w:t>
      </w:r>
    </w:p>
    <w:p>
      <w:pPr>
        <w:spacing w:before="40"/>
        <w:ind w:left="400"/>
      </w:pPr>
      <w:r>
        <w:rPr>
          <w:b/>
          <w:color w:val="0064A0"/>
          <w:sz w:val="18"/>
        </w:rPr>
        <w:t xml:space="preserve">🔮 Perspectives : </w:t>
      </w:r>
      <w:r>
        <w:rPr>
          <w:sz w:val="18"/>
        </w:rPr>
        <w:t>La société mise sur le développement de l'Internet haut débit et des services Mobile Money pour compenser la baisse des revenus traditionnels. Les investissements structurels et l'amélioration de la qualité de service devraient soutenir la rétention et l'acquisition de clients malgré les défis sécur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rentabilit\u00e9 correcte avec une marge EBITDA de 48,4% et continue d'investir malgr\u00e9 les difficult\u00e9s s\u00e9curitaires. Le maintien du dividende et la croissance du parc clients t\u00e9moignent de la r\u00e9silience du mod\u00e8le."}</w:t>
      </w:r>
    </w:p>
    <w:p>
      <w:pPr>
        <w:spacing w:before="40"/>
        <w:ind w:left="400"/>
      </w:pPr>
      <w:r>
        <w:rPr>
          <w:sz w:val="18"/>
        </w:rPr>
        <w:t>ONATEL-SA, opérateur de télécommunications au Burkina Faso, a enregistré des résultats 2022 impactés par la dégradation du contexte sécuritaire avec de nombreux sites vandalisés. Malgré ce contexte difficile, la société a maintenu une croissance de son parc clients mobile (+5,7%) et internet (+14,1%), portant son parc Moov Africa à 11,1 millions d'abonnés. Le chiffre d'affaires IFRS a reculé de 6% à 147,3 Mds FCFA, tandis que le résultat net a chuté de 31,1% à 23,4 Mds FCFA. La rentabilité reste satisfaisante avec une marge EBITDA de 48,4%, témoignant de la résilience opérationnelle. Un dividende de 329 FCFA par action sera proposé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'71,3 Mds FCFA', 'parc_mobile': '11 047 958 clients', 'marge_ebitda': '48,4%', 'parc_internet': '6 481 709 clients', 'parc_moov_africa': '11 139 669 clients'}</w:t>
            </w:r>
          </w:p>
        </w:tc>
        <w:tc>
          <w:tcPr>
            <w:tcW w:type="dxa" w:w="2160"/>
          </w:tcPr>
          <w:p>
            <w:pPr>
              <w:ind w:left="100"/>
            </w:pPr>
            <w:r/>
            <w:r>
              <w:rPr>
                <w:b/>
                <w:sz w:val="16"/>
              </w:rPr>
              <w:t>dividende</w:t>
              <w:br/>
            </w:r>
            <w:r>
              <w:rPr>
                <w:sz w:val="18"/>
              </w:rPr>
              <w:t>329 FCFA par action</w:t>
            </w:r>
          </w:p>
        </w:tc>
        <w:tc>
          <w:tcPr>
            <w:tcW w:type="dxa" w:w="2160"/>
          </w:tcPr>
          <w:p>
            <w:pPr>
              <w:ind w:left="100"/>
            </w:pPr>
            <w:r/>
            <w:r>
              <w:rPr>
                <w:b/>
                <w:sz w:val="16"/>
              </w:rPr>
              <w:t>marge_nette</w:t>
              <w:br/>
            </w:r>
            <w:r>
              <w:rPr>
                <w:sz w:val="18"/>
              </w:rPr>
              <w:t>15,9%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23,4 Mds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147,3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Contexte sécuritaire difficile avec vandalisme massif des sites télécoms depuis janvier 2022</w:t>
      </w:r>
    </w:p>
    <w:p>
      <w:pPr>
        <w:pStyle w:val="ListBullet"/>
        <w:spacing w:before="20" w:after="20"/>
        <w:ind w:left="700"/>
      </w:pPr>
      <w:r>
        <w:rPr>
          <w:sz w:val="18"/>
        </w:rPr>
        <w:t>Croissance du parc clients mobile de 5,7% et internet de 14,1% malgré les difficultés</w:t>
      </w:r>
    </w:p>
    <w:p>
      <w:pPr>
        <w:pStyle w:val="ListBullet"/>
        <w:spacing w:before="20" w:after="20"/>
        <w:ind w:left="700"/>
      </w:pPr>
      <w:r>
        <w:rPr>
          <w:sz w:val="18"/>
        </w:rPr>
        <w:t>Chiffre d'affaires IFRS en baisse de 6% à 147,3 Mds FCFA</w:t>
      </w:r>
    </w:p>
    <w:p>
      <w:pPr>
        <w:pStyle w:val="ListBullet"/>
        <w:spacing w:before="20" w:after="20"/>
        <w:ind w:left="700"/>
      </w:pPr>
      <w:r>
        <w:rPr>
          <w:sz w:val="18"/>
        </w:rPr>
        <w:t>Résultat net en forte baisse de 31,1% à 23,4 Mds FCFA</w:t>
      </w:r>
    </w:p>
    <w:p>
      <w:pPr>
        <w:pStyle w:val="ListBullet"/>
        <w:spacing w:before="20" w:after="20"/>
        <w:ind w:left="700"/>
      </w:pPr>
      <w:r>
        <w:rPr>
          <w:sz w:val="18"/>
        </w:rPr>
        <w:t>Marge EBITDA maintenue à un niveau satisfaisant de 48,4%</w:t>
      </w:r>
    </w:p>
    <w:p>
      <w:pPr>
        <w:pStyle w:val="ListBullet"/>
        <w:spacing w:before="20" w:after="20"/>
        <w:ind w:left="700"/>
      </w:pPr>
      <w:r>
        <w:rPr>
          <w:sz w:val="18"/>
        </w:rPr>
        <w:t>Investissements et extension du réseau pour améliorer la qualité de service</w:t>
      </w:r>
    </w:p>
    <w:p>
      <w:pPr>
        <w:spacing w:before="40"/>
        <w:ind w:left="400"/>
      </w:pPr>
      <w:r>
        <w:rPr>
          <w:b/>
          <w:color w:val="C05000"/>
          <w:sz w:val="18"/>
        </w:rPr>
        <w:t xml:space="preserve">⚠️ Risques : </w:t>
      </w:r>
      <w:r>
        <w:rPr>
          <w:sz w:val="18"/>
        </w:rPr>
        <w:t>["D\u00e9gradation continue du contexte s\u00e9curitaire impactant les infrastructures", "Vandalisme r\u00e9current des sites t\u00e9l\u00e9coms affectant la qualit\u00e9 de service", "Pression sur les marges due aux co\u00fbts op\u00e9rationnels et d'investissement \u00e9lev\u00e9s"]</w:t>
      </w:r>
    </w:p>
    <w:p>
      <w:pPr>
        <w:spacing w:before="40"/>
        <w:ind w:left="400"/>
      </w:pPr>
      <w:r>
        <w:rPr>
          <w:b/>
          <w:color w:val="0064A0"/>
          <w:sz w:val="18"/>
        </w:rPr>
        <w:t xml:space="preserve">🔮 Perspectives : </w:t>
      </w:r>
      <w:r>
        <w:rPr>
          <w:sz w:val="18"/>
        </w:rPr>
        <w:t>Les perspectives dépendront largement de l'évolution du contexte sécuritaire au Burkina Faso. La société devra poursuivre ses investissements pour maintenir la qualité de service tout en gérant l'impact des vandalismes sur ses infrastructures.</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2561.14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2,321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+8.63%</w:t>
            </w:r>
          </w:p>
          <w:p>
            <w:r>
              <w:rPr>
                <w:b/>
                <w:color w:val="503200"/>
                <w:sz w:val="16"/>
              </w:rPr>
              <w:t xml:space="preserve">Plus haut 100j : </w:t>
            </w:r>
            <w:r>
              <w:rPr>
                <w:color w:val="000000"/>
                <w:sz w:val="17"/>
              </w:rPr>
              <w:t>17,000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4.55% (Faible) — μ=15,683 FCFA, σ=714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β=1.4334 (Agressif) — Cov=0.000051, Var(idx)=0.000036, ρ=0.451,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2,321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2026-08-05</w:t>
            </w:r>
          </w:p>
        </w:tc>
        <w:tc>
          <w:tcPr>
            <w:tcW w:type="dxa" w:w="1440"/>
            <w:shd w:fill="FAFAFA" w:val="clear"/>
          </w:tcPr>
          <w:p>
            <w:r>
              <w:rPr>
                <w:sz w:val="17"/>
              </w:rPr>
              <w:t>16,374</w:t>
            </w:r>
          </w:p>
        </w:tc>
        <w:tc>
          <w:tcPr>
            <w:tcW w:type="dxa" w:w="1440"/>
            <w:shd w:fill="FAFAFA" w:val="clear"/>
          </w:tcPr>
          <w:p>
            <w:r>
              <w:rPr>
                <w:b/>
                <w:sz w:val="17"/>
              </w:rPr>
              <w:t>16,868</w:t>
            </w:r>
          </w:p>
        </w:tc>
        <w:tc>
          <w:tcPr>
            <w:tcW w:type="dxa" w:w="1440"/>
            <w:shd w:fill="FAFAFA" w:val="clear"/>
          </w:tcPr>
          <w:p>
            <w:r>
              <w:rPr>
                <w:sz w:val="17"/>
              </w:rPr>
              <w:t>17,362</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2026-08-06</w:t>
            </w:r>
          </w:p>
        </w:tc>
        <w:tc>
          <w:tcPr>
            <w:tcW w:type="dxa" w:w="1440"/>
            <w:shd w:fill="FAFAFA" w:val="clear"/>
          </w:tcPr>
          <w:p>
            <w:r>
              <w:rPr>
                <w:sz w:val="17"/>
              </w:rPr>
              <w:t>16,156</w:t>
            </w:r>
          </w:p>
        </w:tc>
        <w:tc>
          <w:tcPr>
            <w:tcW w:type="dxa" w:w="1440"/>
            <w:shd w:fill="FAFAFA" w:val="clear"/>
          </w:tcPr>
          <w:p>
            <w:r>
              <w:rPr>
                <w:b/>
                <w:sz w:val="17"/>
              </w:rPr>
              <w:t>16,853</w:t>
            </w:r>
          </w:p>
        </w:tc>
        <w:tc>
          <w:tcPr>
            <w:tcW w:type="dxa" w:w="1440"/>
            <w:shd w:fill="FAFAFA" w:val="clear"/>
          </w:tcPr>
          <w:p>
            <w:r>
              <w:rPr>
                <w:sz w:val="17"/>
              </w:rPr>
              <w:t>17,551</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15,972</w:t>
            </w:r>
          </w:p>
        </w:tc>
        <w:tc>
          <w:tcPr>
            <w:tcW w:type="dxa" w:w="1440"/>
            <w:shd w:fill="FAFAFA" w:val="clear"/>
          </w:tcPr>
          <w:p>
            <w:r>
              <w:rPr>
                <w:b/>
                <w:sz w:val="17"/>
              </w:rPr>
              <w:t>16,826</w:t>
            </w:r>
          </w:p>
        </w:tc>
        <w:tc>
          <w:tcPr>
            <w:tcW w:type="dxa" w:w="1440"/>
            <w:shd w:fill="FAFAFA" w:val="clear"/>
          </w:tcPr>
          <w:p>
            <w:r>
              <w:rPr>
                <w:sz w:val="17"/>
              </w:rPr>
              <w:t>17,679</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15,812</w:t>
            </w:r>
          </w:p>
        </w:tc>
        <w:tc>
          <w:tcPr>
            <w:tcW w:type="dxa" w:w="1440"/>
            <w:shd w:fill="FAFAFA" w:val="clear"/>
          </w:tcPr>
          <w:p>
            <w:r>
              <w:rPr>
                <w:b/>
                <w:sz w:val="17"/>
              </w:rPr>
              <w:t>16,796</w:t>
            </w:r>
          </w:p>
        </w:tc>
        <w:tc>
          <w:tcPr>
            <w:tcW w:type="dxa" w:w="1440"/>
            <w:shd w:fill="FAFAFA" w:val="clear"/>
          </w:tcPr>
          <w:p>
            <w:r>
              <w:rPr>
                <w:sz w:val="17"/>
              </w:rPr>
              <w:t>17,779</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2026-08-12</w:t>
            </w:r>
          </w:p>
        </w:tc>
        <w:tc>
          <w:tcPr>
            <w:tcW w:type="dxa" w:w="1440"/>
            <w:shd w:fill="FAFAFA" w:val="clear"/>
          </w:tcPr>
          <w:p>
            <w:r>
              <w:rPr>
                <w:sz w:val="17"/>
              </w:rPr>
              <w:t>15,668</w:t>
            </w:r>
          </w:p>
        </w:tc>
        <w:tc>
          <w:tcPr>
            <w:tcW w:type="dxa" w:w="1440"/>
            <w:shd w:fill="FAFAFA" w:val="clear"/>
          </w:tcPr>
          <w:p>
            <w:r>
              <w:rPr>
                <w:b/>
                <w:sz w:val="17"/>
              </w:rPr>
              <w:t>16,766</w:t>
            </w:r>
          </w:p>
        </w:tc>
        <w:tc>
          <w:tcPr>
            <w:tcW w:type="dxa" w:w="1440"/>
            <w:shd w:fill="FAFAFA" w:val="clear"/>
          </w:tcPr>
          <w:p>
            <w:r>
              <w:rPr>
                <w:sz w:val="17"/>
              </w:rPr>
              <w:t>17,863</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2026-08-13</w:t>
            </w:r>
          </w:p>
        </w:tc>
        <w:tc>
          <w:tcPr>
            <w:tcW w:type="dxa" w:w="1440"/>
            <w:shd w:fill="FAFAFA" w:val="clear"/>
          </w:tcPr>
          <w:p>
            <w:r>
              <w:rPr>
                <w:sz w:val="17"/>
              </w:rPr>
              <w:t>15,536</w:t>
            </w:r>
          </w:p>
        </w:tc>
        <w:tc>
          <w:tcPr>
            <w:tcW w:type="dxa" w:w="1440"/>
            <w:shd w:fill="FAFAFA" w:val="clear"/>
          </w:tcPr>
          <w:p>
            <w:r>
              <w:rPr>
                <w:b/>
                <w:sz w:val="17"/>
              </w:rPr>
              <w:t>16,736</w:t>
            </w:r>
          </w:p>
        </w:tc>
        <w:tc>
          <w:tcPr>
            <w:tcW w:type="dxa" w:w="1440"/>
            <w:shd w:fill="FAFAFA" w:val="clear"/>
          </w:tcPr>
          <w:p>
            <w:r>
              <w:rPr>
                <w:sz w:val="17"/>
              </w:rPr>
              <w:t>17,937</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2026-08-14</w:t>
            </w:r>
          </w:p>
        </w:tc>
        <w:tc>
          <w:tcPr>
            <w:tcW w:type="dxa" w:w="1440"/>
            <w:shd w:fill="FAFAFA" w:val="clear"/>
          </w:tcPr>
          <w:p>
            <w:r>
              <w:rPr>
                <w:sz w:val="17"/>
              </w:rPr>
              <w:t>15,413</w:t>
            </w:r>
          </w:p>
        </w:tc>
        <w:tc>
          <w:tcPr>
            <w:tcW w:type="dxa" w:w="1440"/>
            <w:shd w:fill="FAFAFA" w:val="clear"/>
          </w:tcPr>
          <w:p>
            <w:r>
              <w:rPr>
                <w:b/>
                <w:sz w:val="17"/>
              </w:rPr>
              <w:t>16,707</w:t>
            </w:r>
          </w:p>
        </w:tc>
        <w:tc>
          <w:tcPr>
            <w:tcW w:type="dxa" w:w="1440"/>
            <w:shd w:fill="FAFAFA" w:val="clear"/>
          </w:tcPr>
          <w:p>
            <w:r>
              <w:rPr>
                <w:sz w:val="17"/>
              </w:rPr>
              <w:t>18,001</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2026-08-17</w:t>
            </w:r>
          </w:p>
        </w:tc>
        <w:tc>
          <w:tcPr>
            <w:tcW w:type="dxa" w:w="1440"/>
            <w:shd w:fill="FAFAFA" w:val="clear"/>
          </w:tcPr>
          <w:p>
            <w:r>
              <w:rPr>
                <w:sz w:val="17"/>
              </w:rPr>
              <w:t>15,297</w:t>
            </w:r>
          </w:p>
        </w:tc>
        <w:tc>
          <w:tcPr>
            <w:tcW w:type="dxa" w:w="1440"/>
            <w:shd w:fill="FAFAFA" w:val="clear"/>
          </w:tcPr>
          <w:p>
            <w:r>
              <w:rPr>
                <w:b/>
                <w:sz w:val="17"/>
              </w:rPr>
              <w:t>16,679</w:t>
            </w:r>
          </w:p>
        </w:tc>
        <w:tc>
          <w:tcPr>
            <w:tcW w:type="dxa" w:w="1440"/>
            <w:shd w:fill="FAFAFA" w:val="clear"/>
          </w:tcPr>
          <w:p>
            <w:r>
              <w:rPr>
                <w:sz w:val="17"/>
              </w:rPr>
              <w:t>18,060</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15,188</w:t>
            </w:r>
          </w:p>
        </w:tc>
        <w:tc>
          <w:tcPr>
            <w:tcW w:type="dxa" w:w="1440"/>
            <w:shd w:fill="FFDCE0" w:val="clear"/>
          </w:tcPr>
          <w:p>
            <w:r>
              <w:rPr>
                <w:b/>
                <w:sz w:val="17"/>
              </w:rPr>
              <w:t>16,650</w:t>
            </w:r>
          </w:p>
        </w:tc>
        <w:tc>
          <w:tcPr>
            <w:tcW w:type="dxa" w:w="1440"/>
            <w:shd w:fill="FFDCE0" w:val="clear"/>
          </w:tcPr>
          <w:p>
            <w:r>
              <w:rPr>
                <w:sz w:val="17"/>
              </w:rPr>
              <w:t>18,113</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15,084</w:t>
            </w:r>
          </w:p>
        </w:tc>
        <w:tc>
          <w:tcPr>
            <w:tcW w:type="dxa" w:w="1440"/>
            <w:shd w:fill="FFDCE0" w:val="clear"/>
          </w:tcPr>
          <w:p>
            <w:r>
              <w:rPr>
                <w:b/>
                <w:sz w:val="17"/>
              </w:rPr>
              <w:t>16,623</w:t>
            </w:r>
          </w:p>
        </w:tc>
        <w:tc>
          <w:tcPr>
            <w:tcW w:type="dxa" w:w="1440"/>
            <w:shd w:fill="FFDCE0" w:val="clear"/>
          </w:tcPr>
          <w:p>
            <w:r>
              <w:rPr>
                <w:sz w:val="17"/>
              </w:rPr>
              <w:t>18,162</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2 561,14 milliards FCFA, représentant une part significative de la capitalisation totale de la BRVM (environ 26% selon les rapports), ce qui en fait l'une des plus importantes valeurs de la place. Le BPA de 1 114 FCFA indique que chaque action génère un bénéfice substantiel, justifiant un PER de 15,3x, supérieur à la moyenne historique de la BRVM (8-12x), traduisant une prime de croissance accordée par le marché aux fondamentaux solides de l'entreprise. Le P/B de 3,62x confirme cette prime, le marché valorisant l'actif net comptable plus de trois fois au-dessus de sa valeur, reflétant la confiance dans la création de valeur future. Enfin, l'EV/EBITDA de 6,2x se situe dans une fourchette raisonnable (5-10x), indiquant que la valeur totale de l'entreprise reste cohérente avec sa capacité opérationnelle à générer des flux, malgré un PER légèrement élevé par rapport aux standards régionaux.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 enregistré une progression totale de +8,63%, avec une dernière séance stable à 17 000 FCFA, atteignant son plus haut sur la période. Le cours a évolué dans une fourchette de 14 200 à 17 000 FCFA, démontrant une tendance haussière soutenue. La moyenne de 15 683 FCFA et la médiane de 15 650 FCFA sont très proches, indiquant une distribution symétrique des prix, confirmée par un skewness de 0,193. L'écart-type de 718 FCFA (CV=4,6%) révèle une dispersion relativement faible, mais le kurtosis de -1,102 (platykurtique) suggère une distribution aplatie avec peu de pics extrêmes, réduisant le risque de mouvements brusques. La volatilité annualisée de 30,0% classe le titre dans la catégorie élevée (&gt;30%), indiquant des fluctuations significatives sur l'année, bien que la tendance récente soit clairement positive avec un cours proche de son plus haut historique.</w:t>
      </w:r>
    </w:p>
    <w:p>
      <w:pPr>
        <w:spacing w:after="120" w:line="276" w:lineRule="auto" w:before="240"/>
      </w:pPr>
      <w:r>
        <w:rPr>
          <w:b/>
          <w:color w:val="003366"/>
          <w:sz w:val="24"/>
        </w:rPr>
        <w:t>**PARTIE 2 : ANALYSE TECHNIQUE DÉTAILLÉE**</w:t>
      </w:r>
    </w:p>
    <w:p>
      <w:pPr>
        <w:spacing w:after="120" w:line="276" w:lineRule="auto"/>
      </w:pPr>
      <w:r>
        <w:t>**Moyennes Mobiles** : Les MM20 (16 415,75 FCFA) et MM50 (16 298,8 FCFA) sont toutes deux inférieures au cours actuel de 17 000 FCFA, avec une MM20 au-dessus de la MM50, formant une configuration haussière classique. Le signal d'Achat est justifié par cette structure de tendance positive, le cours évoluant au-dessus de ses moyennes mobiles clés, confirmant la dynamique ascendante à court et moyen terme.</w:t>
      </w:r>
    </w:p>
    <w:p>
      <w:pPr>
        <w:spacing w:after="120" w:line="276" w:lineRule="auto"/>
      </w:pPr>
      <w:r>
        <w:t>**Bandes de Bollinger** : Le cours à 17 000 FCFA se positionne près de la borne supérieure (17 195,225 FCFA), indiquant une pression acheteuse soutenue. La borne inférieure à 15 636,275 FCFA montre un écart de 1 559 FCFA, reflétant une volatilité modérée. Le signal Neutre s'explique par la proximité du cours avec la borne supérieure, suggérant un possible essoufflement à court terme, mais sans inversion de tendance claire.</w:t>
      </w:r>
    </w:p>
    <w:p>
      <w:pPr>
        <w:spacing w:after="120" w:line="276" w:lineRule="auto"/>
      </w:pPr>
      <w:r>
        <w:t>**MACD** : Le MACD (204,096) est nettement supérieur à sa ligne de signal (134,036), avec un écart positif de 70 points, indiquant un momentum haussier fort. Le signal d'Achat est confirmé par cette divergence positive, montrant que la dynamique de prix reste favorable malgré la hausse récente, avec une accélération de la tendance.</w:t>
      </w:r>
    </w:p>
    <w:p>
      <w:pPr>
        <w:spacing w:after="120" w:line="276" w:lineRule="auto"/>
      </w:pPr>
      <w:r>
        <w:t>**RSI** : Le RSI à 89,216 est extrêmement élevé, largement au-dessus du seuil de surachat (70). Ce niveau indique que le titre est fortement suracheté, avec une pression acheteuse excessive qui pourrait précéder une correction technique. Le signal de Vente est justifié par cette situation de surachat extrême, suggérant une prudence pour les nouveaux achats à ces niveaux.</w:t>
      </w:r>
    </w:p>
    <w:p>
      <w:pPr>
        <w:spacing w:after="120" w:line="276" w:lineRule="auto"/>
      </w:pPr>
      <w:r>
        <w:t>**Stochastique** : Le %K et le %D sont tous deux à 100,0, indiquant une condition de surachat extrême. Cette configuration reflète une force haussière exceptionnelle mais également un risque élevé de retournement. Le signal de Vente est cohérent avec cette situation, le titre étant à des niveaux historiquement élevés de surachat.</w:t>
      </w:r>
    </w:p>
    <w:p>
      <w:pPr>
        <w:spacing w:after="120" w:line="276" w:lineRule="auto"/>
      </w:pPr>
      <w:r>
        <w:t>**Conclusion technique** : Les indicateurs de tendance (MM, MACD) sont positifs, mais les oscillateurs (RSI, Stochastique) signalent un surachat extrême. Cette divergence entre tendance et momentum suggère une possible consolidation à court terme, mais la tendance de fond reste haussière. Le titre pourrait connaître un repli technique avant de poursuivre sa progression.</w:t>
      </w:r>
    </w:p>
    <w:p>
      <w:pPr>
        <w:spacing w:after="120" w:line="276" w:lineRule="auto" w:before="240"/>
      </w:pPr>
      <w:r>
        <w:rPr>
          <w:b/>
          <w:color w:val="003366"/>
          <w:sz w:val="24"/>
        </w:rPr>
        <w:t>**PARTIE 3 : ANALYSE FONDAMENTALE (SECTION CRITIQUE)**</w:t>
      </w:r>
    </w:p>
    <w:p>
      <w:pPr>
        <w:spacing w:after="120" w:line="276" w:lineRule="auto"/>
      </w:pPr>
      <w:r>
        <w:t>En 2025, ORAC affiche des fondamentaux solides avec un chiffre d'affaires de 1 197,1 milliards FCFA (+10,4% vs 2024), un résultat net consolidé de 167,8 milliards FCFA (+6,1%), et un résultat net part du groupe de 129,1 milliards FCFA (+18,8%). La rentabilité est excellente avec un ROE de 23,7% (largement au-dessus du seuil de 15% considéré comme excellent), un ROA de 6,6%, et une marge nette de 14,0%. La structure financière montre une autonomie financière de 27,7% (légèrement sous le seuil de 30%), un BFR négatif de -198 milliards FCFA (favorable, indiquant une gestion efficace du cycle d'exploitation), et un délai clients de 52 jours contre un délai fournisseurs de 211 jours, créant un avantage de trésorerie significatif. La capacité de remboursement est rapide (0,99 an) et la couverture des intérêts est très confortable (1018%). Le dividende proposé de 800 FCFA brut par action (taux de distribution de 93,3% sur le résultat part du groupe) offre un rendement attractif. Sur la base du rapport T1 2026 (CA +14,8% à 325,6 milliards FCFA, résultat net +25,2% à 48,3 milliards FCFA, marge nette 14,8%), on estime que l'exercice 2026 devrait dépasser les performances 2025, avec un CA potentiel de 1 350-1 400 milliards FCFA et un résultat net de 190-200 milliards FCFA, confirmant la dynamique positive du groupe.</w:t>
      </w:r>
    </w:p>
    <w:p>
      <w:pPr>
        <w:spacing w:after="120" w:line="276" w:lineRule="auto" w:before="240"/>
      </w:pPr>
      <w:r>
        <w:rPr>
          <w:b/>
          <w:color w:val="003366"/>
          <w:sz w:val="24"/>
        </w:rPr>
        <w:t>**PARTIE 4 : CONCLUSION D'INVESTISSEMENT**</w:t>
      </w:r>
    </w:p>
    <w:p>
      <w:pPr>
        <w:spacing w:after="120" w:line="276" w:lineRule="auto"/>
      </w:pPr>
      <w:r>
        <w:t>La valorisation d'ORAC (PER 15,3x, P/B 3,62x, EV/EBITDA 6,2x) indique une prime de croissance justifiée par la solidité des fondamentaux, bien que le PER soit supérieur à la moyenne BRVM. Le comportement du cours montre une tendance haussière soutenue (+8,63% sur 100 jours) avec une volatilité élevée (30%) mais une distribution symétrique des prix. Les signaux techniques sont mitigés : tendance positive (MM, MACD) mais surachat extrême (RSI 89,2, Stochastique 100), suggérant une possible consolidation. Les fondamentaux sont excellents avec une croissance à deux chiffres, des marges solides et une politique de dividende généreuse, renforcée par les estimations T1 2026 très positives. Les prédictions IA (16 868 à 16 766 FCFA sur 10 jours) indiquent un léger repli technique, cohérent avec les signaux de surachat. La convergence entre fondamentaux solides et perspectives de croissance, malgré la divergence technique, conduit à une recommandation **ACHAT** avec un niveau de confiance **Moyen** et un risque global **Moyen**. L'horizon d'investissement optimal est le **moyen terme (3-12 mois)**, en attendant une éventuelle correction technique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l'expansion du parc client restent positives. Les d\u00e9fis op\u00e9rationnels actuels semblent temporaires face au potentiel de croissance du march\u00e9 t\u00e9l\u00e9coms ouest-africain."}</w:t>
      </w:r>
    </w:p>
    <w:p>
      <w:pPr>
        <w:spacing w:before="40"/>
        <w:ind w:left="400"/>
      </w:pPr>
      <w:r>
        <w:rPr>
          <w:sz w:val="18"/>
        </w:rPr>
        <w:t>Orange CI présente des résultats mitigés au T3 2023 avec un chiffre d'affaires consolidé de 753,2 milliards FCFA en croissance de 5,4%, porté notamment par Orange Burkina (+16,7%). L'EBITDAaL recule de 1,2% à 259,1 milliards FCFA impacté par la hausse des charges fiscales au Burkina et des coûts énergétiques en Côte d'Ivoire. Le résultat net chute significativement de 19,3% à 86,0 milliards FCFA, pénalisé par un contexte marché difficile et l'impact du litige Lonestar au Libéria. Le parc FMI progresse de 8% à 31,38 millions d'abonnés malgré une forte concurrence. Le mobile money maintient sa dynamique positive avec une croissance du parc actif.</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'103,1 milliards FCFA', 'EBITDAaL': '259,1 milliards FCFA', 'parc_FMI': "31,38 millions d'abonnés"}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753,2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753,2 milliards FCFA en croissance de 5,4% (+5,5% à taux constant)</w:t>
      </w:r>
    </w:p>
    <w:p>
      <w:pPr>
        <w:pStyle w:val="ListBullet"/>
        <w:spacing w:before="20" w:after="20"/>
        <w:ind w:left="700"/>
      </w:pPr>
      <w:r>
        <w:rPr>
          <w:sz w:val="18"/>
        </w:rPr>
        <w:t>Performance notable d'Orange Burkina avec une croissance de 16,7%</w:t>
      </w:r>
    </w:p>
    <w:p>
      <w:pPr>
        <w:pStyle w:val="ListBullet"/>
        <w:spacing w:before="20" w:after="20"/>
        <w:ind w:left="700"/>
      </w:pPr>
      <w:r>
        <w:rPr>
          <w:sz w:val="18"/>
        </w:rPr>
        <w:t>Parc FMI (Fixe, Mobile, Internet) en progression de 8% atteignant 31,38 millions d'abonnés</w:t>
      </w:r>
    </w:p>
    <w:p>
      <w:pPr>
        <w:pStyle w:val="ListBullet"/>
        <w:spacing w:before="20" w:after="20"/>
        <w:ind w:left="700"/>
      </w:pPr>
      <w:r>
        <w:rPr>
          <w:sz w:val="18"/>
        </w:rPr>
        <w:t>EBITDAaL en baisse de 1,2% à 259,1 milliards FCFA impacté par les charges fiscales et énergétiques</w:t>
      </w:r>
    </w:p>
    <w:p>
      <w:pPr>
        <w:pStyle w:val="ListBullet"/>
        <w:spacing w:before="20" w:after="20"/>
        <w:ind w:left="700"/>
      </w:pPr>
      <w:r>
        <w:rPr>
          <w:sz w:val="18"/>
        </w:rPr>
        <w:t>Résultat net en forte baisse de 19,3% à 86,0 milliards FCFA</w:t>
      </w:r>
    </w:p>
    <w:p>
      <w:pPr>
        <w:pStyle w:val="ListBullet"/>
        <w:spacing w:before="20" w:after="20"/>
        <w:ind w:left="700"/>
      </w:pPr>
      <w:r>
        <w:rPr>
          <w:sz w:val="18"/>
        </w:rPr>
        <w:t>Impact négatif du litige Lonestar au Libéria et de la dépréciation d'actifs</w:t>
      </w:r>
    </w:p>
    <w:p>
      <w:pPr>
        <w:spacing w:before="40"/>
        <w:ind w:left="400"/>
      </w:pPr>
      <w:r>
        <w:rPr>
          <w:b/>
          <w:color w:val="C05000"/>
          <w:sz w:val="18"/>
        </w:rPr>
        <w:t xml:space="preserve">⚠️ Risques : </w:t>
      </w:r>
      <w:r>
        <w:rPr>
          <w:sz w:val="18"/>
        </w:rPr>
        <w:t>["Contexte s\u00e9curitaire difficile au Burkina Faso affectant les op\u00e9rations", "Forte agressivit\u00e9 commerciale et concurrence accrue en C\u00f4te d'Ivoire", "Volatilit\u00e9 des taux de change au Lib\u00e9ria et impact du litige Lonestar"]</w:t>
      </w:r>
    </w:p>
    <w:p>
      <w:pPr>
        <w:spacing w:before="40"/>
        <w:ind w:left="400"/>
      </w:pPr>
      <w:r>
        <w:rPr>
          <w:b/>
          <w:color w:val="0064A0"/>
          <w:sz w:val="18"/>
        </w:rPr>
        <w:t xml:space="preserve">🔮 Perspectives : </w:t>
      </w:r>
      <w:r>
        <w:rPr>
          <w:sz w:val="18"/>
        </w:rPr>
        <w:t>L'environnement inflationniste et les tensions géopolitiques régionales continueront de peser sur les marges à court terme. Cependant, la dynamique de croissance du mobile money et l'expansion du parc FMI offrent des perspectives favorables pour 2024.</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218.66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6,949 titres</w:t>
            </w:r>
          </w:p>
        </w:tc>
        <w:tc>
          <w:tcPr>
            <w:tcW w:type="dxa" w:w="2268"/>
            <w:shd w:fill="FFF2CC" w:val="clear"/>
          </w:tcPr>
          <w:p>
            <w:r>
              <w:rPr>
                <w:b/>
                <w:color w:val="503200"/>
                <w:sz w:val="16"/>
              </w:rPr>
              <w:t xml:space="preserve">Cours actuel : </w:t>
            </w:r>
            <w:r>
              <w:rPr>
                <w:color w:val="000000"/>
                <w:sz w:val="17"/>
              </w:rPr>
              <w:t>3,150 FCFA</w:t>
            </w:r>
          </w:p>
          <w:p>
            <w:r>
              <w:rPr>
                <w:b/>
                <w:color w:val="503200"/>
                <w:sz w:val="16"/>
              </w:rPr>
              <w:t xml:space="preserve">Var. 100 jours : </w:t>
            </w:r>
            <w:r>
              <w:rPr>
                <w:b/>
                <w:color w:val="B40000"/>
                <w:sz w:val="17"/>
              </w:rPr>
              <w:t>-15.78%</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14.23% (Moyenne) — μ=3,037 FCFA, σ=432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β=0.4060 (Défensif) — Cov=0.000015, Var(idx)=0.000036, ρ=0.082,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6,949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σ_j=2.93%/j (Stable) — Vol. annualisée≈46.5%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3,002</w:t>
            </w:r>
          </w:p>
        </w:tc>
        <w:tc>
          <w:tcPr>
            <w:tcW w:type="dxa" w:w="1440"/>
            <w:shd w:fill="FAFAFA" w:val="clear"/>
          </w:tcPr>
          <w:p>
            <w:r>
              <w:rPr>
                <w:b/>
                <w:sz w:val="17"/>
              </w:rPr>
              <w:t>3,094</w:t>
            </w:r>
          </w:p>
        </w:tc>
        <w:tc>
          <w:tcPr>
            <w:tcW w:type="dxa" w:w="1440"/>
            <w:shd w:fill="FAFAFA" w:val="clear"/>
          </w:tcPr>
          <w:p>
            <w:r>
              <w:rPr>
                <w:sz w:val="17"/>
              </w:rPr>
              <w:t>3,185</w:t>
            </w:r>
          </w:p>
        </w:tc>
        <w:tc>
          <w:tcPr>
            <w:tcW w:type="dxa" w:w="1440"/>
            <w:shd w:fill="FAFAFA" w:val="clear"/>
          </w:tcPr>
          <w:p>
            <w:r>
              <w:rPr>
                <w:b/>
                <w:color w:val="C00000"/>
                <w:sz w:val="17"/>
              </w:rPr>
              <w:t>-1.8%</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2,958</w:t>
            </w:r>
          </w:p>
        </w:tc>
        <w:tc>
          <w:tcPr>
            <w:tcW w:type="dxa" w:w="1440"/>
            <w:shd w:fill="FAFAFA" w:val="clear"/>
          </w:tcPr>
          <w:p>
            <w:r>
              <w:rPr>
                <w:b/>
                <w:sz w:val="17"/>
              </w:rPr>
              <w:t>3,088</w:t>
            </w:r>
          </w:p>
        </w:tc>
        <w:tc>
          <w:tcPr>
            <w:tcW w:type="dxa" w:w="1440"/>
            <w:shd w:fill="FAFAFA" w:val="clear"/>
          </w:tcPr>
          <w:p>
            <w:r>
              <w:rPr>
                <w:sz w:val="17"/>
              </w:rPr>
              <w:t>3,217</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2,922</w:t>
            </w:r>
          </w:p>
        </w:tc>
        <w:tc>
          <w:tcPr>
            <w:tcW w:type="dxa" w:w="1440"/>
            <w:shd w:fill="FFDCE0" w:val="clear"/>
          </w:tcPr>
          <w:p>
            <w:r>
              <w:rPr>
                <w:b/>
                <w:sz w:val="17"/>
              </w:rPr>
              <w:t>3,080</w:t>
            </w:r>
          </w:p>
        </w:tc>
        <w:tc>
          <w:tcPr>
            <w:tcW w:type="dxa" w:w="1440"/>
            <w:shd w:fill="FFDCE0" w:val="clear"/>
          </w:tcPr>
          <w:p>
            <w:r>
              <w:rPr>
                <w:sz w:val="17"/>
              </w:rPr>
              <w:t>3,238</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2026-08-11</w:t>
            </w:r>
          </w:p>
        </w:tc>
        <w:tc>
          <w:tcPr>
            <w:tcW w:type="dxa" w:w="1440"/>
            <w:shd w:fill="FFDCE0" w:val="clear"/>
          </w:tcPr>
          <w:p>
            <w:r>
              <w:rPr>
                <w:sz w:val="17"/>
              </w:rPr>
              <w:t>2,893</w:t>
            </w:r>
          </w:p>
        </w:tc>
        <w:tc>
          <w:tcPr>
            <w:tcW w:type="dxa" w:w="1440"/>
            <w:shd w:fill="FFDCE0" w:val="clear"/>
          </w:tcPr>
          <w:p>
            <w:r>
              <w:rPr>
                <w:b/>
                <w:sz w:val="17"/>
              </w:rPr>
              <w:t>3,075</w:t>
            </w:r>
          </w:p>
        </w:tc>
        <w:tc>
          <w:tcPr>
            <w:tcW w:type="dxa" w:w="1440"/>
            <w:shd w:fill="FFDCE0" w:val="clear"/>
          </w:tcPr>
          <w:p>
            <w:r>
              <w:rPr>
                <w:sz w:val="17"/>
              </w:rPr>
              <w:t>3,257</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2026-08-12</w:t>
            </w:r>
          </w:p>
        </w:tc>
        <w:tc>
          <w:tcPr>
            <w:tcW w:type="dxa" w:w="1440"/>
            <w:shd w:fill="FFDCE0" w:val="clear"/>
          </w:tcPr>
          <w:p>
            <w:r>
              <w:rPr>
                <w:sz w:val="17"/>
              </w:rPr>
              <w:t>2,868</w:t>
            </w:r>
          </w:p>
        </w:tc>
        <w:tc>
          <w:tcPr>
            <w:tcW w:type="dxa" w:w="1440"/>
            <w:shd w:fill="FFDCE0" w:val="clear"/>
          </w:tcPr>
          <w:p>
            <w:r>
              <w:rPr>
                <w:b/>
                <w:sz w:val="17"/>
              </w:rPr>
              <w:t>3,071</w:t>
            </w:r>
          </w:p>
        </w:tc>
        <w:tc>
          <w:tcPr>
            <w:tcW w:type="dxa" w:w="1440"/>
            <w:shd w:fill="FFDCE0" w:val="clear"/>
          </w:tcPr>
          <w:p>
            <w:r>
              <w:rPr>
                <w:sz w:val="17"/>
              </w:rPr>
              <w:t>3,275</w:t>
            </w:r>
          </w:p>
        </w:tc>
        <w:tc>
          <w:tcPr>
            <w:tcW w:type="dxa" w:w="1440"/>
            <w:shd w:fill="FFDCE0" w:val="clear"/>
          </w:tcPr>
          <w:p>
            <w:r>
              <w:rPr>
                <w:b/>
                <w:color w:val="C00000"/>
                <w:sz w:val="17"/>
              </w:rPr>
              <w:t>-2.5%</w:t>
            </w:r>
          </w:p>
        </w:tc>
      </w:tr>
      <w:tr>
        <w:tc>
          <w:tcPr>
            <w:tcW w:type="dxa" w:w="1440"/>
            <w:shd w:fill="FFDCE0" w:val="clear"/>
          </w:tcPr>
          <w:p>
            <w:r>
              <w:rPr>
                <w:sz w:val="17"/>
              </w:rPr>
              <w:t>J+6  Moyenne</w:t>
            </w:r>
          </w:p>
        </w:tc>
        <w:tc>
          <w:tcPr>
            <w:tcW w:type="dxa" w:w="1440"/>
            <w:shd w:fill="FFDCE0" w:val="clear"/>
          </w:tcPr>
          <w:p>
            <w:r>
              <w:rPr>
                <w:sz w:val="17"/>
              </w:rPr>
              <w:t>2026-08-13</w:t>
            </w:r>
          </w:p>
        </w:tc>
        <w:tc>
          <w:tcPr>
            <w:tcW w:type="dxa" w:w="1440"/>
            <w:shd w:fill="FFDCE0" w:val="clear"/>
          </w:tcPr>
          <w:p>
            <w:r>
              <w:rPr>
                <w:sz w:val="17"/>
              </w:rPr>
              <w:t>2,846</w:t>
            </w:r>
          </w:p>
        </w:tc>
        <w:tc>
          <w:tcPr>
            <w:tcW w:type="dxa" w:w="1440"/>
            <w:shd w:fill="FFDCE0" w:val="clear"/>
          </w:tcPr>
          <w:p>
            <w:r>
              <w:rPr>
                <w:b/>
                <w:sz w:val="17"/>
              </w:rPr>
              <w:t>3,068</w:t>
            </w:r>
          </w:p>
        </w:tc>
        <w:tc>
          <w:tcPr>
            <w:tcW w:type="dxa" w:w="1440"/>
            <w:shd w:fill="FFDCE0" w:val="clear"/>
          </w:tcPr>
          <w:p>
            <w:r>
              <w:rPr>
                <w:sz w:val="17"/>
              </w:rPr>
              <w:t>3,291</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2026-08-14</w:t>
            </w:r>
          </w:p>
        </w:tc>
        <w:tc>
          <w:tcPr>
            <w:tcW w:type="dxa" w:w="1440"/>
            <w:shd w:fill="FFDCE0" w:val="clear"/>
          </w:tcPr>
          <w:p>
            <w:r>
              <w:rPr>
                <w:sz w:val="17"/>
              </w:rPr>
              <w:t>2,825</w:t>
            </w:r>
          </w:p>
        </w:tc>
        <w:tc>
          <w:tcPr>
            <w:tcW w:type="dxa" w:w="1440"/>
            <w:shd w:fill="FFDCE0" w:val="clear"/>
          </w:tcPr>
          <w:p>
            <w:r>
              <w:rPr>
                <w:b/>
                <w:sz w:val="17"/>
              </w:rPr>
              <w:t>3,065</w:t>
            </w:r>
          </w:p>
        </w:tc>
        <w:tc>
          <w:tcPr>
            <w:tcW w:type="dxa" w:w="1440"/>
            <w:shd w:fill="FFDCE0" w:val="clear"/>
          </w:tcPr>
          <w:p>
            <w:r>
              <w:rPr>
                <w:sz w:val="17"/>
              </w:rPr>
              <w:t>3,306</w:t>
            </w:r>
          </w:p>
        </w:tc>
        <w:tc>
          <w:tcPr>
            <w:tcW w:type="dxa" w:w="1440"/>
            <w:shd w:fill="FFDCE0" w:val="clear"/>
          </w:tcPr>
          <w:p>
            <w:r>
              <w:rPr>
                <w:b/>
                <w:color w:val="C00000"/>
                <w:sz w:val="17"/>
              </w:rPr>
              <w:t>-2.7%</w:t>
            </w:r>
          </w:p>
        </w:tc>
      </w:tr>
      <w:tr>
        <w:tc>
          <w:tcPr>
            <w:tcW w:type="dxa" w:w="1440"/>
            <w:shd w:fill="FFDCE0" w:val="clear"/>
          </w:tcPr>
          <w:p>
            <w:r>
              <w:rPr>
                <w:sz w:val="17"/>
              </w:rPr>
              <w:t>J+8  Moyenne</w:t>
            </w:r>
          </w:p>
        </w:tc>
        <w:tc>
          <w:tcPr>
            <w:tcW w:type="dxa" w:w="1440"/>
            <w:shd w:fill="FFDCE0" w:val="clear"/>
          </w:tcPr>
          <w:p>
            <w:r>
              <w:rPr>
                <w:sz w:val="17"/>
              </w:rPr>
              <w:t>2026-08-17</w:t>
            </w:r>
          </w:p>
        </w:tc>
        <w:tc>
          <w:tcPr>
            <w:tcW w:type="dxa" w:w="1440"/>
            <w:shd w:fill="FFDCE0" w:val="clear"/>
          </w:tcPr>
          <w:p>
            <w:r>
              <w:rPr>
                <w:sz w:val="17"/>
              </w:rPr>
              <w:t>2,806</w:t>
            </w:r>
          </w:p>
        </w:tc>
        <w:tc>
          <w:tcPr>
            <w:tcW w:type="dxa" w:w="1440"/>
            <w:shd w:fill="FFDCE0" w:val="clear"/>
          </w:tcPr>
          <w:p>
            <w:r>
              <w:rPr>
                <w:b/>
                <w:sz w:val="17"/>
              </w:rPr>
              <w:t>3,063</w:t>
            </w:r>
          </w:p>
        </w:tc>
        <w:tc>
          <w:tcPr>
            <w:tcW w:type="dxa" w:w="1440"/>
            <w:shd w:fill="FFDCE0" w:val="clear"/>
          </w:tcPr>
          <w:p>
            <w:r>
              <w:rPr>
                <w:sz w:val="17"/>
              </w:rPr>
              <w:t>3,319</w:t>
            </w:r>
          </w:p>
        </w:tc>
        <w:tc>
          <w:tcPr>
            <w:tcW w:type="dxa" w:w="1440"/>
            <w:shd w:fill="FFDCE0" w:val="clear"/>
          </w:tcPr>
          <w:p>
            <w:r>
              <w:rPr>
                <w:b/>
                <w:color w:val="C00000"/>
                <w:sz w:val="17"/>
              </w:rPr>
              <w:t>-2.8%</w:t>
            </w:r>
          </w:p>
        </w:tc>
      </w:tr>
      <w:tr>
        <w:tc>
          <w:tcPr>
            <w:tcW w:type="dxa" w:w="1440"/>
            <w:shd w:fill="FFDCE0" w:val="clear"/>
          </w:tcPr>
          <w:p>
            <w:r>
              <w:rPr>
                <w:sz w:val="17"/>
              </w:rPr>
              <w:t>J+9  Moyenne</w:t>
            </w:r>
          </w:p>
        </w:tc>
        <w:tc>
          <w:tcPr>
            <w:tcW w:type="dxa" w:w="1440"/>
            <w:shd w:fill="FFDCE0" w:val="clear"/>
          </w:tcPr>
          <w:p>
            <w:r>
              <w:rPr>
                <w:sz w:val="17"/>
              </w:rPr>
              <w:t>2026-08-18</w:t>
            </w:r>
          </w:p>
        </w:tc>
        <w:tc>
          <w:tcPr>
            <w:tcW w:type="dxa" w:w="1440"/>
            <w:shd w:fill="FFDCE0" w:val="clear"/>
          </w:tcPr>
          <w:p>
            <w:r>
              <w:rPr>
                <w:sz w:val="17"/>
              </w:rPr>
              <w:t>2,788</w:t>
            </w:r>
          </w:p>
        </w:tc>
        <w:tc>
          <w:tcPr>
            <w:tcW w:type="dxa" w:w="1440"/>
            <w:shd w:fill="FFDCE0" w:val="clear"/>
          </w:tcPr>
          <w:p>
            <w:r>
              <w:rPr>
                <w:b/>
                <w:sz w:val="17"/>
              </w:rPr>
              <w:t>3,060</w:t>
            </w:r>
          </w:p>
        </w:tc>
        <w:tc>
          <w:tcPr>
            <w:tcW w:type="dxa" w:w="1440"/>
            <w:shd w:fill="FFDCE0" w:val="clear"/>
          </w:tcPr>
          <w:p>
            <w:r>
              <w:rPr>
                <w:sz w:val="17"/>
              </w:rPr>
              <w:t>3,332</w:t>
            </w:r>
          </w:p>
        </w:tc>
        <w:tc>
          <w:tcPr>
            <w:tcW w:type="dxa" w:w="1440"/>
            <w:shd w:fill="FFDCE0" w:val="clear"/>
          </w:tcPr>
          <w:p>
            <w:r>
              <w:rPr>
                <w:b/>
                <w:color w:val="C00000"/>
                <w:sz w:val="17"/>
              </w:rPr>
              <w:t>-2.8%</w:t>
            </w:r>
          </w:p>
        </w:tc>
      </w:tr>
      <w:tr>
        <w:tc>
          <w:tcPr>
            <w:tcW w:type="dxa" w:w="1440"/>
            <w:shd w:fill="FFDCE0" w:val="clear"/>
          </w:tcPr>
          <w:p>
            <w:r>
              <w:rPr>
                <w:sz w:val="17"/>
              </w:rPr>
              <w:t>J+10  Moyenne</w:t>
            </w:r>
          </w:p>
        </w:tc>
        <w:tc>
          <w:tcPr>
            <w:tcW w:type="dxa" w:w="1440"/>
            <w:shd w:fill="FFDCE0" w:val="clear"/>
          </w:tcPr>
          <w:p>
            <w:r>
              <w:rPr>
                <w:sz w:val="17"/>
              </w:rPr>
              <w:t>2026-08-19</w:t>
            </w:r>
          </w:p>
        </w:tc>
        <w:tc>
          <w:tcPr>
            <w:tcW w:type="dxa" w:w="1440"/>
            <w:shd w:fill="FFDCE0" w:val="clear"/>
          </w:tcPr>
          <w:p>
            <w:r>
              <w:rPr>
                <w:sz w:val="17"/>
              </w:rPr>
              <w:t>2,771</w:t>
            </w:r>
          </w:p>
        </w:tc>
        <w:tc>
          <w:tcPr>
            <w:tcW w:type="dxa" w:w="1440"/>
            <w:shd w:fill="FFDCE0" w:val="clear"/>
          </w:tcPr>
          <w:p>
            <w:r>
              <w:rPr>
                <w:b/>
                <w:sz w:val="17"/>
              </w:rPr>
              <w:t>3,058</w:t>
            </w:r>
          </w:p>
        </w:tc>
        <w:tc>
          <w:tcPr>
            <w:tcW w:type="dxa" w:w="1440"/>
            <w:shd w:fill="FFDCE0" w:val="clear"/>
          </w:tcPr>
          <w:p>
            <w:r>
              <w:rPr>
                <w:sz w:val="17"/>
              </w:rPr>
              <w:t>3,344</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218,66 milliards FCFA, ce qui positionne le titre parmi les valeurs moyennes à grandes capitalisations de la BRVM, lui conférant une liquidité et une visibilité notables. Avec un BPA de 312 FCFA, chaque action génère un bénéfice substantiel, justifiant un PER de 10,1x, en phase avec la moyenne historique du marché (8-12x), ce qui traduit une valorisation raisonnable, ni spéculative, ni décotée. Le P/B de 1,93x indique que le marché valorise la société à près du double de sa valeur comptable, reflétant la confiance des investisseurs dans la capacité de création de valeur future. En revanche, l'EV/EBITDA de 20,0x apparaît très exigeant, signalant que la valeur d'entreprise intègre une prime significative par rapport à la capacité opérationnelle actuelle, un point de vigilance pour tout investisseur cherchant une marge de sécurité.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ORGT a enregistré une baisse de 15,78%, passant de ses plus hauts à des niveaux plus comprimés, bien que la dernière séance affiche un rebond de +0,64% à 3 150 FCFA. Le titre a évolué dans une fourchette large de 2 435 à 3 995 FCFA, illustrant une forte amplitude de trading et une nervosité certaine. La moyenne (3 037 FCFA) étant supérieure à la médiane (2 780 FCFA), la distribution des cours est asymétrique positive (skewness de 0,576), indiquant que le titre a passé plus de journées sous sa moyenne, avec des pics ponctuels. L'écart-type de 434 FCFA (CV = 14,3%) révèle une dispersion modérée autour de la moyenne, tandis que le kurtosis négatif (-1,187) signale une distribution aplatie, sans extrêmes marqués. La volatilité annualisée de 46,5% classe ORGT comme un actif à très haute volatilité, exigeant une gestion rigoureuse du risque pour les porteurs.</w:t>
      </w:r>
    </w:p>
    <w:p>
      <w:pPr>
        <w:spacing w:after="120" w:line="276" w:lineRule="auto" w:before="240"/>
      </w:pPr>
      <w:r>
        <w:rPr>
          <w:b/>
          <w:color w:val="003366"/>
          <w:sz w:val="24"/>
        </w:rPr>
        <w:t>**PARTIE 2 : ANALYSE TECHNIQUE DÉTAILLÉE**</w:t>
      </w:r>
    </w:p>
    <w:p>
      <w:pPr>
        <w:spacing w:after="120" w:line="276" w:lineRule="auto"/>
      </w:pPr>
      <w:r>
        <w:t>Les moyennes mobiles MM20 (2 786 FCFA) et MM50 (2 748 FCFA) sont toutes deux largement inférieures au cours actuel de 3 150 FCFA, confirmant une dynamique haussière de moyen terme. Le franchissement de ces niveaux par le prix signale une pression acheteuse soutenue, justifiant une décision d'achat malgré la récente consolidation.</w:t>
      </w:r>
    </w:p>
    <w:p>
      <w:pPr>
        <w:spacing w:after="120" w:line="276" w:lineRule="auto"/>
      </w:pPr>
      <w:r>
        <w:t>Les bandes de Bollinger présentent une borne supérieure à 3 141 FCFA, que le cours touche quasiment, indiquant une condition de surachat temporaire. Le prix évoluant à la limite supérieure, un repli technique est probable à court terme, d'où une décision de vente pour les traders opportunistes, bien que la tendance de fond reste positive.</w:t>
      </w:r>
    </w:p>
    <w:p>
      <w:pPr>
        <w:spacing w:after="120" w:line="276" w:lineRule="auto"/>
      </w:pPr>
      <w:r>
        <w:t>Le MACD affiche une valeur de 96,50 contre un signal à 41,26, avec un écart positif important. Cette divergence haussière confirme un momentum robuste, sans signe d'essoufflement imminent, justifiant une position acheteuse.</w:t>
      </w:r>
    </w:p>
    <w:p>
      <w:pPr>
        <w:spacing w:after="120" w:line="276" w:lineRule="auto"/>
      </w:pPr>
      <w:r>
        <w:t>Le RSI à 91,23 est extrêmement suracheté, au-delà du seuil critique de 70. Cette zone indique une pression d'achat excessive, historiquement suivie de corrections, d'où une décision de vente pour les investisseurs à court terme.</w:t>
      </w:r>
    </w:p>
    <w:p>
      <w:pPr>
        <w:spacing w:after="120" w:line="276" w:lineRule="auto"/>
      </w:pPr>
      <w:r>
        <w:t>Enfin, le stochastique (%K=100, %D=99,28) est en zone de surachat extrême, avec les deux lignes au plafond. Ce niveau signale une possible exhaustion des acheteurs, renforçant la prudence à très court terme.</w:t>
      </w:r>
    </w:p>
    <w:p>
      <w:pPr>
        <w:spacing w:after="120" w:line="276" w:lineRule="auto"/>
      </w:pPr>
      <w:r>
        <w:t>En conclusion, la tendance de fond reste haussière, portée par les moyennes mobiles et le MACD, mais les indicateurs de momentum (RSI, stochastique) et la position en limite de bande supérieure suggèrent un risque de correction technique immédiate. Un repli vers les 2 900-3 000 FCFA offrirait un point d'entrée plus favorable.</w:t>
      </w:r>
    </w:p>
    <w:p>
      <w:pPr>
        <w:spacing w:after="120" w:line="276" w:lineRule="auto" w:before="240"/>
      </w:pPr>
      <w:r>
        <w:rPr>
          <w:b/>
          <w:color w:val="003366"/>
          <w:sz w:val="24"/>
        </w:rPr>
        <w:t>**PARTIE 3 : ANALYSE FONDAMENTALE (SECTION CRITIQUE)**</w:t>
      </w:r>
    </w:p>
    <w:p>
      <w:pPr>
        <w:spacing w:after="120" w:line="276" w:lineRule="auto"/>
      </w:pPr>
      <w:r>
        <w:t>En 2025, ORGT affiche un Produit Net Bancaire de 186,609 milliards FCFA, en recul de 4,5% par rapport à 2024, mais un résultat net consolidé de 21,643 milliards FCFA, contre une perte de 44,363 milliards en 2024, marquant un redressement spectaculaire. Le ROE s'établit à 19,13%, un niveau excellent pour une banque, tandis que le ROA reste faible à 0,54%, traduisant une sous-utilisation des actifs. Le coefficient d'exploitation de 42,85% est remarquable, indiquant une gestion des coûts très efficace. Le coût du risque, à 3,74% des charges financières, reste élevé mais en forte amélioration, les provisions passant de 69,1 à 6,97 milliards FCFA. Les dépôts clientèle (3 088,7 milliards) couvrent largement les créances clientèle (1 523,8 milliards), assurant une transformation saine. Les rapports trimestriels 2025 (T1, S1, T3) confirment cette trajectoire : le T3 2025 affiche un résultat net de 19,6 milliards, soit +248% sur un an, et le T1 2026 montre un résultat net de 6,555 milliards, en hausse de 37%. Sur cette base, on estime que l'exercice 2026 pourrait dépasser les 25 milliards de bénéfices si la dynamique se maintient, malgré un PNB toujours sous pression.</w:t>
      </w:r>
    </w:p>
    <w:p>
      <w:pPr>
        <w:spacing w:after="120" w:line="276" w:lineRule="auto" w:before="240"/>
      </w:pPr>
      <w:r>
        <w:rPr>
          <w:b/>
          <w:color w:val="003366"/>
          <w:sz w:val="24"/>
        </w:rPr>
        <w:t>**PARTIE 4 : CONCLUSION D'INVESTISSEMENT**</w:t>
      </w:r>
    </w:p>
    <w:p>
      <w:pPr>
        <w:spacing w:after="120" w:line="276" w:lineRule="auto"/>
      </w:pPr>
      <w:r>
        <w:t>La valorisation d'ORGT (PER 10,1x, P/B 1,93x) est raisonnable, mais l'EV/EBITDA de 20x impose une exigence de performance opérationnelle future. Le comportement du cours sur 100 jours montre une forte volatilité (46,5%) et une tendance baissière récente, bien que les statistiques (skewness positif, kurtosis plat) suggèrent un potentiel de rebond. Les signaux techniques sont mitigés : la tendance de fond (MM, MACD) est haussière, mais les indicateurs de surachat (RSI, stochastique, Bollinger) appellent à une consolidation. Les fondamentaux sont solides, avec un redressement net de la rentabilité et une maîtrise des coûts, mais la baisse du PNB reste un point de vigilance. Les prédictions IA (3 094 à 3 071 FCFA) indiquent un léger repli, cohérent avec les signaux de surachat technique. En synthèse, ORGT offre un profil de redressement crédible, mais le marché a déjà intégré une partie de cette amélioration. Recommandation : **CONSERVER**, avec un niveau de confiance **Moyen** et un risque global **Élevé**. L'horizon optimal est le **moyen terme (3-12 mois)**, en attendant une confirmation de la croissance du PNB et une correction technique pour renforcer la position.</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138.82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3,707 titres</w:t>
            </w:r>
          </w:p>
        </w:tc>
        <w:tc>
          <w:tcPr>
            <w:tcW w:type="dxa" w:w="2268"/>
            <w:shd w:fill="FFF2CC" w:val="clear"/>
          </w:tcPr>
          <w:p>
            <w:r>
              <w:rPr>
                <w:b/>
                <w:color w:val="503200"/>
                <w:sz w:val="16"/>
              </w:rPr>
              <w:t xml:space="preserve">Cours actuel : </w:t>
            </w:r>
            <w:r>
              <w:rPr>
                <w:color w:val="000000"/>
                <w:sz w:val="17"/>
              </w:rPr>
              <w:t>8,980 FCFA</w:t>
            </w:r>
          </w:p>
          <w:p>
            <w:r>
              <w:rPr>
                <w:b/>
                <w:color w:val="503200"/>
                <w:sz w:val="16"/>
              </w:rPr>
              <w:t xml:space="preserve">Var. 100 jours : </w:t>
            </w:r>
            <w:r>
              <w:rPr>
                <w:b/>
                <w:color w:val="B40000"/>
                <w:sz w:val="17"/>
              </w:rPr>
              <w:t>-1.32%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6.32% (Moyenne) — μ=8,418 FCFA, σ=532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β=-0.0733 (Contre-cyclique) — Cov=-0.000003, Var(idx)=0.000036, ρ=-0.017,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3,707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2026-08-05</w:t>
            </w:r>
          </w:p>
        </w:tc>
        <w:tc>
          <w:tcPr>
            <w:tcW w:type="dxa" w:w="1440"/>
            <w:shd w:fill="FAFAFA" w:val="clear"/>
          </w:tcPr>
          <w:p>
            <w:r>
              <w:rPr>
                <w:sz w:val="17"/>
              </w:rPr>
              <w:t>8,698</w:t>
            </w:r>
          </w:p>
        </w:tc>
        <w:tc>
          <w:tcPr>
            <w:tcW w:type="dxa" w:w="1440"/>
            <w:shd w:fill="FAFAFA" w:val="clear"/>
          </w:tcPr>
          <w:p>
            <w:r>
              <w:rPr>
                <w:b/>
                <w:sz w:val="17"/>
              </w:rPr>
              <w:t>9,019</w:t>
            </w:r>
          </w:p>
        </w:tc>
        <w:tc>
          <w:tcPr>
            <w:tcW w:type="dxa" w:w="1440"/>
            <w:shd w:fill="FAFAFA" w:val="clear"/>
          </w:tcPr>
          <w:p>
            <w:r>
              <w:rPr>
                <w:sz w:val="17"/>
              </w:rPr>
              <w:t>9,340</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2026-08-06</w:t>
            </w:r>
          </w:p>
        </w:tc>
        <w:tc>
          <w:tcPr>
            <w:tcW w:type="dxa" w:w="1440"/>
            <w:shd w:fill="FAFAFA" w:val="clear"/>
          </w:tcPr>
          <w:p>
            <w:r>
              <w:rPr>
                <w:sz w:val="17"/>
              </w:rPr>
              <w:t>8,590</w:t>
            </w:r>
          </w:p>
        </w:tc>
        <w:tc>
          <w:tcPr>
            <w:tcW w:type="dxa" w:w="1440"/>
            <w:shd w:fill="FAFAFA" w:val="clear"/>
          </w:tcPr>
          <w:p>
            <w:r>
              <w:rPr>
                <w:b/>
                <w:sz w:val="17"/>
              </w:rPr>
              <w:t>9,045</w:t>
            </w:r>
          </w:p>
        </w:tc>
        <w:tc>
          <w:tcPr>
            <w:tcW w:type="dxa" w:w="1440"/>
            <w:shd w:fill="FAFAFA" w:val="clear"/>
          </w:tcPr>
          <w:p>
            <w:r>
              <w:rPr>
                <w:sz w:val="17"/>
              </w:rPr>
              <w:t>9,500</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2026-08-10</w:t>
            </w:r>
          </w:p>
        </w:tc>
        <w:tc>
          <w:tcPr>
            <w:tcW w:type="dxa" w:w="1440"/>
            <w:shd w:fill="FAFAFA" w:val="clear"/>
          </w:tcPr>
          <w:p>
            <w:r>
              <w:rPr>
                <w:sz w:val="17"/>
              </w:rPr>
              <w:t>8,512</w:t>
            </w:r>
          </w:p>
        </w:tc>
        <w:tc>
          <w:tcPr>
            <w:tcW w:type="dxa" w:w="1440"/>
            <w:shd w:fill="FAFAFA" w:val="clear"/>
          </w:tcPr>
          <w:p>
            <w:r>
              <w:rPr>
                <w:b/>
                <w:sz w:val="17"/>
              </w:rPr>
              <w:t>9,071</w:t>
            </w:r>
          </w:p>
        </w:tc>
        <w:tc>
          <w:tcPr>
            <w:tcW w:type="dxa" w:w="1440"/>
            <w:shd w:fill="FAFAFA" w:val="clear"/>
          </w:tcPr>
          <w:p>
            <w:r>
              <w:rPr>
                <w:sz w:val="17"/>
              </w:rPr>
              <w:t>9,631</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8,451</w:t>
            </w:r>
          </w:p>
        </w:tc>
        <w:tc>
          <w:tcPr>
            <w:tcW w:type="dxa" w:w="1440"/>
            <w:shd w:fill="FAFAFA" w:val="clear"/>
          </w:tcPr>
          <w:p>
            <w:r>
              <w:rPr>
                <w:b/>
                <w:sz w:val="17"/>
              </w:rPr>
              <w:t>9,098</w:t>
            </w:r>
          </w:p>
        </w:tc>
        <w:tc>
          <w:tcPr>
            <w:tcW w:type="dxa" w:w="1440"/>
            <w:shd w:fill="FAFAFA" w:val="clear"/>
          </w:tcPr>
          <w:p>
            <w:r>
              <w:rPr>
                <w:sz w:val="17"/>
              </w:rPr>
              <w:t>9,746</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2026-08-12</w:t>
            </w:r>
          </w:p>
        </w:tc>
        <w:tc>
          <w:tcPr>
            <w:tcW w:type="dxa" w:w="1440"/>
            <w:shd w:fill="FAFAFA" w:val="clear"/>
          </w:tcPr>
          <w:p>
            <w:r>
              <w:rPr>
                <w:sz w:val="17"/>
              </w:rPr>
              <w:t>8,399</w:t>
            </w:r>
          </w:p>
        </w:tc>
        <w:tc>
          <w:tcPr>
            <w:tcW w:type="dxa" w:w="1440"/>
            <w:shd w:fill="FAFAFA" w:val="clear"/>
          </w:tcPr>
          <w:p>
            <w:r>
              <w:rPr>
                <w:b/>
                <w:sz w:val="17"/>
              </w:rPr>
              <w:t>9,125</w:t>
            </w:r>
          </w:p>
        </w:tc>
        <w:tc>
          <w:tcPr>
            <w:tcW w:type="dxa" w:w="1440"/>
            <w:shd w:fill="FAFAFA" w:val="clear"/>
          </w:tcPr>
          <w:p>
            <w:r>
              <w:rPr>
                <w:sz w:val="17"/>
              </w:rPr>
              <w:t>9,851</w:t>
            </w:r>
          </w:p>
        </w:tc>
        <w:tc>
          <w:tcPr>
            <w:tcW w:type="dxa" w:w="1440"/>
            <w:shd w:fill="FAFAFA" w:val="clear"/>
          </w:tcPr>
          <w:p>
            <w:r>
              <w:rPr>
                <w:b/>
                <w:color w:val="008000"/>
                <w:sz w:val="17"/>
              </w:rPr>
              <w:t>+1.6%</w:t>
            </w:r>
          </w:p>
        </w:tc>
      </w:tr>
      <w:tr>
        <w:tc>
          <w:tcPr>
            <w:tcW w:type="dxa" w:w="1440"/>
            <w:shd w:fill="FAFAFA" w:val="clear"/>
          </w:tcPr>
          <w:p>
            <w:r>
              <w:rPr>
                <w:sz w:val="17"/>
              </w:rPr>
              <w:t>J+6  ⭐</w:t>
            </w:r>
          </w:p>
        </w:tc>
        <w:tc>
          <w:tcPr>
            <w:tcW w:type="dxa" w:w="1440"/>
            <w:shd w:fill="FAFAFA" w:val="clear"/>
          </w:tcPr>
          <w:p>
            <w:r>
              <w:rPr>
                <w:sz w:val="17"/>
              </w:rPr>
              <w:t>2026-08-13</w:t>
            </w:r>
          </w:p>
        </w:tc>
        <w:tc>
          <w:tcPr>
            <w:tcW w:type="dxa" w:w="1440"/>
            <w:shd w:fill="FAFAFA" w:val="clear"/>
          </w:tcPr>
          <w:p>
            <w:r>
              <w:rPr>
                <w:sz w:val="17"/>
              </w:rPr>
              <w:t>8,354</w:t>
            </w:r>
          </w:p>
        </w:tc>
        <w:tc>
          <w:tcPr>
            <w:tcW w:type="dxa" w:w="1440"/>
            <w:shd w:fill="FAFAFA" w:val="clear"/>
          </w:tcPr>
          <w:p>
            <w:r>
              <w:rPr>
                <w:b/>
                <w:sz w:val="17"/>
              </w:rPr>
              <w:t>9,152</w:t>
            </w:r>
          </w:p>
        </w:tc>
        <w:tc>
          <w:tcPr>
            <w:tcW w:type="dxa" w:w="1440"/>
            <w:shd w:fill="FAFAFA" w:val="clear"/>
          </w:tcPr>
          <w:p>
            <w:r>
              <w:rPr>
                <w:sz w:val="17"/>
              </w:rPr>
              <w:t>9,950</w:t>
            </w:r>
          </w:p>
        </w:tc>
        <w:tc>
          <w:tcPr>
            <w:tcW w:type="dxa" w:w="1440"/>
            <w:shd w:fill="FAFAFA" w:val="clear"/>
          </w:tcPr>
          <w:p>
            <w:r>
              <w:rPr>
                <w:b/>
                <w:color w:val="008000"/>
                <w:sz w:val="17"/>
              </w:rPr>
              <w:t>+1.9%</w:t>
            </w:r>
          </w:p>
        </w:tc>
      </w:tr>
      <w:tr>
        <w:tc>
          <w:tcPr>
            <w:tcW w:type="dxa" w:w="1440"/>
            <w:shd w:fill="C6EFCE" w:val="clear"/>
          </w:tcPr>
          <w:p>
            <w:r>
              <w:rPr>
                <w:sz w:val="17"/>
              </w:rPr>
              <w:t>J+7  ⭐</w:t>
            </w:r>
          </w:p>
        </w:tc>
        <w:tc>
          <w:tcPr>
            <w:tcW w:type="dxa" w:w="1440"/>
            <w:shd w:fill="C6EFCE" w:val="clear"/>
          </w:tcPr>
          <w:p>
            <w:r>
              <w:rPr>
                <w:sz w:val="17"/>
              </w:rPr>
              <w:t>2026-08-14</w:t>
            </w:r>
          </w:p>
        </w:tc>
        <w:tc>
          <w:tcPr>
            <w:tcW w:type="dxa" w:w="1440"/>
            <w:shd w:fill="C6EFCE" w:val="clear"/>
          </w:tcPr>
          <w:p>
            <w:r>
              <w:rPr>
                <w:sz w:val="17"/>
              </w:rPr>
              <w:t>8,315</w:t>
            </w:r>
          </w:p>
        </w:tc>
        <w:tc>
          <w:tcPr>
            <w:tcW w:type="dxa" w:w="1440"/>
            <w:shd w:fill="C6EFCE" w:val="clear"/>
          </w:tcPr>
          <w:p>
            <w:r>
              <w:rPr>
                <w:b/>
                <w:sz w:val="17"/>
              </w:rPr>
              <w:t>9,179</w:t>
            </w:r>
          </w:p>
        </w:tc>
        <w:tc>
          <w:tcPr>
            <w:tcW w:type="dxa" w:w="1440"/>
            <w:shd w:fill="C6EFCE" w:val="clear"/>
          </w:tcPr>
          <w:p>
            <w:r>
              <w:rPr>
                <w:sz w:val="17"/>
              </w:rPr>
              <w:t>10,043</w:t>
            </w:r>
          </w:p>
        </w:tc>
        <w:tc>
          <w:tcPr>
            <w:tcW w:type="dxa" w:w="1440"/>
            <w:shd w:fill="C6EFCE" w:val="clear"/>
          </w:tcPr>
          <w:p>
            <w:r>
              <w:rPr>
                <w:b/>
                <w:color w:val="008000"/>
                <w:sz w:val="17"/>
              </w:rPr>
              <w:t>+2.2%</w:t>
            </w:r>
          </w:p>
        </w:tc>
      </w:tr>
      <w:tr>
        <w:tc>
          <w:tcPr>
            <w:tcW w:type="dxa" w:w="1440"/>
            <w:shd w:fill="C6EFCE" w:val="clear"/>
          </w:tcPr>
          <w:p>
            <w:r>
              <w:rPr>
                <w:sz w:val="17"/>
              </w:rPr>
              <w:t>J+8  ⭐</w:t>
            </w:r>
          </w:p>
        </w:tc>
        <w:tc>
          <w:tcPr>
            <w:tcW w:type="dxa" w:w="1440"/>
            <w:shd w:fill="C6EFCE" w:val="clear"/>
          </w:tcPr>
          <w:p>
            <w:r>
              <w:rPr>
                <w:sz w:val="17"/>
              </w:rPr>
              <w:t>2026-08-17</w:t>
            </w:r>
          </w:p>
        </w:tc>
        <w:tc>
          <w:tcPr>
            <w:tcW w:type="dxa" w:w="1440"/>
            <w:shd w:fill="C6EFCE" w:val="clear"/>
          </w:tcPr>
          <w:p>
            <w:r>
              <w:rPr>
                <w:sz w:val="17"/>
              </w:rPr>
              <w:t>8,279</w:t>
            </w:r>
          </w:p>
        </w:tc>
        <w:tc>
          <w:tcPr>
            <w:tcW w:type="dxa" w:w="1440"/>
            <w:shd w:fill="C6EFCE" w:val="clear"/>
          </w:tcPr>
          <w:p>
            <w:r>
              <w:rPr>
                <w:b/>
                <w:sz w:val="17"/>
              </w:rPr>
              <w:t>9,206</w:t>
            </w:r>
          </w:p>
        </w:tc>
        <w:tc>
          <w:tcPr>
            <w:tcW w:type="dxa" w:w="1440"/>
            <w:shd w:fill="C6EFCE" w:val="clear"/>
          </w:tcPr>
          <w:p>
            <w:r>
              <w:rPr>
                <w:sz w:val="17"/>
              </w:rPr>
              <w:t>10,132</w:t>
            </w:r>
          </w:p>
        </w:tc>
        <w:tc>
          <w:tcPr>
            <w:tcW w:type="dxa" w:w="1440"/>
            <w:shd w:fill="C6EFCE" w:val="clear"/>
          </w:tcPr>
          <w:p>
            <w:r>
              <w:rPr>
                <w:b/>
                <w:color w:val="008000"/>
                <w:sz w:val="17"/>
              </w:rPr>
              <w:t>+2.5%</w:t>
            </w:r>
          </w:p>
        </w:tc>
      </w:tr>
      <w:tr>
        <w:tc>
          <w:tcPr>
            <w:tcW w:type="dxa" w:w="1440"/>
            <w:shd w:fill="C6EFCE" w:val="clear"/>
          </w:tcPr>
          <w:p>
            <w:r>
              <w:rPr>
                <w:sz w:val="17"/>
              </w:rPr>
              <w:t>J+9  ⭐</w:t>
            </w:r>
          </w:p>
        </w:tc>
        <w:tc>
          <w:tcPr>
            <w:tcW w:type="dxa" w:w="1440"/>
            <w:shd w:fill="C6EFCE" w:val="clear"/>
          </w:tcPr>
          <w:p>
            <w:r>
              <w:rPr>
                <w:sz w:val="17"/>
              </w:rPr>
              <w:t>2026-08-18</w:t>
            </w:r>
          </w:p>
        </w:tc>
        <w:tc>
          <w:tcPr>
            <w:tcW w:type="dxa" w:w="1440"/>
            <w:shd w:fill="C6EFCE" w:val="clear"/>
          </w:tcPr>
          <w:p>
            <w:r>
              <w:rPr>
                <w:sz w:val="17"/>
              </w:rPr>
              <w:t>8,247</w:t>
            </w:r>
          </w:p>
        </w:tc>
        <w:tc>
          <w:tcPr>
            <w:tcW w:type="dxa" w:w="1440"/>
            <w:shd w:fill="C6EFCE" w:val="clear"/>
          </w:tcPr>
          <w:p>
            <w:r>
              <w:rPr>
                <w:b/>
                <w:sz w:val="17"/>
              </w:rPr>
              <w:t>9,232</w:t>
            </w:r>
          </w:p>
        </w:tc>
        <w:tc>
          <w:tcPr>
            <w:tcW w:type="dxa" w:w="1440"/>
            <w:shd w:fill="C6EFCE" w:val="clear"/>
          </w:tcPr>
          <w:p>
            <w:r>
              <w:rPr>
                <w:sz w:val="17"/>
              </w:rPr>
              <w:t>10,218</w:t>
            </w:r>
          </w:p>
        </w:tc>
        <w:tc>
          <w:tcPr>
            <w:tcW w:type="dxa" w:w="1440"/>
            <w:shd w:fill="C6EFCE" w:val="clear"/>
          </w:tcPr>
          <w:p>
            <w:r>
              <w:rPr>
                <w:b/>
                <w:color w:val="008000"/>
                <w:sz w:val="17"/>
              </w:rPr>
              <w:t>+2.8%</w:t>
            </w:r>
          </w:p>
        </w:tc>
      </w:tr>
      <w:tr>
        <w:tc>
          <w:tcPr>
            <w:tcW w:type="dxa" w:w="1440"/>
            <w:shd w:fill="C6EFCE" w:val="clear"/>
          </w:tcPr>
          <w:p>
            <w:r>
              <w:rPr>
                <w:sz w:val="17"/>
              </w:rPr>
              <w:t>J+10  ⭐</w:t>
            </w:r>
          </w:p>
        </w:tc>
        <w:tc>
          <w:tcPr>
            <w:tcW w:type="dxa" w:w="1440"/>
            <w:shd w:fill="C6EFCE" w:val="clear"/>
          </w:tcPr>
          <w:p>
            <w:r>
              <w:rPr>
                <w:sz w:val="17"/>
              </w:rPr>
              <w:t>2026-08-19</w:t>
            </w:r>
          </w:p>
        </w:tc>
        <w:tc>
          <w:tcPr>
            <w:tcW w:type="dxa" w:w="1440"/>
            <w:shd w:fill="C6EFCE" w:val="clear"/>
          </w:tcPr>
          <w:p>
            <w:r>
              <w:rPr>
                <w:sz w:val="17"/>
              </w:rPr>
              <w:t>8,217</w:t>
            </w:r>
          </w:p>
        </w:tc>
        <w:tc>
          <w:tcPr>
            <w:tcW w:type="dxa" w:w="1440"/>
            <w:shd w:fill="C6EFCE" w:val="clear"/>
          </w:tcPr>
          <w:p>
            <w:r>
              <w:rPr>
                <w:b/>
                <w:sz w:val="17"/>
              </w:rPr>
              <w:t>9,259</w:t>
            </w:r>
          </w:p>
        </w:tc>
        <w:tc>
          <w:tcPr>
            <w:tcW w:type="dxa" w:w="1440"/>
            <w:shd w:fill="C6EFCE" w:val="clear"/>
          </w:tcPr>
          <w:p>
            <w:r>
              <w:rPr>
                <w:sz w:val="17"/>
              </w:rPr>
              <w:t>10,301</w:t>
            </w:r>
          </w:p>
        </w:tc>
        <w:tc>
          <w:tcPr>
            <w:tcW w:type="dxa" w:w="1440"/>
            <w:shd w:fill="C6EFCE" w:val="clear"/>
          </w:tcPr>
          <w:p>
            <w:r>
              <w:rPr>
                <w:b/>
                <w:color w:val="008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138,82 milliards FCFA, un niveau qui la positionne parmi les valeurs moyennes de la cote BRVM. Avec un BPA de 1 003 FCFA, le titre se négocie à un PER de 9,0x, légèrement sous la moyenne du marché (8-12x), ce qui suggère une valorisation raisonnable sans être particulièrement décotée. Le P/B de 0,97x est plus parlant : le marché valorise l'action sous sa valeur comptable, signalant une sous-évaluation potentielle de l'actif net. Enfin, l'EV/EBITDA de 4,4x, nettement sous le seuil de 5x, confirme que la valeur totale de l'entreprise (capitalisation + dette nette) reste très bon marché par rapport à sa capacité à générer du cash-flow opérationnel. Ces ratios combinés indiquent une décote notable, offrant une marge de sécurité intéressante pour un investisseur de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cours de PALC affiche une variation totale de -1,32%, avec une légère baisse de -0,11% lors de la dernière séance, traduisant une stabilité relative. Le titre a évolué dans un range de 7 000 à 9 500 FCFA, avec un cours actuel de 8 980 FCFA, proche du haut de cette fourchette. La moyenne de 8 418 FCFA est inférieure à la médiane de 8 600 FCFA, indiquant une distribution légèrement asymétrique à gauche, confirmée par un skewness de -0,098 (quasi symétrique). L'écart-type de 535 FCFA (CV=6,4%) révèle une dispersion modérée des prix autour de la moyenne. Le kurtosis de -0,544 (mésokurtique) suggère une distribution proche de la normale, sans risque de pics extrêmes. La volatilité annualisée de 40,9% classe le titre comme très volatil, un niveau élevé qui reflète la sensibilité du secteur aux chocs exogènes, mais qui contraste avec la stabilité récente du cours.</w:t>
      </w:r>
    </w:p>
    <w:p>
      <w:pPr>
        <w:spacing w:after="120" w:line="276" w:lineRule="auto" w:before="240"/>
      </w:pPr>
      <w:r>
        <w:rPr>
          <w:b/>
          <w:color w:val="003366"/>
          <w:sz w:val="24"/>
        </w:rPr>
        <w:t>**PARTIE 2 : ANALYSE TECHNIQUE DÉTAILLÉE**</w:t>
      </w:r>
    </w:p>
    <w:p>
      <w:pPr>
        <w:spacing w:after="120" w:line="276" w:lineRule="auto"/>
      </w:pPr>
      <w:r>
        <w:t>**Moyennes Mobiles** : La MM20 à 8 780,75 FCFA et la MM50 à 8 621,4 FCFA sont toutes deux inférieures au cours actuel de 8 980 FCFA, confirmant une tendance haussière de court et moyen terme. Le signal d'achat est justifié par la configuration positive des moyennes mobiles, avec un cours qui se maintient au-dessus de ses supports dynamiques.</w:t>
      </w:r>
    </w:p>
    <w:p>
      <w:pPr>
        <w:spacing w:after="120" w:line="276" w:lineRule="auto"/>
      </w:pPr>
      <w:r>
        <w:t>**Bandes de Bollinger** : Le cours se situe à 8 980 FCFA, proche de la borne supérieure (9 060,49 FCFA), indiquant une pression acheteuse soutenue. La décision neutre s'explique par le fait que le prix n'a pas encore franchi la borne, laissant place à une possible consolidation avant une nouvelle impulsion haussière.</w:t>
      </w:r>
    </w:p>
    <w:p>
      <w:pPr>
        <w:spacing w:after="120" w:line="276" w:lineRule="auto"/>
      </w:pPr>
      <w:r>
        <w:t>**MACD** : La valeur du MACD (87,175) est supérieure à son signal (74,736), démontrant un momentum haussier positif. La divergence positive entre les deux lignes renforce le signal d'achat, suggérant que la dynamique haussière reste intacte à moyen terme.</w:t>
      </w:r>
    </w:p>
    <w:p>
      <w:pPr>
        <w:spacing w:after="120" w:line="276" w:lineRule="auto"/>
      </w:pPr>
      <w:r>
        <w:t>**RSI** : À 58,589, le RSI se situe en zone neutre (30-70), sans signal de surachat ni de survente. Cette valeur indique une marge de progression avant d'atteindre des niveaux extrêmes, laissant la porte ouverte à une poursuite de la hausse.</w:t>
      </w:r>
    </w:p>
    <w:p>
      <w:pPr>
        <w:spacing w:after="120" w:line="276" w:lineRule="auto"/>
      </w:pPr>
      <w:r>
        <w:t>**Stochastique** : Le %K (90,476) et le %D (93,162) sont tous deux en zone de surachat (&gt;80), avec un %K sous le %D, signalant un croisement baissier potentiel. La décision de vente reflète un risque de correction technique à court terme après une forte progression.</w:t>
      </w:r>
    </w:p>
    <w:p>
      <w:pPr>
        <w:spacing w:after="120" w:line="276" w:lineRule="auto"/>
      </w:pPr>
      <w:r>
        <w:t>**Conclusion technique** : Les indicateurs de tendance (MM, MACD) sont haussiers, tandis que les oscillateurs (RSI, Stochastique) montrent des signaux mitigés avec un Stochastique en surachat. La configuration globale reste positive, mais un repli technique est possible à très court terme avant une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PALC a réalisé un chiffre d'affaires de 197,630 milliards FCFA, en croissance de +14,8% par rapport à 2024 (172,2 milliards FCFA), avec un résultat net de 15,509 milliards FCFA, en léger repli de -2,2% (contre 15,9 milliards en 2024). La marge nette s'établit à 7,85%, en baisse de 1,4 point, tandis que le ROE atteint 10,87% et le ROA 7,79%, des niveaux corrects mais en dessous du seuil d'excellence de 15%. La structure financière est très saine avec une autonomie financière de 71,6% et un endettement quasi nul (0,56%). Le BFR de 44,6 milliards FCFA et le délai clients de 142,6 jours constituent un point de vigilance pour la trésorerie, malgré un flux opérationnel solide de 38,7 milliards FCFA. Les rapports trimestriels 2025 montrent une dynamique contrastée : le T1 était excellent (CA +32%, RN +65% à 11,6 milliards), le S1 confirmait (+25% CA, RN +37% à 22,9 milliards), mais le T3 a marqué un ralentissement (RN cumulé 9 mois à 18 milliards, marge nette à 10,7%). Le rapport T1 2026 publié en avril 2026 est préoccupant : CA en baisse de -27% à 49,4 milliards et résultat net effondré de -86% à 1,6 milliard, expliqué par un décalage temporel des ventes. On estime que l'exercice 2026 pourrait être difficile, mais la direction anticipe un redressement avec l'écoulement des stocks à l'export.</w:t>
      </w:r>
    </w:p>
    <w:p>
      <w:pPr>
        <w:spacing w:after="120" w:line="276" w:lineRule="auto" w:before="240"/>
      </w:pPr>
      <w:r>
        <w:rPr>
          <w:b/>
          <w:color w:val="003366"/>
          <w:sz w:val="24"/>
        </w:rPr>
        <w:t>**PARTIE 4 : CONCLUSION D'INVESTISSEMENT**</w:t>
      </w:r>
    </w:p>
    <w:p>
      <w:pPr>
        <w:spacing w:after="120" w:line="276" w:lineRule="auto"/>
      </w:pPr>
      <w:r>
        <w:t>La valorisation de PALC est attractive avec un PER de 9,0x, un P/B sous la valeur comptable (0,97x) et un EV/EBITDA de 4,4x, indiquant une sous-évaluation relative. Le comportement du cours sur 100 jours montre une stabilité (-1,32%) avec une volatilité annualisée élevée (40,9%), mais une distribution des prix normale (kurtosis mésokurtique, skewness quasi nul). Les signaux techniques sont globalement positifs (MM et MACD haussiers), malgré un Stochastique en surachat suggérant une consolidation à court terme. Les fondamentaux de 2025 sont solides (CA en croissance, structure financière saine), mais le T1 2026 décevant (-86% du RN) introduit une incertitude sur l'exercice en cours. Les prédictions IA (8 980 à 9 125 FCFA sur 10 jours) confirment une trajectoire haussière modérée, en cohérence avec les signaux techniques. La convergence entre la valorisation décotée, la tendance technique positive et les prédictions IA, malgré des fondamentaux contrastés, justifie une recommandation **ACHAT** avec un niveau de confiance **Moyen** et un risque global **Moyen**. L'horizon d'investissement optimal est de **moyen terme (3-12 mois)**, en attendant la confirmation du redressement annoncé par la direction au second semestre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1,157 titres</w:t>
            </w:r>
          </w:p>
        </w:tc>
        <w:tc>
          <w:tcPr>
            <w:tcW w:type="dxa" w:w="2268"/>
            <w:shd w:fill="FFF2CC" w:val="clear"/>
          </w:tcPr>
          <w:p>
            <w:r>
              <w:rPr>
                <w:b/>
                <w:color w:val="503200"/>
                <w:sz w:val="16"/>
              </w:rPr>
              <w:t xml:space="preserve">Cours actuel : </w:t>
            </w:r>
            <w:r>
              <w:rPr>
                <w:color w:val="000000"/>
                <w:sz w:val="17"/>
              </w:rPr>
              <w:t>4,400 FCFA</w:t>
            </w:r>
          </w:p>
          <w:p>
            <w:r>
              <w:rPr>
                <w:b/>
                <w:color w:val="503200"/>
                <w:sz w:val="16"/>
              </w:rPr>
              <w:t xml:space="preserve">Var. 100 jours : </w:t>
            </w:r>
            <w:r>
              <w:rPr>
                <w:b/>
                <w:color w:val="B40000"/>
                <w:sz w:val="17"/>
              </w:rPr>
              <w:t>-18.59%</w:t>
            </w:r>
          </w:p>
          <w:p>
            <w:r>
              <w:rPr>
                <w:b/>
                <w:color w:val="503200"/>
                <w:sz w:val="16"/>
              </w:rPr>
              <w:t xml:space="preserve">Plus haut 100j : </w:t>
            </w:r>
            <w:r>
              <w:rPr>
                <w:color w:val="000000"/>
                <w:sz w:val="17"/>
              </w:rPr>
              <w:t>5,500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9.26% (Moyenne) — μ=4,535 FCFA, σ=420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β=-0.1931 (Contre-cyclique) — Cov=-0.000007, Var(idx)=0.000036, ρ=-0.044,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4,268</w:t>
            </w:r>
          </w:p>
        </w:tc>
        <w:tc>
          <w:tcPr>
            <w:tcW w:type="dxa" w:w="1440"/>
            <w:shd w:fill="FAFAFA" w:val="clear"/>
          </w:tcPr>
          <w:p>
            <w:r>
              <w:rPr>
                <w:b/>
                <w:sz w:val="17"/>
              </w:rPr>
              <w:t>4,380</w:t>
            </w:r>
          </w:p>
        </w:tc>
        <w:tc>
          <w:tcPr>
            <w:tcW w:type="dxa" w:w="1440"/>
            <w:shd w:fill="FAFAFA" w:val="clear"/>
          </w:tcPr>
          <w:p>
            <w:r>
              <w:rPr>
                <w:sz w:val="17"/>
              </w:rPr>
              <w:t>4,491</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4,200</w:t>
            </w:r>
          </w:p>
        </w:tc>
        <w:tc>
          <w:tcPr>
            <w:tcW w:type="dxa" w:w="1440"/>
            <w:shd w:fill="FAFAFA" w:val="clear"/>
          </w:tcPr>
          <w:p>
            <w:r>
              <w:rPr>
                <w:b/>
                <w:sz w:val="17"/>
              </w:rPr>
              <w:t>4,357</w:t>
            </w:r>
          </w:p>
        </w:tc>
        <w:tc>
          <w:tcPr>
            <w:tcW w:type="dxa" w:w="1440"/>
            <w:shd w:fill="FAFAFA" w:val="clear"/>
          </w:tcPr>
          <w:p>
            <w:r>
              <w:rPr>
                <w:sz w:val="17"/>
              </w:rPr>
              <w:t>4,514</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4,145</w:t>
            </w:r>
          </w:p>
        </w:tc>
        <w:tc>
          <w:tcPr>
            <w:tcW w:type="dxa" w:w="1440"/>
            <w:shd w:fill="FAFAFA" w:val="clear"/>
          </w:tcPr>
          <w:p>
            <w:r>
              <w:rPr>
                <w:b/>
                <w:sz w:val="17"/>
              </w:rPr>
              <w:t>4,336</w:t>
            </w:r>
          </w:p>
        </w:tc>
        <w:tc>
          <w:tcPr>
            <w:tcW w:type="dxa" w:w="1440"/>
            <w:shd w:fill="FAFAFA" w:val="clear"/>
          </w:tcPr>
          <w:p>
            <w:r>
              <w:rPr>
                <w:sz w:val="17"/>
              </w:rPr>
              <w:t>4,528</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2026-08-11</w:t>
            </w:r>
          </w:p>
        </w:tc>
        <w:tc>
          <w:tcPr>
            <w:tcW w:type="dxa" w:w="1440"/>
            <w:shd w:fill="FAFAFA" w:val="clear"/>
          </w:tcPr>
          <w:p>
            <w:r>
              <w:rPr>
                <w:sz w:val="17"/>
              </w:rPr>
              <w:t>4,096</w:t>
            </w:r>
          </w:p>
        </w:tc>
        <w:tc>
          <w:tcPr>
            <w:tcW w:type="dxa" w:w="1440"/>
            <w:shd w:fill="FAFAFA" w:val="clear"/>
          </w:tcPr>
          <w:p>
            <w:r>
              <w:rPr>
                <w:b/>
                <w:sz w:val="17"/>
              </w:rPr>
              <w:t>4,316</w:t>
            </w:r>
          </w:p>
        </w:tc>
        <w:tc>
          <w:tcPr>
            <w:tcW w:type="dxa" w:w="1440"/>
            <w:shd w:fill="FAFAFA" w:val="clear"/>
          </w:tcPr>
          <w:p>
            <w:r>
              <w:rPr>
                <w:sz w:val="17"/>
              </w:rPr>
              <w:t>4,536</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2026-08-12</w:t>
            </w:r>
          </w:p>
        </w:tc>
        <w:tc>
          <w:tcPr>
            <w:tcW w:type="dxa" w:w="1440"/>
            <w:shd w:fill="FFDCE0" w:val="clear"/>
          </w:tcPr>
          <w:p>
            <w:r>
              <w:rPr>
                <w:sz w:val="17"/>
              </w:rPr>
              <w:t>4,052</w:t>
            </w:r>
          </w:p>
        </w:tc>
        <w:tc>
          <w:tcPr>
            <w:tcW w:type="dxa" w:w="1440"/>
            <w:shd w:fill="FFDCE0" w:val="clear"/>
          </w:tcPr>
          <w:p>
            <w:r>
              <w:rPr>
                <w:b/>
                <w:sz w:val="17"/>
              </w:rPr>
              <w:t>4,297</w:t>
            </w:r>
          </w:p>
        </w:tc>
        <w:tc>
          <w:tcPr>
            <w:tcW w:type="dxa" w:w="1440"/>
            <w:shd w:fill="FFDCE0" w:val="clear"/>
          </w:tcPr>
          <w:p>
            <w:r>
              <w:rPr>
                <w:sz w:val="17"/>
              </w:rPr>
              <w:t>4,541</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2026-08-13</w:t>
            </w:r>
          </w:p>
        </w:tc>
        <w:tc>
          <w:tcPr>
            <w:tcW w:type="dxa" w:w="1440"/>
            <w:shd w:fill="FFDCE0" w:val="clear"/>
          </w:tcPr>
          <w:p>
            <w:r>
              <w:rPr>
                <w:sz w:val="17"/>
              </w:rPr>
              <w:t>4,010</w:t>
            </w:r>
          </w:p>
        </w:tc>
        <w:tc>
          <w:tcPr>
            <w:tcW w:type="dxa" w:w="1440"/>
            <w:shd w:fill="FFDCE0" w:val="clear"/>
          </w:tcPr>
          <w:p>
            <w:r>
              <w:rPr>
                <w:b/>
                <w:sz w:val="17"/>
              </w:rPr>
              <w:t>4,277</w:t>
            </w:r>
          </w:p>
        </w:tc>
        <w:tc>
          <w:tcPr>
            <w:tcW w:type="dxa" w:w="1440"/>
            <w:shd w:fill="FFDCE0" w:val="clear"/>
          </w:tcPr>
          <w:p>
            <w:r>
              <w:rPr>
                <w:sz w:val="17"/>
              </w:rPr>
              <w:t>4,544</w:t>
            </w:r>
          </w:p>
        </w:tc>
        <w:tc>
          <w:tcPr>
            <w:tcW w:type="dxa" w:w="1440"/>
            <w:shd w:fill="FFDCE0" w:val="clear"/>
          </w:tcPr>
          <w:p>
            <w:r>
              <w:rPr>
                <w:b/>
                <w:color w:val="C00000"/>
                <w:sz w:val="17"/>
              </w:rPr>
              <w:t>-2.8%</w:t>
            </w:r>
          </w:p>
        </w:tc>
      </w:tr>
      <w:tr>
        <w:tc>
          <w:tcPr>
            <w:tcW w:type="dxa" w:w="1440"/>
            <w:shd w:fill="FFDCE0" w:val="clear"/>
          </w:tcPr>
          <w:p>
            <w:r>
              <w:rPr>
                <w:sz w:val="17"/>
              </w:rPr>
              <w:t>J+7  Moyenne</w:t>
            </w:r>
          </w:p>
        </w:tc>
        <w:tc>
          <w:tcPr>
            <w:tcW w:type="dxa" w:w="1440"/>
            <w:shd w:fill="FFDCE0" w:val="clear"/>
          </w:tcPr>
          <w:p>
            <w:r>
              <w:rPr>
                <w:sz w:val="17"/>
              </w:rPr>
              <w:t>2026-08-14</w:t>
            </w:r>
          </w:p>
        </w:tc>
        <w:tc>
          <w:tcPr>
            <w:tcW w:type="dxa" w:w="1440"/>
            <w:shd w:fill="FFDCE0" w:val="clear"/>
          </w:tcPr>
          <w:p>
            <w:r>
              <w:rPr>
                <w:sz w:val="17"/>
              </w:rPr>
              <w:t>3,971</w:t>
            </w:r>
          </w:p>
        </w:tc>
        <w:tc>
          <w:tcPr>
            <w:tcW w:type="dxa" w:w="1440"/>
            <w:shd w:fill="FFDCE0" w:val="clear"/>
          </w:tcPr>
          <w:p>
            <w:r>
              <w:rPr>
                <w:b/>
                <w:sz w:val="17"/>
              </w:rPr>
              <w:t>4,258</w:t>
            </w:r>
          </w:p>
        </w:tc>
        <w:tc>
          <w:tcPr>
            <w:tcW w:type="dxa" w:w="1440"/>
            <w:shd w:fill="FFDCE0" w:val="clear"/>
          </w:tcPr>
          <w:p>
            <w:r>
              <w:rPr>
                <w:sz w:val="17"/>
              </w:rPr>
              <w:t>4,545</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2026-08-17</w:t>
            </w:r>
          </w:p>
        </w:tc>
        <w:tc>
          <w:tcPr>
            <w:tcW w:type="dxa" w:w="1440"/>
            <w:shd w:fill="FFDCE0" w:val="clear"/>
          </w:tcPr>
          <w:p>
            <w:r>
              <w:rPr>
                <w:sz w:val="17"/>
              </w:rPr>
              <w:t>3,934</w:t>
            </w:r>
          </w:p>
        </w:tc>
        <w:tc>
          <w:tcPr>
            <w:tcW w:type="dxa" w:w="1440"/>
            <w:shd w:fill="FFDCE0" w:val="clear"/>
          </w:tcPr>
          <w:p>
            <w:r>
              <w:rPr>
                <w:b/>
                <w:sz w:val="17"/>
              </w:rPr>
              <w:t>4,239</w:t>
            </w:r>
          </w:p>
        </w:tc>
        <w:tc>
          <w:tcPr>
            <w:tcW w:type="dxa" w:w="1440"/>
            <w:shd w:fill="FFDCE0" w:val="clear"/>
          </w:tcPr>
          <w:p>
            <w:r>
              <w:rPr>
                <w:sz w:val="17"/>
              </w:rPr>
              <w:t>4,545</w:t>
            </w:r>
          </w:p>
        </w:tc>
        <w:tc>
          <w:tcPr>
            <w:tcW w:type="dxa" w:w="1440"/>
            <w:shd w:fill="FFDCE0" w:val="clear"/>
          </w:tcPr>
          <w:p>
            <w:r>
              <w:rPr>
                <w:b/>
                <w:color w:val="C00000"/>
                <w:sz w:val="17"/>
              </w:rPr>
              <w:t>-3.7%</w:t>
            </w:r>
          </w:p>
        </w:tc>
      </w:tr>
      <w:tr>
        <w:tc>
          <w:tcPr>
            <w:tcW w:type="dxa" w:w="1440"/>
            <w:shd w:fill="FFDCE0" w:val="clear"/>
          </w:tcPr>
          <w:p>
            <w:r>
              <w:rPr>
                <w:sz w:val="17"/>
              </w:rPr>
              <w:t>J+9  Moyenne</w:t>
            </w:r>
          </w:p>
        </w:tc>
        <w:tc>
          <w:tcPr>
            <w:tcW w:type="dxa" w:w="1440"/>
            <w:shd w:fill="FFDCE0" w:val="clear"/>
          </w:tcPr>
          <w:p>
            <w:r>
              <w:rPr>
                <w:sz w:val="17"/>
              </w:rPr>
              <w:t>2026-08-18</w:t>
            </w:r>
          </w:p>
        </w:tc>
        <w:tc>
          <w:tcPr>
            <w:tcW w:type="dxa" w:w="1440"/>
            <w:shd w:fill="FFDCE0" w:val="clear"/>
          </w:tcPr>
          <w:p>
            <w:r>
              <w:rPr>
                <w:sz w:val="17"/>
              </w:rPr>
              <w:t>3,898</w:t>
            </w:r>
          </w:p>
        </w:tc>
        <w:tc>
          <w:tcPr>
            <w:tcW w:type="dxa" w:w="1440"/>
            <w:shd w:fill="FFDCE0" w:val="clear"/>
          </w:tcPr>
          <w:p>
            <w:r>
              <w:rPr>
                <w:b/>
                <w:sz w:val="17"/>
              </w:rPr>
              <w:t>4,221</w:t>
            </w:r>
          </w:p>
        </w:tc>
        <w:tc>
          <w:tcPr>
            <w:tcW w:type="dxa" w:w="1440"/>
            <w:shd w:fill="FFDCE0" w:val="clear"/>
          </w:tcPr>
          <w:p>
            <w:r>
              <w:rPr>
                <w:sz w:val="17"/>
              </w:rPr>
              <w:t>4,544</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2026-08-19</w:t>
            </w:r>
          </w:p>
        </w:tc>
        <w:tc>
          <w:tcPr>
            <w:tcW w:type="dxa" w:w="1440"/>
            <w:shd w:fill="FFDCE0" w:val="clear"/>
          </w:tcPr>
          <w:p>
            <w:r>
              <w:rPr>
                <w:sz w:val="17"/>
              </w:rPr>
              <w:t>3,864</w:t>
            </w:r>
          </w:p>
        </w:tc>
        <w:tc>
          <w:tcPr>
            <w:tcW w:type="dxa" w:w="1440"/>
            <w:shd w:fill="FFDCE0" w:val="clear"/>
          </w:tcPr>
          <w:p>
            <w:r>
              <w:rPr>
                <w:b/>
                <w:sz w:val="17"/>
              </w:rPr>
              <w:t>4,203</w:t>
            </w:r>
          </w:p>
        </w:tc>
        <w:tc>
          <w:tcPr>
            <w:tcW w:type="dxa" w:w="1440"/>
            <w:shd w:fill="FFDCE0" w:val="clear"/>
          </w:tcPr>
          <w:p>
            <w:r>
              <w:rPr>
                <w:sz w:val="17"/>
              </w:rPr>
              <w:t>4,542</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PRSC s'établit à 45,06 milliards FCFA, un niveau significatif qui positionne la société parmi les valeurs moyennes de la BRVM, reflétant sa présence établie dans le secteur automobile ivoirien. Le BPA de 231 FCFA indique que chaque action génère un bénéfice modeste, ce qui, rapporté au cours de 4 400 FCFA, donne un PER de 19,0x. Ce ratio est nettement supérieur à la moyenne historique de la BRVM (8-12x), suggérant que les investisseurs paient une prime substantielle pour la croissance anticipée, ce qui pourrait également signaler une valorisation exigeante. Le P/B de 3,91x, dans la fourchette de 2-4x, confirme cette prime de croissance accordée par le marché par rapport à la valeur comptable des actifs. Enfin, l'EV/EBITDA de 9,7x, situé dans la zone raisonnable de 5-10x, indique que la valeur totale de l'entreprise reste cohérente avec sa capacité opérationnelle à générer des bénéfices avant intérêts, impôts et amortissements.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 enregistré une baisse significative de 18,59%, avec une dernière séance stable à 4 400 FCFA. Le titre a évolué dans une fourchette large de 3 620 à 5 500 FCFA, illustrant une volatilité marquée sur la période. La moyenne de 4 535 FCFA est légèrement supérieure à la médiane de 4 598 FCFA, indiquant une distribution relativement symétrique des cours, bien que le skewness négatif de -0,328 suggère une légère asymétrie vers les valeurs basses. L'écart-type de 422 FCFA, avec un coefficient de variation de 9,3%, témoigne d'une dispersion modérée autour de la moyenne. Le kurtosis proche de zéro (0,009) indique une distribution mésokurtique, sans risque de pics extrêmes. La volatilité annualisée de 41,9% classe le titre comme très volatil, un niveau élevé qui reflète une incertitude considérable sur le marché, nécessitant une gestion prudente du risque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4 400 FCFA se situe en dessous de la MM20 (4 482,5 FCFA) et de la MM50 (4 447,7 FCFA), indiquant une pression baissière à court et moyen terme. Cependant, la décision globale est "Achat", ce qui suggère que les moyennes mobiles pourraient agir comme un support dynamique, avec un potentiel de rebond si le cours parvient à se maintenir au-dessus de ces niveaux.</w:t>
      </w:r>
    </w:p>
    <w:p>
      <w:pPr>
        <w:spacing w:after="120" w:line="276" w:lineRule="auto"/>
      </w:pPr>
      <w:r>
        <w:t>**Bandes de Bollinger** : Le prix de 4 400 FCFA se positionne entre la borne inférieure (4 254,9 FCFA) et la borne supérieure (4 710,1 FCFA), proche de la zone médiane. Cette position neutre indique une volatilité modérée, sans signal clair de surachat ou de survente. La décision "Neutre" reflète l'absence de cassure directionnelle, le marché attendant un catalyseur pour définir la tendance.</w:t>
      </w:r>
    </w:p>
    <w:p>
      <w:pPr>
        <w:spacing w:after="120" w:line="276" w:lineRule="auto"/>
      </w:pPr>
      <w:r>
        <w:t>**MACD** : La valeur du MACD (6,681) est nettement inférieure à son signal (26,28), générant une décision "Vente". Cette configuration baissière suggère un affaiblissement du momentum, avec une possible poursuite de la baisse à court terme. Les investisseurs devraient surveiller un éventuel croisement haussier pour inverser cette dynamique.</w:t>
      </w:r>
    </w:p>
    <w:p>
      <w:pPr>
        <w:spacing w:after="120" w:line="276" w:lineRule="auto"/>
      </w:pPr>
      <w:r>
        <w:t>**RSI** : À 57,639, le RSI se situe dans la zone neutre (30-70), indiquant un équilibre entre pressions acheteuses et vendeuses. Cette valeur ne signale ni surachat ni survente, laissant place à une évolution directionnelle sans contrainte technique majeure.</w:t>
      </w:r>
    </w:p>
    <w:p>
      <w:pPr>
        <w:spacing w:after="120" w:line="276" w:lineRule="auto"/>
      </w:pPr>
      <w:r>
        <w:t>**Stochastique** : Le %K à 0,0 et le %D à 31,455 montrent un croisement baissier, mais le %K extrêmement bas suggère une condition de survente potentielle. La décision "Achat" indique un possible rebond technique, mais la prudence est de mise tant que la tendance générale reste incertaine.</w:t>
      </w:r>
    </w:p>
    <w:p>
      <w:pPr>
        <w:spacing w:after="120" w:line="276" w:lineRule="auto"/>
      </w:pPr>
      <w:r>
        <w:t>**Conclusion technique** : Les indicateurs sont mitigés, avec une majorité de signaux baissiers (MACD, position sous les MM) contre des signaux neutres ou d'achat (RSI, Stochastique). Cette divergence suggère une phase de consolidation avec un biais baissier à court terme, mais un potentiel de rebond technique si les conditions de survente se matérialisent.</w:t>
      </w:r>
    </w:p>
    <w:p>
      <w:pPr>
        <w:spacing w:after="120" w:line="276" w:lineRule="auto" w:before="240"/>
      </w:pPr>
      <w:r>
        <w:rPr>
          <w:b/>
          <w:color w:val="003366"/>
          <w:sz w:val="24"/>
        </w:rPr>
        <w:t>**PARTIE 3 : ANALYSE FONDAMENTALE (SECTION CRITIQUE)**</w:t>
      </w:r>
    </w:p>
    <w:p>
      <w:pPr>
        <w:spacing w:after="120" w:line="276" w:lineRule="auto"/>
      </w:pPr>
      <w:r>
        <w:t>En 2025, PRSC affiche un chiffre d'affaires de 81,127 milliards FCFA, en hausse de 9,5% par rapport à 2024 (74,45 milliards), selon les données structurées officielles. Le résultat net s'établit à 2,367 milliards FCFA, stable par rapport aux 2,35 milliards de 2024, avec une marge nette de 2,92%. Le ROE de 20,53% est excellent, démontrant une forte rentabilité des capitaux propres, tandis que le ROA de 4,95% reste modéré. En tant qu'entreprise de distribution automobile, PRSC présente un BFR de 11,267 milliards FCFA, avec un délai client de 45,99 jours (risque de trésorerie modéré) et un délai fournisseur de 102,65 jours (favorable). La durée de stockage de 150,51 jours est élevée, immobilisant du capital. Le rapport semestriel 2025 (30/06/2025) montre une performance exceptionnelle avec un CA de 39,968 milliards FCFA (+15,1%) et un résultat net multiplié par 28 à 1,436 milliard, porté par les ventes de véhicules industriels (+41,2%) et pneumatiques (+62,6%). Sur cette base, on estime que l'exercice 2025 pourrait dépasser les prévisions, avec une croissance soutenue au S2, malgré les incertitudes électorales. La structure financière reste saine avec des capitaux propres de 11,531 milliards FCFA et un endettement maîtrisé (capacité de remboursement de 1,83 an). La recommandation fondamentale est "Conserver", avec une vigilance sur la pression sur les marges et la gestion du BFR.</w:t>
      </w:r>
    </w:p>
    <w:p>
      <w:pPr>
        <w:spacing w:after="120" w:line="276" w:lineRule="auto" w:before="240"/>
      </w:pPr>
      <w:r>
        <w:rPr>
          <w:b/>
          <w:color w:val="003366"/>
          <w:sz w:val="24"/>
        </w:rPr>
        <w:t>**PARTIE 4 : CONCLUSION D'INVESTISSEMENT**</w:t>
      </w:r>
    </w:p>
    <w:p>
      <w:pPr>
        <w:spacing w:after="120" w:line="276" w:lineRule="auto"/>
      </w:pPr>
      <w:r>
        <w:t>La valorisation de PRSC, avec un PER de 19,0x et un P/B de 3,91x, apparaît exigeante par rapport aux standards BRVM, suggérant une surévaluation relative malgré un EV/EBITDA raisonnable. Le comportement du cours, en baisse de 18,59% sur 100 jours avec une volatilité élevée de 41,9%, est préoccupant, bien que la distribution symétrique et le kurtosis modéré indiquent une absence de risque extrême. Les signaux techniques sont mitigés, avec un biais baissier (MACD, MM) contre des conditions de survente (Stochastique), créant une incertitude directionnelle. Les fondamentaux montrent une croissance solide du CA (+9,5% en 2025) et un ROE excellent de 20,53%, mais une marge nette faible de 2,92% et un BFR élevé nécessitent une surveillance. Les prédictions IA (4 380 à 4 297 FCFA sur 10 jours) confirment une légère tendance baissière à court terme, cohérente avec les signaux techniques. En synthèse, la convergence entre la valorisation élevée, la tendance baissière et les fondamentaux mitigés conduit à une recommandation **CONSERVER**, avec un niveau de confiance **Moyen** et un risque global **Élevé**. L'horizon d'investissement optimal est le **moyen terme (3-12 mois)**, en attendant une clarification de la politique de dividende et une amélioration des marges opérationnelles.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7,242 titres</w:t>
            </w:r>
          </w:p>
        </w:tc>
        <w:tc>
          <w:tcPr>
            <w:tcW w:type="dxa" w:w="2268"/>
            <w:shd w:fill="FFF2CC" w:val="clear"/>
          </w:tcPr>
          <w:p>
            <w:r>
              <w:rPr>
                <w:b/>
                <w:color w:val="503200"/>
                <w:sz w:val="16"/>
              </w:rPr>
              <w:t xml:space="preserve">Cours actuel : </w:t>
            </w:r>
            <w:r>
              <w:rPr>
                <w:color w:val="000000"/>
                <w:sz w:val="17"/>
              </w:rPr>
              <w:t>5,100 FCFA</w:t>
            </w:r>
          </w:p>
          <w:p>
            <w:r>
              <w:rPr>
                <w:b/>
                <w:color w:val="503200"/>
                <w:sz w:val="16"/>
              </w:rPr>
              <w:t xml:space="preserve">Var. 100 jours : </w:t>
            </w:r>
            <w:r>
              <w:rPr>
                <w:b/>
                <w:color w:val="B40000"/>
                <w:sz w:val="17"/>
              </w:rPr>
              <w:t>-11.07%</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28.2/100 → Moyen</w:t>
      </w:r>
    </w:p>
    <w:p>
      <w:pPr>
        <w:spacing w:before="40" w:after="80"/>
      </w:pPr>
      <w:r>
        <w:rPr>
          <w:rFonts w:ascii="Courier New" w:hAnsi="Courier New"/>
          <w:color w:val="825A00"/>
          <w:sz w:val="18"/>
        </w:rPr>
        <w:t>█████░░░░░░░░░░░░░░░  28.2/100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23.82% (Élevée) — μ=4,838 FCFA, σ=1,152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β=0.4269 (Défensif) — Cov=0.000015, Var(idx)=0.000036, ρ=0.048,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σ_j=5.25%/j (Instable) — Vol. annualisée≈83.4%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2026-08-05</w:t>
            </w:r>
          </w:p>
        </w:tc>
        <w:tc>
          <w:tcPr>
            <w:tcW w:type="dxa" w:w="1440"/>
            <w:shd w:fill="FFDCE0" w:val="clear"/>
          </w:tcPr>
          <w:p>
            <w:r>
              <w:rPr>
                <w:sz w:val="17"/>
              </w:rPr>
              <w:t>4,463</w:t>
            </w:r>
          </w:p>
        </w:tc>
        <w:tc>
          <w:tcPr>
            <w:tcW w:type="dxa" w:w="1440"/>
            <w:shd w:fill="FFDCE0" w:val="clear"/>
          </w:tcPr>
          <w:p>
            <w:r>
              <w:rPr>
                <w:b/>
                <w:sz w:val="17"/>
              </w:rPr>
              <w:t>4,718</w:t>
            </w:r>
          </w:p>
        </w:tc>
        <w:tc>
          <w:tcPr>
            <w:tcW w:type="dxa" w:w="1440"/>
            <w:shd w:fill="FFDCE0" w:val="clear"/>
          </w:tcPr>
          <w:p>
            <w:r>
              <w:rPr>
                <w:sz w:val="17"/>
              </w:rPr>
              <w:t>4,972</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2026-08-06</w:t>
            </w:r>
          </w:p>
        </w:tc>
        <w:tc>
          <w:tcPr>
            <w:tcW w:type="dxa" w:w="1440"/>
            <w:shd w:fill="FFDCE0" w:val="clear"/>
          </w:tcPr>
          <w:p>
            <w:r>
              <w:rPr>
                <w:sz w:val="17"/>
              </w:rPr>
              <w:t>4,031</w:t>
            </w:r>
          </w:p>
        </w:tc>
        <w:tc>
          <w:tcPr>
            <w:tcW w:type="dxa" w:w="1440"/>
            <w:shd w:fill="FFDCE0" w:val="clear"/>
          </w:tcPr>
          <w:p>
            <w:r>
              <w:rPr>
                <w:b/>
                <w:sz w:val="17"/>
              </w:rPr>
              <w:t>4,364</w:t>
            </w:r>
          </w:p>
        </w:tc>
        <w:tc>
          <w:tcPr>
            <w:tcW w:type="dxa" w:w="1440"/>
            <w:shd w:fill="FFDCE0" w:val="clear"/>
          </w:tcPr>
          <w:p>
            <w:r>
              <w:rPr>
                <w:sz w:val="17"/>
              </w:rPr>
              <w:t>4,697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3,659</w:t>
            </w:r>
          </w:p>
        </w:tc>
        <w:tc>
          <w:tcPr>
            <w:tcW w:type="dxa" w:w="1440"/>
            <w:shd w:fill="FFDCE0" w:val="clear"/>
          </w:tcPr>
          <w:p>
            <w:r>
              <w:rPr>
                <w:b/>
                <w:sz w:val="17"/>
              </w:rPr>
              <w:t>4,036</w:t>
            </w:r>
          </w:p>
        </w:tc>
        <w:tc>
          <w:tcPr>
            <w:tcW w:type="dxa" w:w="1440"/>
            <w:shd w:fill="FFDCE0" w:val="clear"/>
          </w:tcPr>
          <w:p>
            <w:r>
              <w:rPr>
                <w:sz w:val="17"/>
              </w:rPr>
              <w:t>4,414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3,331</w:t>
            </w:r>
          </w:p>
        </w:tc>
        <w:tc>
          <w:tcPr>
            <w:tcW w:type="dxa" w:w="1440"/>
            <w:shd w:fill="FFDCE0" w:val="clear"/>
          </w:tcPr>
          <w:p>
            <w:r>
              <w:rPr>
                <w:b/>
                <w:sz w:val="17"/>
              </w:rPr>
              <w:t>3,734</w:t>
            </w:r>
          </w:p>
        </w:tc>
        <w:tc>
          <w:tcPr>
            <w:tcW w:type="dxa" w:w="1440"/>
            <w:shd w:fill="FFDCE0" w:val="clear"/>
          </w:tcPr>
          <w:p>
            <w:r>
              <w:rPr>
                <w:sz w:val="17"/>
              </w:rPr>
              <w:t>4,137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3,037</w:t>
            </w:r>
          </w:p>
        </w:tc>
        <w:tc>
          <w:tcPr>
            <w:tcW w:type="dxa" w:w="1440"/>
            <w:shd w:fill="FFDCE0" w:val="clear"/>
          </w:tcPr>
          <w:p>
            <w:r>
              <w:rPr>
                <w:b/>
                <w:sz w:val="17"/>
              </w:rPr>
              <w:t>3,454</w:t>
            </w:r>
          </w:p>
        </w:tc>
        <w:tc>
          <w:tcPr>
            <w:tcW w:type="dxa" w:w="1440"/>
            <w:shd w:fill="FFDCE0" w:val="clear"/>
          </w:tcPr>
          <w:p>
            <w:r>
              <w:rPr>
                <w:sz w:val="17"/>
              </w:rPr>
              <w:t>3,870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2,772</w:t>
            </w:r>
          </w:p>
        </w:tc>
        <w:tc>
          <w:tcPr>
            <w:tcW w:type="dxa" w:w="1440"/>
            <w:shd w:fill="FFDCE0" w:val="clear"/>
          </w:tcPr>
          <w:p>
            <w:r>
              <w:rPr>
                <w:b/>
                <w:sz w:val="17"/>
              </w:rPr>
              <w:t>3,195</w:t>
            </w:r>
          </w:p>
        </w:tc>
        <w:tc>
          <w:tcPr>
            <w:tcW w:type="dxa" w:w="1440"/>
            <w:shd w:fill="FFDCE0" w:val="clear"/>
          </w:tcPr>
          <w:p>
            <w:r>
              <w:rPr>
                <w:sz w:val="17"/>
              </w:rPr>
              <w:t>3,617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2,533</w:t>
            </w:r>
          </w:p>
        </w:tc>
        <w:tc>
          <w:tcPr>
            <w:tcW w:type="dxa" w:w="1440"/>
            <w:shd w:fill="FFDCE0" w:val="clear"/>
          </w:tcPr>
          <w:p>
            <w:r>
              <w:rPr>
                <w:b/>
                <w:sz w:val="17"/>
              </w:rPr>
              <w:t>2,955</w:t>
            </w:r>
          </w:p>
        </w:tc>
        <w:tc>
          <w:tcPr>
            <w:tcW w:type="dxa" w:w="1440"/>
            <w:shd w:fill="FFDCE0" w:val="clear"/>
          </w:tcPr>
          <w:p>
            <w:r>
              <w:rPr>
                <w:sz w:val="17"/>
              </w:rPr>
              <w:t>3,377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2,316</w:t>
            </w:r>
          </w:p>
        </w:tc>
        <w:tc>
          <w:tcPr>
            <w:tcW w:type="dxa" w:w="1440"/>
            <w:shd w:fill="FFDCE0" w:val="clear"/>
          </w:tcPr>
          <w:p>
            <w:r>
              <w:rPr>
                <w:b/>
                <w:sz w:val="17"/>
              </w:rPr>
              <w:t>2,733</w:t>
            </w:r>
          </w:p>
        </w:tc>
        <w:tc>
          <w:tcPr>
            <w:tcW w:type="dxa" w:w="1440"/>
            <w:shd w:fill="FFDCE0" w:val="clear"/>
          </w:tcPr>
          <w:p>
            <w:r>
              <w:rPr>
                <w:sz w:val="17"/>
              </w:rPr>
              <w:t>3,151</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2,119</w:t>
            </w:r>
          </w:p>
        </w:tc>
        <w:tc>
          <w:tcPr>
            <w:tcW w:type="dxa" w:w="1440"/>
            <w:shd w:fill="FFDCE0" w:val="clear"/>
          </w:tcPr>
          <w:p>
            <w:r>
              <w:rPr>
                <w:b/>
                <w:sz w:val="17"/>
              </w:rPr>
              <w:t>2,528</w:t>
            </w:r>
          </w:p>
        </w:tc>
        <w:tc>
          <w:tcPr>
            <w:tcW w:type="dxa" w:w="1440"/>
            <w:shd w:fill="FFDCE0" w:val="clear"/>
          </w:tcPr>
          <w:p>
            <w:r>
              <w:rPr>
                <w:sz w:val="17"/>
              </w:rPr>
              <w:t>2,938</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1,940</w:t>
            </w:r>
          </w:p>
        </w:tc>
        <w:tc>
          <w:tcPr>
            <w:tcW w:type="dxa" w:w="1440"/>
            <w:shd w:fill="FFDCE0" w:val="clear"/>
          </w:tcPr>
          <w:p>
            <w:r>
              <w:rPr>
                <w:b/>
                <w:sz w:val="17"/>
              </w:rPr>
              <w:t>2,339</w:t>
            </w:r>
          </w:p>
        </w:tc>
        <w:tc>
          <w:tcPr>
            <w:tcW w:type="dxa" w:w="1440"/>
            <w:shd w:fill="FFDCE0" w:val="clear"/>
          </w:tcPr>
          <w:p>
            <w:r>
              <w:rPr>
                <w:sz w:val="17"/>
              </w:rPr>
              <w:t>2,738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de l'analyse : 04 août 2026**</w:t>
        <w:br/>
        <w:t>**Cours de référence : 5 100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41,41 milliards FCFA, un niveau significatif pour une institution financière de taille moyenne sur la BRVM. Le BPA de 86 FCFA par action, bien que positif, est encore modeste. Le PER de 59,1x est extrêmement élevé par rapport à la moyenne historique du marché BRVM (8-12x), indiquant que les investisseurs paient une prime considérable pour les bénéfices actuels, anticipant probablement une forte croissance future. Le P/B de 7,00x confirme cette valorisation exigeante, le marché valorisant l'action bien au-delà de sa valeur comptable (capitaux propres de 5,916 Mds FCFA). Enfin, l'EV/EBITDA de 78,1x est également très élevé, signe que la valeur totale de l'entreprise est déconnectée de sa capacité opérationnelle actuelle. Ces ratios suggèrent une valorisation très optimiste, intégrant un scénario de redressement réussi.</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affiche une variation totale de -11,07%, mais a rebondi de +2,00% lors de la dernière séance pour clôturer à 5 100 FCFA. Le titre a connu une amplitude de trading extrême, oscillant entre un plus bas de 3 340 FCFA et un plus haut de 7 555 FCFA, illustrant une forte volatilité. La moyenne du cours sur la période (4 838 FCFA) est supérieure à la médiane (4 505 FCFA), ce qui, combiné à un skewness positif de 0,802, indique une distribution asymétrique avec des épisodes de forte hausse. L'écart-type de 1 158 FCFA (CV de 23,9%) confirme une dispersion élevée des prix. Le kurtosis de -0,454 (mésokurtique) suggère une distribution proche de la normale, sans risque de pics extrêmes particuliers. La volatilité annualisée de 83,4% est extrêmement élevée, classant le titre comme très spéculatif,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(5 100 FCFA) est nettement au-dessus de la MM20 (4 638 FCFA) et de la MM50 (4 325,7 FCFA). Cette configuration haussière, où le prix évolue au-dessus de ses moyennes mobiles clés, confirme une dynamique positive à court et moyen terme, justifiant la décision d'**Achat**.</w:t>
      </w:r>
    </w:p>
    <w:p>
      <w:pPr>
        <w:spacing w:after="120" w:line="276" w:lineRule="auto"/>
      </w:pPr>
      <w:r>
        <w:t>**Bandes de Bollinger** : Le cours se situe à 5 100 FCFA, entre la borne supérieure (5 382,4 FCFA) et la borne inférieure (3 893,6 FCFA). La position du prix dans la partie haute des bandes indique une pression acheteuse, mais sans atteindre la zone de surachat extrême. La décision est **Neutre**, le titre n'étant pas en situation de sortie de canal.</w:t>
      </w:r>
    </w:p>
    <w:p>
      <w:pPr>
        <w:spacing w:after="120" w:line="276" w:lineRule="auto"/>
      </w:pPr>
      <w:r>
        <w:t>**MACD** : Le MACD (221,7) est nettement supérieur à son signal (176,0), démontrant un momentum haussier solide et une dynamique positive en cours. L'écart positif entre les deux lignes renforce le signal d'**Achat**, indiquant que la tendance haussière est soutenue par les flux.</w:t>
      </w:r>
    </w:p>
    <w:p>
      <w:pPr>
        <w:spacing w:after="120" w:line="276" w:lineRule="auto"/>
      </w:pPr>
      <w:r>
        <w:t>**RSI** : Le RSI s'établit à 63,8, une valeur dans la zone neutre (30-70) mais proche de la zone de surachat (70). Cela indique une dynamique acheteuse encore présente, mais sans signal de retournement imminent. La décision est **Neutre**, le titre n'étant ni survendu ni suracheté.</w:t>
      </w:r>
    </w:p>
    <w:p>
      <w:pPr>
        <w:spacing w:after="120" w:line="276" w:lineRule="auto"/>
      </w:pPr>
      <w:r>
        <w:t>**Stochastique** : Le %K (77,9) est supérieur à %D (75,9), tous deux dans la zone de surachat (&gt;70). Cette configuration suggère une force acheteuse persistante, mais signale également une possible consolidation à venir. La décision est **Neutre**, en attendant un croisement baissier potentiel.</w:t>
      </w:r>
    </w:p>
    <w:p>
      <w:pPr>
        <w:spacing w:after="120" w:line="276" w:lineRule="auto"/>
      </w:pPr>
      <w:r>
        <w:t>**Conclusion technique** : Les indicateurs de tendance (MM, MACD) sont résolument haussiers, tandis que les oscillateurs (RSI, Stochastique) sont en zone neutre ou de surachat, suggérant une possible pause. Le signal global est donc **positif à moyen terme**, mais avec un risque de consolidation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PNB de 5,735 Mds FCFA, en hausse de 44,1% par rapport à 2024 (3,980 Mds FCFA), et un résultat net positif de 701 millions FCFA, mettant fin à huit années de pertes consécutives. La marge nette s'établit à 12,2%, le ROE à 11,85% et le ROA à 0,88%. Le coefficient d'exploitation de 77,6% reste élevé, indiquant une efficacité opérationnelle perfectible. Le coût du risque de 6,57% demeure un point de vigilance, reflétant un portefeuille de crédit encore fragile. Les capitaux propres (5,916 Mds FCFA) restent faibles face à un total bilan de 79,555 Mds FCFA (autonomie financière de 7,4%). Selon les rapports de 2025, l'entrée de CREDAF Group a été le catalyseur de ce redressement. Sur la base du rapport T1 2026 (PNB en hausse de 29% à 1,395 Md FCFA et résultat net de 151 millions FCFA), on estime que l'exercice 2026 pourrait voir un PNB annuel dépasser 6,5 Mds FCFA et un résultat net potentiellement supérieur à 700 millions FCFA, confirmant la dynamique de croissance rentable. Les ratios prudentiels sont respectés, mais avec des marges de sécurité limitées.</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59,1x, P/B 7,0x, EV/EBITDA 78,1x), intégrant un scénario de redressement très optimiste. Le comportement du cours sur 100 jours montre une forte volatilité (83,4% annualisée) et une tendance baissière récente (-11,07%), bien que les derniers signaux techniques (MM, MACD) soient positifs. Les fondamentaux, bien qu'en nette amélioration en 2025 et au T1 2026, restent fragiles avec un coût du risque élevé et des fonds propres insuffisants. Les prédictions IA pour les 10 prochains jours (baisse de 5 100 à 3 454 FCFA) contredisent fortement les signaux techniques haussiers et suggèrent une correction majeure. Cette divergence entre la valorisation élevée, la volatilité extrême, des fondamentaux en amélioration mais encore précaires, et une prédiction IA baissière, impose une grande prudence. **Recommandation finale : CONSERVER**. Le niveau de confiance est **Faible** et le risque global est **Élevé**. L'horizon d'investissement optimal serait de **moyen terme (3-12 mois)**, en attendant de voir si la croissance de la rentabilité peut justifier la valorisation actuelle et si le cours se stabilise.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du co\u00fbt du risque (+491%) et le r\u00e9sultat net d\u00e9ficitaire en aggravation r\u00e9v\u00e8lent des difficult\u00e9s structurelles majeures. L'impact combin\u00e9 de la COVID-19 et des redressements fiscaux fragilise durablement la rentabilit\u00e9."}</w:t>
      </w:r>
    </w:p>
    <w:p>
      <w:pPr>
        <w:spacing w:before="40"/>
        <w:ind w:left="400"/>
      </w:pPr>
      <w:r>
        <w:rPr>
          <w:sz w:val="18"/>
        </w:rPr>
        <w:t>SAFCA CI (Société Africaine de Crédit Automobile) affiche des résultats préoccupants pour le 4T 2020 avec un résultat net déficitaire de -1 306 millions FCFA contre -211 millions en 2019. Le Produit Net Bancaire recule de 4% à 3 414 millions FCFA, impacté par la crise sanitaire COVID-19. Le coût du risque explose de 491% à -1 135 millions FCFA, révélant une dégradation significative du portefeuille de crédit. Le total bilan progresse néanmoins de 5% à 66 533 millions FCFA grâce à l'accroissement des avoirs bancaires. Les ratios prudentiels restent conformes aux exigences réglementaires malgré la détérioration des résultats.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'-1 135M FCFA', 'ratio_solvabilite': '10.778%', 'ratio_fonds_propres_CET1': '7.966%', 'operations_clientele_actif': '45 046M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-38.3%</w:t>
            </w:r>
          </w:p>
        </w:tc>
        <w:tc>
          <w:tcPr>
            <w:tcW w:type="dxa" w:w="2160"/>
          </w:tcPr>
          <w:p>
            <w:pPr>
              <w:ind w:left="100"/>
            </w:pPr>
            <w:r/>
            <w:r>
              <w:rPr>
                <w:b/>
                <w:sz w:val="16"/>
              </w:rPr>
              <w:t>total_actif</w:t>
              <w:br/>
            </w:r>
            <w:r>
              <w:rPr>
                <w:sz w:val="18"/>
              </w:rPr>
              <w:t>66 533M FCFA</w:t>
            </w:r>
          </w:p>
        </w:tc>
      </w:tr>
      <w:tr>
        <w:tc>
          <w:tcPr>
            <w:tcW w:type="dxa" w:w="2160"/>
          </w:tcPr>
          <w:p>
            <w:r/>
            <w:r>
              <w:rPr>
                <w:b/>
                <w:sz w:val="16"/>
              </w:rPr>
              <w:t>resultat_net</w:t>
              <w:br/>
            </w:r>
            <w:r>
              <w:rPr>
                <w:sz w:val="18"/>
              </w:rPr>
              <w:t>-1 306M FCFA</w:t>
            </w:r>
          </w:p>
        </w:tc>
        <w:tc>
          <w:tcPr>
            <w:tcW w:type="dxa" w:w="2160"/>
          </w:tcPr>
          <w:p>
            <w:r/>
            <w:r>
              <w:rPr>
                <w:b/>
                <w:sz w:val="16"/>
              </w:rPr>
              <w:t>capitaux_propres</w:t>
              <w:br/>
            </w:r>
            <w:r>
              <w:rPr>
                <w:sz w:val="18"/>
              </w:rPr>
              <w:t>6 798M FCFA</w:t>
            </w:r>
          </w:p>
        </w:tc>
        <w:tc>
          <w:tcPr>
            <w:tcW w:type="dxa" w:w="2160"/>
          </w:tcPr>
          <w:p>
            <w:r/>
            <w:r>
              <w:rPr>
                <w:b/>
                <w:sz w:val="16"/>
              </w:rPr>
              <w:t>chiffre_affaires</w:t>
              <w:br/>
            </w:r>
            <w:r>
              <w:rPr>
                <w:sz w:val="18"/>
              </w:rPr>
              <w:t>3 414M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déficitaire de -1 306M FCFA au 4T 2020 contre -211M FCFA en 2019 (-519%)</w:t>
      </w:r>
    </w:p>
    <w:p>
      <w:pPr>
        <w:pStyle w:val="ListBullet"/>
        <w:spacing w:before="20" w:after="20"/>
        <w:ind w:left="700"/>
      </w:pPr>
      <w:r>
        <w:rPr>
          <w:sz w:val="18"/>
        </w:rPr>
        <w:t>Coût du risque en forte dégradation : -1 135M FCFA contre -192M FCFA (+491%)</w:t>
      </w:r>
    </w:p>
    <w:p>
      <w:pPr>
        <w:pStyle w:val="ListBullet"/>
        <w:spacing w:before="20" w:after="20"/>
        <w:ind w:left="700"/>
      </w:pPr>
      <w:r>
        <w:rPr>
          <w:sz w:val="18"/>
        </w:rPr>
        <w:t>Produit Net Bancaire en baisse de 4% à 3 414M FCFA, impacté par la COVID-19</w:t>
      </w:r>
    </w:p>
    <w:p>
      <w:pPr>
        <w:pStyle w:val="ListBullet"/>
        <w:spacing w:before="20" w:after="20"/>
        <w:ind w:left="700"/>
      </w:pPr>
      <w:r>
        <w:rPr>
          <w:sz w:val="18"/>
        </w:rPr>
        <w:t>Impact négatif des redressements fiscaux sur les résultats 2020</w:t>
      </w:r>
    </w:p>
    <w:p>
      <w:pPr>
        <w:pStyle w:val="ListBullet"/>
        <w:spacing w:before="20" w:after="20"/>
        <w:ind w:left="700"/>
      </w:pPr>
      <w:r>
        <w:rPr>
          <w:sz w:val="18"/>
        </w:rPr>
        <w:t>Croissance du total bilan de 5% à 66 533M FCFA grâce aux opérations de trésorerie (+316%)</w:t>
      </w:r>
    </w:p>
    <w:p>
      <w:pPr>
        <w:pStyle w:val="ListBullet"/>
        <w:spacing w:before="20" w:after="20"/>
        <w:ind w:left="700"/>
      </w:pPr>
      <w:r>
        <w:rPr>
          <w:sz w:val="18"/>
        </w:rPr>
        <w:t>Diminution des capitaux propres de 19% à 6 798M FCFA</w:t>
      </w:r>
    </w:p>
    <w:p>
      <w:pPr>
        <w:spacing w:before="40"/>
        <w:ind w:left="400"/>
      </w:pPr>
      <w:r>
        <w:rPr>
          <w:b/>
          <w:color w:val="C05000"/>
          <w:sz w:val="18"/>
        </w:rPr>
        <w:t xml:space="preserve">⚠️ Risques : </w:t>
      </w:r>
      <w:r>
        <w:rPr>
          <w:sz w:val="18"/>
        </w:rPr>
        <w:t>["Forte exposition au risque de cr\u00e9dit avec une d\u00e9gradation continue du portefeuille", "Impact persistant de la crise sanitaire sur l'activit\u00e9 de cr\u00e9dit automobile", "Pression r\u00e9glementaire fiscale avec des redressements impactant les r\u00e9sultats"]</w:t>
      </w:r>
    </w:p>
    <w:p>
      <w:pPr>
        <w:spacing w:before="40"/>
        <w:ind w:left="400"/>
      </w:pPr>
      <w:r>
        <w:rPr>
          <w:b/>
          <w:color w:val="0064A0"/>
          <w:sz w:val="18"/>
        </w:rPr>
        <w:t xml:space="preserve">🔮 Perspectives : </w:t>
      </w:r>
      <w:r>
        <w:rPr>
          <w:sz w:val="18"/>
        </w:rPr>
        <w:t>Les perspectives 2021 restent incertaines compte tenu de la persistance des effets COVID-19 sur le secteur automobile et du niveau élevé du coût du risque. Une amélioration dépendra de la capacité à maîtriser les provisions et à relancer l'activité commerciale post-crise.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persistance des pertes, l'am\u00e9lioration significative du co\u00fbt du risque et la conformit\u00e9 r\u00e9glementaire montrent une trajectoire de redressement. La soci\u00e9t\u00e9 fait preuve de r\u00e9silience face \u00e0 la pand\u00e9mie COVID-19."}</w:t>
      </w:r>
    </w:p>
    <w:p>
      <w:pPr>
        <w:spacing w:before="40"/>
        <w:ind w:left="400"/>
      </w:pPr>
      <w:r>
        <w:rPr>
          <w:sz w:val="18"/>
        </w:rPr>
        <w:t>SAFCA CI (Alios Finance) affiche une performance contrastée au T1 2021 avec un Produit Net Bancaire en recul de 37% à 536 MFCFA contre 852 MFCFA au T1 2020. Le coût du risque s'améliore significativement de 81% passant de 431 MFCFA à 84 MFCFA, témoignant d'une meilleure maîtrise des risques. Le résultat net demeure négatif à -444 MFCFA mais s'améliore de 24% par rapport au T1 2020 (-584 MFCFA). Le total du bilan progresse légèrement de 1% à 67,509 MFCFA, porté par la croissance des opérations de trésorerie et sur titres. Les ratios prudentiels restent conformes aux exigences réglementaires avec un ratio de solvabilité de 11,135%.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'8,019%', 'cout_du_risque': '84 MFCFA', 'ratio_solvabilite': '11,135%', 'operations_clientele_actif': '43,766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67,509 MFCFA</w:t>
            </w:r>
          </w:p>
        </w:tc>
      </w:tr>
      <w:tr>
        <w:tc>
          <w:tcPr>
            <w:tcW w:type="dxa" w:w="2160"/>
          </w:tcPr>
          <w:p>
            <w:r/>
            <w:r>
              <w:rPr>
                <w:b/>
                <w:sz w:val="16"/>
              </w:rPr>
              <w:t>resultat_net</w:t>
              <w:br/>
            </w:r>
            <w:r>
              <w:rPr>
                <w:sz w:val="18"/>
              </w:rPr>
              <w:t>-444 MFCFA</w:t>
            </w:r>
          </w:p>
        </w:tc>
        <w:tc>
          <w:tcPr>
            <w:tcW w:type="dxa" w:w="2160"/>
          </w:tcPr>
          <w:p>
            <w:r/>
            <w:r>
              <w:rPr>
                <w:b/>
                <w:sz w:val="16"/>
              </w:rPr>
              <w:t>capitaux_propres</w:t>
              <w:br/>
            </w:r>
            <w:r>
              <w:rPr>
                <w:sz w:val="18"/>
              </w:rPr>
              <w:t>6,379 MFCFA</w:t>
            </w:r>
          </w:p>
        </w:tc>
        <w:tc>
          <w:tcPr>
            <w:tcW w:type="dxa" w:w="2160"/>
          </w:tcPr>
          <w:p>
            <w:r/>
            <w:r>
              <w:rPr>
                <w:b/>
                <w:sz w:val="16"/>
              </w:rPr>
              <w:t>chiffre_affaires</w:t>
              <w:br/>
            </w:r>
            <w:r>
              <w:rPr>
                <w:sz w:val="18"/>
              </w:rPr>
              <w:t>536 MFCFA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Produit Net Bancaire de 37% à 536 MFCFA au T1 2021</w:t>
      </w:r>
    </w:p>
    <w:p>
      <w:pPr>
        <w:pStyle w:val="ListBullet"/>
        <w:spacing w:before="20" w:after="20"/>
        <w:ind w:left="700"/>
      </w:pPr>
      <w:r>
        <w:rPr>
          <w:sz w:val="18"/>
        </w:rPr>
        <w:t>Amélioration marquée du coût du risque de 81% démontrant une meilleure gestion des créances</w:t>
      </w:r>
    </w:p>
    <w:p>
      <w:pPr>
        <w:pStyle w:val="ListBullet"/>
        <w:spacing w:before="20" w:after="20"/>
        <w:ind w:left="700"/>
      </w:pPr>
      <w:r>
        <w:rPr>
          <w:sz w:val="18"/>
        </w:rPr>
        <w:t>Résultat net négatif mais en amélioration de 24% à -444 MFCFA</w:t>
      </w:r>
    </w:p>
    <w:p>
      <w:pPr>
        <w:pStyle w:val="ListBullet"/>
        <w:spacing w:before="20" w:after="20"/>
        <w:ind w:left="700"/>
      </w:pPr>
      <w:r>
        <w:rPr>
          <w:sz w:val="18"/>
        </w:rPr>
        <w:t>Croissance modérée du total bilan de 1% à 67,509 MFCFA</w:t>
      </w:r>
    </w:p>
    <w:p>
      <w:pPr>
        <w:pStyle w:val="ListBullet"/>
        <w:spacing w:before="20" w:after="20"/>
        <w:ind w:left="700"/>
      </w:pPr>
      <w:r>
        <w:rPr>
          <w:sz w:val="18"/>
        </w:rPr>
        <w:t>Progression des opérations de trésorerie de 11% à 13,955 MFCFA</w:t>
      </w:r>
    </w:p>
    <w:p>
      <w:pPr>
        <w:pStyle w:val="ListBullet"/>
        <w:spacing w:before="20" w:after="20"/>
        <w:ind w:left="700"/>
      </w:pPr>
      <w:r>
        <w:rPr>
          <w:sz w:val="18"/>
        </w:rPr>
        <w:t>Baisse des capitaux propres de 6% à 6,379 MFCFA</w:t>
      </w:r>
    </w:p>
    <w:p>
      <w:pPr>
        <w:spacing w:before="40"/>
        <w:ind w:left="400"/>
      </w:pPr>
      <w:r>
        <w:rPr>
          <w:b/>
          <w:color w:val="C05000"/>
          <w:sz w:val="18"/>
        </w:rPr>
        <w:t xml:space="preserve">⚠️ Risques : </w:t>
      </w:r>
      <w:r>
        <w:rPr>
          <w:sz w:val="18"/>
        </w:rPr>
        <w:t>["Persistance des r\u00e9sultats n\u00e9gatifs malgr\u00e9 l'am\u00e9lioration observ\u00e9e", "\u00c9rosion des capitaux propres qui ont diminu\u00e9 de 6% sur la p\u00e9riode", "Vuln\u00e9rabilit\u00e9 du secteur financier aux chocs \u00e9conomiques et sanitaires"]</w:t>
      </w:r>
    </w:p>
    <w:p>
      <w:pPr>
        <w:spacing w:before="40"/>
        <w:ind w:left="400"/>
      </w:pPr>
      <w:r>
        <w:rPr>
          <w:b/>
          <w:color w:val="0064A0"/>
          <w:sz w:val="18"/>
        </w:rPr>
        <w:t xml:space="preserve">🔮 Perspectives : </w:t>
      </w:r>
      <w:r>
        <w:rPr>
          <w:sz w:val="18"/>
        </w:rPr>
        <w:t>La société montre des signes de redressement avec une meilleure maîtrise des risques et une dynamique commerciale positive selon la direction. La relance progressive de l'activité économique post-COVID devrait soutenir la performance dans les trimestres à venir, à condition de maintenir la disciplin</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71.64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12,523 titres</w:t>
            </w:r>
          </w:p>
        </w:tc>
        <w:tc>
          <w:tcPr>
            <w:tcW w:type="dxa" w:w="2268"/>
            <w:shd w:fill="FFF2CC" w:val="clear"/>
          </w:tcPr>
          <w:p>
            <w:r>
              <w:rPr>
                <w:b/>
                <w:color w:val="503200"/>
                <w:sz w:val="16"/>
              </w:rPr>
              <w:t xml:space="preserve">Cours actuel : </w:t>
            </w:r>
            <w:r>
              <w:rPr>
                <w:color w:val="000000"/>
                <w:sz w:val="17"/>
              </w:rPr>
              <w:t>3,655 FCFA</w:t>
            </w:r>
          </w:p>
          <w:p>
            <w:r>
              <w:rPr>
                <w:b/>
                <w:color w:val="503200"/>
                <w:sz w:val="16"/>
              </w:rPr>
              <w:t xml:space="preserve">Var. 100 jours : </w:t>
            </w:r>
            <w:r>
              <w:rPr>
                <w:b/>
                <w:color w:val="007800"/>
                <w:sz w:val="17"/>
              </w:rPr>
              <w:t>+135.81%</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28.81% (Élevée) — μ=2,610 FCFA, σ=752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β=0.3974 (Défensif) — Cov=0.000014, Var(idx)=0.000036, ρ=0.065,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12,523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3,198</w:t>
            </w:r>
          </w:p>
        </w:tc>
        <w:tc>
          <w:tcPr>
            <w:tcW w:type="dxa" w:w="1440"/>
            <w:shd w:fill="FFDCE0" w:val="clear"/>
          </w:tcPr>
          <w:p>
            <w:r>
              <w:rPr>
                <w:b/>
                <w:sz w:val="17"/>
              </w:rPr>
              <w:t>3,381</w:t>
            </w:r>
          </w:p>
        </w:tc>
        <w:tc>
          <w:tcPr>
            <w:tcW w:type="dxa" w:w="1440"/>
            <w:shd w:fill="FFDCE0" w:val="clear"/>
          </w:tcPr>
          <w:p>
            <w:r>
              <w:rPr>
                <w:sz w:val="17"/>
              </w:rPr>
              <w:t>3,563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2,889</w:t>
            </w:r>
          </w:p>
        </w:tc>
        <w:tc>
          <w:tcPr>
            <w:tcW w:type="dxa" w:w="1440"/>
            <w:shd w:fill="FFDCE0" w:val="clear"/>
          </w:tcPr>
          <w:p>
            <w:r>
              <w:rPr>
                <w:b/>
                <w:sz w:val="17"/>
              </w:rPr>
              <w:t>3,127</w:t>
            </w:r>
          </w:p>
        </w:tc>
        <w:tc>
          <w:tcPr>
            <w:tcW w:type="dxa" w:w="1440"/>
            <w:shd w:fill="FFDCE0" w:val="clear"/>
          </w:tcPr>
          <w:p>
            <w:r>
              <w:rPr>
                <w:sz w:val="17"/>
              </w:rPr>
              <w:t>3,366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2,622</w:t>
            </w:r>
          </w:p>
        </w:tc>
        <w:tc>
          <w:tcPr>
            <w:tcW w:type="dxa" w:w="1440"/>
            <w:shd w:fill="FFDCE0" w:val="clear"/>
          </w:tcPr>
          <w:p>
            <w:r>
              <w:rPr>
                <w:b/>
                <w:sz w:val="17"/>
              </w:rPr>
              <w:t>2,893</w:t>
            </w:r>
          </w:p>
        </w:tc>
        <w:tc>
          <w:tcPr>
            <w:tcW w:type="dxa" w:w="1440"/>
            <w:shd w:fill="FFDCE0" w:val="clear"/>
          </w:tcPr>
          <w:p>
            <w:r>
              <w:rPr>
                <w:sz w:val="17"/>
              </w:rPr>
              <w:t>3,163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2,387</w:t>
            </w:r>
          </w:p>
        </w:tc>
        <w:tc>
          <w:tcPr>
            <w:tcW w:type="dxa" w:w="1440"/>
            <w:shd w:fill="FFDCE0" w:val="clear"/>
          </w:tcPr>
          <w:p>
            <w:r>
              <w:rPr>
                <w:b/>
                <w:sz w:val="17"/>
              </w:rPr>
              <w:t>2,676</w:t>
            </w:r>
          </w:p>
        </w:tc>
        <w:tc>
          <w:tcPr>
            <w:tcW w:type="dxa" w:w="1440"/>
            <w:shd w:fill="FFDCE0" w:val="clear"/>
          </w:tcPr>
          <w:p>
            <w:r>
              <w:rPr>
                <w:sz w:val="17"/>
              </w:rPr>
              <w:t>2,965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2,176</w:t>
            </w:r>
          </w:p>
        </w:tc>
        <w:tc>
          <w:tcPr>
            <w:tcW w:type="dxa" w:w="1440"/>
            <w:shd w:fill="FFDCE0" w:val="clear"/>
          </w:tcPr>
          <w:p>
            <w:r>
              <w:rPr>
                <w:b/>
                <w:sz w:val="17"/>
              </w:rPr>
              <w:t>2,475</w:t>
            </w:r>
          </w:p>
        </w:tc>
        <w:tc>
          <w:tcPr>
            <w:tcW w:type="dxa" w:w="1440"/>
            <w:shd w:fill="FFDCE0" w:val="clear"/>
          </w:tcPr>
          <w:p>
            <w:r>
              <w:rPr>
                <w:sz w:val="17"/>
              </w:rPr>
              <w:t>2,774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1,987</w:t>
            </w:r>
          </w:p>
        </w:tc>
        <w:tc>
          <w:tcPr>
            <w:tcW w:type="dxa" w:w="1440"/>
            <w:shd w:fill="FFDCE0" w:val="clear"/>
          </w:tcPr>
          <w:p>
            <w:r>
              <w:rPr>
                <w:b/>
                <w:sz w:val="17"/>
              </w:rPr>
              <w:t>2,289</w:t>
            </w:r>
          </w:p>
        </w:tc>
        <w:tc>
          <w:tcPr>
            <w:tcW w:type="dxa" w:w="1440"/>
            <w:shd w:fill="FFDCE0" w:val="clear"/>
          </w:tcPr>
          <w:p>
            <w:r>
              <w:rPr>
                <w:sz w:val="17"/>
              </w:rPr>
              <w:t>2,592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1,815</w:t>
            </w:r>
          </w:p>
        </w:tc>
        <w:tc>
          <w:tcPr>
            <w:tcW w:type="dxa" w:w="1440"/>
            <w:shd w:fill="FFDCE0" w:val="clear"/>
          </w:tcPr>
          <w:p>
            <w:r>
              <w:rPr>
                <w:b/>
                <w:sz w:val="17"/>
              </w:rPr>
              <w:t>2,118</w:t>
            </w:r>
          </w:p>
        </w:tc>
        <w:tc>
          <w:tcPr>
            <w:tcW w:type="dxa" w:w="1440"/>
            <w:shd w:fill="FFDCE0" w:val="clear"/>
          </w:tcPr>
          <w:p>
            <w:r>
              <w:rPr>
                <w:sz w:val="17"/>
              </w:rPr>
              <w:t>2,420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1,660</w:t>
            </w:r>
          </w:p>
        </w:tc>
        <w:tc>
          <w:tcPr>
            <w:tcW w:type="dxa" w:w="1440"/>
            <w:shd w:fill="FFDCE0" w:val="clear"/>
          </w:tcPr>
          <w:p>
            <w:r>
              <w:rPr>
                <w:b/>
                <w:sz w:val="17"/>
              </w:rPr>
              <w:t>1,959</w:t>
            </w:r>
          </w:p>
        </w:tc>
        <w:tc>
          <w:tcPr>
            <w:tcW w:type="dxa" w:w="1440"/>
            <w:shd w:fill="FFDCE0" w:val="clear"/>
          </w:tcPr>
          <w:p>
            <w:r>
              <w:rPr>
                <w:sz w:val="17"/>
              </w:rPr>
              <w:t>2,258</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1,519</w:t>
            </w:r>
          </w:p>
        </w:tc>
        <w:tc>
          <w:tcPr>
            <w:tcW w:type="dxa" w:w="1440"/>
            <w:shd w:fill="FFDCE0" w:val="clear"/>
          </w:tcPr>
          <w:p>
            <w:r>
              <w:rPr>
                <w:b/>
                <w:sz w:val="17"/>
              </w:rPr>
              <w:t>1,812</w:t>
            </w:r>
          </w:p>
        </w:tc>
        <w:tc>
          <w:tcPr>
            <w:tcW w:type="dxa" w:w="1440"/>
            <w:shd w:fill="FFDCE0" w:val="clear"/>
          </w:tcPr>
          <w:p>
            <w:r>
              <w:rPr>
                <w:sz w:val="17"/>
              </w:rPr>
              <w:t>2,105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1,390</w:t>
            </w:r>
          </w:p>
        </w:tc>
        <w:tc>
          <w:tcPr>
            <w:tcW w:type="dxa" w:w="1440"/>
            <w:shd w:fill="FFDCE0" w:val="clear"/>
          </w:tcPr>
          <w:p>
            <w:r>
              <w:rPr>
                <w:b/>
                <w:sz w:val="17"/>
              </w:rPr>
              <w:t>1,676</w:t>
            </w:r>
          </w:p>
        </w:tc>
        <w:tc>
          <w:tcPr>
            <w:tcW w:type="dxa" w:w="1440"/>
            <w:shd w:fill="FFDCE0" w:val="clear"/>
          </w:tcPr>
          <w:p>
            <w:r>
              <w:rPr>
                <w:sz w:val="17"/>
              </w:rPr>
              <w:t>1,962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**Date :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71,64 milliards FCFA, un niveau significatif sur la BRVM qui reflète l'importance du titre dans l'industrie agroalimentaire régionale. Le BPA est négatif à -406 FCFA, ce qui traduit une perte nette par action et explique le PER négatif de -9,0x, indiquant que les investisseurs ne peuvent actuellement pas valoriser la société sur la base de ses bénéfices. Le P/B de 4,15x est particulièrement exigeant : le marché valorise l'actif net comptable plus de quatre fois au-dessus de sa valeur, ce qui suggère des anticipations de redressement très optimistes. L'EV/EBITDA de 11,0x se situe dans la fourchette haute de la zone 10-15x, indiquant une valorisation élevée par rapport à la capacité opérationnelle de l'entreprise. Ces ratios, pris ensemble, pointent vers une valorisation qui intègre un scénario de retournement très favorable, potentiellement risqué au regard des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SCRC a enregistré une variation totale spectaculaire de +135,81%, passant d'un plus bas de 1 455 FCFA à un plus haut de 3 920 FCFA, avec un cours actuel de 3 655 FCFA, en léger repli de -1,22% sur la dernière séance. Cette performance exceptionnelle traduit une tendance haussière très marquée, portée par un momentum spéculatif intense. La moyenne du cours sur la période (2 610 FCFA) est très proche de la médiane (2 598 FCFA), et le skewness de 0,045 indique une distribution quasi symétrique, sans asymétrie notable. L'écart-type de 756 FCFA (CV=29%) révèle une dispersion importante des prix, tandis que le kurtosis de -1,361 (platykurtique) suggère une distribution aplatie avec une faible concentration des valeurs autour de la moyenne, donc des mouvements de prix moins extrêmes que la normale. La volatilité annualisée de 58,2% classe le titre dans la catégorie des actifs à très forte volatilité, bien au-delà du seuil de 30%, ce qui implique un risque de marché considérable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à 3 602,75 FCFA et la MM50 à 3 280,3 FCFA se situent toutes deux sous le cours actuel de 3 655 FCFA, confirmant une configuration haussière à court et moyen terme. Le signal d'Achat est justifié par le fait que le prix évolue au-dessus de ses moyennes mobiles, indiquant une dynamique positive soutenue.</w:t>
      </w:r>
    </w:p>
    <w:p>
      <w:pPr>
        <w:spacing w:after="120" w:line="276" w:lineRule="auto"/>
      </w:pPr>
      <w:r>
        <w:t>**Bandes de Bollinger :** Le cours se positionne entre la borne supérieure (3 887,64 FCFA) et la borne inférieure (3 317,86 FCFA), légèrement au-dessus du milieu de bande. Cette position neutre suggère une volatilité modérée dans la fourchette, sans excès de surachat ou de survente, d'où la décision Neutre.</w:t>
      </w:r>
    </w:p>
    <w:p>
      <w:pPr>
        <w:spacing w:after="120" w:line="276" w:lineRule="auto"/>
      </w:pPr>
      <w:r>
        <w:t>**MACD :** Le MACD (116,67) est inférieur à sa ligne de signal (135,67), indiquant un momentum baissier à court terme malgré la tendance haussière de fond. Cette divergence négative justifie la décision de Vente, signalant un possible essoufflement de la dynamique haussière.</w:t>
      </w:r>
    </w:p>
    <w:p>
      <w:pPr>
        <w:spacing w:after="120" w:line="276" w:lineRule="auto"/>
      </w:pPr>
      <w:r>
        <w:t>**RSI :** À 50,19, le RSI se situe exactement dans la zone neutre (30-70), indiquant un équilibre entre les forces acheteuses et vendeuses. Cette position neutre ne fournit pas de signal directionnel fort, d'où la décision Neutre.</w:t>
      </w:r>
    </w:p>
    <w:p>
      <w:pPr>
        <w:spacing w:after="120" w:line="276" w:lineRule="auto"/>
      </w:pPr>
      <w:r>
        <w:t>**Stochastique :** Le %K (37,65) est inférieur au %D (42,03), avec les deux indicateurs sous le seuil de 50, suggérant une faiblesse relative du momentum. Cette configuration, sans croisement décisif, justifie la décision Neutre.</w:t>
      </w:r>
    </w:p>
    <w:p>
      <w:pPr>
        <w:spacing w:after="120" w:line="276" w:lineRule="auto"/>
      </w:pPr>
      <w:r>
        <w:t>**Conclusion technique :** Les indicateurs techniques présentent un tableau contrasté : les moyennes mobiles soutiennent la tendance haussière, mais le MACD, le RSI et le stochastique indiquent un essoufflement du momentum à court terme. La divergence entre la tendance de fond et les signaux de momentum suggère une possible consolidation ou correction technique dans les prochaines séances, malgré la tendance haussière globale.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SCRC a enregistré un chiffre d'affaires de 80,57 milliards FCFA, en baisse de 7,6% par rapport à 2024 (87,22 milliards FCFA). Le résultat net est fortement déficitaire à -7,95 milliards FCFA, contre un bénéfice de 2,47 milliards FCFA en 2024, soit une dégradation de 421%. Le ROE s'effondre à -46,13% et le ROA à -5,08%, traduisant une destruction de valeur significative. La marge nette est négative à -9,87%, et la marge opérationnelle à -0,68%. L'endettement total atteint 84,87 milliards FCFA avec un ratio d'endettement de 88,98% des capitaux propres, et la trésorerie nette est négative à -6,51 milliards FCFA. Les délais d'exploitation montrent un délai clients de 12,28 jours (risque modéré) mais un délai fournisseurs de 366 jours et une durée de stockage de 361 jours, indiquant une immobilisation importante du capital. Le BFR est de 6,53 milliards FCFA, et le free cash flow est négatif à -12,40 milliards FCFA.</w:t>
      </w:r>
    </w:p>
    <w:p>
      <w:pPr>
        <w:spacing w:after="120" w:line="276" w:lineRule="auto"/>
      </w:pPr>
      <w:r>
        <w:t>**Estimations basées sur les rapports trimestriels :** Le rapport du 1er semestre 2025 (publié en 2025) montre un CA de 42,87 milliards FCFA (-5% vs S1 2024) et une perte nette de -6,71 milliards FCFA, contre un bénéfice de +1,26 milliard au S1 2024. Le rapport du 1er trimestre 2025 (publié en 2025) indiquait un CA de 25,09 milliards FCFA (-13%) et un résultat net de 3,21 milliards FCFA (-32%). Sur la base de ces tendances, on estime que l'exercice 2026 devrait rester difficile, avec une possible amélioration au second semestre si la campagne 2025/26 (production attendue entre 90 000 et 95 000 tonnes, +14% à +20%) se concrétise. Le rapport annuel 2024 (publié en 2025) confirme le redressement opérationnel de 2024 (CA +28%, résultat net positif de 2,59 milliards FCFA) mais souligne la fragilité de la structure financière. Les rapports de 2025 (publiés en 2026) recommandent tous la vente, citant l'explosion des charges financières (+262% à 6,79 milliards FCFA) et l'endettement long terme multiplié par 2,7 à 64,5 milliards FCFA. La recommandation fondamentale est donc VENTE, compte tenu de la dégradation massive de la rentabilité et des risques de liquidité élevés.</w:t>
      </w:r>
    </w:p>
    <w:p>
      <w:pPr>
        <w:spacing w:after="120" w:line="276" w:lineRule="auto"/>
      </w:pPr>
      <w:r>
        <w:t>---</w:t>
      </w:r>
    </w:p>
    <w:p>
      <w:pPr>
        <w:spacing w:after="120" w:line="276" w:lineRule="auto"/>
      </w:pPr>
      <w:r>
        <w:t>### PARTIE 4 : CONCLUSION D'INVESTISSEMENT</w:t>
      </w:r>
    </w:p>
    <w:p>
      <w:pPr>
        <w:spacing w:after="120" w:line="276" w:lineRule="auto"/>
      </w:pPr>
      <w:r>
        <w:t>La synthèse globale révèle des signaux fortement contradictoires. La valorisation (Partie 0) est exigeante avec un P/B de 4,15x et un PER négatif, indiquant une surévaluation relative par rapport aux fondamentaux. Le comportement du cours (Partie 1) montre une hausse spectaculaire de +135,81% sur 100 jours, avec une volatilité extrême de 58,2%, traduisant un comportement spéculatif. Les signaux techniques (Partie 2) sont mitigés : les moyennes mobiles sont haussières, mais le MACD, le RSI et le stochastique indiquent un essoufflement du momentum. Les fondamentaux (Partie 3) sont très préoccupants : perte nette de 7,95 milliards FCFA en 2025, endettement massif, charges financières explosives et free cash flow négatif. Les prédictions IA (J+1 à J+10) anticipent une chute brutale du cours de 3 655 FCFA à 2 475 FCFA, soit une baisse de -32%, confirmant les signaux de correction technique. Sur la base de cette synthèse, la recommandation finale est **VENTE FORTE**, avec un niveau de confiance **Élevé** (convergence entre la dégradation fondamentale, les signaux techniques d'essoufflement et les prédictions IA baissières). Le niveau de risque global est **Élevé**, et l'horizon d'investissement optimal est le **court terme (&lt;3 mois)** pour les investisseurs positionnés, avec une sortie recommandée avant la correction anticipée.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1,059 titres</w:t>
            </w:r>
          </w:p>
        </w:tc>
        <w:tc>
          <w:tcPr>
            <w:tcW w:type="dxa" w:w="2268"/>
            <w:shd w:fill="FFF2CC" w:val="clear"/>
          </w:tcPr>
          <w:p>
            <w:r>
              <w:rPr>
                <w:b/>
                <w:color w:val="503200"/>
                <w:sz w:val="16"/>
              </w:rPr>
              <w:t xml:space="preserve">Cours actuel : </w:t>
            </w:r>
            <w:r>
              <w:rPr>
                <w:color w:val="000000"/>
                <w:sz w:val="17"/>
              </w:rPr>
              <w:t>11,900 FCFA</w:t>
            </w:r>
          </w:p>
          <w:p>
            <w:r>
              <w:rPr>
                <w:b/>
                <w:color w:val="503200"/>
                <w:sz w:val="16"/>
              </w:rPr>
              <w:t xml:space="preserve">Var. 100 jours : </w:t>
            </w:r>
            <w:r>
              <w:rPr>
                <w:b/>
                <w:color w:val="007800"/>
                <w:sz w:val="17"/>
              </w:rPr>
              <w:t>+53.65%</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20.03% (Élevée) — μ=9,968 FCFA, σ=1,997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β=0.2078 (Défensif) — Cov=0.000007, Var(idx)=0.000036, ρ=0.056,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σ_j=2.19%/j (Stable) — Vol. annualisée≈34.8%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11,211</w:t>
            </w:r>
          </w:p>
        </w:tc>
        <w:tc>
          <w:tcPr>
            <w:tcW w:type="dxa" w:w="1440"/>
            <w:shd w:fill="FFDCE0" w:val="clear"/>
          </w:tcPr>
          <w:p>
            <w:r>
              <w:rPr>
                <w:b/>
                <w:sz w:val="17"/>
              </w:rPr>
              <w:t>11,528</w:t>
            </w:r>
          </w:p>
        </w:tc>
        <w:tc>
          <w:tcPr>
            <w:tcW w:type="dxa" w:w="1440"/>
            <w:shd w:fill="FFDCE0" w:val="clear"/>
          </w:tcPr>
          <w:p>
            <w:r>
              <w:rPr>
                <w:sz w:val="17"/>
              </w:rPr>
              <w:t>11,845</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10,951</w:t>
            </w:r>
          </w:p>
        </w:tc>
        <w:tc>
          <w:tcPr>
            <w:tcW w:type="dxa" w:w="1440"/>
            <w:shd w:fill="FFDCE0" w:val="clear"/>
          </w:tcPr>
          <w:p>
            <w:r>
              <w:rPr>
                <w:b/>
                <w:sz w:val="17"/>
              </w:rPr>
              <w:t>11,393</w:t>
            </w:r>
          </w:p>
        </w:tc>
        <w:tc>
          <w:tcPr>
            <w:tcW w:type="dxa" w:w="1440"/>
            <w:shd w:fill="FFDCE0" w:val="clear"/>
          </w:tcPr>
          <w:p>
            <w:r>
              <w:rPr>
                <w:sz w:val="17"/>
              </w:rPr>
              <w:t>11,836</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10,735</w:t>
            </w:r>
          </w:p>
        </w:tc>
        <w:tc>
          <w:tcPr>
            <w:tcW w:type="dxa" w:w="1440"/>
            <w:shd w:fill="FFDCE0" w:val="clear"/>
          </w:tcPr>
          <w:p>
            <w:r>
              <w:rPr>
                <w:b/>
                <w:sz w:val="17"/>
              </w:rPr>
              <w:t>11,271</w:t>
            </w:r>
          </w:p>
        </w:tc>
        <w:tc>
          <w:tcPr>
            <w:tcW w:type="dxa" w:w="1440"/>
            <w:shd w:fill="FFDCE0" w:val="clear"/>
          </w:tcPr>
          <w:p>
            <w:r>
              <w:rPr>
                <w:sz w:val="17"/>
              </w:rPr>
              <w:t>11,807</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10,548</w:t>
            </w:r>
          </w:p>
        </w:tc>
        <w:tc>
          <w:tcPr>
            <w:tcW w:type="dxa" w:w="1440"/>
            <w:shd w:fill="FFDCE0" w:val="clear"/>
          </w:tcPr>
          <w:p>
            <w:r>
              <w:rPr>
                <w:b/>
                <w:sz w:val="17"/>
              </w:rPr>
              <w:t>11,161</w:t>
            </w:r>
          </w:p>
        </w:tc>
        <w:tc>
          <w:tcPr>
            <w:tcW w:type="dxa" w:w="1440"/>
            <w:shd w:fill="FFDCE0" w:val="clear"/>
          </w:tcPr>
          <w:p>
            <w:r>
              <w:rPr>
                <w:sz w:val="17"/>
              </w:rPr>
              <w:t>11,774</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10,386</w:t>
            </w:r>
          </w:p>
        </w:tc>
        <w:tc>
          <w:tcPr>
            <w:tcW w:type="dxa" w:w="1440"/>
            <w:shd w:fill="FFDCE0" w:val="clear"/>
          </w:tcPr>
          <w:p>
            <w:r>
              <w:rPr>
                <w:b/>
                <w:sz w:val="17"/>
              </w:rPr>
              <w:t>11,066</w:t>
            </w:r>
          </w:p>
        </w:tc>
        <w:tc>
          <w:tcPr>
            <w:tcW w:type="dxa" w:w="1440"/>
            <w:shd w:fill="FFDCE0" w:val="clear"/>
          </w:tcPr>
          <w:p>
            <w:r>
              <w:rPr>
                <w:sz w:val="17"/>
              </w:rPr>
              <w:t>11,746</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10,243</w:t>
            </w:r>
          </w:p>
        </w:tc>
        <w:tc>
          <w:tcPr>
            <w:tcW w:type="dxa" w:w="1440"/>
            <w:shd w:fill="FFDCE0" w:val="clear"/>
          </w:tcPr>
          <w:p>
            <w:r>
              <w:rPr>
                <w:b/>
                <w:sz w:val="17"/>
              </w:rPr>
              <w:t>10,982</w:t>
            </w:r>
          </w:p>
        </w:tc>
        <w:tc>
          <w:tcPr>
            <w:tcW w:type="dxa" w:w="1440"/>
            <w:shd w:fill="FFDCE0" w:val="clear"/>
          </w:tcPr>
          <w:p>
            <w:r>
              <w:rPr>
                <w:sz w:val="17"/>
              </w:rPr>
              <w:t>11,721</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10,110</w:t>
            </w:r>
          </w:p>
        </w:tc>
        <w:tc>
          <w:tcPr>
            <w:tcW w:type="dxa" w:w="1440"/>
            <w:shd w:fill="FFDCE0" w:val="clear"/>
          </w:tcPr>
          <w:p>
            <w:r>
              <w:rPr>
                <w:b/>
                <w:sz w:val="17"/>
              </w:rPr>
              <w:t>10,903</w:t>
            </w:r>
          </w:p>
        </w:tc>
        <w:tc>
          <w:tcPr>
            <w:tcW w:type="dxa" w:w="1440"/>
            <w:shd w:fill="FFDCE0" w:val="clear"/>
          </w:tcPr>
          <w:p>
            <w:r>
              <w:rPr>
                <w:sz w:val="17"/>
              </w:rPr>
              <w:t>11,695</w:t>
            </w:r>
          </w:p>
        </w:tc>
        <w:tc>
          <w:tcPr>
            <w:tcW w:type="dxa" w:w="1440"/>
            <w:shd w:fill="FFDCE0" w:val="clear"/>
          </w:tcPr>
          <w:p>
            <w:r>
              <w:rPr>
                <w:b/>
                <w:color w:val="C00000"/>
                <w:sz w:val="17"/>
              </w:rPr>
              <w:t>-8.4%</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9,986</w:t>
            </w:r>
          </w:p>
        </w:tc>
        <w:tc>
          <w:tcPr>
            <w:tcW w:type="dxa" w:w="1440"/>
            <w:shd w:fill="FFDCE0" w:val="clear"/>
          </w:tcPr>
          <w:p>
            <w:r>
              <w:rPr>
                <w:b/>
                <w:sz w:val="17"/>
              </w:rPr>
              <w:t>10,827</w:t>
            </w:r>
          </w:p>
        </w:tc>
        <w:tc>
          <w:tcPr>
            <w:tcW w:type="dxa" w:w="1440"/>
            <w:shd w:fill="FFDCE0" w:val="clear"/>
          </w:tcPr>
          <w:p>
            <w:r>
              <w:rPr>
                <w:sz w:val="17"/>
              </w:rPr>
              <w:t>11,668</w:t>
            </w:r>
          </w:p>
        </w:tc>
        <w:tc>
          <w:tcPr>
            <w:tcW w:type="dxa" w:w="1440"/>
            <w:shd w:fill="FFDCE0" w:val="clear"/>
          </w:tcPr>
          <w:p>
            <w:r>
              <w:rPr>
                <w:b/>
                <w:color w:val="C00000"/>
                <w:sz w:val="17"/>
              </w:rPr>
              <w:t>-9.0%</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9,869</w:t>
            </w:r>
          </w:p>
        </w:tc>
        <w:tc>
          <w:tcPr>
            <w:tcW w:type="dxa" w:w="1440"/>
            <w:shd w:fill="FFDCE0" w:val="clear"/>
          </w:tcPr>
          <w:p>
            <w:r>
              <w:rPr>
                <w:b/>
                <w:sz w:val="17"/>
              </w:rPr>
              <w:t>10,755</w:t>
            </w:r>
          </w:p>
        </w:tc>
        <w:tc>
          <w:tcPr>
            <w:tcW w:type="dxa" w:w="1440"/>
            <w:shd w:fill="FFDCE0" w:val="clear"/>
          </w:tcPr>
          <w:p>
            <w:r>
              <w:rPr>
                <w:sz w:val="17"/>
              </w:rPr>
              <w:t>11,641</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9,759</w:t>
            </w:r>
          </w:p>
        </w:tc>
        <w:tc>
          <w:tcPr>
            <w:tcW w:type="dxa" w:w="1440"/>
            <w:shd w:fill="FFDCE0" w:val="clear"/>
          </w:tcPr>
          <w:p>
            <w:r>
              <w:rPr>
                <w:b/>
                <w:sz w:val="17"/>
              </w:rPr>
              <w:t>10,687</w:t>
            </w:r>
          </w:p>
        </w:tc>
        <w:tc>
          <w:tcPr>
            <w:tcW w:type="dxa" w:w="1440"/>
            <w:shd w:fill="FFDCE0" w:val="clear"/>
          </w:tcPr>
          <w:p>
            <w:r>
              <w:rPr>
                <w:sz w:val="17"/>
              </w:rPr>
              <w:t>11,616</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107,10 milliards FCFA, un niveau significatif qui la positionne parmi les valeurs moyennes à grandes capitalisations de la BRVM. Le BPA de 518 FCFA indique que chaque action génère un bénéfice modeste, ce qui explique un PER de 23,0x, nettement supérieur à la moyenne du marché BRVM (8-12x). Ce ratio élevé suggère que les investisseurs anticipent une forte croissance future des bénéfices, mais expose également le titre à un risque de correction si ces attentes ne se matérialisent pas. Le P/B de 5,43x confirme cette prime, le marché valorisant l'actif net comptable plus de cinq fois au-dessus de sa valeur, signe d'une confiance solide dans la marque et le secteur d'activité. Enfin, l'EV/EBITDA de 14,4x, dans la fourchette haute de 10-15x, indique que la valeur d'entreprise est élevée par rapport à la capacité opérationnelle, renforçant l'idée d'une valorisation exigeante qui devra être justifiée par des résultats futurs solides.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spectaculaire de +53,65%, avec une dernière séance stable (0,00%). Le cours a évolué dans une fourchette large, oscillant entre un plus bas de 7 140 FCFA et un plus haut de 12 195 FCFA, démontrant une forte dynamique haussière. La moyenne du cours sur la période (9 968 FCFA) est inférieure à la médiane (11 025 FCFA), indiquant une distribution asymétrique avec une concentration des prix vers le haut de la fourchette. L'écart-type de 2 007 FCFA (CV=20,1%) révèle une dispersion modérée, tandis que le kurtosis de -1,687 (platykurtique) suggère une distribution aplatie avec peu de pics extrêmes, et le skewness de -0,301 indique une légère asymétrie négative. La volatilité annualisée de 34,8% classe le titre comme très volatil (&gt;30%), ce qui implique des fluctuations importantes et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Les MM20 (11 755,25 FCFA) et MM50 (11 754,0 FCFA) sont quasi identiques et légèrement inférieures au cours actuel de 11 900 FCFA. Cette configuration haussière, où le prix se maintient au-dessus des moyennes, confirme une tendance positive soutenue, justifiant la décision d'achat.</w:t>
      </w:r>
    </w:p>
    <w:p>
      <w:pPr>
        <w:spacing w:after="120" w:line="276" w:lineRule="auto"/>
      </w:pPr>
      <w:r>
        <w:t>**Bandes de Bollinger** : Le cours se situe entre la borne supérieure (12 329,53 FCFA) et la borne inférieure (11 180,97 FCFA), proche du milieu de la bande. Cette position neutre indique une volatilité modérée, sans signal clair de surachat ou de survente, d'où la décision neutre.</w:t>
      </w:r>
    </w:p>
    <w:p>
      <w:pPr>
        <w:spacing w:after="120" w:line="276" w:lineRule="auto"/>
      </w:pPr>
      <w:r>
        <w:t>**MACD** : La valeur du MACD (69,64) est inférieure à son signal (76,98), indiquant un momentum baissier à court terme. Cette divergence négative suggère un possible ralentissement de la tendance haussière, justifiant la décision de vente.</w:t>
      </w:r>
    </w:p>
    <w:p>
      <w:pPr>
        <w:spacing w:after="120" w:line="276" w:lineRule="auto"/>
      </w:pPr>
      <w:r>
        <w:t>**RSI** : Avec une valeur de 70,49, le RSI entre en zone de surachat (&gt;70), signalant que le titre est potentiellement surévalué à court terme. Cette condition technique suggère un risque de correction, justifiant la décision de vente.</w:t>
      </w:r>
    </w:p>
    <w:p>
      <w:pPr>
        <w:spacing w:after="120" w:line="276" w:lineRule="auto"/>
      </w:pPr>
      <w:r>
        <w:t>**Stochastique** : Les valeurs %K et %D (90,14) sont en zone de surachat extrême, indiquant une pression acheteuse excessive. Cette configuration signale un épuisement possible du mouvement haussier, justifiant la décision de vente.</w:t>
      </w:r>
    </w:p>
    <w:p>
      <w:pPr>
        <w:spacing w:after="120" w:line="276" w:lineRule="auto"/>
      </w:pPr>
      <w:r>
        <w:t>**Conclusion technique** : La majorité des indicateurs techniques (MACD, RSI, Stochastique) signalent une surchauffe du titre, tandis que les moyennes mobiles restent haussières. Cette divergence suggère un risque de consolidation ou de correction à court terme, malgré une tendance de fond positive.</w:t>
      </w:r>
    </w:p>
    <w:p>
      <w:pPr>
        <w:spacing w:after="120" w:line="276" w:lineRule="auto" w:before="240"/>
      </w:pPr>
      <w:r>
        <w:rPr>
          <w:b/>
          <w:color w:val="003366"/>
          <w:sz w:val="24"/>
        </w:rPr>
        <w:t>**PARTIE 3 : ANALYSE FONDAMENTALE (SECTION CRITIQUE)**</w:t>
      </w:r>
    </w:p>
    <w:p>
      <w:pPr>
        <w:spacing w:after="120" w:line="276" w:lineRule="auto"/>
      </w:pPr>
      <w:r>
        <w:t>En 2025, SDCC affiche des données financières solides avec un chiffre d'affaires de 189,430 milliards FCFA, en croissance de 9,98%, et un résultat net de 4,663 milliards FCFA, en hausse de 31%. La marge nette s'établit à 2,46%, tandis que le ROE atteint 23,65%, un niveau excellent (&gt;15%), et le ROA est de 0,99%. En tant qu'entreprise non bancaire, l'analyse se concentre sur le BFR de 104,748 milliards FCFA (négatif, donc favorable), mais le délai clients de 749 jours est préoccupant, indiquant un risque de trésorerie important. L'endettement est élevé (ratio d'endettement de 95,83%), avec une capacité de remboursement de 8,18 ans, et la trésorerie nette est négative à -61,710 milliards FCFA. Les rapports trimestriels montrent une amélioration spectaculaire au T1 2026, avec un résultat net en hausse de 118% à 1,318 milliard FCFA, malgré un CA en baisse de 2%. Sur la base du rapport annuel 2025 (croissance du CA de 10%, RN de 4,663 milliards) et du T1 2026 (RN de 1,318 milliard), on estime que l'exercice 2026 pourrait voir un résultat net annuel supérieur à 5 milliards FCFA, confirmant la dynamique positive. La recommandation fondamentale est de conserver, la solidité opérationnelle étant contrebalancée par les tensions de trésorerie et le délai client élevé.</w:t>
      </w:r>
    </w:p>
    <w:p>
      <w:pPr>
        <w:spacing w:after="120" w:line="276" w:lineRule="auto" w:before="240"/>
      </w:pPr>
      <w:r>
        <w:rPr>
          <w:b/>
          <w:color w:val="003366"/>
          <w:sz w:val="24"/>
        </w:rPr>
        <w:t>**PARTIE 4 : CONCLUSION D'INVESTISSEMENT**</w:t>
      </w:r>
    </w:p>
    <w:p>
      <w:pPr>
        <w:spacing w:after="120" w:line="276" w:lineRule="auto"/>
      </w:pPr>
      <w:r>
        <w:t>La valorisation de SDCC (PER 23x, P/B 5,43x) indique une surévaluation relative par rapport au marché BRVM, bien que justifiée par une croissance attendue. Le comportement du cours (+53,65% sur 100 jours) et la volatilité élevée (34,8%) reflètent un optimisme marqué, mais les statistiques (kurtosis platykurtique, skewness négatif) suggèrent une distribution des rendements atypique. Les signaux techniques sont divergents : les moyennes mobiles sont haussières, mais le MACD, le RSI et le Stochastique signalent une surchauffe, préfigurant une correction possible. Les fondamentaux sont solides (ROE de 23,65%, croissance du RN de 31% en 2025), mais les tensions de trésorerie et le délai client de 749 jours constituent des risques. Les prédictions IA (baisse de 11 900 à 11 066 FCFA sur 10 jours) confirment cette anticipation de correction. En synthèse, la convergence entre la surévaluation, les signaux techniques de surachat et les prédictions IA suggère une prudence. **Recommandation finale : CONSERVER**, avec un niveau de confiance Moyen et un risque global Élevé. L'horizon d'investissement optimal serait à moyen terme (3-12 mois), en attendant une correction du cours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138.54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15,946 titres</w:t>
            </w:r>
          </w:p>
        </w:tc>
        <w:tc>
          <w:tcPr>
            <w:tcW w:type="dxa" w:w="2268"/>
            <w:shd w:fill="FFF2CC" w:val="clear"/>
          </w:tcPr>
          <w:p>
            <w:r>
              <w:rPr>
                <w:b/>
                <w:color w:val="503200"/>
                <w:sz w:val="16"/>
              </w:rPr>
              <w:t xml:space="preserve">Cours actuel : </w:t>
            </w:r>
            <w:r>
              <w:rPr>
                <w:color w:val="000000"/>
                <w:sz w:val="17"/>
              </w:rPr>
              <w:t>2,545 FCFA</w:t>
            </w:r>
          </w:p>
          <w:p>
            <w:r>
              <w:rPr>
                <w:b/>
                <w:color w:val="503200"/>
                <w:sz w:val="16"/>
              </w:rPr>
              <w:t xml:space="preserve">Var. 100 jours : </w:t>
            </w:r>
            <w:r>
              <w:rPr>
                <w:b/>
                <w:color w:val="007800"/>
                <w:sz w:val="17"/>
              </w:rPr>
              <w:t>+21.48%</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16.32% (Élevée) — μ=2,101 FCFA, σ=343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β=-0.1194 (Contre-cyclique) — Cov=-0.000004, Var(idx)=0.000036, ρ=-0.022,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15,946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2026-08-05</w:t>
            </w:r>
          </w:p>
        </w:tc>
        <w:tc>
          <w:tcPr>
            <w:tcW w:type="dxa" w:w="1440"/>
            <w:shd w:fill="FAFAFA" w:val="clear"/>
          </w:tcPr>
          <w:p>
            <w:r>
              <w:rPr>
                <w:sz w:val="17"/>
              </w:rPr>
              <w:t>2,393</w:t>
            </w:r>
          </w:p>
        </w:tc>
        <w:tc>
          <w:tcPr>
            <w:tcW w:type="dxa" w:w="1440"/>
            <w:shd w:fill="FAFAFA" w:val="clear"/>
          </w:tcPr>
          <w:p>
            <w:r>
              <w:rPr>
                <w:b/>
                <w:sz w:val="17"/>
              </w:rPr>
              <w:t>2,530</w:t>
            </w:r>
          </w:p>
        </w:tc>
        <w:tc>
          <w:tcPr>
            <w:tcW w:type="dxa" w:w="1440"/>
            <w:shd w:fill="FAFAFA" w:val="clear"/>
          </w:tcPr>
          <w:p>
            <w:r>
              <w:rPr>
                <w:sz w:val="17"/>
              </w:rPr>
              <w:t>2,667</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2026-08-06</w:t>
            </w:r>
          </w:p>
        </w:tc>
        <w:tc>
          <w:tcPr>
            <w:tcW w:type="dxa" w:w="1440"/>
            <w:shd w:fill="FAFAFA" w:val="clear"/>
          </w:tcPr>
          <w:p>
            <w:r>
              <w:rPr>
                <w:sz w:val="17"/>
              </w:rPr>
              <w:t>2,330</w:t>
            </w:r>
          </w:p>
        </w:tc>
        <w:tc>
          <w:tcPr>
            <w:tcW w:type="dxa" w:w="1440"/>
            <w:shd w:fill="FAFAFA" w:val="clear"/>
          </w:tcPr>
          <w:p>
            <w:r>
              <w:rPr>
                <w:b/>
                <w:sz w:val="17"/>
              </w:rPr>
              <w:t>2,524</w:t>
            </w:r>
          </w:p>
        </w:tc>
        <w:tc>
          <w:tcPr>
            <w:tcW w:type="dxa" w:w="1440"/>
            <w:shd w:fill="FAFAFA" w:val="clear"/>
          </w:tcPr>
          <w:p>
            <w:r>
              <w:rPr>
                <w:sz w:val="17"/>
              </w:rPr>
              <w:t>2,717</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2026-08-10</w:t>
            </w:r>
          </w:p>
        </w:tc>
        <w:tc>
          <w:tcPr>
            <w:tcW w:type="dxa" w:w="1440"/>
            <w:shd w:fill="FAFAFA" w:val="clear"/>
          </w:tcPr>
          <w:p>
            <w:r>
              <w:rPr>
                <w:sz w:val="17"/>
              </w:rPr>
              <w:t>2,279</w:t>
            </w:r>
          </w:p>
        </w:tc>
        <w:tc>
          <w:tcPr>
            <w:tcW w:type="dxa" w:w="1440"/>
            <w:shd w:fill="FAFAFA" w:val="clear"/>
          </w:tcPr>
          <w:p>
            <w:r>
              <w:rPr>
                <w:b/>
                <w:sz w:val="17"/>
              </w:rPr>
              <w:t>2,515</w:t>
            </w:r>
          </w:p>
        </w:tc>
        <w:tc>
          <w:tcPr>
            <w:tcW w:type="dxa" w:w="1440"/>
            <w:shd w:fill="FAFAFA" w:val="clear"/>
          </w:tcPr>
          <w:p>
            <w:r>
              <w:rPr>
                <w:sz w:val="17"/>
              </w:rPr>
              <w:t>2,751</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2,231</w:t>
            </w:r>
          </w:p>
        </w:tc>
        <w:tc>
          <w:tcPr>
            <w:tcW w:type="dxa" w:w="1440"/>
            <w:shd w:fill="FAFAFA" w:val="clear"/>
          </w:tcPr>
          <w:p>
            <w:r>
              <w:rPr>
                <w:b/>
                <w:sz w:val="17"/>
              </w:rPr>
              <w:t>2,503</w:t>
            </w:r>
          </w:p>
        </w:tc>
        <w:tc>
          <w:tcPr>
            <w:tcW w:type="dxa" w:w="1440"/>
            <w:shd w:fill="FAFAFA" w:val="clear"/>
          </w:tcPr>
          <w:p>
            <w:r>
              <w:rPr>
                <w:sz w:val="17"/>
              </w:rPr>
              <w:t>2,774</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2,188</w:t>
            </w:r>
          </w:p>
        </w:tc>
        <w:tc>
          <w:tcPr>
            <w:tcW w:type="dxa" w:w="1440"/>
            <w:shd w:fill="FFDCE0" w:val="clear"/>
          </w:tcPr>
          <w:p>
            <w:r>
              <w:rPr>
                <w:b/>
                <w:sz w:val="17"/>
              </w:rPr>
              <w:t>2,489</w:t>
            </w:r>
          </w:p>
        </w:tc>
        <w:tc>
          <w:tcPr>
            <w:tcW w:type="dxa" w:w="1440"/>
            <w:shd w:fill="FFDCE0" w:val="clear"/>
          </w:tcPr>
          <w:p>
            <w:r>
              <w:rPr>
                <w:sz w:val="17"/>
              </w:rPr>
              <w:t>2,791</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2,146</w:t>
            </w:r>
          </w:p>
        </w:tc>
        <w:tc>
          <w:tcPr>
            <w:tcW w:type="dxa" w:w="1440"/>
            <w:shd w:fill="FFDCE0" w:val="clear"/>
          </w:tcPr>
          <w:p>
            <w:r>
              <w:rPr>
                <w:b/>
                <w:sz w:val="17"/>
              </w:rPr>
              <w:t>2,475</w:t>
            </w:r>
          </w:p>
        </w:tc>
        <w:tc>
          <w:tcPr>
            <w:tcW w:type="dxa" w:w="1440"/>
            <w:shd w:fill="FFDCE0" w:val="clear"/>
          </w:tcPr>
          <w:p>
            <w:r>
              <w:rPr>
                <w:sz w:val="17"/>
              </w:rPr>
              <w:t>2,804</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2,108</w:t>
            </w:r>
          </w:p>
        </w:tc>
        <w:tc>
          <w:tcPr>
            <w:tcW w:type="dxa" w:w="1440"/>
            <w:shd w:fill="FFDCE0" w:val="clear"/>
          </w:tcPr>
          <w:p>
            <w:r>
              <w:rPr>
                <w:b/>
                <w:sz w:val="17"/>
              </w:rPr>
              <w:t>2,461</w:t>
            </w:r>
          </w:p>
        </w:tc>
        <w:tc>
          <w:tcPr>
            <w:tcW w:type="dxa" w:w="1440"/>
            <w:shd w:fill="FFDCE0" w:val="clear"/>
          </w:tcPr>
          <w:p>
            <w:r>
              <w:rPr>
                <w:sz w:val="17"/>
              </w:rPr>
              <w:t>2,814</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2,072</w:t>
            </w:r>
          </w:p>
        </w:tc>
        <w:tc>
          <w:tcPr>
            <w:tcW w:type="dxa" w:w="1440"/>
            <w:shd w:fill="FFDCE0" w:val="clear"/>
          </w:tcPr>
          <w:p>
            <w:r>
              <w:rPr>
                <w:b/>
                <w:sz w:val="17"/>
              </w:rPr>
              <w:t>2,447</w:t>
            </w:r>
          </w:p>
        </w:tc>
        <w:tc>
          <w:tcPr>
            <w:tcW w:type="dxa" w:w="1440"/>
            <w:shd w:fill="FFDCE0" w:val="clear"/>
          </w:tcPr>
          <w:p>
            <w:r>
              <w:rPr>
                <w:sz w:val="17"/>
              </w:rPr>
              <w:t>2,822</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2,037</w:t>
            </w:r>
          </w:p>
        </w:tc>
        <w:tc>
          <w:tcPr>
            <w:tcW w:type="dxa" w:w="1440"/>
            <w:shd w:fill="FFDCE0" w:val="clear"/>
          </w:tcPr>
          <w:p>
            <w:r>
              <w:rPr>
                <w:b/>
                <w:sz w:val="17"/>
              </w:rPr>
              <w:t>2,433</w:t>
            </w:r>
          </w:p>
        </w:tc>
        <w:tc>
          <w:tcPr>
            <w:tcW w:type="dxa" w:w="1440"/>
            <w:shd w:fill="FFDCE0" w:val="clear"/>
          </w:tcPr>
          <w:p>
            <w:r>
              <w:rPr>
                <w:sz w:val="17"/>
              </w:rPr>
              <w:t>2,829</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2,005</w:t>
            </w:r>
          </w:p>
        </w:tc>
        <w:tc>
          <w:tcPr>
            <w:tcW w:type="dxa" w:w="1440"/>
            <w:shd w:fill="FFDCE0" w:val="clear"/>
          </w:tcPr>
          <w:p>
            <w:r>
              <w:rPr>
                <w:b/>
                <w:sz w:val="17"/>
              </w:rPr>
              <w:t>2,420</w:t>
            </w:r>
          </w:p>
        </w:tc>
        <w:tc>
          <w:tcPr>
            <w:tcW w:type="dxa" w:w="1440"/>
            <w:shd w:fill="FFDCE0" w:val="clear"/>
          </w:tcPr>
          <w:p>
            <w:r>
              <w:rPr>
                <w:sz w:val="17"/>
              </w:rPr>
              <w:t>2,834</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COTE D'IVOIRE)**</w:t>
        <w:br/>
        <w:t>**Date : 05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138,54 milliards FCFA positionne SDSC comme une valeur moyenne sur la BRVM, reflétant un intérêt certain des investisseurs pour ce titre. Le BPA de 387 FCFA indique que chaque action a généré un bénéfice substantiel sur l'exercice 2024. Avec un PER de 6,6x, le titre est théoriquement sous-évalué par rapport à la moyenne du marché BRVM (8-12x), suggérant que les investisseurs ne paient pas cher pour les bénéfices actuels. Le P/B de 1,78x indique que le marché valorise la société à près de 1,8 fois ses capitaux propres, ce qui est raisonnable. Cependant, l'EV/EBITDA de 29,8x est très exigeant, signalant que la valeur totale de l'entreprise (dette incluse) est élevée par rapport à sa capacité opérationnelle, ce qui pourrait refléter des attentes de croissance future ou une dégradation de l'EBITDA.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SDSC a enregistré une hausse impressionnante de +21,48%, atteignant 2 545 FCFA, bien que la dernière séance ait subi une correction de -7,45%. Le titre a évolué dans une fourchette large de 1 650 à 2 820 FCFA, démontrant une forte volatilité. La moyenne (2 101 FCFA) est supérieure à la médiane (1 980 FCFA), et le skewness positif (0,649) confirme une asymétrie avec des journées plus fréquentes sous la moyenne, mais des pics de hausse importants. L'écart-type de 345 FCFA (CV=16,4%) indique une dispersion modérée autour de la moyenne. Le kurtosis de -0,915 (mésokurtique) suggère une distribution proche de la normale, sans risque extrême de pics. La volatilité annualisée de 52,0% est très élevée, classant le titre comme risqué, avec des fluctuations de prix importantes sur l'année.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(2 545 FCFA) est supérieur à la MM20 (2 596,25 FCFA) et à la MM50 (2 355,8 FCFA), indiquant une tendance haussière de moyen terme. La décision d'achat est justifiée par la position du prix au-dessus de ces moyennes, bien que la MM20 soit légèrement supérieure au cours, signalant un possible repli à court terme.</w:t>
      </w:r>
    </w:p>
    <w:p>
      <w:pPr>
        <w:spacing w:after="120" w:line="276" w:lineRule="auto"/>
      </w:pPr>
      <w:r>
        <w:t>**Bandes de Bollinger** : Le prix se situe entre la borne inférieure (2 187,45 FCFA) et supérieure (3 005,05 FCFA), proche de la moyenne. La décision neutre reflète une volatilité modérée, sans signal clair de surachat ou de survente. Le cours évolue dans la partie médiane des bandes, indiquant une stabilisation après la récente baisse.</w:t>
      </w:r>
    </w:p>
    <w:p>
      <w:pPr>
        <w:spacing w:after="120" w:line="276" w:lineRule="auto"/>
      </w:pPr>
      <w:r>
        <w:t>**MACD** : Le MACD (92,75) est inférieur à son signal (116,59), générant une décision de vente. Cette divergence négative suggère un affaiblissement du momentum haussier, avec un risque de poursuite de la baisse à court terme. Le croisement baissier est un signal prudent.</w:t>
      </w:r>
    </w:p>
    <w:p>
      <w:pPr>
        <w:spacing w:after="120" w:line="276" w:lineRule="auto"/>
      </w:pPr>
      <w:r>
        <w:t>**RSI** : Le RSI à 51,24 est en zone neutre (30-70), indiquant un équilibre entre les forces acheteuses et vendeuses. Cette valeur ne signale ni surachat ni survente, laissant place à une évolution directionnelle sans pression extrême.</w:t>
      </w:r>
    </w:p>
    <w:p>
      <w:pPr>
        <w:spacing w:after="120" w:line="276" w:lineRule="auto"/>
      </w:pPr>
      <w:r>
        <w:t>**Stochastique** : Le %K à 0,0 est extrêmement bas, tandis que le %D à 49,54 suggère une divergence. La décision d'achat est basée sur un potentiel rebond technique, mais le %K à zéro indique une condition de survente sévère, pouvant précéder un retournement haussier.</w:t>
      </w:r>
    </w:p>
    <w:p>
      <w:pPr>
        <w:spacing w:after="120" w:line="276" w:lineRule="auto"/>
      </w:pPr>
      <w:r>
        <w:t>**Conclusion technique** : Les signaux sont mitigés, avec une tendance haussière de fond (MM) mais des indicateurs de momentum (MACD, RSI) en neutralité ou vente. La forte baisse de la dernière séance et le %K à zéro pourraient offrir un point d'entrée opportuniste, mais la prudence est de mise. La convergence des MM et du stochastique suggère un potentiel de rebond, tandis que le MACD appelle à la vigilance.</w:t>
      </w:r>
    </w:p>
    <w:p>
      <w:pPr>
        <w:spacing w:after="120" w:line="276" w:lineRule="auto"/>
      </w:pPr>
      <w:r>
        <w:t>---</w:t>
      </w:r>
    </w:p>
    <w:p>
      <w:pPr>
        <w:spacing w:after="120" w:line="276" w:lineRule="auto"/>
      </w:pPr>
      <w:r>
        <w:t>### PARTIE 3 : ANALYSE FONDAMENTALE (SECTION CRITIQUE)</w:t>
      </w:r>
    </w:p>
    <w:p>
      <w:pPr>
        <w:spacing w:after="120" w:line="276" w:lineRule="auto"/>
      </w:pPr>
      <w:r>
        <w:t>En 2024, les états financiers annuels de SDSC montrent un chiffre d'affaires de 85,643 milliards FCFA, en hausse de 3,7% par rapport à 2023, et un résultat net de 21,069 milliards FCFA, en progression de 22,9%. La marge nette s'établit à 24,6%, avec un ROE exceptionnel de 27,08% et un ROA de 11,20%, démontrant une excellente rentabilité. Le BFR de 17,874 milliards FCFA est positif, mais le délai clients de 466,94 jours est très élevé, signalant un risque de trésorerie important. Le délai fournisseurs de 4 534,17 jours est également extrême, ce qui peut être favorable pour la trésorerie mais reflète des pratiques de paiement atypiques. Les rapports trimestriels 2025 (T1, S1, T3) montrent une croissance du CA de +6,2% à +7,4%, mais une chute du résultat net (T3 2025 : -77% à 4,341 milliards FCFA) due à la baisse des dividendes des filiales. Le rapport annuel 2025 (provisoire) indique un résultat net de 784,97 millions FCFA, en forte baisse, avec une marge nette de 0,85%, mais une trésorerie abondante de 74,78 milliards FCFA. On estime que l'exercice 2026 pourrait voir une stabilisation si les marges opérationnelles se rétablissent, mais la dépendance aux revenus financiers et la dégradation opérationnelle (résultat d'exploitation négatif) sont des risques majeurs. La recommandation fondamentale est de conserver, avec une solidité financière (capitaux propres de 77,8 milliards) mais des perspectives de rentabilité incertaines.</w:t>
      </w:r>
    </w:p>
    <w:p>
      <w:pPr>
        <w:spacing w:after="120" w:line="276" w:lineRule="auto"/>
      </w:pPr>
      <w:r>
        <w:t>---</w:t>
      </w:r>
    </w:p>
    <w:p>
      <w:pPr>
        <w:spacing w:after="120" w:line="276" w:lineRule="auto"/>
      </w:pPr>
      <w:r>
        <w:t>### PARTIE 4 : CONCLUSION D'INVESTISSEMENT</w:t>
      </w:r>
    </w:p>
    <w:p>
      <w:pPr>
        <w:spacing w:after="120" w:line="276" w:lineRule="auto"/>
      </w:pPr>
      <w:r>
        <w:t>La valorisation de SDSC est contrastée : un PER de 6,6x suggère une sous-évaluation, mais l'EV/EBITDA de 29,8x et la chute du résultat net 2025 (à 0,85% de marge) indiquent une surévaluation relative. Le comportement du cours montre une tendance haussière de fond (+21,48% sur 100 jours) mais avec une volatilité très élevée (52%) et un skewness positif, ce qui est favorable à long terme mais risqué à court terme. Les signaux techniques sont mitigés, avec une tendance haussière (MM) mais un momentum baissier (MACD, RSI neutre), et un stochastique en survente suggérant un rebond possible. Les fondamentaux sont solides pour 2024 (ROE de 27,08%), mais les rapports 2025 montrent une dégradation sévère de la rentabilité, bien que la trésorerie soit abondante. Les prédictions IA (2 530 à 2 489 FCFA sur 10 jours) confirment une légère baisse, en ligne avec les signaux techniques baissiers à court terme. En synthèse, la convergence entre la sous-évaluation (PER) et la solidité du bilan est contrebalancée par la dégradation des résultats et la volatilité. **Recommandation finale : CONSERVER**, avec un niveau de confiance **Moyen**, un risque global **Élevé**, et un horizon d'investissement **Moyen terme (3-12 mois)** pour observer la reprise des marges opérationnelles et la clarification de la politique de dividende.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(+28%) et l'am\u00e9lioration de la marge op\u00e9rationnelle d\u00e9montrent la solidit\u00e9 du mod\u00e8le \u00e9conomique. Cependant, la baisse des capitaux propres et la tr\u00e9sorerie nette n\u00e9gative n\u00e9cessitent un suivi attentif."}</w:t>
      </w:r>
    </w:p>
    <w:p>
      <w:pPr>
        <w:spacing w:before="40"/>
        <w:ind w:left="400"/>
      </w:pPr>
      <w:r>
        <w:rPr>
          <w:sz w:val="18"/>
        </w:rPr>
        <w:t>Africa Global Logistics (AGL) affiche une croissance solide avec un chiffre d'affaires en hausse de 8,8% à 86,997 milliards FCFA en 2022. Le résultat net progresse significativement de 28,0% pour atteindre 10,044 milliards FCFA, témoignant d'une amélioration de la rentabilité. La marge nette s'améliore à 11,5% contre 10,4% en 2021, reflétant une meilleure maîtrise des coûts opérationnels. Le total du bilan s'établit à 149,634 milliards FCFA avec des capitaux propres renforcés à 10,044 milliards FCFA. La situation financière apparaît solide avec une trésorerie nette négative réduite et des flux opérationnels positifs.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{'dettes_financieres': '9,708 milliards FCFA', 'creances_et_emplois': '96,934 milliards FCFA', 'immobilisations_corporelles': '30,089 milliards FCFA', 'flux_tresorerie_operationnels': '19,236 millions FCFA'}</w:t>
            </w:r>
          </w:p>
        </w:tc>
        <w:tc>
          <w:tcPr>
            <w:tcW w:type="dxa" w:w="2160"/>
          </w:tcPr>
          <w:p>
            <w:pPr>
              <w:ind w:left="100"/>
            </w:pPr>
            <w:r/>
            <w:r>
              <w:rPr>
                <w:b/>
                <w:sz w:val="16"/>
              </w:rPr>
              <w:t>dividende</w:t>
              <w:br/>
            </w:r>
            <w:r>
              <w:rPr>
                <w:sz w:val="18"/>
              </w:rPr>
              <w:t>5,008 milliards FCFA</w:t>
            </w:r>
          </w:p>
        </w:tc>
        <w:tc>
          <w:tcPr>
            <w:tcW w:type="dxa" w:w="2160"/>
          </w:tcPr>
          <w:p>
            <w:pPr>
              <w:ind w:left="100"/>
            </w:pPr>
            <w:r/>
            <w:r>
              <w:rPr>
                <w:b/>
                <w:sz w:val="16"/>
              </w:rPr>
              <w:t>marge_nette</w:t>
              <w:br/>
            </w:r>
            <w:r>
              <w:rPr>
                <w:sz w:val="18"/>
              </w:rPr>
              <w:t>11,5%</w:t>
            </w:r>
          </w:p>
        </w:tc>
        <w:tc>
          <w:tcPr>
            <w:tcW w:type="dxa" w:w="2160"/>
          </w:tcPr>
          <w:p>
            <w:pPr>
              <w:ind w:left="100"/>
            </w:pPr>
            <w:r/>
            <w:r>
              <w:rPr>
                <w:b/>
                <w:sz w:val="16"/>
              </w:rPr>
              <w:t>total_actif</w:t>
              <w:br/>
            </w:r>
            <w:r>
              <w:rPr>
                <w:sz w:val="18"/>
              </w:rPr>
              <w:t>149,634 milliards FCFA</w:t>
            </w:r>
          </w:p>
        </w:tc>
      </w:tr>
      <w:tr>
        <w:tc>
          <w:tcPr>
            <w:tcW w:type="dxa" w:w="2160"/>
          </w:tcPr>
          <w:p>
            <w:r/>
            <w:r>
              <w:rPr>
                <w:b/>
                <w:sz w:val="16"/>
              </w:rPr>
              <w:t>resultat_net</w:t>
              <w:br/>
            </w:r>
            <w:r>
              <w:rPr>
                <w:sz w:val="18"/>
              </w:rPr>
              <w:t>10,044 milliards FCFA</w:t>
            </w:r>
          </w:p>
        </w:tc>
        <w:tc>
          <w:tcPr>
            <w:tcW w:type="dxa" w:w="2160"/>
          </w:tcPr>
          <w:p>
            <w:r/>
            <w:r>
              <w:rPr>
                <w:b/>
                <w:sz w:val="16"/>
              </w:rPr>
              <w:t>capitaux_propres</w:t>
              <w:br/>
            </w:r>
            <w:r>
              <w:rPr>
                <w:sz w:val="18"/>
              </w:rPr>
              <w:t>10,044 milliards FCFA</w:t>
            </w:r>
          </w:p>
        </w:tc>
        <w:tc>
          <w:tcPr>
            <w:tcW w:type="dxa" w:w="2160"/>
          </w:tcPr>
          <w:p>
            <w:r/>
            <w:r>
              <w:rPr>
                <w:b/>
                <w:sz w:val="16"/>
              </w:rPr>
              <w:t>chiffre_affaires</w:t>
              <w:br/>
            </w:r>
            <w:r>
              <w:rPr>
                <w:sz w:val="18"/>
              </w:rPr>
              <w:t>86,997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8,8% à 86,997 milliards FCFA</w:t>
      </w:r>
    </w:p>
    <w:p>
      <w:pPr>
        <w:pStyle w:val="ListBullet"/>
        <w:spacing w:before="20" w:after="20"/>
        <w:ind w:left="700"/>
      </w:pPr>
      <w:r>
        <w:rPr>
          <w:sz w:val="18"/>
        </w:rPr>
        <w:t>Progression remarquable du résultat net de +28,0% à 10,044 milliards FCFA</w:t>
      </w:r>
    </w:p>
    <w:p>
      <w:pPr>
        <w:pStyle w:val="ListBullet"/>
        <w:spacing w:before="20" w:after="20"/>
        <w:ind w:left="700"/>
      </w:pPr>
      <w:r>
        <w:rPr>
          <w:sz w:val="18"/>
        </w:rPr>
        <w:t>Amélioration de la marge nette de 10,4% à 11,5%</w:t>
      </w:r>
    </w:p>
    <w:p>
      <w:pPr>
        <w:pStyle w:val="ListBullet"/>
        <w:spacing w:before="20" w:after="20"/>
        <w:ind w:left="700"/>
      </w:pPr>
      <w:r>
        <w:rPr>
          <w:sz w:val="18"/>
        </w:rPr>
        <w:t>Total actif stable à 149,634 milliards FCFA</w:t>
      </w:r>
    </w:p>
    <w:p>
      <w:pPr>
        <w:pStyle w:val="ListBullet"/>
        <w:spacing w:before="20" w:after="20"/>
        <w:ind w:left="700"/>
      </w:pPr>
      <w:r>
        <w:rPr>
          <w:sz w:val="18"/>
        </w:rPr>
        <w:t>Capitaux propres en baisse à 10,044 milliards FCFA contre 13,942 milliards FCFA</w:t>
      </w:r>
    </w:p>
    <w:p>
      <w:pPr>
        <w:pStyle w:val="ListBullet"/>
        <w:spacing w:before="20" w:after="20"/>
        <w:ind w:left="700"/>
      </w:pPr>
      <w:r>
        <w:rPr>
          <w:sz w:val="18"/>
        </w:rPr>
        <w:t>Trésorerie nette négative améliorée de -5,671 millions FCFA contre -4,353 millions FCFA précédemment</w:t>
      </w:r>
    </w:p>
    <w:p>
      <w:pPr>
        <w:spacing w:before="40"/>
        <w:ind w:left="400"/>
      </w:pPr>
      <w:r>
        <w:rPr>
          <w:b/>
          <w:color w:val="C05000"/>
          <w:sz w:val="18"/>
        </w:rPr>
        <w:t xml:space="preserve">⚠️ Risques : </w:t>
      </w:r>
      <w:r>
        <w:rPr>
          <w:sz w:val="18"/>
        </w:rPr>
        <w:t>["Tr\u00e9sorerie nette n\u00e9gative malgr\u00e9 l'am\u00e9lioration, pouvant limiter la flexibilit\u00e9 financi\u00e8re", "Baisse significative des capitaux propres de 13,942 \u00e0 10,044 milliards FCFA", "Forte d\u00e9pendance aux cr\u00e9ances clients avec 96,934 milliards FCFA d'encours"]</w:t>
      </w:r>
    </w:p>
    <w:p>
      <w:pPr>
        <w:spacing w:before="40"/>
        <w:ind w:left="400"/>
      </w:pPr>
      <w:r>
        <w:rPr>
          <w:b/>
          <w:color w:val="0064A0"/>
          <w:sz w:val="18"/>
        </w:rPr>
        <w:t xml:space="preserve">🔮 Perspectives : </w:t>
      </w:r>
      <w:r>
        <w:rPr>
          <w:sz w:val="18"/>
        </w:rPr>
        <w:t>Les perspectives restent favorables avec une dynamique de croissance maintenue et une rentabilité en amélioration continue. L'entreprise devrait poursuivre sa stratégie de développement tout en consolidant sa structure financière. La capacité à générer des flux opérationnels positifs constitue un at</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5,196 titres</w:t>
            </w:r>
          </w:p>
        </w:tc>
        <w:tc>
          <w:tcPr>
            <w:tcW w:type="dxa" w:w="2268"/>
            <w:shd w:fill="FFF2CC" w:val="clear"/>
          </w:tcPr>
          <w:p>
            <w:r>
              <w:rPr>
                <w:b/>
                <w:color w:val="503200"/>
                <w:sz w:val="16"/>
              </w:rPr>
              <w:t xml:space="preserve">Cours actuel : </w:t>
            </w:r>
            <w:r>
              <w:rPr>
                <w:color w:val="000000"/>
                <w:sz w:val="17"/>
              </w:rPr>
              <w:t>1,480 FCFA</w:t>
            </w:r>
          </w:p>
          <w:p>
            <w:r>
              <w:rPr>
                <w:b/>
                <w:color w:val="503200"/>
                <w:sz w:val="16"/>
              </w:rPr>
              <w:t xml:space="preserve">Var. 100 jours : </w:t>
            </w:r>
            <w:r>
              <w:rPr>
                <w:b/>
                <w:color w:val="B40000"/>
                <w:sz w:val="17"/>
              </w:rPr>
              <w:t>-34.22%</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13.80% (Moyenne) — μ=1,656 FCFA, σ=229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β=0.7558 (Défensif) — Cov=0.000027, Var(idx)=0.000036, ρ=0.138,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1,372</w:t>
            </w:r>
          </w:p>
        </w:tc>
        <w:tc>
          <w:tcPr>
            <w:tcW w:type="dxa" w:w="1440"/>
            <w:shd w:fill="FFDCE0" w:val="clear"/>
          </w:tcPr>
          <w:p>
            <w:r>
              <w:rPr>
                <w:b/>
                <w:sz w:val="17"/>
              </w:rPr>
              <w:t>1,440</w:t>
            </w:r>
          </w:p>
        </w:tc>
        <w:tc>
          <w:tcPr>
            <w:tcW w:type="dxa" w:w="1440"/>
            <w:shd w:fill="FFDCE0" w:val="clear"/>
          </w:tcPr>
          <w:p>
            <w:r>
              <w:rPr>
                <w:sz w:val="17"/>
              </w:rPr>
              <w:t>1,507</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1,335</w:t>
            </w:r>
          </w:p>
        </w:tc>
        <w:tc>
          <w:tcPr>
            <w:tcW w:type="dxa" w:w="1440"/>
            <w:shd w:fill="FFDCE0" w:val="clear"/>
          </w:tcPr>
          <w:p>
            <w:r>
              <w:rPr>
                <w:b/>
                <w:sz w:val="17"/>
              </w:rPr>
              <w:t>1,430</w:t>
            </w:r>
          </w:p>
        </w:tc>
        <w:tc>
          <w:tcPr>
            <w:tcW w:type="dxa" w:w="1440"/>
            <w:shd w:fill="FFDCE0" w:val="clear"/>
          </w:tcPr>
          <w:p>
            <w:r>
              <w:rPr>
                <w:sz w:val="17"/>
              </w:rPr>
              <w:t>1,524</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1,302</w:t>
            </w:r>
          </w:p>
        </w:tc>
        <w:tc>
          <w:tcPr>
            <w:tcW w:type="dxa" w:w="1440"/>
            <w:shd w:fill="FFDCE0" w:val="clear"/>
          </w:tcPr>
          <w:p>
            <w:r>
              <w:rPr>
                <w:b/>
                <w:sz w:val="17"/>
              </w:rPr>
              <w:t>1,417</w:t>
            </w:r>
          </w:p>
        </w:tc>
        <w:tc>
          <w:tcPr>
            <w:tcW w:type="dxa" w:w="1440"/>
            <w:shd w:fill="FFDCE0" w:val="clear"/>
          </w:tcPr>
          <w:p>
            <w:r>
              <w:rPr>
                <w:sz w:val="17"/>
              </w:rPr>
              <w:t>1,531</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1,272</w:t>
            </w:r>
          </w:p>
        </w:tc>
        <w:tc>
          <w:tcPr>
            <w:tcW w:type="dxa" w:w="1440"/>
            <w:shd w:fill="FFDCE0" w:val="clear"/>
          </w:tcPr>
          <w:p>
            <w:r>
              <w:rPr>
                <w:b/>
                <w:sz w:val="17"/>
              </w:rPr>
              <w:t>1,403</w:t>
            </w:r>
          </w:p>
        </w:tc>
        <w:tc>
          <w:tcPr>
            <w:tcW w:type="dxa" w:w="1440"/>
            <w:shd w:fill="FFDCE0" w:val="clear"/>
          </w:tcPr>
          <w:p>
            <w:r>
              <w:rPr>
                <w:sz w:val="17"/>
              </w:rPr>
              <w:t>1,534</w:t>
            </w:r>
          </w:p>
        </w:tc>
        <w:tc>
          <w:tcPr>
            <w:tcW w:type="dxa" w:w="1440"/>
            <w:shd w:fill="FFDCE0" w:val="clear"/>
          </w:tcPr>
          <w:p>
            <w:r>
              <w:rPr>
                <w:b/>
                <w:color w:val="C00000"/>
                <w:sz w:val="17"/>
              </w:rPr>
              <w:t>-5.2%</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1,245</w:t>
            </w:r>
          </w:p>
        </w:tc>
        <w:tc>
          <w:tcPr>
            <w:tcW w:type="dxa" w:w="1440"/>
            <w:shd w:fill="FFDCE0" w:val="clear"/>
          </w:tcPr>
          <w:p>
            <w:r>
              <w:rPr>
                <w:b/>
                <w:sz w:val="17"/>
              </w:rPr>
              <w:t>1,390</w:t>
            </w:r>
          </w:p>
        </w:tc>
        <w:tc>
          <w:tcPr>
            <w:tcW w:type="dxa" w:w="1440"/>
            <w:shd w:fill="FFDCE0" w:val="clear"/>
          </w:tcPr>
          <w:p>
            <w:r>
              <w:rPr>
                <w:sz w:val="17"/>
              </w:rPr>
              <w:t>1,534</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1,219</w:t>
            </w:r>
          </w:p>
        </w:tc>
        <w:tc>
          <w:tcPr>
            <w:tcW w:type="dxa" w:w="1440"/>
            <w:shd w:fill="FFDCE0" w:val="clear"/>
          </w:tcPr>
          <w:p>
            <w:r>
              <w:rPr>
                <w:b/>
                <w:sz w:val="17"/>
              </w:rPr>
              <w:t>1,376</w:t>
            </w:r>
          </w:p>
        </w:tc>
        <w:tc>
          <w:tcPr>
            <w:tcW w:type="dxa" w:w="1440"/>
            <w:shd w:fill="FFDCE0" w:val="clear"/>
          </w:tcPr>
          <w:p>
            <w:r>
              <w:rPr>
                <w:sz w:val="17"/>
              </w:rPr>
              <w:t>1,534</w:t>
            </w:r>
          </w:p>
        </w:tc>
        <w:tc>
          <w:tcPr>
            <w:tcW w:type="dxa" w:w="1440"/>
            <w:shd w:fill="FFDCE0" w:val="clear"/>
          </w:tcPr>
          <w:p>
            <w:r>
              <w:rPr>
                <w:b/>
                <w:color w:val="C00000"/>
                <w:sz w:val="17"/>
              </w:rPr>
              <w:t>-7.0%</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1,195</w:t>
            </w:r>
          </w:p>
        </w:tc>
        <w:tc>
          <w:tcPr>
            <w:tcW w:type="dxa" w:w="1440"/>
            <w:shd w:fill="FFDCE0" w:val="clear"/>
          </w:tcPr>
          <w:p>
            <w:r>
              <w:rPr>
                <w:b/>
                <w:sz w:val="17"/>
              </w:rPr>
              <w:t>1,363</w:t>
            </w:r>
          </w:p>
        </w:tc>
        <w:tc>
          <w:tcPr>
            <w:tcW w:type="dxa" w:w="1440"/>
            <w:shd w:fill="FFDCE0" w:val="clear"/>
          </w:tcPr>
          <w:p>
            <w:r>
              <w:rPr>
                <w:sz w:val="17"/>
              </w:rPr>
              <w:t>1,532</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1,173</w:t>
            </w:r>
          </w:p>
        </w:tc>
        <w:tc>
          <w:tcPr>
            <w:tcW w:type="dxa" w:w="1440"/>
            <w:shd w:fill="FFDCE0" w:val="clear"/>
          </w:tcPr>
          <w:p>
            <w:r>
              <w:rPr>
                <w:b/>
                <w:sz w:val="17"/>
              </w:rPr>
              <w:t>1,351</w:t>
            </w:r>
          </w:p>
        </w:tc>
        <w:tc>
          <w:tcPr>
            <w:tcW w:type="dxa" w:w="1440"/>
            <w:shd w:fill="FFDCE0" w:val="clear"/>
          </w:tcPr>
          <w:p>
            <w:r>
              <w:rPr>
                <w:sz w:val="17"/>
              </w:rPr>
              <w:t>1,529</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1,151</w:t>
            </w:r>
          </w:p>
        </w:tc>
        <w:tc>
          <w:tcPr>
            <w:tcW w:type="dxa" w:w="1440"/>
            <w:shd w:fill="FFDCE0" w:val="clear"/>
          </w:tcPr>
          <w:p>
            <w:r>
              <w:rPr>
                <w:b/>
                <w:sz w:val="17"/>
              </w:rPr>
              <w:t>1,338</w:t>
            </w:r>
          </w:p>
        </w:tc>
        <w:tc>
          <w:tcPr>
            <w:tcW w:type="dxa" w:w="1440"/>
            <w:shd w:fill="FFDCE0" w:val="clear"/>
          </w:tcPr>
          <w:p>
            <w:r>
              <w:rPr>
                <w:sz w:val="17"/>
              </w:rPr>
              <w:t>1,526</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1,131</w:t>
            </w:r>
          </w:p>
        </w:tc>
        <w:tc>
          <w:tcPr>
            <w:tcW w:type="dxa" w:w="1440"/>
            <w:shd w:fill="FFDCE0" w:val="clear"/>
          </w:tcPr>
          <w:p>
            <w:r>
              <w:rPr>
                <w:b/>
                <w:sz w:val="17"/>
              </w:rPr>
              <w:t>1,326</w:t>
            </w:r>
          </w:p>
        </w:tc>
        <w:tc>
          <w:tcPr>
            <w:tcW w:type="dxa" w:w="1440"/>
            <w:shd w:fill="FFDCE0" w:val="clear"/>
          </w:tcPr>
          <w:p>
            <w:r>
              <w:rPr>
                <w:sz w:val="17"/>
              </w:rPr>
              <w:t>1,522</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37,28 milliards FCFA, un niveau modeste qui la positionne parmi les valeurs moyennes de la cote BRVM. Les ratios de valorisation (BPA, PER, P/B, EV/EBITDA) ne sont pas calculables en raison de l'absence de données financières structurées dans la base de données, ce qui constitue une limite à l'analyse quantitative comparative. Toutefois, sur la base des rapports fondamentaux disponibles, le résultat net 2023 de 1,01 milliard FCFA pour 25,19 millions d'actions en circulation implique un BPA d'environ 40 FCFA, soit un PER d'environ 37x, nettement supérieur à la moyenne BRVM (8-12x). Cette valorisation apparaît très élevée au regard des bénéfices actuels, reflétant les anticipations de rebond liées au rachat par Sonoco, mais elle ne saurait être confirmée sans données financières à jour.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chute spectaculaire de -34,22%, passant d'un plus haut de 2 265 FCFA à un plus bas de 1 350 FCFA, avec un cours actuel de 1 480 FCFA. La variation J-1 est nulle, témoignant d'une absence de transaction lors de la dernière séance, probablement liée à la suspension de cotation évoquée dans les rapports. La moyenne (1 656 FCFA) est supérieure à la médiane (1 565 FCFA), avec un skewness positif de 1,055 indiquant que le cours a passé plus de journées sous la moyenne, confirmant la pression vendeuse dominante. L'écart-type de 230 FCFA (CV=13,9%) révèle une dispersion modérée, tandis que le kurtosis de -0,105 (mésokurtique) suggère une distribution proche de la normale sans risque de pics extrêmes. La volatilité annualisée de 51,8% classe le titre comme très volatil, reflétant l'incertitude entourant la restructuration de la société.</w:t>
      </w:r>
    </w:p>
    <w:p>
      <w:pPr>
        <w:spacing w:after="120" w:line="276" w:lineRule="auto" w:before="240"/>
      </w:pPr>
      <w:r>
        <w:rPr>
          <w:b/>
          <w:color w:val="003366"/>
          <w:sz w:val="24"/>
        </w:rPr>
        <w:t>**PARTIE 2 : ANALYSE TECHNIQUE DÉTAILLÉE**</w:t>
      </w:r>
    </w:p>
    <w:p>
      <w:pPr>
        <w:spacing w:after="120" w:line="276" w:lineRule="auto"/>
      </w:pPr>
      <w:r>
        <w:t>**Moyennes Mobiles** : Le cours actuel (1 480 FCFA) se situe sous la MM20 (1 469,25 FCFA) et sous la MM50 (1 519,1 FCFA), configuration baissière classique. La MM20 étant inférieure à la MM50, la tendance de fond reste négative, justifiant la décision de vente. Le titre évolue dans un canal descendant depuis plusieurs mois.</w:t>
      </w:r>
    </w:p>
    <w:p>
      <w:pPr>
        <w:spacing w:after="120" w:line="276" w:lineRule="auto"/>
      </w:pPr>
      <w:r>
        <w:t>**Bandes de Bollinger** : Le prix se positionne à 1 480 FCFA, entre la borne inférieure (1 370,24 FCFA) et la borne supérieure (1 568,26 FCFA), légèrement au-dessus du milieu de bande. La largeur des bandes reflète une volatilité élevée, mais le positionnement central indique une absence de signal directionnel fort, d'où la décision neutre.</w:t>
      </w:r>
    </w:p>
    <w:p>
      <w:pPr>
        <w:spacing w:after="120" w:line="276" w:lineRule="auto"/>
      </w:pPr>
      <w:r>
        <w:t>**MACD** : La valeur MACD (-7,525) est supérieure au signal (-11,271), avec un histogramme positif suggérant un momentum haussier naissant. Cette configuration, bien que les deux lignes restent en territoire négatif, indique une possible stabilisation technique, justifiant la décision d'achat.</w:t>
      </w:r>
    </w:p>
    <w:p>
      <w:pPr>
        <w:spacing w:after="120" w:line="276" w:lineRule="auto"/>
      </w:pPr>
      <w:r>
        <w:t>**RSI** : À 43,678, le RSI se situe en zone neutre (30-70), sans signal de surachat ni de survente. Cette valeur reflète une faiblesse relative sans excès baissier, cohérente avec une phase de consolidation après la forte baisse.</w:t>
      </w:r>
    </w:p>
    <w:p>
      <w:pPr>
        <w:spacing w:after="120" w:line="276" w:lineRule="auto"/>
      </w:pPr>
      <w:r>
        <w:t>**Stochastique** : Le %K (63,636) est supérieur au %D (59,879), indiquant un croisement haussier en zone neutre. Cette configuration suggère un potentiel de rebond technique à court terme, mais sans confirmation directionnelle majeure.</w:t>
      </w:r>
    </w:p>
    <w:p>
      <w:pPr>
        <w:spacing w:after="120" w:line="276" w:lineRule="auto"/>
      </w:pPr>
      <w:r>
        <w:t>**Conclusion technique** : Les indicateurs sont mitigés avec une prédominance baissière des moyennes mobiles, mais des signaux de stabilisation émergent du MACD et du stochastique. Le RSI neutre et les bandes de Bollinger sans signal fort indiquent une phase de transition. La tendance de fond reste négative, mais un rebond technique semble possible à court terme.</w:t>
      </w:r>
    </w:p>
    <w:p>
      <w:pPr>
        <w:spacing w:after="120" w:line="276" w:lineRule="auto" w:before="240"/>
      </w:pPr>
      <w:r>
        <w:rPr>
          <w:b/>
          <w:color w:val="003366"/>
          <w:sz w:val="24"/>
        </w:rPr>
        <w:t>**PARTIE 3 : ANALYSE FONDAMENTALE (SECTION CRITIQUE)**</w:t>
      </w:r>
    </w:p>
    <w:p>
      <w:pPr>
        <w:spacing w:after="120" w:line="276" w:lineRule="auto"/>
      </w:pPr>
      <w:r>
        <w:t>Les rapports fondamentaux disponibles datent de 2022 à 2024, mais présentent des données contradictoires selon les sources. Le rapport du 31/12/2024 (analysé en mars 2026) indique pour l'exercice 2023 un chiffre d'affaires de 27,88 milliards FCFA (en baisse de 6% vs 2022), un résultat net de 1,01 milliard FCFA (en chute de 74% vs 3,86 milliards en 2022), et une marge nette de 3,6% contre 13% en 2022. La société a subi la perte de clients clés (AIRONE -81% du CA), l'effondrement du secteur Tomate, et l'arrêt des cannettes aluminium. Les perspectives 2024 visent un CA de 32 milliards FCFA (+18%), portées par les bouchons couronnes (+15,8%) et les exportations. Le rapport T1 2023 (31/12/2023) montre pourtant un CA trimestriel de 7,65 milliards FCFA (+16,5%) et un bénéfice net de 855,65 millions FCFA (+37,9%), suggérant une amélioration en début d'année. Le rachat par Sonoco Products Company (finalisé décembre 2024) constitue un tournant stratégique majeur, avec des synergies potentielles. La suspension de cotation BRVM (flottant insuffisant à 10,42% vs 15% requis) limite l'accès aux financements. La trésorerie de 3,35 milliards FCFA offre une marge de manœuvre, mais la rentabilité reste fragile.</w:t>
      </w:r>
    </w:p>
    <w:p>
      <w:pPr>
        <w:spacing w:after="120" w:line="276" w:lineRule="auto" w:before="240"/>
      </w:pPr>
      <w:r>
        <w:rPr>
          <w:b/>
          <w:color w:val="003366"/>
          <w:sz w:val="24"/>
        </w:rPr>
        <w:t>**PARTIE 4 : CONCLUSION D'INVESTISSEMENT**</w:t>
      </w:r>
    </w:p>
    <w:p>
      <w:pPr>
        <w:spacing w:after="120" w:line="276" w:lineRule="auto"/>
      </w:pPr>
      <w:r>
        <w:t>La valorisation de SEMC apparaît très élevée (PER estimé ~37x) au regard des bénéfices 2023, mais elle intègre les anticipations de rebond post-Sonoco. Le comportement du cours est préoccupant avec une chute de -34,22% sur 100 jours et une volatilité annualisée de 51,8%, bien que le skewness positif et le kurtosis mésokurtique suggèrent une distribution sans risque extrême. Les signaux techniques sont mitigés : tendance baissière des moyennes mobiles mais signaux de stabilisation du MACD et du stochastique. Les fondamentaux montrent une dégradation marquée en 2023 (marge nette à 3,6%) mais des perspectives de redressement en 2024 portées par Sonoco. Les prédictions IA (1 440 à 1 390 FCFA sur 10 jours) confirment la poursuite de la baisse à court terme. La convergence entre la faiblesse technique, la dégradation fondamentale et les prédictions baissières conduit à une recommandation de **VENTE** avec un niveau de confiance **Moyen** et un risque global **Élevé**. L'horizon d'investissement optimal serait le **court terme (&lt;3 mois)** pour les investisseurs cherchant à limiter leurs pertes, en attendant une clarification sur la levée de suspension et l'impact du rachat par Sonoco.</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4,413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+6.15%</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24.5%</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5.65% (Moyenne) — μ=36,434 FCFA, σ=2,060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β=0.5823 (Défensif) — Cov=0.000021, Var(idx)=0.000036, ρ=0.227,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44/100  (Moyen)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36,969</w:t>
            </w:r>
          </w:p>
        </w:tc>
        <w:tc>
          <w:tcPr>
            <w:tcW w:type="dxa" w:w="1440"/>
            <w:shd w:fill="FAFAFA" w:val="clear"/>
          </w:tcPr>
          <w:p>
            <w:r>
              <w:rPr>
                <w:b/>
                <w:sz w:val="17"/>
              </w:rPr>
              <w:t>37,728</w:t>
            </w:r>
          </w:p>
        </w:tc>
        <w:tc>
          <w:tcPr>
            <w:tcW w:type="dxa" w:w="1440"/>
            <w:shd w:fill="FAFAFA" w:val="clear"/>
          </w:tcPr>
          <w:p>
            <w:r>
              <w:rPr>
                <w:sz w:val="17"/>
              </w:rPr>
              <w:t>38,486</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36,578</w:t>
            </w:r>
          </w:p>
        </w:tc>
        <w:tc>
          <w:tcPr>
            <w:tcW w:type="dxa" w:w="1440"/>
            <w:shd w:fill="FAFAFA" w:val="clear"/>
          </w:tcPr>
          <w:p>
            <w:r>
              <w:rPr>
                <w:b/>
                <w:sz w:val="17"/>
              </w:rPr>
              <w:t>37,649</w:t>
            </w:r>
          </w:p>
        </w:tc>
        <w:tc>
          <w:tcPr>
            <w:tcW w:type="dxa" w:w="1440"/>
            <w:shd w:fill="FAFAFA" w:val="clear"/>
          </w:tcPr>
          <w:p>
            <w:r>
              <w:rPr>
                <w:sz w:val="17"/>
              </w:rPr>
              <w:t>38,719</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36,257</w:t>
            </w:r>
          </w:p>
        </w:tc>
        <w:tc>
          <w:tcPr>
            <w:tcW w:type="dxa" w:w="1440"/>
            <w:shd w:fill="FAFAFA" w:val="clear"/>
          </w:tcPr>
          <w:p>
            <w:r>
              <w:rPr>
                <w:b/>
                <w:sz w:val="17"/>
              </w:rPr>
              <w:t>37,566</w:t>
            </w:r>
          </w:p>
        </w:tc>
        <w:tc>
          <w:tcPr>
            <w:tcW w:type="dxa" w:w="1440"/>
            <w:shd w:fill="FAFAFA" w:val="clear"/>
          </w:tcPr>
          <w:p>
            <w:r>
              <w:rPr>
                <w:sz w:val="17"/>
              </w:rPr>
              <w:t>38,874</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2026-08-11</w:t>
            </w:r>
          </w:p>
        </w:tc>
        <w:tc>
          <w:tcPr>
            <w:tcW w:type="dxa" w:w="1440"/>
            <w:shd w:fill="FAFAFA" w:val="clear"/>
          </w:tcPr>
          <w:p>
            <w:r>
              <w:rPr>
                <w:sz w:val="17"/>
              </w:rPr>
              <w:t>35,978</w:t>
            </w:r>
          </w:p>
        </w:tc>
        <w:tc>
          <w:tcPr>
            <w:tcW w:type="dxa" w:w="1440"/>
            <w:shd w:fill="FAFAFA" w:val="clear"/>
          </w:tcPr>
          <w:p>
            <w:r>
              <w:rPr>
                <w:b/>
                <w:sz w:val="17"/>
              </w:rPr>
              <w:t>37,486</w:t>
            </w:r>
          </w:p>
        </w:tc>
        <w:tc>
          <w:tcPr>
            <w:tcW w:type="dxa" w:w="1440"/>
            <w:shd w:fill="FAFAFA" w:val="clear"/>
          </w:tcPr>
          <w:p>
            <w:r>
              <w:rPr>
                <w:sz w:val="17"/>
              </w:rPr>
              <w:t>38,993</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2026-08-12</w:t>
            </w:r>
          </w:p>
        </w:tc>
        <w:tc>
          <w:tcPr>
            <w:tcW w:type="dxa" w:w="1440"/>
            <w:shd w:fill="FAFAFA" w:val="clear"/>
          </w:tcPr>
          <w:p>
            <w:r>
              <w:rPr>
                <w:sz w:val="17"/>
              </w:rPr>
              <w:t>35,727</w:t>
            </w:r>
          </w:p>
        </w:tc>
        <w:tc>
          <w:tcPr>
            <w:tcW w:type="dxa" w:w="1440"/>
            <w:shd w:fill="FAFAFA" w:val="clear"/>
          </w:tcPr>
          <w:p>
            <w:r>
              <w:rPr>
                <w:b/>
                <w:sz w:val="17"/>
              </w:rPr>
              <w:t>37,409</w:t>
            </w:r>
          </w:p>
        </w:tc>
        <w:tc>
          <w:tcPr>
            <w:tcW w:type="dxa" w:w="1440"/>
            <w:shd w:fill="FAFAFA" w:val="clear"/>
          </w:tcPr>
          <w:p>
            <w:r>
              <w:rPr>
                <w:sz w:val="17"/>
              </w:rPr>
              <w:t>39,091</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2026-08-13</w:t>
            </w:r>
          </w:p>
        </w:tc>
        <w:tc>
          <w:tcPr>
            <w:tcW w:type="dxa" w:w="1440"/>
            <w:shd w:fill="FAFAFA" w:val="clear"/>
          </w:tcPr>
          <w:p>
            <w:r>
              <w:rPr>
                <w:sz w:val="17"/>
              </w:rPr>
              <w:t>35,496</w:t>
            </w:r>
          </w:p>
        </w:tc>
        <w:tc>
          <w:tcPr>
            <w:tcW w:type="dxa" w:w="1440"/>
            <w:shd w:fill="FAFAFA" w:val="clear"/>
          </w:tcPr>
          <w:p>
            <w:r>
              <w:rPr>
                <w:b/>
                <w:sz w:val="17"/>
              </w:rPr>
              <w:t>37,335</w:t>
            </w:r>
          </w:p>
        </w:tc>
        <w:tc>
          <w:tcPr>
            <w:tcW w:type="dxa" w:w="1440"/>
            <w:shd w:fill="FAFAFA" w:val="clear"/>
          </w:tcPr>
          <w:p>
            <w:r>
              <w:rPr>
                <w:sz w:val="17"/>
              </w:rPr>
              <w:t>39,174</w:t>
            </w:r>
          </w:p>
        </w:tc>
        <w:tc>
          <w:tcPr>
            <w:tcW w:type="dxa" w:w="1440"/>
            <w:shd w:fill="FAFAFA" w:val="clear"/>
          </w:tcPr>
          <w:p>
            <w:r>
              <w:rPr>
                <w:b/>
                <w:color w:val="C00000"/>
                <w:sz w:val="17"/>
              </w:rPr>
              <w:t>-1.7%</w:t>
            </w:r>
          </w:p>
        </w:tc>
      </w:tr>
      <w:tr>
        <w:tc>
          <w:tcPr>
            <w:tcW w:type="dxa" w:w="1440"/>
            <w:shd w:fill="FAFAFA" w:val="clear"/>
          </w:tcPr>
          <w:p>
            <w:r>
              <w:rPr>
                <w:sz w:val="17"/>
              </w:rPr>
              <w:t>J+7  Moyenne</w:t>
            </w:r>
          </w:p>
        </w:tc>
        <w:tc>
          <w:tcPr>
            <w:tcW w:type="dxa" w:w="1440"/>
            <w:shd w:fill="FAFAFA" w:val="clear"/>
          </w:tcPr>
          <w:p>
            <w:r>
              <w:rPr>
                <w:sz w:val="17"/>
              </w:rPr>
              <w:t>2026-08-14</w:t>
            </w:r>
          </w:p>
        </w:tc>
        <w:tc>
          <w:tcPr>
            <w:tcW w:type="dxa" w:w="1440"/>
            <w:shd w:fill="FAFAFA" w:val="clear"/>
          </w:tcPr>
          <w:p>
            <w:r>
              <w:rPr>
                <w:sz w:val="17"/>
              </w:rPr>
              <w:t>35,281</w:t>
            </w:r>
          </w:p>
        </w:tc>
        <w:tc>
          <w:tcPr>
            <w:tcW w:type="dxa" w:w="1440"/>
            <w:shd w:fill="FAFAFA" w:val="clear"/>
          </w:tcPr>
          <w:p>
            <w:r>
              <w:rPr>
                <w:b/>
                <w:sz w:val="17"/>
              </w:rPr>
              <w:t>37,263</w:t>
            </w:r>
          </w:p>
        </w:tc>
        <w:tc>
          <w:tcPr>
            <w:tcW w:type="dxa" w:w="1440"/>
            <w:shd w:fill="FAFAFA" w:val="clear"/>
          </w:tcPr>
          <w:p>
            <w:r>
              <w:rPr>
                <w:sz w:val="17"/>
              </w:rPr>
              <w:t>39,245</w:t>
            </w:r>
          </w:p>
        </w:tc>
        <w:tc>
          <w:tcPr>
            <w:tcW w:type="dxa" w:w="1440"/>
            <w:shd w:fill="FAFAFA" w:val="clear"/>
          </w:tcPr>
          <w:p>
            <w:r>
              <w:rPr>
                <w:b/>
                <w:color w:val="C00000"/>
                <w:sz w:val="17"/>
              </w:rPr>
              <w:t>-1.9%</w:t>
            </w:r>
          </w:p>
        </w:tc>
      </w:tr>
      <w:tr>
        <w:tc>
          <w:tcPr>
            <w:tcW w:type="dxa" w:w="1440"/>
            <w:shd w:fill="FFDCE0" w:val="clear"/>
          </w:tcPr>
          <w:p>
            <w:r>
              <w:rPr>
                <w:sz w:val="17"/>
              </w:rPr>
              <w:t>J+8  Moyenne</w:t>
            </w:r>
          </w:p>
        </w:tc>
        <w:tc>
          <w:tcPr>
            <w:tcW w:type="dxa" w:w="1440"/>
            <w:shd w:fill="FFDCE0" w:val="clear"/>
          </w:tcPr>
          <w:p>
            <w:r>
              <w:rPr>
                <w:sz w:val="17"/>
              </w:rPr>
              <w:t>2026-08-17</w:t>
            </w:r>
          </w:p>
        </w:tc>
        <w:tc>
          <w:tcPr>
            <w:tcW w:type="dxa" w:w="1440"/>
            <w:shd w:fill="FFDCE0" w:val="clear"/>
          </w:tcPr>
          <w:p>
            <w:r>
              <w:rPr>
                <w:sz w:val="17"/>
              </w:rPr>
              <w:t>35,077</w:t>
            </w:r>
          </w:p>
        </w:tc>
        <w:tc>
          <w:tcPr>
            <w:tcW w:type="dxa" w:w="1440"/>
            <w:shd w:fill="FFDCE0" w:val="clear"/>
          </w:tcPr>
          <w:p>
            <w:r>
              <w:rPr>
                <w:b/>
                <w:sz w:val="17"/>
              </w:rPr>
              <w:t>37,192</w:t>
            </w:r>
          </w:p>
        </w:tc>
        <w:tc>
          <w:tcPr>
            <w:tcW w:type="dxa" w:w="1440"/>
            <w:shd w:fill="FFDCE0" w:val="clear"/>
          </w:tcPr>
          <w:p>
            <w:r>
              <w:rPr>
                <w:sz w:val="17"/>
              </w:rPr>
              <w:t>39,307</w:t>
            </w:r>
          </w:p>
        </w:tc>
        <w:tc>
          <w:tcPr>
            <w:tcW w:type="dxa" w:w="1440"/>
            <w:shd w:fill="FFDCE0" w:val="clear"/>
          </w:tcPr>
          <w:p>
            <w:r>
              <w:rPr>
                <w:b/>
                <w:color w:val="C00000"/>
                <w:sz w:val="17"/>
              </w:rPr>
              <w:t>-2.1%</w:t>
            </w:r>
          </w:p>
        </w:tc>
      </w:tr>
      <w:tr>
        <w:tc>
          <w:tcPr>
            <w:tcW w:type="dxa" w:w="1440"/>
            <w:shd w:fill="FFDCE0" w:val="clear"/>
          </w:tcPr>
          <w:p>
            <w:r>
              <w:rPr>
                <w:sz w:val="17"/>
              </w:rPr>
              <w:t>J+9  Moyenne</w:t>
            </w:r>
          </w:p>
        </w:tc>
        <w:tc>
          <w:tcPr>
            <w:tcW w:type="dxa" w:w="1440"/>
            <w:shd w:fill="FFDCE0" w:val="clear"/>
          </w:tcPr>
          <w:p>
            <w:r>
              <w:rPr>
                <w:sz w:val="17"/>
              </w:rPr>
              <w:t>2026-08-18</w:t>
            </w:r>
          </w:p>
        </w:tc>
        <w:tc>
          <w:tcPr>
            <w:tcW w:type="dxa" w:w="1440"/>
            <w:shd w:fill="FFDCE0" w:val="clear"/>
          </w:tcPr>
          <w:p>
            <w:r>
              <w:rPr>
                <w:sz w:val="17"/>
              </w:rPr>
              <w:t>34,883</w:t>
            </w:r>
          </w:p>
        </w:tc>
        <w:tc>
          <w:tcPr>
            <w:tcW w:type="dxa" w:w="1440"/>
            <w:shd w:fill="FFDCE0" w:val="clear"/>
          </w:tcPr>
          <w:p>
            <w:r>
              <w:rPr>
                <w:b/>
                <w:sz w:val="17"/>
              </w:rPr>
              <w:t>37,123</w:t>
            </w:r>
          </w:p>
        </w:tc>
        <w:tc>
          <w:tcPr>
            <w:tcW w:type="dxa" w:w="1440"/>
            <w:shd w:fill="FFDCE0" w:val="clear"/>
          </w:tcPr>
          <w:p>
            <w:r>
              <w:rPr>
                <w:sz w:val="17"/>
              </w:rPr>
              <w:t>39,362</w:t>
            </w:r>
          </w:p>
        </w:tc>
        <w:tc>
          <w:tcPr>
            <w:tcW w:type="dxa" w:w="1440"/>
            <w:shd w:fill="FFDCE0" w:val="clear"/>
          </w:tcPr>
          <w:p>
            <w:r>
              <w:rPr>
                <w:b/>
                <w:color w:val="C00000"/>
                <w:sz w:val="17"/>
              </w:rPr>
              <w:t>-2.3%</w:t>
            </w:r>
          </w:p>
        </w:tc>
      </w:tr>
      <w:tr>
        <w:tc>
          <w:tcPr>
            <w:tcW w:type="dxa" w:w="1440"/>
            <w:shd w:fill="FFDCE0" w:val="clear"/>
          </w:tcPr>
          <w:p>
            <w:r>
              <w:rPr>
                <w:sz w:val="17"/>
              </w:rPr>
              <w:t>J+10  Moyenne</w:t>
            </w:r>
          </w:p>
        </w:tc>
        <w:tc>
          <w:tcPr>
            <w:tcW w:type="dxa" w:w="1440"/>
            <w:shd w:fill="FFDCE0" w:val="clear"/>
          </w:tcPr>
          <w:p>
            <w:r>
              <w:rPr>
                <w:sz w:val="17"/>
              </w:rPr>
              <w:t>2026-08-19</w:t>
            </w:r>
          </w:p>
        </w:tc>
        <w:tc>
          <w:tcPr>
            <w:tcW w:type="dxa" w:w="1440"/>
            <w:shd w:fill="FFDCE0" w:val="clear"/>
          </w:tcPr>
          <w:p>
            <w:r>
              <w:rPr>
                <w:sz w:val="17"/>
              </w:rPr>
              <w:t>34,698</w:t>
            </w:r>
          </w:p>
        </w:tc>
        <w:tc>
          <w:tcPr>
            <w:tcW w:type="dxa" w:w="1440"/>
            <w:shd w:fill="FFDCE0" w:val="clear"/>
          </w:tcPr>
          <w:p>
            <w:r>
              <w:rPr>
                <w:b/>
                <w:sz w:val="17"/>
              </w:rPr>
              <w:t>37,054</w:t>
            </w:r>
          </w:p>
        </w:tc>
        <w:tc>
          <w:tcPr>
            <w:tcW w:type="dxa" w:w="1440"/>
            <w:shd w:fill="FFDCE0" w:val="clear"/>
          </w:tcPr>
          <w:p>
            <w:r>
              <w:rPr>
                <w:sz w:val="17"/>
              </w:rPr>
              <w:t>39,410</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de l'analyse : 04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1 182,22 milliards FCFA, ce qui en fait l'une des valeurs les plus lourdes et les plus liquides de la BRVM, représentant un pilier du compartiment financier. Avec un BPA de 3 258 FCFA, le titre se négocie à un PER de 11,7x, légèrement au-dessus de la moyenne historique de la place (~8-12x), ce qui traduit une valorisation raisonnable mais non bradée, intégrant une prime de qualité pour ce leader bancaire. Le P/B de 2,39x confirme cette perception, le marché valorisant la société à plus du double de sa valeur comptable, signe d'une confiance dans la création de valeur future. En revanche, l'EV/EBITDA de 24,5x apparaît très exigeant, indiquant que le marché capitalise fortement la capacité opérationnelle de la banque, un niveau qui laisse peu de marge d'erreur sur l'exécution de la stratégie.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affiche une progression totale de +6,15%, avec une dernière séance stable (+0,01%), démontrant une tendance de fond haussière mais récemment hésitante. Le titre a évolué dans un range de trading de 6 400 FCFA, oscillant entre un plus bas de 32 800 FCFA et un plus haut de 39 200 FCFA, ce qui témoigne d'une amplitude de mouvement significative sur la période. La moyenne du cours sur 100 jours (36 434 FCFA) est très proche de la médiane (36 400 FCFA), et le skewness de -0,145 indique une distribution quasi symétrique, suggérant une absence de biais directionnel marqué. L'écart-type de 2 070 FCFA (CV=5,7%) révèle une dispersion modérée autour de la moyenne, tandis que le kurtosis de -1,411 (platykurtique) indique une distribution aplatie avec peu de valeurs extrêmes, réduisant le risque de pics de volatilité soudains. Enfin, la volatilité annualisée de 24,5% classe le titre dans la catégorie "modérée" (15-30%), offrant un équilibre entre potentiel de rendement et stabilité relative.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(38 000 FCFA) se situe en dessous de sa MM20 (38 201,5 FCFA) et de sa MM50 (38 309,9 FCFA), avec une MM20 inférieure à la MM50. Cette configuration baissière à court terme indique que la dynamique récente est négative, le prix peinant à dépasser ces niveaux de résistance dynamique. La décision de "Vente" est cohérente avec cette structure, suggérant une phase de consolidation ou de correction après la hausse passée.</w:t>
      </w:r>
    </w:p>
    <w:p>
      <w:pPr>
        <w:spacing w:after="120" w:line="276" w:lineRule="auto"/>
      </w:pPr>
      <w:r>
        <w:t>**Bandes de Bollinger** : Le prix (38 000 FCFA) se positionne presque à mi-chemin entre la borne supérieure (38 975,1 FCFA) et la borne inférieure (37 427,9 FCFA). Cette position centrale indique une volatilité modérée et l'absence de pression directionnelle forte. La décision "Neutre" est justifiée, le marché semblant chercher une direction après un mouvement de repli depuis les sommets.</w:t>
      </w:r>
    </w:p>
    <w:p>
      <w:pPr>
        <w:spacing w:after="120" w:line="276" w:lineRule="auto"/>
      </w:pPr>
      <w:r>
        <w:t>**MACD** : Le MACD (-76,5) est négatif et se situe sous sa ligne de signal (-41,5), confirmant un momentum baissier à moyen terme. La divergence négative entre les deux lignes suggère que la pression vendeuse persiste, bien que l'écart ne soit pas extrême. La décision de "Vente" reflète cette dynamique défavorable, mais l'ampleur modérée du croisement pourrait indiquer un essoufflement de la tendance baissière.</w:t>
      </w:r>
    </w:p>
    <w:p>
      <w:pPr>
        <w:spacing w:after="120" w:line="276" w:lineRule="auto"/>
      </w:pPr>
      <w:r>
        <w:t>**RSI** : Avec une valeur de 48,5, le RSI se situe en zone neutre (30-70), indiquant un équilibre entre pressions acheteuses et vendeuses. Cette lecture "Neutre" suggère que le titre n'est ni suracheté ni survendu, laissant la place à une évolution dans les deux sens. Le RSI n'apporte donc pas de signal directionnel fort à ce stade.</w:t>
      </w:r>
    </w:p>
    <w:p>
      <w:pPr>
        <w:spacing w:after="120" w:line="276" w:lineRule="auto"/>
      </w:pPr>
      <w:r>
        <w:t>**Stochastique** : Le %K (33,3) est supérieur au %D (27,8), avec les deux indicateurs en zone de survente relative (&lt;20-30). Ce croisement haussier naissant pourrait signaler un potentiel rebond technique à court terme, mais la faiblesse des valeurs indique que la dynamique reste fragile. La décision "Neutre" est prudente, attendant une confirmation plus franche.</w:t>
      </w:r>
    </w:p>
    <w:p>
      <w:pPr>
        <w:spacing w:after="120" w:line="276" w:lineRule="auto"/>
      </w:pPr>
      <w:r>
        <w:t>**Conclusion technique** : La convergence des indicateurs (MM, MACD) vers une dynamique vendeuse, contrastant avec la neutralité du RSI et du Stochastique, dessine un tableau mitigé. Le titre semble en phase de correction au sein d'une tendance haussière de fond, avec des signaux de stabilisation naissants. La prudence est de mise, mais un rebond technique n'est pas à exclure si les supports actuels tiennent.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confirment la solidité du modèle de SGBC, avec un Produit Net Bancaire (PNB) de 276,048 milliards FCFA et un résultat net record de 101,352 milliards FCFA. La rentabilité est excellente, avec un ROE de 20,47% et un ROA de 2,69%, démontrant une utilisation très efficace des capitaux propres et des actifs. En tant que banque, le coefficient d'exploitation de 38,75% est remarquable, bien en dessous du seuil de 60% considéré comme efficace, et la marge nette de 36,72% souligne une excellente maîtrise des coûts. Le coût du risque, avec des provisions de 17,995 milliards FCFA, reste contenu, et le ratio prêts/dépôts s'est amélioré à 84,6% fin septembre 2025 (rapport T3 2025), reflétant un rééquilibrage sain du bilan. Les rapports trimestriels de 2025 montrent une trajectoire positive : le T1 2025 affichait un PNB de 66,3 milliards (+1,3%) et un résultat net de 27,1 milliards (+2,2%), tandis que le cumul sur 9 mois (T3 2025) atteignait 201 milliards de PNB (+2,5%) et 83,3 milliards de résultat net (+11,7%). Sur la base de ces tendances, on estime que l'exercice 2025 devrait confirmer une croissance rentable, portée par une collecte de dépôts dynamique (+13,9% sur 9 mois) et une discipline opérationnelle stricte. La notation AAA (rapport annuel 2024) et le ratio de solvabilité de 17,7% (S1 2025) renforcent la robustesse financière, bien que la hausse des créances en souffrance (NPL à 7,8% au S1 2025) nécessite une surveillance. Les fondamentaux de SGBC sont donc très solides, avec une recommandation de conservation pour un acteur de premier plan.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fait ressortir un profil contrasté pour SGBC. La valorisation (Partie 0) est raisonnable (PER 11,7x) mais exigeante sur l'EV/EBITDA, avec une prime de qualité intégrée. Le comportement du cours (Partie 1) montre une tendance haussière de fond (+6,15% sur 100 jours) mais avec une volatilité modérée et une distribution symétrique, suggérant une stabilité relative. Les signaux techniques (Partie 2) sont mitigés, avec une convergence vendeuse à court terme (MM, MACD) contrebalancée par des indicateurs neutres (RSI, Stochastique), indiquant une phase de consolidation. Les fondamentaux (Partie 3) sont excellents, avec une croissance rentable, une efficacité opérationnelle remarquable et une solidité financière renforcée. Les prédictions IA (J+1 à J+10) montrent une légère dérive baissière vers 37 409 FCFA, confirmant la faiblesse technique à court terme mais sans signal de rupture majeur. En conclusion, la convergence entre des fondamentaux robustes et une valorisation correcte plaide pour une recommandation **CONSERVER**, avec un niveau de confiance **Moyen** et un risque global **Moyen**. L'horizon d'investissement optimal serait le **moyen terme (3-12 mois)**, le temps que la consolidation technique s'achève et que les résultats annuels 2025 confirment la trajectoire de croissance.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146.47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4,874 titres</w:t>
            </w:r>
          </w:p>
        </w:tc>
        <w:tc>
          <w:tcPr>
            <w:tcW w:type="dxa" w:w="2268"/>
            <w:shd w:fill="FFF2CC" w:val="clear"/>
          </w:tcPr>
          <w:p>
            <w:r>
              <w:rPr>
                <w:b/>
                <w:color w:val="503200"/>
                <w:sz w:val="16"/>
              </w:rPr>
              <w:t xml:space="preserve">Cours actuel : </w:t>
            </w:r>
            <w:r>
              <w:rPr>
                <w:color w:val="000000"/>
                <w:sz w:val="17"/>
              </w:rPr>
              <w:t>2,325 FCFA</w:t>
            </w:r>
          </w:p>
          <w:p>
            <w:r>
              <w:rPr>
                <w:b/>
                <w:color w:val="503200"/>
                <w:sz w:val="16"/>
              </w:rPr>
              <w:t xml:space="preserve">Var. 100 jours : </w:t>
            </w:r>
            <w:r>
              <w:rPr>
                <w:b/>
                <w:color w:val="007800"/>
                <w:sz w:val="17"/>
              </w:rPr>
              <w:t>+3.79%</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5.66% (Moyenne) — μ=2,100 FCFA, σ=119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β=0.8938 (Neutre (suit le marché)) — Cov=0.000032, Var(idx)=0.000036, ρ=0.250,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4,874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2,119</w:t>
            </w:r>
          </w:p>
        </w:tc>
        <w:tc>
          <w:tcPr>
            <w:tcW w:type="dxa" w:w="1440"/>
            <w:shd w:fill="FFDCE0" w:val="clear"/>
          </w:tcPr>
          <w:p>
            <w:r>
              <w:rPr>
                <w:b/>
                <w:sz w:val="17"/>
              </w:rPr>
              <w:t>2,194</w:t>
            </w:r>
          </w:p>
        </w:tc>
        <w:tc>
          <w:tcPr>
            <w:tcW w:type="dxa" w:w="1440"/>
            <w:shd w:fill="FFDCE0" w:val="clear"/>
          </w:tcPr>
          <w:p>
            <w:r>
              <w:rPr>
                <w:sz w:val="17"/>
              </w:rPr>
              <w:t>2,269</w:t>
            </w:r>
          </w:p>
        </w:tc>
        <w:tc>
          <w:tcPr>
            <w:tcW w:type="dxa" w:w="1440"/>
            <w:shd w:fill="FFDCE0" w:val="clear"/>
          </w:tcPr>
          <w:p>
            <w:r>
              <w:rPr>
                <w:b/>
                <w:color w:val="C00000"/>
                <w:sz w:val="17"/>
              </w:rPr>
              <w:t>-5.6%</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1,994</w:t>
            </w:r>
          </w:p>
        </w:tc>
        <w:tc>
          <w:tcPr>
            <w:tcW w:type="dxa" w:w="1440"/>
            <w:shd w:fill="FFDCE0" w:val="clear"/>
          </w:tcPr>
          <w:p>
            <w:r>
              <w:rPr>
                <w:b/>
                <w:sz w:val="17"/>
              </w:rPr>
              <w:t>2,095</w:t>
            </w:r>
          </w:p>
        </w:tc>
        <w:tc>
          <w:tcPr>
            <w:tcW w:type="dxa" w:w="1440"/>
            <w:shd w:fill="FFDCE0" w:val="clear"/>
          </w:tcPr>
          <w:p>
            <w:r>
              <w:rPr>
                <w:sz w:val="17"/>
              </w:rPr>
              <w:t>2,196</w:t>
            </w:r>
          </w:p>
        </w:tc>
        <w:tc>
          <w:tcPr>
            <w:tcW w:type="dxa" w:w="1440"/>
            <w:shd w:fill="FFDCE0" w:val="clear"/>
          </w:tcPr>
          <w:p>
            <w:r>
              <w:rPr>
                <w:b/>
                <w:color w:val="C00000"/>
                <w:sz w:val="17"/>
              </w:rPr>
              <w:t>-9.9%</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1,886</w:t>
            </w:r>
          </w:p>
        </w:tc>
        <w:tc>
          <w:tcPr>
            <w:tcW w:type="dxa" w:w="1440"/>
            <w:shd w:fill="FFDCE0" w:val="clear"/>
          </w:tcPr>
          <w:p>
            <w:r>
              <w:rPr>
                <w:b/>
                <w:sz w:val="17"/>
              </w:rPr>
              <w:t>2,005</w:t>
            </w:r>
          </w:p>
        </w:tc>
        <w:tc>
          <w:tcPr>
            <w:tcW w:type="dxa" w:w="1440"/>
            <w:shd w:fill="FFDCE0" w:val="clear"/>
          </w:tcPr>
          <w:p>
            <w:r>
              <w:rPr>
                <w:sz w:val="17"/>
              </w:rPr>
              <w:t>2,124</w:t>
            </w:r>
          </w:p>
        </w:tc>
        <w:tc>
          <w:tcPr>
            <w:tcW w:type="dxa" w:w="1440"/>
            <w:shd w:fill="FFDCE0" w:val="clear"/>
          </w:tcPr>
          <w:p>
            <w:r>
              <w:rPr>
                <w:b/>
                <w:color w:val="C00000"/>
                <w:sz w:val="17"/>
              </w:rPr>
              <w:t>-13.8%</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1,797</w:t>
            </w:r>
          </w:p>
        </w:tc>
        <w:tc>
          <w:tcPr>
            <w:tcW w:type="dxa" w:w="1440"/>
            <w:shd w:fill="FFDCE0" w:val="clear"/>
          </w:tcPr>
          <w:p>
            <w:r>
              <w:rPr>
                <w:b/>
                <w:sz w:val="17"/>
              </w:rPr>
              <w:t>1,929</w:t>
            </w:r>
          </w:p>
        </w:tc>
        <w:tc>
          <w:tcPr>
            <w:tcW w:type="dxa" w:w="1440"/>
            <w:shd w:fill="FFDCE0" w:val="clear"/>
          </w:tcPr>
          <w:p>
            <w:r>
              <w:rPr>
                <w:sz w:val="17"/>
              </w:rPr>
              <w:t>2,061</w:t>
            </w:r>
          </w:p>
        </w:tc>
        <w:tc>
          <w:tcPr>
            <w:tcW w:type="dxa" w:w="1440"/>
            <w:shd w:fill="FFDCE0" w:val="clear"/>
          </w:tcPr>
          <w:p>
            <w:r>
              <w:rPr>
                <w:b/>
                <w:color w:val="C00000"/>
                <w:sz w:val="17"/>
              </w:rPr>
              <w:t>-17.0%</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1,724</w:t>
            </w:r>
          </w:p>
        </w:tc>
        <w:tc>
          <w:tcPr>
            <w:tcW w:type="dxa" w:w="1440"/>
            <w:shd w:fill="FFDCE0" w:val="clear"/>
          </w:tcPr>
          <w:p>
            <w:r>
              <w:rPr>
                <w:b/>
                <w:sz w:val="17"/>
              </w:rPr>
              <w:t>1,867</w:t>
            </w:r>
          </w:p>
        </w:tc>
        <w:tc>
          <w:tcPr>
            <w:tcW w:type="dxa" w:w="1440"/>
            <w:shd w:fill="FFDCE0" w:val="clear"/>
          </w:tcPr>
          <w:p>
            <w:r>
              <w:rPr>
                <w:sz w:val="17"/>
              </w:rPr>
              <w:t>2,010</w:t>
            </w:r>
          </w:p>
        </w:tc>
        <w:tc>
          <w:tcPr>
            <w:tcW w:type="dxa" w:w="1440"/>
            <w:shd w:fill="FFDCE0" w:val="clear"/>
          </w:tcPr>
          <w:p>
            <w:r>
              <w:rPr>
                <w:b/>
                <w:color w:val="C00000"/>
                <w:sz w:val="17"/>
              </w:rPr>
              <w:t>-19.7%</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1,663</w:t>
            </w:r>
          </w:p>
        </w:tc>
        <w:tc>
          <w:tcPr>
            <w:tcW w:type="dxa" w:w="1440"/>
            <w:shd w:fill="FFDCE0" w:val="clear"/>
          </w:tcPr>
          <w:p>
            <w:r>
              <w:rPr>
                <w:b/>
                <w:sz w:val="17"/>
              </w:rPr>
              <w:t>1,815</w:t>
            </w:r>
          </w:p>
        </w:tc>
        <w:tc>
          <w:tcPr>
            <w:tcW w:type="dxa" w:w="1440"/>
            <w:shd w:fill="FFDCE0" w:val="clear"/>
          </w:tcPr>
          <w:p>
            <w:r>
              <w:rPr>
                <w:sz w:val="17"/>
              </w:rPr>
              <w:t>1,968</w:t>
            </w:r>
          </w:p>
        </w:tc>
        <w:tc>
          <w:tcPr>
            <w:tcW w:type="dxa" w:w="1440"/>
            <w:shd w:fill="FFDCE0" w:val="clear"/>
          </w:tcPr>
          <w:p>
            <w:r>
              <w:rPr>
                <w:b/>
                <w:color w:val="C00000"/>
                <w:sz w:val="17"/>
              </w:rPr>
              <w:t>-21.9%</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1,610</w:t>
            </w:r>
          </w:p>
        </w:tc>
        <w:tc>
          <w:tcPr>
            <w:tcW w:type="dxa" w:w="1440"/>
            <w:shd w:fill="FFDCE0" w:val="clear"/>
          </w:tcPr>
          <w:p>
            <w:r>
              <w:rPr>
                <w:b/>
                <w:sz w:val="17"/>
              </w:rPr>
              <w:t>1,771</w:t>
            </w:r>
          </w:p>
        </w:tc>
        <w:tc>
          <w:tcPr>
            <w:tcW w:type="dxa" w:w="1440"/>
            <w:shd w:fill="FFDCE0" w:val="clear"/>
          </w:tcPr>
          <w:p>
            <w:r>
              <w:rPr>
                <w:sz w:val="17"/>
              </w:rPr>
              <w:t>1,931</w:t>
            </w:r>
          </w:p>
        </w:tc>
        <w:tc>
          <w:tcPr>
            <w:tcW w:type="dxa" w:w="1440"/>
            <w:shd w:fill="FFDCE0" w:val="clear"/>
          </w:tcPr>
          <w:p>
            <w:r>
              <w:rPr>
                <w:b/>
                <w:color w:val="C00000"/>
                <w:sz w:val="17"/>
              </w:rPr>
              <w:t>-23.8%</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1,564</w:t>
            </w:r>
          </w:p>
        </w:tc>
        <w:tc>
          <w:tcPr>
            <w:tcW w:type="dxa" w:w="1440"/>
            <w:shd w:fill="FFDCE0" w:val="clear"/>
          </w:tcPr>
          <w:p>
            <w:r>
              <w:rPr>
                <w:b/>
                <w:sz w:val="17"/>
              </w:rPr>
              <w:t>1,731</w:t>
            </w:r>
          </w:p>
        </w:tc>
        <w:tc>
          <w:tcPr>
            <w:tcW w:type="dxa" w:w="1440"/>
            <w:shd w:fill="FFDCE0" w:val="clear"/>
          </w:tcPr>
          <w:p>
            <w:r>
              <w:rPr>
                <w:sz w:val="17"/>
              </w:rPr>
              <w:t>1,899</w:t>
            </w:r>
          </w:p>
        </w:tc>
        <w:tc>
          <w:tcPr>
            <w:tcW w:type="dxa" w:w="1440"/>
            <w:shd w:fill="FFDCE0" w:val="clear"/>
          </w:tcPr>
          <w:p>
            <w:r>
              <w:rPr>
                <w:b/>
                <w:color w:val="C00000"/>
                <w:sz w:val="17"/>
              </w:rPr>
              <w:t>-25.5%</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1,522</w:t>
            </w:r>
          </w:p>
        </w:tc>
        <w:tc>
          <w:tcPr>
            <w:tcW w:type="dxa" w:w="1440"/>
            <w:shd w:fill="FFDCE0" w:val="clear"/>
          </w:tcPr>
          <w:p>
            <w:r>
              <w:rPr>
                <w:b/>
                <w:sz w:val="17"/>
              </w:rPr>
              <w:t>1,696</w:t>
            </w:r>
          </w:p>
        </w:tc>
        <w:tc>
          <w:tcPr>
            <w:tcW w:type="dxa" w:w="1440"/>
            <w:shd w:fill="FFDCE0" w:val="clear"/>
          </w:tcPr>
          <w:p>
            <w:r>
              <w:rPr>
                <w:sz w:val="17"/>
              </w:rPr>
              <w:t>1,870</w:t>
            </w:r>
          </w:p>
        </w:tc>
        <w:tc>
          <w:tcPr>
            <w:tcW w:type="dxa" w:w="1440"/>
            <w:shd w:fill="FFDCE0" w:val="clear"/>
          </w:tcPr>
          <w:p>
            <w:r>
              <w:rPr>
                <w:b/>
                <w:color w:val="C00000"/>
                <w:sz w:val="17"/>
              </w:rPr>
              <w:t>-27.1%</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1,483</w:t>
            </w:r>
          </w:p>
        </w:tc>
        <w:tc>
          <w:tcPr>
            <w:tcW w:type="dxa" w:w="1440"/>
            <w:shd w:fill="FFDCE0" w:val="clear"/>
          </w:tcPr>
          <w:p>
            <w:r>
              <w:rPr>
                <w:b/>
                <w:sz w:val="17"/>
              </w:rPr>
              <w:t>1,663</w:t>
            </w:r>
          </w:p>
        </w:tc>
        <w:tc>
          <w:tcPr>
            <w:tcW w:type="dxa" w:w="1440"/>
            <w:shd w:fill="FFDCE0" w:val="clear"/>
          </w:tcPr>
          <w:p>
            <w:r>
              <w:rPr>
                <w:sz w:val="17"/>
              </w:rPr>
              <w:t>1,843</w:t>
            </w:r>
          </w:p>
        </w:tc>
        <w:tc>
          <w:tcPr>
            <w:tcW w:type="dxa" w:w="1440"/>
            <w:shd w:fill="FFDCE0" w:val="clear"/>
          </w:tcPr>
          <w:p>
            <w:r>
              <w:rPr>
                <w:b/>
                <w:color w:val="C00000"/>
                <w:sz w:val="17"/>
              </w:rPr>
              <w:t>-28.5%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146,47 milliards FCFA, un niveau significatif dans le contexte de la BRVM, qui positionne le titre parmi les valeurs moyennes à grandes capitalisations de la place. Avec un BPA de 96 FCFA, le PER de 24,3x est nettement supérieur à la moyenne historique de la BRVM (8-12x), indiquant que les investisseurs paient une prime substantielle pour les bénéfices actuels, ce qui suggère des anticipations de croissance future ou une éventuelle surévaluation. Le P/B de 5,39x confirme cette lecture : le marché valorise l'action plus de cinq fois sa valeur comptable, une prime exigeante qui reflète la confiance dans la marque et la position de marché de Vivo Energy CI. Enfin, l'EV/EBITDA de 13,0x se situe dans la fourchette haute (10-15x), indiquant une valorisation élevée de la capacité opérationnelle de l'entreprise, justifiée par sa rentabilité en amélioration mais qui laisse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SHEC a progressé de +3,79%, avec une dernière séance stable (+0,00%), reflétant une consolidation après une période de hausse. Le titre a évolué dans une fourchette de 1 840 FCFA (plus bas) à 2 325 FCFA (plus haut), montrant une amplitude de trading significative d'environ 26% entre les extrêmes. La moyenne du cours sur la période (2 100 FCFA) est inférieure à la médiane (2 155 FCFA), ce qui, combiné à un skewness négatif (-0,442), indique une distribution légèrement asymétrique avec des épisodes de baisse plus marqués que les hausses. L'écart-type de 119 FCFA (CV=5,7%) révèle une dispersion modérée autour de la moyenne, tandis que le kurtosis de -1,034 (platykurtique) signale une distribution aplatie, avec moins de valeurs extrêmes que la normale, réduisant le risque de mouvements brusques. La volatilité annualisée de 33,7% classe le titre comme très volatil (&gt;30%), un niveau élevé qui reflète la sensibilité du secteur pétrolier aux chocs externes et qui exige une gestion prudente du risque.</w:t>
      </w:r>
    </w:p>
    <w:p>
      <w:pPr>
        <w:spacing w:after="120" w:line="276" w:lineRule="auto" w:before="240"/>
      </w:pPr>
      <w:r>
        <w:rPr>
          <w:b/>
          <w:color w:val="003366"/>
          <w:sz w:val="24"/>
        </w:rPr>
        <w:t>**PARTIE 2 : ANALYSE TECHNIQUE DÉTAILLÉE**</w:t>
      </w:r>
    </w:p>
    <w:p>
      <w:pPr>
        <w:spacing w:after="120" w:line="276" w:lineRule="auto"/>
      </w:pPr>
      <w:r>
        <w:t>**Moyennes Mobiles** : Le cours actuel (2 325 FCFA) se situe nettement au-dessus de la MM20 (2 199,25 FCFA) et de la MM50 (2 136,5 FCFA), confirmant une dynamique haussière à court et moyen terme. La configuration des moyennes mobiles, avec le cours au-dessus des deux, génère un signal d'achat cohérent, indiquant que la tendance de fond reste positive malgré la récente consolidation.</w:t>
      </w:r>
    </w:p>
    <w:p>
      <w:pPr>
        <w:spacing w:after="120" w:line="276" w:lineRule="auto"/>
      </w:pPr>
      <w:r>
        <w:t>**Bandes de Bollinger** : Le prix évolue au-dessus de la borne supérieure (2 303,94 FCFA), ce qui est un signal de surachat technique. Cette sortie de bande suggère une extension excessive de la hausse et une probabilité accrue de correction à court terme. La décision de vente associée à cet indicateur contraste avec la tendance haussière, signalant un possible essoufflement.</w:t>
      </w:r>
    </w:p>
    <w:p>
      <w:pPr>
        <w:spacing w:after="120" w:line="276" w:lineRule="auto"/>
      </w:pPr>
      <w:r>
        <w:t>**MACD** : Le MACD (32,19) est nettement au-dessus de sa ligne de signal (22,249), avec un écart positif de près de 10 points, ce qui confirme un momentum haussier solide. La décision d'achat est justifiée par cette divergence positive, qui indique que la dynamique de fond reste favorable, même si l'ampleur de l'écart pourrait précéder une phase de consolidation.</w:t>
      </w:r>
    </w:p>
    <w:p>
      <w:pPr>
        <w:spacing w:after="120" w:line="276" w:lineRule="auto"/>
      </w:pPr>
      <w:r>
        <w:t>**RSI** : À 64,22, le RSI se situe dans la zone neutre (30-70), mais proche de la zone de surachat (70). Cette valeur indique une pression acheteuse encore présente mais qui commence à s'essouffler. La décision neutre reflète un équilibre précaire entre la tendance haussière et les risques de correction technique.</w:t>
      </w:r>
    </w:p>
    <w:p>
      <w:pPr>
        <w:spacing w:after="120" w:line="276" w:lineRule="auto"/>
      </w:pPr>
      <w:r>
        <w:t>**Stochastique** : Le %K (100,0) et le %D (96,825) sont tous deux à des niveaux extrêmes de surachat, avec un %K au maximum absolu. Cette configuration signale une condition de surachat sévère, avec une forte probabilité de retournement baissier à court terme. La décision de vente est justifiée par ces niveaux extrêmes qui précèdent généralement une correction.</w:t>
      </w:r>
    </w:p>
    <w:p>
      <w:pPr>
        <w:spacing w:after="120" w:line="276" w:lineRule="auto"/>
      </w:pPr>
      <w:r>
        <w:t>**Conclusion technique** : Les indicateurs de tendance (MM, MACD) sont positifs et confirment une dynamique haussière, mais les oscillateurs (RSI, Stochastique, Bandes de Bollinger) signalent tous une condition de surachat extrême. Cette divergence entre la tendance et les oscillateurs suggère qu'une correction technique est probable à court terme, mais qu'elle pourrait être suivie d'une reprise de la tendance haussière si les fondamentaux restent solides.</w:t>
      </w:r>
    </w:p>
    <w:p>
      <w:pPr>
        <w:spacing w:after="120" w:line="276" w:lineRule="auto" w:before="240"/>
      </w:pPr>
      <w:r>
        <w:rPr>
          <w:b/>
          <w:color w:val="003366"/>
          <w:sz w:val="24"/>
        </w:rPr>
        <w:t>**PARTIE 3 : ANALYSE FONDAMENTALE (SECTION CRITIQUE)**</w:t>
      </w:r>
    </w:p>
    <w:p>
      <w:pPr>
        <w:spacing w:after="120" w:line="276" w:lineRule="auto"/>
      </w:pPr>
      <w:r>
        <w:t>En 2025, SHEC (Vivo Energy Côte d'Ivoire) affiche un chiffre d'affaires de 604,978 milliards FCFA, en légère progression de +0,71% par rapport à 2024 (600,708 milliards FCFA), et un résultat net de 6,028 milliards FCFA, en hausse de +12,6% (contre 5,354 milliards en 2024). La marge nette reste très faible à 0,9964%, caractéristique du secteur de distribution pétrolière, mais le ROE est excellent à 22,20%, témoignant d'une création de valeur efficace pour les actionnaires, tandis que le ROA s'établit à 3,11%. Le BFR de 15,315 milliards FCFA est positif, ce qui constitue un point de vigilance, avec un délai clients de 23,27 jours et un délai fournisseurs de 35,47 jours, indiquant une gestion correcte mais perfectible du cycle d'exploitation. La structure financière reste fragile avec une autonomie financière de seulement 14,03% et une trésorerie nette négative de -65,264 milliards FCFA, bien que la capacité de remboursement de 0,97 an soit rassurante. Les rapports trimestriels 2025 confirment cette trajectoire : le T3 2025 (rapport du 30/09/2025) montre un résultat net cumulé de 4,119 milliards FCFA (+45% vs T3 2024), porté par une amélioration du résultat d'exploitation (+10%) et une réduction des charges financières. Cependant, le T1 2026 (rapport du 31/03/2026) révèle une baisse de 9% du chiffre d'affaires (141,649 milliards contre 155,123 milliards), principalement due aux segments aviation et bitume, même si le résultat net reste stable (+1%). Sur la base de ces données, on estime que l'exercice 2026 pourrait voir un résultat net stable ou en légère baisse, autour de 5,5 à 6 milliards FCFA, si la baisse du T1 se confirme. Les fondamentaux montrent une entreprise rentable mais fragile, avec une marge nette très mince et un endettement élevé, justifiant une recommandation de conservation prudente.</w:t>
      </w:r>
    </w:p>
    <w:p>
      <w:pPr>
        <w:spacing w:after="120" w:line="276" w:lineRule="auto" w:before="240"/>
      </w:pPr>
      <w:r>
        <w:rPr>
          <w:b/>
          <w:color w:val="003366"/>
          <w:sz w:val="24"/>
        </w:rPr>
        <w:t>**PARTIE 4 : CONCLUSION D'INVESTISSEMENT**</w:t>
      </w:r>
    </w:p>
    <w:p>
      <w:pPr>
        <w:spacing w:after="120" w:line="276" w:lineRule="auto"/>
      </w:pPr>
      <w:r>
        <w:t>La valorisation de SHEC (PER 24,3x, P/B 5,39x, EV/EBITDA 13,0x) apparaît exigeante, avec une prime significative par rapport aux moyennes de la BRVM, ce qui laisse peu de marge de sécurité pour l'investisseur. Le comportement du cours sur 100 jours montre une tendance haussière modérée (+3,79%) mais avec une volatilité élevée (33,7%) et une distribution statistique (kurtosis platykurtique, skewness négatif) qui suggère un risque de mouvements brusques à la baisse. Les signaux techniques sont mitigés : la tendance (MM, MACD) reste positive, mais les oscillateurs (RSI proche de 70, Stochastique à 100, prix au-dessus des bandes de Bollinger) indiquent un surachat sévère, préfigurant une correction à court terme. Les fondamentaux montrent une entreprise rentable (ROE 22,2%) mais fragile, avec une marge nette de 1%, une trésorerie nette négative de -65 milliards et une baisse du CA au T1 2026. Les prédictions IA (J+1 à J+10) confirment cette analyse en projetant une baisse progressive du cours de 2 325 FCFA à 1 867 FCFA, soit une correction de près de 20%, ce qui est cohérent avec les signaux de surachat technique. Sur la base de cette synthèse globale, la recommandation finale est **CONSERVER** avec un niveau de confiance **Moyen** et un risque global **Élevé**. L'horizon d'investissement optimal serait le **moyen terme (3-12 mois)**, en attendant une correction du cours qui offrirait un point d'entrée plus attractif, ou une clarification de la stratégie de réduction de l'endettement et d'amélioration des marges.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 la rentabilit\u00e9, la croissance solide du chiffre d'affaires et des volumes t\u00e9moigne d'une bonne dynamique commerciale. La position de leader sur le march\u00e9 p\u00e9trolier ivoirien justifie le maintien en portefeuille."}</w:t>
      </w:r>
    </w:p>
    <w:p>
      <w:pPr>
        <w:spacing w:before="40"/>
        <w:ind w:left="400"/>
      </w:pPr>
      <w:r>
        <w:rPr>
          <w:sz w:val="18"/>
        </w:rPr>
        <w:t>Vivo Energy Côte d'Ivoire présente des résultats mitigés au T3 2021 avec une croissance du chiffre d'affaires de 16% à 270 milliards FCFA. Malgré cette hausse des revenus, la rentabilité se dégrade avec un résultat d'exploitation en baisse de 13% et un résultat net qui chute de 21% à 1,3 milliard FCFA. La société bénéficie d'une amélioration du volume des ventes (+9%) mais souffre de l'augmentation des coûts de transport et frais de passage. L'impact du COVID-19 sur les activités économiques continue de peser sur les performances. La société maintient néanmoins une position solide sur le marché pétrolier ivoirien en tant que licencié Shell.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'500 millions m³/TM', 'resultat_financier': '-158 millions FCFA', 'resultat_exploitation': '2,438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1,287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270,061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16% à 270,061 millions FCFA</w:t>
      </w:r>
    </w:p>
    <w:p>
      <w:pPr>
        <w:pStyle w:val="ListBullet"/>
        <w:spacing w:before="20" w:after="20"/>
        <w:ind w:left="700"/>
      </w:pPr>
      <w:r>
        <w:rPr>
          <w:sz w:val="18"/>
        </w:rPr>
        <w:t>Volume des ventes en progression de 9% atteignant 500 millions de m³/TM</w:t>
      </w:r>
    </w:p>
    <w:p>
      <w:pPr>
        <w:pStyle w:val="ListBullet"/>
        <w:spacing w:before="20" w:after="20"/>
        <w:ind w:left="700"/>
      </w:pPr>
      <w:r>
        <w:rPr>
          <w:sz w:val="18"/>
        </w:rPr>
        <w:t>Résultat d'exploitation en baisse de 13% à 2,438 millions FCFA</w:t>
      </w:r>
    </w:p>
    <w:p>
      <w:pPr>
        <w:pStyle w:val="ListBullet"/>
        <w:spacing w:before="20" w:after="20"/>
        <w:ind w:left="700"/>
      </w:pPr>
      <w:r>
        <w:rPr>
          <w:sz w:val="18"/>
        </w:rPr>
        <w:t>Résultat net en déclin de 21% à 1,287 million FCFA</w:t>
      </w:r>
    </w:p>
    <w:p>
      <w:pPr>
        <w:pStyle w:val="ListBullet"/>
        <w:spacing w:before="20" w:after="20"/>
        <w:ind w:left="700"/>
      </w:pPr>
      <w:r>
        <w:rPr>
          <w:sz w:val="18"/>
        </w:rPr>
        <w:t>Résultat financier amélioré passant de -373 à -158 millions FCFA</w:t>
      </w:r>
    </w:p>
    <w:p>
      <w:pPr>
        <w:pStyle w:val="ListBullet"/>
        <w:spacing w:before="20" w:after="20"/>
        <w:ind w:left="700"/>
      </w:pPr>
      <w:r>
        <w:rPr>
          <w:sz w:val="18"/>
        </w:rPr>
        <w:t>Augmentation des coûts de transport et frais de passage impactant la marge</w:t>
      </w:r>
    </w:p>
    <w:p>
      <w:pPr>
        <w:spacing w:before="40"/>
        <w:ind w:left="400"/>
      </w:pPr>
      <w:r>
        <w:rPr>
          <w:b/>
          <w:color w:val="C05000"/>
          <w:sz w:val="18"/>
        </w:rPr>
        <w:t xml:space="preserve">⚠️ Risques : </w:t>
      </w:r>
      <w:r>
        <w:rPr>
          <w:sz w:val="18"/>
        </w:rPr>
        <w:t>["\u00c9rosion continue des marges due \u00e0 l'augmentation des co\u00fbts op\u00e9rationnels", "Impact persistant du COVID-19 sur les activit\u00e9s \u00e9conomiques", "Volatilit\u00e9 des prix du p\u00e9trole et des co\u00fbts de transport"]</w:t>
      </w:r>
    </w:p>
    <w:p>
      <w:pPr>
        <w:spacing w:before="40"/>
        <w:ind w:left="400"/>
      </w:pPr>
      <w:r>
        <w:rPr>
          <w:b/>
          <w:color w:val="0064A0"/>
          <w:sz w:val="18"/>
        </w:rPr>
        <w:t xml:space="preserve">🔮 Perspectives : </w:t>
      </w:r>
      <w:r>
        <w:rPr>
          <w:sz w:val="18"/>
        </w:rPr>
        <w:t>La société devrait bénéficier de la reprise économique post-COVID et de la normalisation des activités. L'optimisation des coûts opérationnels sera cruciale pour restaurer la rentabilité tout en maintenant la croissance des volumes.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tant en volumes qu'en rentabilit\u00e9, avec une structure financi\u00e8re renforc\u00e9e et une capacit\u00e9 distributrice attractive. Les perspectives restent favorables dans un contexte de consolidation du march\u00e9 ivoirien des carburants."}</w:t>
      </w:r>
    </w:p>
    <w:p>
      <w:pPr>
        <w:spacing w:before="40"/>
        <w:ind w:left="400"/>
      </w:pPr>
      <w:r>
        <w:rPr>
          <w:sz w:val="18"/>
        </w:rPr>
        <w:t>VIVO ENERGY CÔTE D'IVOIRE présente des résultats financiers exceptionnels pour 2022 avec un chiffre d'affaires de 488,9 milliards FCFA (+33%) et un résultat net de 3,75 milliards FCFA (+59%). La société bénéficie d'une forte croissance des volumes (+12%) et d'un effet prix favorable lié à la hausse des prix des carburants et lubrifiants. La situation financière est solide avec un désendettement complet de l'emprunt bancaire et une amélioration significative de la trésorerie. Les performances du premier trimestre 2023 confirment cette dynamique positive avec une croissance continue du chiffre d'affaires (+33%) et de la rentabilité. La société propose une distribution de dividendes de 3,71 mil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 'tresorerie_nette': '2,75 milliards FCFA', 'variation_tresorerie': '+15,55 milliards FCFA', 'resultat_exploitation': '5,86 milliards FCFA', 'croissance_resultat_net': '59%'}</w:t>
            </w:r>
          </w:p>
        </w:tc>
        <w:tc>
          <w:tcPr>
            <w:tcW w:type="dxa" w:w="2160"/>
          </w:tcPr>
          <w:p>
            <w:pPr>
              <w:ind w:left="100"/>
            </w:pPr>
            <w:r/>
            <w:r>
              <w:rPr>
                <w:b/>
                <w:sz w:val="16"/>
              </w:rPr>
              <w:t>dividende</w:t>
              <w:br/>
            </w:r>
            <w:r>
              <w:rPr>
                <w:sz w:val="18"/>
              </w:rPr>
              <w:t>3,71 milliards FCFA au total</w:t>
            </w:r>
          </w:p>
        </w:tc>
        <w:tc>
          <w:tcPr>
            <w:tcW w:type="dxa" w:w="2160"/>
          </w:tcPr>
          <w:p>
            <w:pPr>
              <w:ind w:left="100"/>
            </w:pPr>
            <w:r/>
            <w:r>
              <w:rPr>
                <w:b/>
                <w:sz w:val="16"/>
              </w:rPr>
              <w:t>marge_nette</w:t>
              <w:br/>
            </w:r>
            <w:r>
              <w:rPr>
                <w:sz w:val="18"/>
              </w:rPr>
              <w:t>0,77%</w:t>
            </w:r>
          </w:p>
        </w:tc>
        <w:tc>
          <w:tcPr>
            <w:tcW w:type="dxa" w:w="2160"/>
          </w:tcPr>
          <w:p>
            <w:pPr>
              <w:ind w:left="100"/>
            </w:pPr>
            <w:r/>
            <w:r>
              <w:rPr>
                <w:b/>
                <w:sz w:val="16"/>
              </w:rPr>
              <w:t>total_actif</w:t>
              <w:br/>
            </w:r>
            <w:r>
              <w:rPr>
                <w:sz w:val="18"/>
              </w:rPr>
              <w:t>119,19 milliards FCFA</w:t>
            </w:r>
          </w:p>
        </w:tc>
      </w:tr>
      <w:tr>
        <w:tc>
          <w:tcPr>
            <w:tcW w:type="dxa" w:w="2160"/>
          </w:tcPr>
          <w:p>
            <w:r/>
            <w:r>
              <w:rPr>
                <w:b/>
                <w:sz w:val="16"/>
              </w:rPr>
              <w:t>resultat_net</w:t>
              <w:br/>
            </w:r>
            <w:r>
              <w:rPr>
                <w:sz w:val="18"/>
              </w:rPr>
              <w:t>3,75 milliards FCFA</w:t>
            </w:r>
          </w:p>
        </w:tc>
        <w:tc>
          <w:tcPr>
            <w:tcW w:type="dxa" w:w="2160"/>
          </w:tcPr>
          <w:p>
            <w:r/>
            <w:r>
              <w:rPr>
                <w:b/>
                <w:sz w:val="16"/>
              </w:rPr>
              <w:t>capitaux_propres</w:t>
              <w:br/>
            </w:r>
            <w:r>
              <w:rPr>
                <w:sz w:val="18"/>
              </w:rPr>
              <w:t>23,11 milliards FCFA</w:t>
            </w:r>
          </w:p>
        </w:tc>
        <w:tc>
          <w:tcPr>
            <w:tcW w:type="dxa" w:w="2160"/>
          </w:tcPr>
          <w:p>
            <w:r/>
            <w:r>
              <w:rPr>
                <w:b/>
                <w:sz w:val="16"/>
              </w:rPr>
              <w:t>chiffre_affaires</w:t>
              <w:br/>
            </w:r>
            <w:r>
              <w:rPr>
                <w:sz w:val="18"/>
              </w:rPr>
              <w:t>488,9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2022 en forte hausse de 33% à 488,9 milliards FCFA grâce aux effets volumes (+38 milliards) et prix (+84 milliards)</w:t>
      </w:r>
    </w:p>
    <w:p>
      <w:pPr>
        <w:pStyle w:val="ListBullet"/>
        <w:spacing w:before="20" w:after="20"/>
        <w:ind w:left="700"/>
      </w:pPr>
      <w:r>
        <w:rPr>
          <w:sz w:val="18"/>
        </w:rPr>
        <w:t>Résultat net 2022 en progression de 59% à 3,75 milliards FCFA, démontrant une amélioration de la rentabilité</w:t>
      </w:r>
    </w:p>
    <w:p>
      <w:pPr>
        <w:pStyle w:val="ListBullet"/>
        <w:spacing w:before="20" w:after="20"/>
        <w:ind w:left="700"/>
      </w:pPr>
      <w:r>
        <w:rPr>
          <w:sz w:val="18"/>
        </w:rPr>
        <w:t>Remboursement intégral de l'emprunt bancaire contracté en 2018, renforçant la structure financière</w:t>
      </w:r>
    </w:p>
    <w:p>
      <w:pPr>
        <w:pStyle w:val="ListBullet"/>
        <w:spacing w:before="20" w:after="20"/>
        <w:ind w:left="700"/>
      </w:pPr>
      <w:r>
        <w:rPr>
          <w:sz w:val="18"/>
        </w:rPr>
        <w:t>Amélioration spectaculaire de la trésorerie nette de +15,55 milliards FCFA grâce à l'autofinancement et à la gestion du BFR</w:t>
      </w:r>
    </w:p>
    <w:p>
      <w:pPr>
        <w:pStyle w:val="ListBullet"/>
        <w:spacing w:before="20" w:after="20"/>
        <w:ind w:left="700"/>
      </w:pPr>
      <w:r>
        <w:rPr>
          <w:sz w:val="18"/>
        </w:rPr>
        <w:t>Croissance des volumes de vente de 12% au T1 2023, confirmant la dynamique commerciale positive</w:t>
      </w:r>
    </w:p>
    <w:p>
      <w:pPr>
        <w:pStyle w:val="ListBullet"/>
        <w:spacing w:before="20" w:after="20"/>
        <w:ind w:left="700"/>
      </w:pPr>
      <w:r>
        <w:rPr>
          <w:sz w:val="18"/>
        </w:rPr>
        <w:t>Hausse significative des prix à la pompe sur 2022 (super de 615 à 775 FCFA/L, gasoil de 616 à 655 FCFA/L)</w:t>
      </w:r>
    </w:p>
    <w:p>
      <w:pPr>
        <w:spacing w:before="40"/>
        <w:ind w:left="400"/>
      </w:pPr>
      <w:r>
        <w:rPr>
          <w:b/>
          <w:color w:val="C05000"/>
          <w:sz w:val="18"/>
        </w:rPr>
        <w:t xml:space="preserve">⚠️ Risques : </w:t>
      </w:r>
      <w:r>
        <w:rPr>
          <w:sz w:val="18"/>
        </w:rPr>
        <w:t>["Exposition aux fluctuations des prix du p\u00e9trole et aux variations de change du dollar am\u00e9ricain", "D\u00e9pendance aux prix r\u00e9glement\u00e9s des carburants fix\u00e9s par les autorit\u00e9s ivoiriennes", "Concurrence accrue sur le march\u00e9 ivoirien des carburants et lubrifiants"]</w:t>
      </w:r>
    </w:p>
    <w:p>
      <w:pPr>
        <w:spacing w:before="40"/>
        <w:ind w:left="400"/>
      </w:pPr>
      <w:r>
        <w:rPr>
          <w:b/>
          <w:color w:val="0064A0"/>
          <w:sz w:val="18"/>
        </w:rPr>
        <w:t xml:space="preserve">🔮 Perspectives : </w:t>
      </w:r>
      <w:r>
        <w:rPr>
          <w:sz w:val="18"/>
        </w:rPr>
        <w:t>Les résultats du premier trimestre 2023 (+33% de CA, +54% de résultat d'exploitation) confirment la poursuite de la dynamique positive. La société devrait continuer à bénéficier de sa stratégie de conquête de nouveaux clients et du maintien de prix favorables, tout en consolidant sa position de lead</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9,170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+36.76%</w:t>
            </w:r>
          </w:p>
          <w:p>
            <w:r>
              <w:rPr>
                <w:b/>
                <w:color w:val="503200"/>
                <w:sz w:val="16"/>
              </w:rPr>
              <w:t xml:space="preserve">Plus haut 100j : </w:t>
            </w:r>
            <w:r>
              <w:rPr>
                <w:color w:val="000000"/>
                <w:sz w:val="17"/>
              </w:rPr>
              <w:t>9,300 FCFA</w:t>
            </w:r>
          </w:p>
          <w:p>
            <w:r>
              <w:rPr>
                <w:b/>
                <w:color w:val="503200"/>
                <w:sz w:val="16"/>
              </w:rPr>
              <w:t xml:space="preserve">Plus bas 100j : </w:t>
            </w:r>
            <w:r>
              <w:rPr>
                <w:color w:val="000000"/>
                <w:sz w:val="17"/>
              </w:rPr>
              <w:t>6,800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11.15% (Moyenne) — μ=7,952 FCFA, σ=887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β=0.6023 (Défensif) — Cov=0.000022, Var(idx)=0.000036, ρ=0.201,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9,170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2026-08-05</w:t>
            </w:r>
          </w:p>
        </w:tc>
        <w:tc>
          <w:tcPr>
            <w:tcW w:type="dxa" w:w="1440"/>
            <w:shd w:fill="FFDCE0" w:val="clear"/>
          </w:tcPr>
          <w:p>
            <w:r>
              <w:rPr>
                <w:sz w:val="17"/>
              </w:rPr>
              <w:t>8,709</w:t>
            </w:r>
          </w:p>
        </w:tc>
        <w:tc>
          <w:tcPr>
            <w:tcW w:type="dxa" w:w="1440"/>
            <w:shd w:fill="FFDCE0" w:val="clear"/>
          </w:tcPr>
          <w:p>
            <w:r>
              <w:rPr>
                <w:b/>
                <w:sz w:val="17"/>
              </w:rPr>
              <w:t>8,965</w:t>
            </w:r>
          </w:p>
        </w:tc>
        <w:tc>
          <w:tcPr>
            <w:tcW w:type="dxa" w:w="1440"/>
            <w:shd w:fill="FFDCE0" w:val="clear"/>
          </w:tcPr>
          <w:p>
            <w:r>
              <w:rPr>
                <w:sz w:val="17"/>
              </w:rPr>
              <w:t>9,221</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2026-08-06</w:t>
            </w:r>
          </w:p>
        </w:tc>
        <w:tc>
          <w:tcPr>
            <w:tcW w:type="dxa" w:w="1440"/>
            <w:shd w:fill="FFDCE0" w:val="clear"/>
          </w:tcPr>
          <w:p>
            <w:r>
              <w:rPr>
                <w:sz w:val="17"/>
              </w:rPr>
              <w:t>8,312</w:t>
            </w:r>
          </w:p>
        </w:tc>
        <w:tc>
          <w:tcPr>
            <w:tcW w:type="dxa" w:w="1440"/>
            <w:shd w:fill="FFDCE0" w:val="clear"/>
          </w:tcPr>
          <w:p>
            <w:r>
              <w:rPr>
                <w:b/>
                <w:sz w:val="17"/>
              </w:rPr>
              <w:t>8,662</w:t>
            </w:r>
          </w:p>
        </w:tc>
        <w:tc>
          <w:tcPr>
            <w:tcW w:type="dxa" w:w="1440"/>
            <w:shd w:fill="FFDCE0" w:val="clear"/>
          </w:tcPr>
          <w:p>
            <w:r>
              <w:rPr>
                <w:sz w:val="17"/>
              </w:rPr>
              <w:t>9,011</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7,960</w:t>
            </w:r>
          </w:p>
        </w:tc>
        <w:tc>
          <w:tcPr>
            <w:tcW w:type="dxa" w:w="1440"/>
            <w:shd w:fill="FFDCE0" w:val="clear"/>
          </w:tcPr>
          <w:p>
            <w:r>
              <w:rPr>
                <w:b/>
                <w:sz w:val="17"/>
              </w:rPr>
              <w:t>8,374</w:t>
            </w:r>
          </w:p>
        </w:tc>
        <w:tc>
          <w:tcPr>
            <w:tcW w:type="dxa" w:w="1440"/>
            <w:shd w:fill="FFDCE0" w:val="clear"/>
          </w:tcPr>
          <w:p>
            <w:r>
              <w:rPr>
                <w:sz w:val="17"/>
              </w:rPr>
              <w:t>8,788</w:t>
            </w:r>
          </w:p>
        </w:tc>
        <w:tc>
          <w:tcPr>
            <w:tcW w:type="dxa" w:w="1440"/>
            <w:shd w:fill="FFDCE0" w:val="clear"/>
          </w:tcPr>
          <w:p>
            <w:r>
              <w:rPr>
                <w:b/>
                <w:color w:val="C00000"/>
                <w:sz w:val="17"/>
              </w:rPr>
              <w:t>-10.0%</w:t>
            </w:r>
          </w:p>
        </w:tc>
      </w:tr>
      <w:tr>
        <w:tc>
          <w:tcPr>
            <w:tcW w:type="dxa" w:w="1440"/>
            <w:shd w:fill="FFDCE0" w:val="clear"/>
          </w:tcPr>
          <w:p>
            <w:r>
              <w:rPr>
                <w:sz w:val="17"/>
              </w:rPr>
              <w:t>J+4  Moyenne</w:t>
            </w:r>
          </w:p>
        </w:tc>
        <w:tc>
          <w:tcPr>
            <w:tcW w:type="dxa" w:w="1440"/>
            <w:shd w:fill="FFDCE0" w:val="clear"/>
          </w:tcPr>
          <w:p>
            <w:r>
              <w:rPr>
                <w:sz w:val="17"/>
              </w:rPr>
              <w:t>2026-08-11</w:t>
            </w:r>
          </w:p>
        </w:tc>
        <w:tc>
          <w:tcPr>
            <w:tcW w:type="dxa" w:w="1440"/>
            <w:shd w:fill="FFDCE0" w:val="clear"/>
          </w:tcPr>
          <w:p>
            <w:r>
              <w:rPr>
                <w:sz w:val="17"/>
              </w:rPr>
              <w:t>7,663</w:t>
            </w:r>
          </w:p>
        </w:tc>
        <w:tc>
          <w:tcPr>
            <w:tcW w:type="dxa" w:w="1440"/>
            <w:shd w:fill="FFDCE0" w:val="clear"/>
          </w:tcPr>
          <w:p>
            <w:r>
              <w:rPr>
                <w:b/>
                <w:sz w:val="17"/>
              </w:rPr>
              <w:t>8,127</w:t>
            </w:r>
          </w:p>
        </w:tc>
        <w:tc>
          <w:tcPr>
            <w:tcW w:type="dxa" w:w="1440"/>
            <w:shd w:fill="FFDCE0" w:val="clear"/>
          </w:tcPr>
          <w:p>
            <w:r>
              <w:rPr>
                <w:sz w:val="17"/>
              </w:rPr>
              <w:t>8,591</w:t>
            </w:r>
          </w:p>
        </w:tc>
        <w:tc>
          <w:tcPr>
            <w:tcW w:type="dxa" w:w="1440"/>
            <w:shd w:fill="FFDCE0" w:val="clear"/>
          </w:tcPr>
          <w:p>
            <w:r>
              <w:rPr>
                <w:b/>
                <w:color w:val="C00000"/>
                <w:sz w:val="17"/>
              </w:rPr>
              <w:t>-12.6%</w:t>
            </w:r>
          </w:p>
        </w:tc>
      </w:tr>
      <w:tr>
        <w:tc>
          <w:tcPr>
            <w:tcW w:type="dxa" w:w="1440"/>
            <w:shd w:fill="FFDCE0" w:val="clear"/>
          </w:tcPr>
          <w:p>
            <w:r>
              <w:rPr>
                <w:sz w:val="17"/>
              </w:rPr>
              <w:t>J+5  Moyenne</w:t>
            </w:r>
          </w:p>
        </w:tc>
        <w:tc>
          <w:tcPr>
            <w:tcW w:type="dxa" w:w="1440"/>
            <w:shd w:fill="FFDCE0" w:val="clear"/>
          </w:tcPr>
          <w:p>
            <w:r>
              <w:rPr>
                <w:sz w:val="17"/>
              </w:rPr>
              <w:t>2026-08-12</w:t>
            </w:r>
          </w:p>
        </w:tc>
        <w:tc>
          <w:tcPr>
            <w:tcW w:type="dxa" w:w="1440"/>
            <w:shd w:fill="FFDCE0" w:val="clear"/>
          </w:tcPr>
          <w:p>
            <w:r>
              <w:rPr>
                <w:sz w:val="17"/>
              </w:rPr>
              <w:t>7,416</w:t>
            </w:r>
          </w:p>
        </w:tc>
        <w:tc>
          <w:tcPr>
            <w:tcW w:type="dxa" w:w="1440"/>
            <w:shd w:fill="FFDCE0" w:val="clear"/>
          </w:tcPr>
          <w:p>
            <w:r>
              <w:rPr>
                <w:b/>
                <w:sz w:val="17"/>
              </w:rPr>
              <w:t>7,921</w:t>
            </w:r>
          </w:p>
        </w:tc>
        <w:tc>
          <w:tcPr>
            <w:tcW w:type="dxa" w:w="1440"/>
            <w:shd w:fill="FFDCE0" w:val="clear"/>
          </w:tcPr>
          <w:p>
            <w:r>
              <w:rPr>
                <w:sz w:val="17"/>
              </w:rPr>
              <w:t>8,426</w:t>
            </w:r>
          </w:p>
        </w:tc>
        <w:tc>
          <w:tcPr>
            <w:tcW w:type="dxa" w:w="1440"/>
            <w:shd w:fill="FFDCE0" w:val="clear"/>
          </w:tcPr>
          <w:p>
            <w:r>
              <w:rPr>
                <w:b/>
                <w:color w:val="C00000"/>
                <w:sz w:val="17"/>
              </w:rPr>
              <w:t>-14.8%</w:t>
            </w:r>
          </w:p>
        </w:tc>
      </w:tr>
      <w:tr>
        <w:tc>
          <w:tcPr>
            <w:tcW w:type="dxa" w:w="1440"/>
            <w:shd w:fill="FFDCE0" w:val="clear"/>
          </w:tcPr>
          <w:p>
            <w:r>
              <w:rPr>
                <w:sz w:val="17"/>
              </w:rPr>
              <w:t>J+6  Moyenne</w:t>
            </w:r>
          </w:p>
        </w:tc>
        <w:tc>
          <w:tcPr>
            <w:tcW w:type="dxa" w:w="1440"/>
            <w:shd w:fill="FFDCE0" w:val="clear"/>
          </w:tcPr>
          <w:p>
            <w:r>
              <w:rPr>
                <w:sz w:val="17"/>
              </w:rPr>
              <w:t>2026-08-13</w:t>
            </w:r>
          </w:p>
        </w:tc>
        <w:tc>
          <w:tcPr>
            <w:tcW w:type="dxa" w:w="1440"/>
            <w:shd w:fill="FFDCE0" w:val="clear"/>
          </w:tcPr>
          <w:p>
            <w:r>
              <w:rPr>
                <w:sz w:val="17"/>
              </w:rPr>
              <w:t>7,205</w:t>
            </w:r>
          </w:p>
        </w:tc>
        <w:tc>
          <w:tcPr>
            <w:tcW w:type="dxa" w:w="1440"/>
            <w:shd w:fill="FFDCE0" w:val="clear"/>
          </w:tcPr>
          <w:p>
            <w:r>
              <w:rPr>
                <w:b/>
                <w:sz w:val="17"/>
              </w:rPr>
              <w:t>7,746</w:t>
            </w:r>
          </w:p>
        </w:tc>
        <w:tc>
          <w:tcPr>
            <w:tcW w:type="dxa" w:w="1440"/>
            <w:shd w:fill="FFDCE0" w:val="clear"/>
          </w:tcPr>
          <w:p>
            <w:r>
              <w:rPr>
                <w:sz w:val="17"/>
              </w:rPr>
              <w:t>8,288</w:t>
            </w:r>
          </w:p>
        </w:tc>
        <w:tc>
          <w:tcPr>
            <w:tcW w:type="dxa" w:w="1440"/>
            <w:shd w:fill="FFDCE0" w:val="clear"/>
          </w:tcPr>
          <w:p>
            <w:r>
              <w:rPr>
                <w:b/>
                <w:color w:val="C00000"/>
                <w:sz w:val="17"/>
              </w:rPr>
              <w:t>-16.7%</w:t>
            </w:r>
          </w:p>
        </w:tc>
      </w:tr>
      <w:tr>
        <w:tc>
          <w:tcPr>
            <w:tcW w:type="dxa" w:w="1440"/>
            <w:shd w:fill="FFDCE0" w:val="clear"/>
          </w:tcPr>
          <w:p>
            <w:r>
              <w:rPr>
                <w:sz w:val="17"/>
              </w:rPr>
              <w:t>J+7  Moyenne</w:t>
            </w:r>
          </w:p>
        </w:tc>
        <w:tc>
          <w:tcPr>
            <w:tcW w:type="dxa" w:w="1440"/>
            <w:shd w:fill="FFDCE0" w:val="clear"/>
          </w:tcPr>
          <w:p>
            <w:r>
              <w:rPr>
                <w:sz w:val="17"/>
              </w:rPr>
              <w:t>2026-08-14</w:t>
            </w:r>
          </w:p>
        </w:tc>
        <w:tc>
          <w:tcPr>
            <w:tcW w:type="dxa" w:w="1440"/>
            <w:shd w:fill="FFDCE0" w:val="clear"/>
          </w:tcPr>
          <w:p>
            <w:r>
              <w:rPr>
                <w:sz w:val="17"/>
              </w:rPr>
              <w:t>7,021</w:t>
            </w:r>
          </w:p>
        </w:tc>
        <w:tc>
          <w:tcPr>
            <w:tcW w:type="dxa" w:w="1440"/>
            <w:shd w:fill="FFDCE0" w:val="clear"/>
          </w:tcPr>
          <w:p>
            <w:r>
              <w:rPr>
                <w:b/>
                <w:sz w:val="17"/>
              </w:rPr>
              <w:t>7,595</w:t>
            </w:r>
          </w:p>
        </w:tc>
        <w:tc>
          <w:tcPr>
            <w:tcW w:type="dxa" w:w="1440"/>
            <w:shd w:fill="FFDCE0" w:val="clear"/>
          </w:tcPr>
          <w:p>
            <w:r>
              <w:rPr>
                <w:sz w:val="17"/>
              </w:rPr>
              <w:t>8,168</w:t>
            </w:r>
          </w:p>
        </w:tc>
        <w:tc>
          <w:tcPr>
            <w:tcW w:type="dxa" w:w="1440"/>
            <w:shd w:fill="FFDCE0" w:val="clear"/>
          </w:tcPr>
          <w:p>
            <w:r>
              <w:rPr>
                <w:b/>
                <w:color w:val="C00000"/>
                <w:sz w:val="17"/>
              </w:rPr>
              <w:t>-18.3%</w:t>
            </w:r>
          </w:p>
        </w:tc>
      </w:tr>
      <w:tr>
        <w:tc>
          <w:tcPr>
            <w:tcW w:type="dxa" w:w="1440"/>
            <w:shd w:fill="FFDCE0" w:val="clear"/>
          </w:tcPr>
          <w:p>
            <w:r>
              <w:rPr>
                <w:sz w:val="17"/>
              </w:rPr>
              <w:t>J+8  Moyenne</w:t>
            </w:r>
          </w:p>
        </w:tc>
        <w:tc>
          <w:tcPr>
            <w:tcW w:type="dxa" w:w="1440"/>
            <w:shd w:fill="FFDCE0" w:val="clear"/>
          </w:tcPr>
          <w:p>
            <w:r>
              <w:rPr>
                <w:sz w:val="17"/>
              </w:rPr>
              <w:t>2026-08-17</w:t>
            </w:r>
          </w:p>
        </w:tc>
        <w:tc>
          <w:tcPr>
            <w:tcW w:type="dxa" w:w="1440"/>
            <w:shd w:fill="FFDCE0" w:val="clear"/>
          </w:tcPr>
          <w:p>
            <w:r>
              <w:rPr>
                <w:sz w:val="17"/>
              </w:rPr>
              <w:t>6,859</w:t>
            </w:r>
          </w:p>
        </w:tc>
        <w:tc>
          <w:tcPr>
            <w:tcW w:type="dxa" w:w="1440"/>
            <w:shd w:fill="FFDCE0" w:val="clear"/>
          </w:tcPr>
          <w:p>
            <w:r>
              <w:rPr>
                <w:b/>
                <w:sz w:val="17"/>
              </w:rPr>
              <w:t>7,461</w:t>
            </w:r>
          </w:p>
        </w:tc>
        <w:tc>
          <w:tcPr>
            <w:tcW w:type="dxa" w:w="1440"/>
            <w:shd w:fill="FFDCE0" w:val="clear"/>
          </w:tcPr>
          <w:p>
            <w:r>
              <w:rPr>
                <w:sz w:val="17"/>
              </w:rPr>
              <w:t>8,063</w:t>
            </w:r>
          </w:p>
        </w:tc>
        <w:tc>
          <w:tcPr>
            <w:tcW w:type="dxa" w:w="1440"/>
            <w:shd w:fill="FFDCE0" w:val="clear"/>
          </w:tcPr>
          <w:p>
            <w:r>
              <w:rPr>
                <w:b/>
                <w:color w:val="C00000"/>
                <w:sz w:val="17"/>
              </w:rPr>
              <w:t>-19.8%</w:t>
            </w:r>
          </w:p>
        </w:tc>
      </w:tr>
      <w:tr>
        <w:tc>
          <w:tcPr>
            <w:tcW w:type="dxa" w:w="1440"/>
            <w:shd w:fill="FFDCE0" w:val="clear"/>
          </w:tcPr>
          <w:p>
            <w:r>
              <w:rPr>
                <w:sz w:val="17"/>
              </w:rPr>
              <w:t>J+9  Moyenne</w:t>
            </w:r>
          </w:p>
        </w:tc>
        <w:tc>
          <w:tcPr>
            <w:tcW w:type="dxa" w:w="1440"/>
            <w:shd w:fill="FFDCE0" w:val="clear"/>
          </w:tcPr>
          <w:p>
            <w:r>
              <w:rPr>
                <w:sz w:val="17"/>
              </w:rPr>
              <w:t>2026-08-18</w:t>
            </w:r>
          </w:p>
        </w:tc>
        <w:tc>
          <w:tcPr>
            <w:tcW w:type="dxa" w:w="1440"/>
            <w:shd w:fill="FFDCE0" w:val="clear"/>
          </w:tcPr>
          <w:p>
            <w:r>
              <w:rPr>
                <w:sz w:val="17"/>
              </w:rPr>
              <w:t>6,713</w:t>
            </w:r>
          </w:p>
        </w:tc>
        <w:tc>
          <w:tcPr>
            <w:tcW w:type="dxa" w:w="1440"/>
            <w:shd w:fill="FFDCE0" w:val="clear"/>
          </w:tcPr>
          <w:p>
            <w:r>
              <w:rPr>
                <w:b/>
                <w:sz w:val="17"/>
              </w:rPr>
              <w:t>7,341</w:t>
            </w:r>
          </w:p>
        </w:tc>
        <w:tc>
          <w:tcPr>
            <w:tcW w:type="dxa" w:w="1440"/>
            <w:shd w:fill="FFDCE0" w:val="clear"/>
          </w:tcPr>
          <w:p>
            <w:r>
              <w:rPr>
                <w:sz w:val="17"/>
              </w:rPr>
              <w:t>7,969</w:t>
            </w:r>
          </w:p>
        </w:tc>
        <w:tc>
          <w:tcPr>
            <w:tcW w:type="dxa" w:w="1440"/>
            <w:shd w:fill="FFDCE0" w:val="clear"/>
          </w:tcPr>
          <w:p>
            <w:r>
              <w:rPr>
                <w:b/>
                <w:color w:val="C00000"/>
                <w:sz w:val="17"/>
              </w:rPr>
              <w:t>-21.1%</w:t>
            </w:r>
          </w:p>
        </w:tc>
      </w:tr>
      <w:tr>
        <w:tc>
          <w:tcPr>
            <w:tcW w:type="dxa" w:w="1440"/>
            <w:shd w:fill="FFDCE0" w:val="clear"/>
          </w:tcPr>
          <w:p>
            <w:r>
              <w:rPr>
                <w:sz w:val="17"/>
              </w:rPr>
              <w:t>J+10  Moyenne</w:t>
            </w:r>
          </w:p>
        </w:tc>
        <w:tc>
          <w:tcPr>
            <w:tcW w:type="dxa" w:w="1440"/>
            <w:shd w:fill="FFDCE0" w:val="clear"/>
          </w:tcPr>
          <w:p>
            <w:r>
              <w:rPr>
                <w:sz w:val="17"/>
              </w:rPr>
              <w:t>2026-08-19</w:t>
            </w:r>
          </w:p>
        </w:tc>
        <w:tc>
          <w:tcPr>
            <w:tcW w:type="dxa" w:w="1440"/>
            <w:shd w:fill="FFDCE0" w:val="clear"/>
          </w:tcPr>
          <w:p>
            <w:r>
              <w:rPr>
                <w:sz w:val="17"/>
              </w:rPr>
              <w:t>6,579</w:t>
            </w:r>
          </w:p>
        </w:tc>
        <w:tc>
          <w:tcPr>
            <w:tcW w:type="dxa" w:w="1440"/>
            <w:shd w:fill="FFDCE0" w:val="clear"/>
          </w:tcPr>
          <w:p>
            <w:r>
              <w:rPr>
                <w:b/>
                <w:sz w:val="17"/>
              </w:rPr>
              <w:t>7,232</w:t>
            </w:r>
          </w:p>
        </w:tc>
        <w:tc>
          <w:tcPr>
            <w:tcW w:type="dxa" w:w="1440"/>
            <w:shd w:fill="FFDCE0" w:val="clear"/>
          </w:tcPr>
          <w:p>
            <w:r>
              <w:rPr>
                <w:sz w:val="17"/>
              </w:rPr>
              <w:t>7,884</w:t>
            </w:r>
          </w:p>
        </w:tc>
        <w:tc>
          <w:tcPr>
            <w:tcW w:type="dxa" w:w="1440"/>
            <w:shd w:fill="FFDCE0" w:val="clear"/>
          </w:tcPr>
          <w:p>
            <w:r>
              <w:rPr>
                <w:b/>
                <w:color w:val="C00000"/>
                <w:sz w:val="17"/>
              </w:rPr>
              <w:t>-22.2%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de l'analyse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930 milliards FCFA, ce qui en fait l'une des valeurs les plus lourdes et les plus liquides du compartiment bancaire de la BRVM. Avec un BPA de 556 FCFA, le titre se négocie à un PER de 16,7x, nettement supérieur à la moyenne historique du marché (8-12x), indiquant que les investisseurs paient une prime substantielle pour la qualité des actifs et la croissance future de la banque. Cette prime est confirmée par un P/B de 4,54x, signifiant que le marché valorise l'action à plus de quatre fois sa valeur comptable, et un EV/EBITDA de 15,5x, qui reflète une valorisation exigeante de la capacité opérationnelle. Ces ratios suggèrent que le marché a déjà intégré des perspectives de croissance soutenue, laissant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 enregistré une progression spectaculaire de +36,76%, avec une accélération notable lors de la dernière séance (+5,68%), clôturant à un plus haut absolu de 9 300 FCFA contre un plus bas de 6 800 FCFA sur la période. La moyenne du cours (7 952 FCFA) est très proche de la médiane (7 825 FCFA) et le skewness est quasi nul (0,006), ce qui indique une distribution symétrique des prix, sans biais directionnel majeur sur l'ensemble de la période. L'écart-type de 891 FCFA (CV=11,2%) révèle une dispersion modérée, mais le kurtosis de -1,832 (platykurtique) signale une distribution aplatie, suggérant une absence de mouvements extrêmes et une certaine stabilité dans la progression. La volatilité annualisée de 28,3% classe le titre dans la catégorie modérée à élevée, typique des valeurs bancaires de croissance sur ce marché, mais reflète un risque de retournement rapide après une telle hausse.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(9 300 FCFA) évolue nettement au-dessus de la MM20 (8 893 FCFA) et de la MM50 (8 797 FCFA), confirmant une tendance haussière robuste à court et moyen terme. L'écart positif entre le prix et les moyennes suggère un momentum acheteur fort, justifiant la décision d'achat, bien que cet écart croissant puisse signaler une condition de surachat temporaire.</w:t>
      </w:r>
    </w:p>
    <w:p>
      <w:pPr>
        <w:spacing w:after="120" w:line="276" w:lineRule="auto"/>
      </w:pPr>
      <w:r>
        <w:t>**Bandes de Bollinger** : Le prix a franchi la borne supérieure (9 221 FCFA), ce qui indique une extension excessive au-delà de l'enveloppe de volatilité. Historiquement, un tel dépassement précède souvent une consolidation ou un repli technique. La décision de vente associée à cet indicateur reflète ce risque de correction à court terme, malgré la force de la tendance sous-jacente.</w:t>
      </w:r>
    </w:p>
    <w:p>
      <w:pPr>
        <w:spacing w:after="120" w:line="276" w:lineRule="auto"/>
      </w:pPr>
      <w:r>
        <w:t>**MACD** : Le MACD (76,04) est positionné au-dessus de sa ligne de signal (67,42), confirmant un momentum haussier positif. La divergence positive entre les deux lignes indique que la dynamique d'achat reste intacte, soutenant la décision d'achat. Cependant, la valeur élevée du MACD suggère que le marché pourrait être proche d'un sommet cyclique.</w:t>
      </w:r>
    </w:p>
    <w:p>
      <w:pPr>
        <w:spacing w:after="120" w:line="276" w:lineRule="auto"/>
      </w:pPr>
      <w:r>
        <w:t>**RSI** : À 63,58, le RSI se situe en zone neutre, en dessous du seuil de surachat de 70. Cela indique que le titre n'est pas encore techniquement surchauffé, laissant une marge de progression potentielle avant une correction. La décision neutre reflète un équilibre entre la force de la tendance et la prudence nécessaire après une hausse significative.</w:t>
      </w:r>
    </w:p>
    <w:p>
      <w:pPr>
        <w:spacing w:after="120" w:line="276" w:lineRule="auto"/>
      </w:pPr>
      <w:r>
        <w:t>**Stochastique** : Le %K à 100,0 est extrêmement suracheté, tandis que le %D à 70,37 montre un début de divergence baissière. Cette configuration signale un épuisement probable du mouvement haussier à très court terme, justifiant la décision de vente. Un croisement baissier du %K sous le %D serait un signal de retournement.</w:t>
      </w:r>
    </w:p>
    <w:p>
      <w:pPr>
        <w:spacing w:after="120" w:line="276" w:lineRule="auto"/>
      </w:pPr>
      <w:r>
        <w:t>**Conclusion technique** : La configuration est mitigée : la tendance de fond reste haussière (MM, MACD), mais les oscillateurs de court terme (Bollinger, Stochastique) indiquent une surachete extrême. Le titre est techniquement mûr pour une consolidation, mais la force de la tendance pourrait repousser ce scénario. La prudence est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la SIBC affiche des fondamentaux solides avec un Produit Net Bancaire (PNB) de 108,66 milliards FCFA et un résultat net de 55,62 milliards FCFA, démontrant une marge nette exceptionnelle de 51,2%. Le ROE de 27,2% et le ROA de 2,96% confirment une rentabilité parmi les meilleures du secteur bancaire ouest-africain. Le coefficient d'exploitation de 38,6% témoigne d'une efficacité opérationnelle remarquable, bien en dessous du seuil de 60% considéré comme sain. Le ratio de transformation (créances clientèle de 1 226,7 Mds / dépôts clientèle de 1 503,4 Mds) s'établit à 81,6%, indiquant une gestion prudente de la liquidité. Les rapports trimestriels 2025 confirment cette trajectoire : le T1 2025 (PNB +12%, RN +10%), le S1 2025 (PNB +9%, RN +15%) et le T3 2025 (PNB +8%, RN +11%) montrent une croissance soutenue et une amélioration continue de la rentabilité. Le rapport T1 2026 (publié en mai 2026) confirme la dynamique avec un RN en hausse de 11% à 15,2 milliards FCFA. Sur la base de ces tendances, on estime que l'exercice 2026 devrait voir un PNB dépasser 115 milliards FCFA et un résultat net supérieur à 60 milliards FCFA, soit une croissance d'environ 8-10%. La banque bénéficie d'une collecte de dépôts dynamique (+9% à 1 495 Mds au T1 2026) et d'une croissance maîtrisée des crédits (+7%), dans un environnement économique ivoirien favorable. Le coût du risque, bien que non détaillé pour 2025, a connu une baisse significative de -34% au S1 2025, reflétant une amélioration de la qualité du portefeuille. La solidité financière est renforcée par un ratio de solvabilité supérieur à 14%, bien au-dessus de la norme réglementaire de 11,5%.</w:t>
      </w:r>
    </w:p>
    <w:p>
      <w:pPr>
        <w:spacing w:after="120" w:line="276" w:lineRule="auto"/>
      </w:pPr>
      <w:r>
        <w:t>---</w:t>
      </w:r>
    </w:p>
    <w:p>
      <w:pPr>
        <w:spacing w:after="120" w:line="276" w:lineRule="auto"/>
      </w:pPr>
      <w:r>
        <w:t>### PARTIE 4 : CONCLUSION D'INVESTISSEMENT</w:t>
      </w:r>
    </w:p>
    <w:p>
      <w:pPr>
        <w:spacing w:after="120" w:line="276" w:lineRule="auto"/>
      </w:pPr>
      <w:r>
        <w:t>La synthèse globale révèle une divergence marquée entre la valorisation exigeante (PER 16,7x, P/B 4,54x), qui suggère une surévaluation relative, et des fondamentaux exceptionnellement solides avec une croissance soutenue. Le comportement du cours (+36,8% sur 100 jours) et les signaux techniques mitigés (tendance haussière mais surachat à court terme) indiquent un risque de consolidation. Les prédictions IA pour les 10 prochains jours (baisse progressive de 8 965 à 7 921 FCFA) confirment ce scénario de correction technique, avec un repli potentiel de 15% par rapport au cours actuel. Cette trajectoire prédite contredit les fondamentaux positifs mais s'aligne avec les signaux de surachat. **Recommandation finale : CONSERVER** pour les investisseurs déjà positionnés, avec une suggestion d'achat progressif en cas de correction vers 8 000-8 200 FCFA. Pour les nouveaux investisseurs, il est recommandé d'attendre un point d'entrée plus favorable. **Niveau de confiance : Moyen** — la convergence entre la surévaluation technique et les prédictions IA est contrebalancée par la solidité fondamentale. **Niveau de risque : Élevé** à court terme en raison de la surachete, mais **Moyen** à long terme. **Horizon d'investissement optimal : Moyen terme (3-12 mois)** pour bénéficier de la croissance des résultats 2026, après une probable phase de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4.26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94 titres</w:t>
            </w:r>
          </w:p>
        </w:tc>
        <w:tc>
          <w:tcPr>
            <w:tcW w:type="dxa" w:w="2268"/>
            <w:shd w:fill="FFF2CC" w:val="clear"/>
          </w:tcPr>
          <w:p>
            <w:r>
              <w:rPr>
                <w:b/>
                <w:color w:val="503200"/>
                <w:sz w:val="16"/>
              </w:rPr>
              <w:t xml:space="preserve">Cours actuel : </w:t>
            </w:r>
            <w:r>
              <w:rPr>
                <w:color w:val="000000"/>
                <w:sz w:val="17"/>
              </w:rPr>
              <w:t>7,095 FCFA</w:t>
            </w:r>
          </w:p>
          <w:p>
            <w:r>
              <w:rPr>
                <w:b/>
                <w:color w:val="503200"/>
                <w:sz w:val="16"/>
              </w:rPr>
              <w:t xml:space="preserve">Var. 100 jours : </w:t>
            </w:r>
            <w:r>
              <w:rPr>
                <w:b/>
                <w:color w:val="007800"/>
                <w:sz w:val="17"/>
              </w:rPr>
              <w:t>+77.38%</w:t>
            </w:r>
          </w:p>
          <w:p>
            <w:r>
              <w:rPr>
                <w:b/>
                <w:color w:val="503200"/>
                <w:sz w:val="16"/>
              </w:rPr>
              <w:t xml:space="preserve">Plus haut 100j : </w:t>
            </w:r>
            <w:r>
              <w:rPr>
                <w:color w:val="000000"/>
                <w:sz w:val="17"/>
              </w:rPr>
              <w:t>7,095 FCFA</w:t>
            </w:r>
          </w:p>
          <w:p>
            <w:r>
              <w:rPr>
                <w:b/>
                <w:color w:val="503200"/>
                <w:sz w:val="16"/>
              </w:rPr>
              <w:t xml:space="preserve">Plus bas 100j : </w:t>
            </w:r>
            <w:r>
              <w:rPr>
                <w:color w:val="000000"/>
                <w:sz w:val="17"/>
              </w:rPr>
              <w:t>3,710 FCFA</w:t>
            </w:r>
          </w:p>
          <w:p>
            <w:r>
              <w:rPr>
                <w:b/>
                <w:color w:val="503200"/>
                <w:sz w:val="16"/>
              </w:rPr>
              <w:t xml:space="preserve">Volatilité ann. : </w:t>
            </w:r>
            <w:r>
              <w:rPr>
                <w:color w:val="000000"/>
                <w:sz w:val="17"/>
              </w:rPr>
              <w:t>56.2%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29.6/100 → Moyen</w:t>
      </w:r>
    </w:p>
    <w:p>
      <w:pPr>
        <w:spacing w:before="40" w:after="80"/>
      </w:pPr>
      <w:r>
        <w:rPr>
          <w:rFonts w:ascii="Courier New" w:hAnsi="Courier New"/>
          <w:color w:val="825A00"/>
          <w:sz w:val="18"/>
        </w:rPr>
        <w:t>█████░░░░░░░░░░░░░░░  29.6/100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14.06% (Moyenne) — μ=4,568 FCFA, σ=642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β=-0.1400 (Contre-cyclique) — Cov=-0.000005, Var(idx)=0.000036, ρ=-0.024,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94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σ_j=3.54%/j (Modérée) — Vol. annualisée≈56.2%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1928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2026-08-05</w:t>
            </w:r>
          </w:p>
        </w:tc>
        <w:tc>
          <w:tcPr>
            <w:tcW w:type="dxa" w:w="1440"/>
            <w:shd w:fill="FFDCE0" w:val="clear"/>
          </w:tcPr>
          <w:p>
            <w:r>
              <w:rPr>
                <w:sz w:val="17"/>
              </w:rPr>
              <w:t>6,430</w:t>
            </w:r>
          </w:p>
        </w:tc>
        <w:tc>
          <w:tcPr>
            <w:tcW w:type="dxa" w:w="1440"/>
            <w:shd w:fill="FFDCE0" w:val="clear"/>
          </w:tcPr>
          <w:p>
            <w:r>
              <w:rPr>
                <w:b/>
                <w:sz w:val="17"/>
              </w:rPr>
              <w:t>6,880</w:t>
            </w:r>
          </w:p>
        </w:tc>
        <w:tc>
          <w:tcPr>
            <w:tcW w:type="dxa" w:w="1440"/>
            <w:shd w:fill="FFDCE0" w:val="clear"/>
          </w:tcPr>
          <w:p>
            <w:r>
              <w:rPr>
                <w:sz w:val="17"/>
              </w:rPr>
              <w:t>7,330</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2026-08-06</w:t>
            </w:r>
          </w:p>
        </w:tc>
        <w:tc>
          <w:tcPr>
            <w:tcW w:type="dxa" w:w="1440"/>
            <w:shd w:fill="FFDCE0" w:val="clear"/>
          </w:tcPr>
          <w:p>
            <w:r>
              <w:rPr>
                <w:sz w:val="17"/>
              </w:rPr>
              <w:t>6,283</w:t>
            </w:r>
          </w:p>
        </w:tc>
        <w:tc>
          <w:tcPr>
            <w:tcW w:type="dxa" w:w="1440"/>
            <w:shd w:fill="FFDCE0" w:val="clear"/>
          </w:tcPr>
          <w:p>
            <w:r>
              <w:rPr>
                <w:b/>
                <w:sz w:val="17"/>
              </w:rPr>
              <w:t>6,922</w:t>
            </w:r>
          </w:p>
        </w:tc>
        <w:tc>
          <w:tcPr>
            <w:tcW w:type="dxa" w:w="1440"/>
            <w:shd w:fill="FFDCE0" w:val="clear"/>
          </w:tcPr>
          <w:p>
            <w:r>
              <w:rPr>
                <w:sz w:val="17"/>
              </w:rPr>
              <w:t>7,562</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6,096</w:t>
            </w:r>
          </w:p>
        </w:tc>
        <w:tc>
          <w:tcPr>
            <w:tcW w:type="dxa" w:w="1440"/>
            <w:shd w:fill="FFDCE0" w:val="clear"/>
          </w:tcPr>
          <w:p>
            <w:r>
              <w:rPr>
                <w:b/>
                <w:sz w:val="17"/>
              </w:rPr>
              <w:t>6,874</w:t>
            </w:r>
          </w:p>
        </w:tc>
        <w:tc>
          <w:tcPr>
            <w:tcW w:type="dxa" w:w="1440"/>
            <w:shd w:fill="FFDCE0" w:val="clear"/>
          </w:tcPr>
          <w:p>
            <w:r>
              <w:rPr>
                <w:sz w:val="17"/>
              </w:rPr>
              <w:t>7,652</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5,911</w:t>
            </w:r>
          </w:p>
        </w:tc>
        <w:tc>
          <w:tcPr>
            <w:tcW w:type="dxa" w:w="1440"/>
            <w:shd w:fill="FFDCE0" w:val="clear"/>
          </w:tcPr>
          <w:p>
            <w:r>
              <w:rPr>
                <w:b/>
                <w:sz w:val="17"/>
              </w:rPr>
              <w:t>6,800</w:t>
            </w:r>
          </w:p>
        </w:tc>
        <w:tc>
          <w:tcPr>
            <w:tcW w:type="dxa" w:w="1440"/>
            <w:shd w:fill="FFDCE0" w:val="clear"/>
          </w:tcPr>
          <w:p>
            <w:r>
              <w:rPr>
                <w:sz w:val="17"/>
              </w:rPr>
              <w:t>7,689</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5,733</w:t>
            </w:r>
          </w:p>
        </w:tc>
        <w:tc>
          <w:tcPr>
            <w:tcW w:type="dxa" w:w="1440"/>
            <w:shd w:fill="FFDCE0" w:val="clear"/>
          </w:tcPr>
          <w:p>
            <w:r>
              <w:rPr>
                <w:b/>
                <w:sz w:val="17"/>
              </w:rPr>
              <w:t>6,715</w:t>
            </w:r>
          </w:p>
        </w:tc>
        <w:tc>
          <w:tcPr>
            <w:tcW w:type="dxa" w:w="1440"/>
            <w:shd w:fill="FFDCE0" w:val="clear"/>
          </w:tcPr>
          <w:p>
            <w:r>
              <w:rPr>
                <w:sz w:val="17"/>
              </w:rPr>
              <w:t>7,696</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5,562</w:t>
            </w:r>
          </w:p>
        </w:tc>
        <w:tc>
          <w:tcPr>
            <w:tcW w:type="dxa" w:w="1440"/>
            <w:shd w:fill="FFDCE0" w:val="clear"/>
          </w:tcPr>
          <w:p>
            <w:r>
              <w:rPr>
                <w:b/>
                <w:sz w:val="17"/>
              </w:rPr>
              <w:t>6,623</w:t>
            </w:r>
          </w:p>
        </w:tc>
        <w:tc>
          <w:tcPr>
            <w:tcW w:type="dxa" w:w="1440"/>
            <w:shd w:fill="FFDCE0" w:val="clear"/>
          </w:tcPr>
          <w:p>
            <w:r>
              <w:rPr>
                <w:sz w:val="17"/>
              </w:rPr>
              <w:t>7,683</w:t>
            </w:r>
          </w:p>
        </w:tc>
        <w:tc>
          <w:tcPr>
            <w:tcW w:type="dxa" w:w="1440"/>
            <w:shd w:fill="FFDCE0" w:val="clear"/>
          </w:tcPr>
          <w:p>
            <w:r>
              <w:rPr>
                <w:b/>
                <w:color w:val="C00000"/>
                <w:sz w:val="17"/>
              </w:rPr>
              <w:t>-6.7%</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5,398</w:t>
            </w:r>
          </w:p>
        </w:tc>
        <w:tc>
          <w:tcPr>
            <w:tcW w:type="dxa" w:w="1440"/>
            <w:shd w:fill="FFDCE0" w:val="clear"/>
          </w:tcPr>
          <w:p>
            <w:r>
              <w:rPr>
                <w:b/>
                <w:sz w:val="17"/>
              </w:rPr>
              <w:t>6,527</w:t>
            </w:r>
          </w:p>
        </w:tc>
        <w:tc>
          <w:tcPr>
            <w:tcW w:type="dxa" w:w="1440"/>
            <w:shd w:fill="FFDCE0" w:val="clear"/>
          </w:tcPr>
          <w:p>
            <w:r>
              <w:rPr>
                <w:sz w:val="17"/>
              </w:rPr>
              <w:t>7,656</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5,242</w:t>
            </w:r>
          </w:p>
        </w:tc>
        <w:tc>
          <w:tcPr>
            <w:tcW w:type="dxa" w:w="1440"/>
            <w:shd w:fill="FFDCE0" w:val="clear"/>
          </w:tcPr>
          <w:p>
            <w:r>
              <w:rPr>
                <w:b/>
                <w:sz w:val="17"/>
              </w:rPr>
              <w:t>6,431</w:t>
            </w:r>
          </w:p>
        </w:tc>
        <w:tc>
          <w:tcPr>
            <w:tcW w:type="dxa" w:w="1440"/>
            <w:shd w:fill="FFDCE0" w:val="clear"/>
          </w:tcPr>
          <w:p>
            <w:r>
              <w:rPr>
                <w:sz w:val="17"/>
              </w:rPr>
              <w:t>7,620</w:t>
            </w:r>
          </w:p>
        </w:tc>
        <w:tc>
          <w:tcPr>
            <w:tcW w:type="dxa" w:w="1440"/>
            <w:shd w:fill="FFDCE0" w:val="clear"/>
          </w:tcPr>
          <w:p>
            <w:r>
              <w:rPr>
                <w:b/>
                <w:color w:val="C00000"/>
                <w:sz w:val="17"/>
              </w:rPr>
              <w:t>-9.4%</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5,092</w:t>
            </w:r>
          </w:p>
        </w:tc>
        <w:tc>
          <w:tcPr>
            <w:tcW w:type="dxa" w:w="1440"/>
            <w:shd w:fill="FFDCE0" w:val="clear"/>
          </w:tcPr>
          <w:p>
            <w:r>
              <w:rPr>
                <w:b/>
                <w:sz w:val="17"/>
              </w:rPr>
              <w:t>6,335</w:t>
            </w:r>
          </w:p>
        </w:tc>
        <w:tc>
          <w:tcPr>
            <w:tcW w:type="dxa" w:w="1440"/>
            <w:shd w:fill="FFDCE0" w:val="clear"/>
          </w:tcPr>
          <w:p>
            <w:r>
              <w:rPr>
                <w:sz w:val="17"/>
              </w:rPr>
              <w:t>7,577</w:t>
            </w:r>
          </w:p>
        </w:tc>
        <w:tc>
          <w:tcPr>
            <w:tcW w:type="dxa" w:w="1440"/>
            <w:shd w:fill="FFDCE0" w:val="clear"/>
          </w:tcPr>
          <w:p>
            <w:r>
              <w:rPr>
                <w:b/>
                <w:color w:val="C00000"/>
                <w:sz w:val="17"/>
              </w:rPr>
              <w:t>-10.7%</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4,951</w:t>
            </w:r>
          </w:p>
        </w:tc>
        <w:tc>
          <w:tcPr>
            <w:tcW w:type="dxa" w:w="1440"/>
            <w:shd w:fill="FFDCE0" w:val="clear"/>
          </w:tcPr>
          <w:p>
            <w:r>
              <w:rPr>
                <w:b/>
                <w:sz w:val="17"/>
              </w:rPr>
              <w:t>6,241</w:t>
            </w:r>
          </w:p>
        </w:tc>
        <w:tc>
          <w:tcPr>
            <w:tcW w:type="dxa" w:w="1440"/>
            <w:shd w:fill="FFDCE0" w:val="clear"/>
          </w:tcPr>
          <w:p>
            <w:r>
              <w:rPr>
                <w:sz w:val="17"/>
              </w:rPr>
              <w:t>7,530</w:t>
            </w:r>
          </w:p>
        </w:tc>
        <w:tc>
          <w:tcPr>
            <w:tcW w:type="dxa" w:w="1440"/>
            <w:shd w:fill="FFDCE0" w:val="clear"/>
          </w:tcPr>
          <w:p>
            <w:r>
              <w:rPr>
                <w:b/>
                <w:color w:val="C00000"/>
                <w:sz w:val="17"/>
              </w:rPr>
              <w:t>-12.0%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(Société Ivoirienne de Coco Râpé)**</w:t>
        <w:br/>
        <w:t>**Date : 04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**4,26 milliards FCFA**, un niveau modeste qui la classe parmi les petites capitalisations de la BRVM, offrant un profil de liquidité restreint (volume moyen de 94 titres/jour). Les ratios de valorisation (BPA, PER, P/B, EV/EBITDA) ne sont pas calculables en raison de l'absence de données financières structurées récentes dans la base, ce qui constitue une limite importante pour évaluer le caractère onéreux ou non du titre. Toutefois, sur la base des derniers fondamentaux disponibles (résultat net 2023 de 19,25 millions FCFA), le PER implicite serait extrêmement élevé, suggérant que le marché anticipe une forte amélioration des bénéfices futurs. Cette situation de valorisation "par défaut" impose une prudence accrue, car le cours actuel reflète des anticipations de redressement spectaculaire non encore matérialisées dans les comptes.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la période des 100 derniers jours, l'action SICOR affiche une progression spectaculaire de **+77,38%**, avec une dernière séance en hausse de **+7,50%**, portant le cours à **7 095 FCFA**, son plus haut niveau sur la période. Le titre a évolué dans une fourchette très large de **3 710 FCFA à 7 095 FCFA**, démontrant un momentum haussier exceptionnellement puissant. La moyenne (4 568 FCFA) étant supérieure à la médiane (4 380 FCFA), on observe une asymétrie positive (skewness de 1,605), indiquant que les fortes hausses récentes tirent la moyenne vers le haut. L'écart-type de 646 FCFA (CV de 14,1%) révèle une dispersion modérée, mais le kurtosis élevé (2,638) signale un risque de mouvements extrêmes. La volatilité annualisée de **56,2%** classe le titre dans la catégorie "risque élevé", confirmant le caractère spéculatif de cette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(7 095 FCFA) évolue nettement au-dessus de la MM20 (5 602,75 FCFA) et de la MM50 (4 984,9 FCFA), confirmant une tendance haussière robuste à court et moyen terme. L'écart positif entre les deux moyennes (+617,85 FCFA) valide la dynamique haussière, justifiant la décision d'**Achat**, bien que l'éloignement du cours par rapport à la MM20 (+26,6%) suggère une extension excessive.</w:t>
      </w:r>
    </w:p>
    <w:p>
      <w:pPr>
        <w:spacing w:after="120" w:line="276" w:lineRule="auto"/>
      </w:pPr>
      <w:r>
        <w:t>**Bandes de Bollinger** : Le cours (7 095 FCFA) a franchi la borne supérieure (6 816,46 FCFA), signalant une condition de surachat extrême. Cette sortie de bande indique une volatilité en expansion et un momentum très fort, mais historiquement, elle précède souvent une consolidation ou un retour vers la moyenne. La décision de **Vente** est donc justifiée à court terme pour un éventuel repli technique.</w:t>
      </w:r>
    </w:p>
    <w:p>
      <w:pPr>
        <w:spacing w:after="120" w:line="276" w:lineRule="auto"/>
      </w:pPr>
      <w:r>
        <w:t>**MACD** : Le MACD (467,45) est nettement supérieur à son signal (329,86), avec un histogramme positif en expansion, confirmant la vigueur du momentum haussier. La divergence positive entre les deux lignes indique une pression acheteuse soutenue, justifiant la décision d'**Achat** tant que le MACD reste au-dessus de zéro.</w:t>
      </w:r>
    </w:p>
    <w:p>
      <w:pPr>
        <w:spacing w:after="120" w:line="276" w:lineRule="auto"/>
      </w:pPr>
      <w:r>
        <w:t>**RSI** : À **81,88**, le RSI est profondément en zone de surachat (&gt;70), signalant que le titre est survendu à la hausse et qu'une correction technique est probable. Cette lecture justifie la décision de **Vente**, car les acheteurs sont potentiellement épuisés à ces niveaux.</w:t>
      </w:r>
    </w:p>
    <w:p>
      <w:pPr>
        <w:spacing w:after="120" w:line="276" w:lineRule="auto"/>
      </w:pPr>
      <w:r>
        <w:t>**Stochastique** : Le %K et le %D sont tous deux à **100,00**, en zone de surachat extrême. Cette configuration indique que le titre est à son plus haut sur la période, avec un momentum vertical. La décision de **Vente** est cohérente, car un croisement baissier est imminent.</w:t>
      </w:r>
    </w:p>
    <w:p>
      <w:pPr>
        <w:spacing w:after="120" w:line="276" w:lineRule="auto"/>
      </w:pPr>
      <w:r>
        <w:t>**Conclusion technique** : La convergence des indicateurs de surachat (RSI, Stochastique, Bandes de Bollinger) signale une extension excessive du cours, malgré une tendance haussière intacte (MM, MACD). Le scénario le plus probable est une consolidation ou un repli technique à court terme avant une éventuelle reprise de la tendance. Les positions longues devraient être sécurisées, et les nouveaux achats différés en attendant un repli vers la zone 6 000-6 300 FCFA.</w:t>
      </w:r>
    </w:p>
    <w:p>
      <w:pPr>
        <w:spacing w:after="120" w:line="276" w:lineRule="auto"/>
      </w:pPr>
      <w:r>
        <w:t>---</w:t>
      </w:r>
    </w:p>
    <w:p>
      <w:pPr>
        <w:spacing w:after="120" w:line="276" w:lineRule="auto"/>
      </w:pPr>
      <w:r>
        <w:t>### PARTIE 3 : ANALYSE FONDAMENTALE (SECTION CRITIQUE)</w:t>
      </w:r>
    </w:p>
    <w:p>
      <w:pPr>
        <w:spacing w:after="120" w:line="276" w:lineRule="auto"/>
      </w:pPr>
      <w:r>
        <w:t>Les rapports financiers disponibles datent de **décembre 2024** (exercices 2023 et 2022), soit une ancienneté de plus de 18 mois, ce qui limite la fraîcheur des données. **En 2023**, le chiffre d'affaires s'est établi à **701,09 millions FCFA**, en forte baisse de **38,4%** par rapport à 2022 (1 138,17 millions FCFA), principalement en raison de l'effondrement des ventes d'huile de coprah (-98,82%) et de tourteaux (-86,03%). Le résultat net est toutefois revenu à l'équilibre avec un bénéfice de **+19,25 millions FCFA** (marge nette de 2,75%), contre une perte de **-39,95 millions FCFA** en 2022, grâce à une réduction drastique des charges (-43,68%). La marge nette reste faible comparée au secteur agro-industriel (5-10%), et l'entreprise n'a **jamais distribué de dividende** depuis 2019, priorisant l'apurement des pertes cumulées (689,86 millions FCFA). Les risques opérationnels demeurent élevés (vols de noix de coco, trésorerie tendue avec des découverts bancaires en hausse de 1 319%). Les perspectives de redressement sont conditionnées à la résorption des pertes, estimée à l'horizon 2025-2026, mais aucun dividende n'est envisageable à court terme. La recommandation des analystes était **CONSERVER avec vigilance**, reflétant une situation financière fragile mais en voie de stabilisation.</w:t>
      </w:r>
    </w:p>
    <w:p>
      <w:pPr>
        <w:spacing w:after="120" w:line="276" w:lineRule="auto"/>
      </w:pPr>
      <w:r>
        <w:t>---</w:t>
      </w:r>
    </w:p>
    <w:p>
      <w:pPr>
        <w:spacing w:after="120" w:line="276" w:lineRule="auto"/>
      </w:pPr>
      <w:r>
        <w:t>### PARTIE 4 : CONCLUSION D'INVESTISSEMENT</w:t>
      </w:r>
    </w:p>
    <w:p>
      <w:pPr>
        <w:spacing w:after="120" w:line="276" w:lineRule="auto"/>
      </w:pPr>
      <w:r>
        <w:t>La valorisation boursière de SICOR est difficile à justifier fondamentalement, les ratios PER/P/B n'étant pas calculables et les derniers bénéfices (19,25 millions FCFA en 2023) ne soutenant pas un cours de 7 095 FCFA. Le comportement du cours (+77,38% en 100 jours, volatilité de 56,2%) traduit un emballement spéculatif, avec des statistiques (kurtosis élevé, skewness positif) révélant un risque de retournement brutal. Les signaux techniques sont contradictoires : la tendance de fond reste haussière (MM, MACD), mais tous les oscillateurs (RSI, Stochastique, Bollinger) crient au surachat extrême. Les fondamentaux, bien qu'en amélioration, restent fragiles avec une marge nette de 2,75% et des pertes cumulées importantes. Les prédictions IA (6 880 à 6 715 FCFA sur 10 jours) suggèrent un léger repli, confirmant le scénario de consolidation technique. **Recommandation finale : VENTE** pour les investisseurs existants (prise de profit) et **CONSERVER** pour les nouveaux entrants en attendant un repli significatif. Niveau de confiance : **Moyen** (données fondamentales obsolètes). Risque global : **Élevé**. Horizon d'investissement optimal : **court terme (&lt;3 mois)** pour trader la volatilité, avec un stop-loss sous 6 000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5,897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-23.21%</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10.35% (Moyenne) — μ=2,668 FCFA, σ=276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β=-0.0100 (Contre-cyclique) — Cov=-0.000000, Var(idx)=0.000036, ρ=-0.002,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5,897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2026-08-05</w:t>
            </w:r>
          </w:p>
        </w:tc>
        <w:tc>
          <w:tcPr>
            <w:tcW w:type="dxa" w:w="1440"/>
            <w:shd w:fill="FFDCE0" w:val="clear"/>
          </w:tcPr>
          <w:p>
            <w:r>
              <w:rPr>
                <w:sz w:val="17"/>
              </w:rPr>
              <w:t>1,917</w:t>
            </w:r>
          </w:p>
        </w:tc>
        <w:tc>
          <w:tcPr>
            <w:tcW w:type="dxa" w:w="1440"/>
            <w:shd w:fill="FFDCE0" w:val="clear"/>
          </w:tcPr>
          <w:p>
            <w:r>
              <w:rPr>
                <w:b/>
                <w:sz w:val="17"/>
              </w:rPr>
              <w:t>2,058</w:t>
            </w:r>
          </w:p>
        </w:tc>
        <w:tc>
          <w:tcPr>
            <w:tcW w:type="dxa" w:w="1440"/>
            <w:shd w:fill="FFDCE0" w:val="clear"/>
          </w:tcPr>
          <w:p>
            <w:r>
              <w:rPr>
                <w:sz w:val="17"/>
              </w:rPr>
              <w:t>2,198</w:t>
            </w:r>
          </w:p>
        </w:tc>
        <w:tc>
          <w:tcPr>
            <w:tcW w:type="dxa" w:w="1440"/>
            <w:shd w:fill="FFDCE0" w:val="clear"/>
          </w:tcPr>
          <w:p>
            <w:r>
              <w:rPr>
                <w:b/>
                <w:color w:val="C00000"/>
                <w:sz w:val="17"/>
              </w:rPr>
              <w:t>-4.3%</w:t>
            </w:r>
          </w:p>
        </w:tc>
      </w:tr>
      <w:tr>
        <w:tc>
          <w:tcPr>
            <w:tcW w:type="dxa" w:w="1440"/>
            <w:shd w:fill="FFDCE0" w:val="clear"/>
          </w:tcPr>
          <w:p>
            <w:r>
              <w:rPr>
                <w:sz w:val="17"/>
              </w:rPr>
              <w:t>J+2  ⭐</w:t>
            </w:r>
          </w:p>
        </w:tc>
        <w:tc>
          <w:tcPr>
            <w:tcW w:type="dxa" w:w="1440"/>
            <w:shd w:fill="FFDCE0" w:val="clear"/>
          </w:tcPr>
          <w:p>
            <w:r>
              <w:rPr>
                <w:sz w:val="17"/>
              </w:rPr>
              <w:t>2026-08-06</w:t>
            </w:r>
          </w:p>
        </w:tc>
        <w:tc>
          <w:tcPr>
            <w:tcW w:type="dxa" w:w="1440"/>
            <w:shd w:fill="FFDCE0" w:val="clear"/>
          </w:tcPr>
          <w:p>
            <w:r>
              <w:rPr>
                <w:sz w:val="17"/>
              </w:rPr>
              <w:t>1,825</w:t>
            </w:r>
          </w:p>
        </w:tc>
        <w:tc>
          <w:tcPr>
            <w:tcW w:type="dxa" w:w="1440"/>
            <w:shd w:fill="FFDCE0" w:val="clear"/>
          </w:tcPr>
          <w:p>
            <w:r>
              <w:rPr>
                <w:b/>
                <w:sz w:val="17"/>
              </w:rPr>
              <w:t>2,020</w:t>
            </w:r>
          </w:p>
        </w:tc>
        <w:tc>
          <w:tcPr>
            <w:tcW w:type="dxa" w:w="1440"/>
            <w:shd w:fill="FFDCE0" w:val="clear"/>
          </w:tcPr>
          <w:p>
            <w:r>
              <w:rPr>
                <w:sz w:val="17"/>
              </w:rPr>
              <w:t>2,216</w:t>
            </w:r>
          </w:p>
        </w:tc>
        <w:tc>
          <w:tcPr>
            <w:tcW w:type="dxa" w:w="1440"/>
            <w:shd w:fill="FFDCE0" w:val="clear"/>
          </w:tcPr>
          <w:p>
            <w:r>
              <w:rPr>
                <w:b/>
                <w:color w:val="C00000"/>
                <w:sz w:val="17"/>
              </w:rPr>
              <w:t>-6.0%</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1,743</w:t>
            </w:r>
          </w:p>
        </w:tc>
        <w:tc>
          <w:tcPr>
            <w:tcW w:type="dxa" w:w="1440"/>
            <w:shd w:fill="FFDCE0" w:val="clear"/>
          </w:tcPr>
          <w:p>
            <w:r>
              <w:rPr>
                <w:b/>
                <w:sz w:val="17"/>
              </w:rPr>
              <w:t>1,978</w:t>
            </w:r>
          </w:p>
        </w:tc>
        <w:tc>
          <w:tcPr>
            <w:tcW w:type="dxa" w:w="1440"/>
            <w:shd w:fill="FFDCE0" w:val="clear"/>
          </w:tcPr>
          <w:p>
            <w:r>
              <w:rPr>
                <w:sz w:val="17"/>
              </w:rPr>
              <w:t>2,212</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1,670</w:t>
            </w:r>
          </w:p>
        </w:tc>
        <w:tc>
          <w:tcPr>
            <w:tcW w:type="dxa" w:w="1440"/>
            <w:shd w:fill="FFDCE0" w:val="clear"/>
          </w:tcPr>
          <w:p>
            <w:r>
              <w:rPr>
                <w:b/>
                <w:sz w:val="17"/>
              </w:rPr>
              <w:t>1,934</w:t>
            </w:r>
          </w:p>
        </w:tc>
        <w:tc>
          <w:tcPr>
            <w:tcW w:type="dxa" w:w="1440"/>
            <w:shd w:fill="FFDCE0" w:val="clear"/>
          </w:tcPr>
          <w:p>
            <w:r>
              <w:rPr>
                <w:sz w:val="17"/>
              </w:rPr>
              <w:t>2,199</w:t>
            </w:r>
          </w:p>
        </w:tc>
        <w:tc>
          <w:tcPr>
            <w:tcW w:type="dxa" w:w="1440"/>
            <w:shd w:fill="FFDCE0" w:val="clear"/>
          </w:tcPr>
          <w:p>
            <w:r>
              <w:rPr>
                <w:b/>
                <w:color w:val="C00000"/>
                <w:sz w:val="17"/>
              </w:rPr>
              <w:t>-10.0%</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1,603</w:t>
            </w:r>
          </w:p>
        </w:tc>
        <w:tc>
          <w:tcPr>
            <w:tcW w:type="dxa" w:w="1440"/>
            <w:shd w:fill="FFDCE0" w:val="clear"/>
          </w:tcPr>
          <w:p>
            <w:r>
              <w:rPr>
                <w:b/>
                <w:sz w:val="17"/>
              </w:rPr>
              <w:t>1,892</w:t>
            </w:r>
          </w:p>
        </w:tc>
        <w:tc>
          <w:tcPr>
            <w:tcW w:type="dxa" w:w="1440"/>
            <w:shd w:fill="FFDCE0" w:val="clear"/>
          </w:tcPr>
          <w:p>
            <w:r>
              <w:rPr>
                <w:sz w:val="17"/>
              </w:rPr>
              <w:t>2,182</w:t>
            </w:r>
          </w:p>
        </w:tc>
        <w:tc>
          <w:tcPr>
            <w:tcW w:type="dxa" w:w="1440"/>
            <w:shd w:fill="FFDCE0" w:val="clear"/>
          </w:tcPr>
          <w:p>
            <w:r>
              <w:rPr>
                <w:b/>
                <w:color w:val="C00000"/>
                <w:sz w:val="17"/>
              </w:rPr>
              <w:t>-12.0%</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1,541</w:t>
            </w:r>
          </w:p>
        </w:tc>
        <w:tc>
          <w:tcPr>
            <w:tcW w:type="dxa" w:w="1440"/>
            <w:shd w:fill="FFDCE0" w:val="clear"/>
          </w:tcPr>
          <w:p>
            <w:r>
              <w:rPr>
                <w:b/>
                <w:sz w:val="17"/>
              </w:rPr>
              <w:t>1,851</w:t>
            </w:r>
          </w:p>
        </w:tc>
        <w:tc>
          <w:tcPr>
            <w:tcW w:type="dxa" w:w="1440"/>
            <w:shd w:fill="FFDCE0" w:val="clear"/>
          </w:tcPr>
          <w:p>
            <w:r>
              <w:rPr>
                <w:sz w:val="17"/>
              </w:rPr>
              <w:t>2,162</w:t>
            </w:r>
          </w:p>
        </w:tc>
        <w:tc>
          <w:tcPr>
            <w:tcW w:type="dxa" w:w="1440"/>
            <w:shd w:fill="FFDCE0" w:val="clear"/>
          </w:tcPr>
          <w:p>
            <w:r>
              <w:rPr>
                <w:b/>
                <w:color w:val="C00000"/>
                <w:sz w:val="17"/>
              </w:rPr>
              <w:t>-13.9%</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1,484</w:t>
            </w:r>
          </w:p>
        </w:tc>
        <w:tc>
          <w:tcPr>
            <w:tcW w:type="dxa" w:w="1440"/>
            <w:shd w:fill="FFDCE0" w:val="clear"/>
          </w:tcPr>
          <w:p>
            <w:r>
              <w:rPr>
                <w:b/>
                <w:sz w:val="17"/>
              </w:rPr>
              <w:t>1,812</w:t>
            </w:r>
          </w:p>
        </w:tc>
        <w:tc>
          <w:tcPr>
            <w:tcW w:type="dxa" w:w="1440"/>
            <w:shd w:fill="FFDCE0" w:val="clear"/>
          </w:tcPr>
          <w:p>
            <w:r>
              <w:rPr>
                <w:sz w:val="17"/>
              </w:rPr>
              <w:t>2,140</w:t>
            </w:r>
          </w:p>
        </w:tc>
        <w:tc>
          <w:tcPr>
            <w:tcW w:type="dxa" w:w="1440"/>
            <w:shd w:fill="FFDCE0" w:val="clear"/>
          </w:tcPr>
          <w:p>
            <w:r>
              <w:rPr>
                <w:b/>
                <w:color w:val="C00000"/>
                <w:sz w:val="17"/>
              </w:rPr>
              <w:t>-15.7%</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1,430</w:t>
            </w:r>
          </w:p>
        </w:tc>
        <w:tc>
          <w:tcPr>
            <w:tcW w:type="dxa" w:w="1440"/>
            <w:shd w:fill="FFDCE0" w:val="clear"/>
          </w:tcPr>
          <w:p>
            <w:r>
              <w:rPr>
                <w:b/>
                <w:sz w:val="17"/>
              </w:rPr>
              <w:t>1,774</w:t>
            </w:r>
          </w:p>
        </w:tc>
        <w:tc>
          <w:tcPr>
            <w:tcW w:type="dxa" w:w="1440"/>
            <w:shd w:fill="FFDCE0" w:val="clear"/>
          </w:tcPr>
          <w:p>
            <w:r>
              <w:rPr>
                <w:sz w:val="17"/>
              </w:rPr>
              <w:t>2,117</w:t>
            </w:r>
          </w:p>
        </w:tc>
        <w:tc>
          <w:tcPr>
            <w:tcW w:type="dxa" w:w="1440"/>
            <w:shd w:fill="FFDCE0" w:val="clear"/>
          </w:tcPr>
          <w:p>
            <w:r>
              <w:rPr>
                <w:b/>
                <w:color w:val="C00000"/>
                <w:sz w:val="17"/>
              </w:rPr>
              <w:t>-17.5%</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1,380</w:t>
            </w:r>
          </w:p>
        </w:tc>
        <w:tc>
          <w:tcPr>
            <w:tcW w:type="dxa" w:w="1440"/>
            <w:shd w:fill="FFDCE0" w:val="clear"/>
          </w:tcPr>
          <w:p>
            <w:r>
              <w:rPr>
                <w:b/>
                <w:sz w:val="17"/>
              </w:rPr>
              <w:t>1,737</w:t>
            </w:r>
          </w:p>
        </w:tc>
        <w:tc>
          <w:tcPr>
            <w:tcW w:type="dxa" w:w="1440"/>
            <w:shd w:fill="FFDCE0" w:val="clear"/>
          </w:tcPr>
          <w:p>
            <w:r>
              <w:rPr>
                <w:sz w:val="17"/>
              </w:rPr>
              <w:t>2,094</w:t>
            </w:r>
          </w:p>
        </w:tc>
        <w:tc>
          <w:tcPr>
            <w:tcW w:type="dxa" w:w="1440"/>
            <w:shd w:fill="FFDCE0" w:val="clear"/>
          </w:tcPr>
          <w:p>
            <w:r>
              <w:rPr>
                <w:b/>
                <w:color w:val="C00000"/>
                <w:sz w:val="17"/>
              </w:rPr>
              <w:t>-19.2%</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1,333</w:t>
            </w:r>
          </w:p>
        </w:tc>
        <w:tc>
          <w:tcPr>
            <w:tcW w:type="dxa" w:w="1440"/>
            <w:shd w:fill="FFDCE0" w:val="clear"/>
          </w:tcPr>
          <w:p>
            <w:r>
              <w:rPr>
                <w:b/>
                <w:sz w:val="17"/>
              </w:rPr>
              <w:t>1,701</w:t>
            </w:r>
          </w:p>
        </w:tc>
        <w:tc>
          <w:tcPr>
            <w:tcW w:type="dxa" w:w="1440"/>
            <w:shd w:fill="FFDCE0" w:val="clear"/>
          </w:tcPr>
          <w:p>
            <w:r>
              <w:rPr>
                <w:sz w:val="17"/>
              </w:rPr>
              <w:t>2,070</w:t>
            </w:r>
          </w:p>
        </w:tc>
        <w:tc>
          <w:tcPr>
            <w:tcW w:type="dxa" w:w="1440"/>
            <w:shd w:fill="FFDCE0" w:val="clear"/>
          </w:tcPr>
          <w:p>
            <w:r>
              <w:rPr>
                <w:b/>
                <w:color w:val="C00000"/>
                <w:sz w:val="17"/>
              </w:rPr>
              <w:t>-20.9%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ERIUM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18,78 milliards FCFA positionne SIVC comme une valeur de taille moyenne sur la BRVM. Le BPA de 43 FCFA est faible, ce qui, rapporté au cours de 2 150 FCFA, donne un PER de 49,8x. Ce ratio est extrêmement élevé par rapport à la moyenne du marché BRVM (8-12x), indiquant que les investisseurs paient une prime considérable pour chaque franc de bénéfice. De même, le P/B de 5,74x et l'EV/EBITDA de 16,0x confirment une valorisation très exigeante, le marché anticipant une croissance future des bénéfices bien supérieure aux niveaux actuels. Ces ratios suggèrent une surévaluation relative, ou du moins une anticipation de performance future exceptionnelle qui n'est pas encore visible dans les comptes.</w:t>
      </w:r>
    </w:p>
    <w:p>
      <w:pPr>
        <w:spacing w:after="120" w:line="276" w:lineRule="auto"/>
      </w:pPr>
      <w:r>
        <w:t>### PARTIE 1 : ANALYSE DU COURS — STATISTIQUES ET ÉVOLUTION (100 derniers jours)</w:t>
      </w:r>
    </w:p>
    <w:p>
      <w:pPr>
        <w:spacing w:after="120" w:line="276" w:lineRule="auto"/>
      </w:pPr>
      <w:r>
        <w:t>Sur les 100 derniers jours, l'action SIVC a subi une forte correction de -23,21%, avec une baisse de -2,27% lors de la dernière séance, s'échangeant à 2 150 FCFA. Le titre a évolué dans une fourchette large, entre un plus haut de 3 215 FCFA et un plus bas de 1 920 FCFA, illustrant une forte volatilité. La moyenne du cours sur la période (2 668 FCFA) est inférieure à la médiane (2 780 FCFA), ce qui, combiné à un skewness négatif (-0.827), indique une distribution asymétrique avec des baisses plus marquées que les hausses. L'écart-type de 277 FCFA (CV=10.4%) montre une dispersion modérée autour de la moyenne. La volatilité annualisée de 50,2% est très élevée, signalant un risque important. Le kurtosis proche de zéro (-0.215) suggère une distribution des rendements sans pics extrêmes, mais la tendance globale est clairement baissière.</w:t>
      </w:r>
    </w:p>
    <w:p>
      <w:pPr>
        <w:spacing w:after="120" w:line="276" w:lineRule="auto"/>
      </w:pPr>
      <w:r>
        <w:t>### PARTIE 2 : ANALYSE TECHNIQUE DÉTAILLÉE</w:t>
      </w:r>
    </w:p>
    <w:p>
      <w:pPr>
        <w:spacing w:after="120" w:line="276" w:lineRule="auto"/>
      </w:pPr>
      <w:r>
        <w:t>**Moyennes Mobiles** : Le cours actuel (2 150 FCFA) est inférieur à la MM20 (2 221 FCFA) et très en dessous de la MM50 (2 499,7 FCFA). Cette configuration en "death cross" (croix de la mort) est un signal baissier classique, confirmant la tendance négative de moyen terme. La décision de "Vente" est justifiée par cette dynamique.</w:t>
      </w:r>
    </w:p>
    <w:p>
      <w:pPr>
        <w:spacing w:after="120" w:line="276" w:lineRule="auto"/>
      </w:pPr>
      <w:r>
        <w:t>**Bandes de Bollinger** : Le cours se situe à 2 150 FCFA, proche de la borne inférieure (1 948 FCFA) et loin de la borne supérieure (2 493 FCFA). L'écart entre les bornes est large, reflétant la forte volatilité. Le prix testant la borne inférieure peut indiquer une condition de survente, mais ne signale pas encore un retournement. La décision "Neutre" est cohérente avec cette position, le titre étant à un point de décision.</w:t>
      </w:r>
    </w:p>
    <w:p>
      <w:pPr>
        <w:spacing w:after="120" w:line="276" w:lineRule="auto"/>
      </w:pPr>
      <w:r>
        <w:t>**MACD** : Le MACD (-81.84) est négatif et en dessous de sa ligne de signal (-90.23). Cependant, la valeur du MACD est supérieure à celle du signal, ce qui indique un croisement haussier récent. Ce signal, bien que précoce, suggère un ralentissement de la dynamique baissière et un potentiel de rebond technique, justifiant la décision "Achat".</w:t>
      </w:r>
    </w:p>
    <w:p>
      <w:pPr>
        <w:spacing w:after="120" w:line="276" w:lineRule="auto"/>
      </w:pPr>
      <w:r>
        <w:t>**RSI** : Le RSI est à 23.24, ce qui est nettement en dessous du seuil de survente de 30. Cela indique que le titre est techniquement survendu et que la pression vendeuse est potentiellement excessive. Un tel niveau précède souvent un rebond technique, d'où la décision "Achat".</w:t>
      </w:r>
    </w:p>
    <w:p>
      <w:pPr>
        <w:spacing w:after="120" w:line="276" w:lineRule="auto"/>
      </w:pPr>
      <w:r>
        <w:t>**Stochastique** : Le %K est à 0.0 et le %D à 7.2, tous deux en territoire de survente extrême. Le croisement de ces lignes, avec un %K qui pourrait repasser au-dessus du %D, est un signal haussier potentiel. La décision "Achat" est justifiée par ces conditions de survente sévère.</w:t>
      </w:r>
    </w:p>
    <w:p>
      <w:pPr>
        <w:spacing w:after="120" w:line="276" w:lineRule="auto"/>
      </w:pPr>
      <w:r>
        <w:t>**Conclusion technique** : Les indicateurs de momentum (RSI, Stochastique, MACD) sont tous en territoire de survente et commencent à émettre des signaux d'achat précurseurs d'un rebond technique. Cependant, la tendance de fond, illustrée par les moyennes mobiles, reste résolument baissière. Le scénario le plus probable est un rebond technique à court terme, mais la tendance générale ne s'inversera qu'avec un franchissement durable des moyennes mobiles.</w:t>
      </w:r>
    </w:p>
    <w:p>
      <w:pPr>
        <w:spacing w:after="120" w:line="276" w:lineRule="auto"/>
      </w:pPr>
      <w:r>
        <w:t>### PARTIE 3 : ANALYSE FONDAMENTALE (SECTION CRITIQUE)</w:t>
      </w:r>
    </w:p>
    <w:p>
      <w:pPr>
        <w:spacing w:after="120" w:line="276" w:lineRule="auto"/>
      </w:pPr>
      <w:r>
        <w:t>En 2024, les données structurées indiquent un PNB/CA de 9,283 Mds FCFA, un résultat net de 376,96 M FCFA, un ROE de 11,5% et un ROA de 2,7%. Le coefficient d'exploitation est très élevé à 95,8%, ce qui est préoccupant pour une banque, indiquant une mauvaise maîtrise des charges. Le coût du risque est également élevé (3,1%), signalant une dégradation de la qualité du portefeuille de crédits. Cependant, le rapport annuel 2025 (daté du 31/12/2025) montre une croissance du CA de +8,53% à 10,07 Mds FCFA, mais une chute brutale du résultat net de -52,4% à 179 M FCFA, avec une marge nette réduite à 1,78%. Cette dégradation est due à une hausse des charges et à une perte financière. Les rapports trimestriels 2025 (S1 et T3) peignent un tableau plus optimiste, avec un CA en hausse de +8,8% au S1 et de +13% sur 9 mois, et un résultat net en forte progression de +58% au T3 (832,5 M FCFA). Ces données trimestrielles suggèrent une amélioration significative de la rentabilité en fin d'année, contrastant avec les résultats annuels. Sur la base de ces rapports, on estime que l'exercice 2025 complet pourrait montrer une reprise, mais la prudence reste de mise. La société a également changé de nom pour devenir ERIUM CI, suite à une restructuration capitalistique majeure où Air Liquide International a cédé sa participation à ERIUM LTD.</w:t>
      </w:r>
    </w:p>
    <w:p>
      <w:pPr>
        <w:spacing w:after="120" w:line="276" w:lineRule="auto"/>
      </w:pPr>
      <w:r>
        <w:t>### PARTIE 4 : CONCLUSION D'INVESTISSEMENT</w:t>
      </w:r>
    </w:p>
    <w:p>
      <w:pPr>
        <w:spacing w:after="120" w:line="276" w:lineRule="auto"/>
      </w:pPr>
      <w:r>
        <w:t>La valorisation de SIVC (PER 49,8x, P/B 5,7x) est extrêmement exigeante et ne reflète pas la faiblesse des fondamentaux actuels, malgré des signes de reprise au T3 2025. Le comportement du cours est baissier, avec une volatilité élevée et une distribution statistique défavorable. Les signaux techniques sont mitigés : bien que le momentum (RSI, Stochastique) suggère un rebond imminent, la tendance de fond (MM) reste négative. Les fondamentaux montrent une amélioration de l'activité mais une rentabilité encore fragile et un endettement élevé. Les prédictions IA, projetant une baisse continue jusqu'à 1 892 FCFA, contredisent les signaux de survente technique. Cette divergence entre le potentiel de rebond technique et la trajectoire baissière prédite, couplée à une valorisation surévaluée et des fondamentaux incertains, conduit à une recommandation **VENTE**. Le niveau de confiance est **Moyen** et le risque global est **Élevé**. L'horizon d'investissement optimal est le **court terme (&lt;3 mois)** pour les traders opportunistes, mais la prudence est de mise pour tout investissement à long terme tant que la rentabilité ne s'améliore pas durablement.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620.08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1,002 titres</w:t>
            </w:r>
          </w:p>
        </w:tc>
        <w:tc>
          <w:tcPr>
            <w:tcW w:type="dxa" w:w="2268"/>
            <w:shd w:fill="FFF2CC" w:val="clear"/>
          </w:tcPr>
          <w:p>
            <w:r>
              <w:rPr>
                <w:b/>
                <w:color w:val="503200"/>
                <w:sz w:val="16"/>
              </w:rPr>
              <w:t xml:space="preserve">Cours actuel : </w:t>
            </w:r>
            <w:r>
              <w:rPr>
                <w:color w:val="000000"/>
                <w:sz w:val="17"/>
              </w:rPr>
              <w:t>37,670 FCFA</w:t>
            </w:r>
          </w:p>
          <w:p>
            <w:r>
              <w:rPr>
                <w:b/>
                <w:color w:val="503200"/>
                <w:sz w:val="16"/>
              </w:rPr>
              <w:t xml:space="preserve">Var. 100 jours : </w:t>
            </w:r>
            <w:r>
              <w:rPr>
                <w:b/>
                <w:color w:val="007800"/>
                <w:sz w:val="17"/>
              </w:rPr>
              <w:t>+5.50%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31.1%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2.44% (Faible) — μ=38,548 FCFA, σ=941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β=0.1247 (Défensif) — Cov=0.000004, Var(idx)=0.000036, ρ=0.041,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2026-08-05</w:t>
            </w:r>
          </w:p>
        </w:tc>
        <w:tc>
          <w:tcPr>
            <w:tcW w:type="dxa" w:w="1440"/>
            <w:shd w:fill="FAFAFA" w:val="clear"/>
          </w:tcPr>
          <w:p>
            <w:r>
              <w:rPr>
                <w:sz w:val="17"/>
              </w:rPr>
              <w:t>36,412</w:t>
            </w:r>
          </w:p>
        </w:tc>
        <w:tc>
          <w:tcPr>
            <w:tcW w:type="dxa" w:w="1440"/>
            <w:shd w:fill="FAFAFA" w:val="clear"/>
          </w:tcPr>
          <w:p>
            <w:r>
              <w:rPr>
                <w:b/>
                <w:sz w:val="17"/>
              </w:rPr>
              <w:t>37,719</w:t>
            </w:r>
          </w:p>
        </w:tc>
        <w:tc>
          <w:tcPr>
            <w:tcW w:type="dxa" w:w="1440"/>
            <w:shd w:fill="FAFAFA" w:val="clear"/>
          </w:tcPr>
          <w:p>
            <w:r>
              <w:rPr>
                <w:sz w:val="17"/>
              </w:rPr>
              <w:t>39,026</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2026-08-06</w:t>
            </w:r>
          </w:p>
        </w:tc>
        <w:tc>
          <w:tcPr>
            <w:tcW w:type="dxa" w:w="1440"/>
            <w:shd w:fill="FAFAFA" w:val="clear"/>
          </w:tcPr>
          <w:p>
            <w:r>
              <w:rPr>
                <w:sz w:val="17"/>
              </w:rPr>
              <w:t>35,796</w:t>
            </w:r>
          </w:p>
        </w:tc>
        <w:tc>
          <w:tcPr>
            <w:tcW w:type="dxa" w:w="1440"/>
            <w:shd w:fill="FAFAFA" w:val="clear"/>
          </w:tcPr>
          <w:p>
            <w:r>
              <w:rPr>
                <w:b/>
                <w:sz w:val="17"/>
              </w:rPr>
              <w:t>37,641</w:t>
            </w:r>
          </w:p>
        </w:tc>
        <w:tc>
          <w:tcPr>
            <w:tcW w:type="dxa" w:w="1440"/>
            <w:shd w:fill="FAFAFA" w:val="clear"/>
          </w:tcPr>
          <w:p>
            <w:r>
              <w:rPr>
                <w:sz w:val="17"/>
              </w:rPr>
              <w:t>39,486</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2026-08-10</w:t>
            </w:r>
          </w:p>
        </w:tc>
        <w:tc>
          <w:tcPr>
            <w:tcW w:type="dxa" w:w="1440"/>
            <w:shd w:fill="FAFAFA" w:val="clear"/>
          </w:tcPr>
          <w:p>
            <w:r>
              <w:rPr>
                <w:sz w:val="17"/>
              </w:rPr>
              <w:t>35,347</w:t>
            </w:r>
          </w:p>
        </w:tc>
        <w:tc>
          <w:tcPr>
            <w:tcW w:type="dxa" w:w="1440"/>
            <w:shd w:fill="FAFAFA" w:val="clear"/>
          </w:tcPr>
          <w:p>
            <w:r>
              <w:rPr>
                <w:b/>
                <w:sz w:val="17"/>
              </w:rPr>
              <w:t>37,604</w:t>
            </w:r>
          </w:p>
        </w:tc>
        <w:tc>
          <w:tcPr>
            <w:tcW w:type="dxa" w:w="1440"/>
            <w:shd w:fill="FAFAFA" w:val="clear"/>
          </w:tcPr>
          <w:p>
            <w:r>
              <w:rPr>
                <w:sz w:val="17"/>
              </w:rPr>
              <w:t>39,861</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34,971</w:t>
            </w:r>
          </w:p>
        </w:tc>
        <w:tc>
          <w:tcPr>
            <w:tcW w:type="dxa" w:w="1440"/>
            <w:shd w:fill="FAFAFA" w:val="clear"/>
          </w:tcPr>
          <w:p>
            <w:r>
              <w:rPr>
                <w:b/>
                <w:sz w:val="17"/>
              </w:rPr>
              <w:t>37,575</w:t>
            </w:r>
          </w:p>
        </w:tc>
        <w:tc>
          <w:tcPr>
            <w:tcW w:type="dxa" w:w="1440"/>
            <w:shd w:fill="FAFAFA" w:val="clear"/>
          </w:tcPr>
          <w:p>
            <w:r>
              <w:rPr>
                <w:sz w:val="17"/>
              </w:rPr>
              <w:t>40,179</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2026-08-12</w:t>
            </w:r>
          </w:p>
        </w:tc>
        <w:tc>
          <w:tcPr>
            <w:tcW w:type="dxa" w:w="1440"/>
            <w:shd w:fill="FAFAFA" w:val="clear"/>
          </w:tcPr>
          <w:p>
            <w:r>
              <w:rPr>
                <w:sz w:val="17"/>
              </w:rPr>
              <w:t>34,636</w:t>
            </w:r>
          </w:p>
        </w:tc>
        <w:tc>
          <w:tcPr>
            <w:tcW w:type="dxa" w:w="1440"/>
            <w:shd w:fill="FAFAFA" w:val="clear"/>
          </w:tcPr>
          <w:p>
            <w:r>
              <w:rPr>
                <w:b/>
                <w:sz w:val="17"/>
              </w:rPr>
              <w:t>37,546</w:t>
            </w:r>
          </w:p>
        </w:tc>
        <w:tc>
          <w:tcPr>
            <w:tcW w:type="dxa" w:w="1440"/>
            <w:shd w:fill="FAFAFA" w:val="clear"/>
          </w:tcPr>
          <w:p>
            <w:r>
              <w:rPr>
                <w:sz w:val="17"/>
              </w:rPr>
              <w:t>40,455</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2026-08-13</w:t>
            </w:r>
          </w:p>
        </w:tc>
        <w:tc>
          <w:tcPr>
            <w:tcW w:type="dxa" w:w="1440"/>
            <w:shd w:fill="FAFAFA" w:val="clear"/>
          </w:tcPr>
          <w:p>
            <w:r>
              <w:rPr>
                <w:sz w:val="17"/>
              </w:rPr>
              <w:t>34,331</w:t>
            </w:r>
          </w:p>
        </w:tc>
        <w:tc>
          <w:tcPr>
            <w:tcW w:type="dxa" w:w="1440"/>
            <w:shd w:fill="FAFAFA" w:val="clear"/>
          </w:tcPr>
          <w:p>
            <w:r>
              <w:rPr>
                <w:b/>
                <w:sz w:val="17"/>
              </w:rPr>
              <w:t>37,516</w:t>
            </w:r>
          </w:p>
        </w:tc>
        <w:tc>
          <w:tcPr>
            <w:tcW w:type="dxa" w:w="1440"/>
            <w:shd w:fill="FAFAFA" w:val="clear"/>
          </w:tcPr>
          <w:p>
            <w:r>
              <w:rPr>
                <w:sz w:val="17"/>
              </w:rPr>
              <w:t>40,700</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2026-08-14</w:t>
            </w:r>
          </w:p>
        </w:tc>
        <w:tc>
          <w:tcPr>
            <w:tcW w:type="dxa" w:w="1440"/>
            <w:shd w:fill="FAFAFA" w:val="clear"/>
          </w:tcPr>
          <w:p>
            <w:r>
              <w:rPr>
                <w:sz w:val="17"/>
              </w:rPr>
              <w:t>34,048</w:t>
            </w:r>
          </w:p>
        </w:tc>
        <w:tc>
          <w:tcPr>
            <w:tcW w:type="dxa" w:w="1440"/>
            <w:shd w:fill="FAFAFA" w:val="clear"/>
          </w:tcPr>
          <w:p>
            <w:r>
              <w:rPr>
                <w:b/>
                <w:sz w:val="17"/>
              </w:rPr>
              <w:t>37,485</w:t>
            </w:r>
          </w:p>
        </w:tc>
        <w:tc>
          <w:tcPr>
            <w:tcW w:type="dxa" w:w="1440"/>
            <w:shd w:fill="FAFAFA" w:val="clear"/>
          </w:tcPr>
          <w:p>
            <w:r>
              <w:rPr>
                <w:sz w:val="17"/>
              </w:rPr>
              <w:t>40,921</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2026-08-17</w:t>
            </w:r>
          </w:p>
        </w:tc>
        <w:tc>
          <w:tcPr>
            <w:tcW w:type="dxa" w:w="1440"/>
            <w:shd w:fill="FAFAFA" w:val="clear"/>
          </w:tcPr>
          <w:p>
            <w:r>
              <w:rPr>
                <w:sz w:val="17"/>
              </w:rPr>
              <w:t>33,782</w:t>
            </w:r>
          </w:p>
        </w:tc>
        <w:tc>
          <w:tcPr>
            <w:tcW w:type="dxa" w:w="1440"/>
            <w:shd w:fill="FAFAFA" w:val="clear"/>
          </w:tcPr>
          <w:p>
            <w:r>
              <w:rPr>
                <w:b/>
                <w:sz w:val="17"/>
              </w:rPr>
              <w:t>37,453</w:t>
            </w:r>
          </w:p>
        </w:tc>
        <w:tc>
          <w:tcPr>
            <w:tcW w:type="dxa" w:w="1440"/>
            <w:shd w:fill="FAFAFA" w:val="clear"/>
          </w:tcPr>
          <w:p>
            <w:r>
              <w:rPr>
                <w:sz w:val="17"/>
              </w:rPr>
              <w:t>41,124</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2026-08-18</w:t>
            </w:r>
          </w:p>
        </w:tc>
        <w:tc>
          <w:tcPr>
            <w:tcW w:type="dxa" w:w="1440"/>
            <w:shd w:fill="FAFAFA" w:val="clear"/>
          </w:tcPr>
          <w:p>
            <w:r>
              <w:rPr>
                <w:sz w:val="17"/>
              </w:rPr>
              <w:t>33,530</w:t>
            </w:r>
          </w:p>
        </w:tc>
        <w:tc>
          <w:tcPr>
            <w:tcW w:type="dxa" w:w="1440"/>
            <w:shd w:fill="FAFAFA" w:val="clear"/>
          </w:tcPr>
          <w:p>
            <w:r>
              <w:rPr>
                <w:b/>
                <w:sz w:val="17"/>
              </w:rPr>
              <w:t>37,421</w:t>
            </w:r>
          </w:p>
        </w:tc>
        <w:tc>
          <w:tcPr>
            <w:tcW w:type="dxa" w:w="1440"/>
            <w:shd w:fill="FAFAFA" w:val="clear"/>
          </w:tcPr>
          <w:p>
            <w:r>
              <w:rPr>
                <w:sz w:val="17"/>
              </w:rPr>
              <w:t>41,311</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2026-08-19</w:t>
            </w:r>
          </w:p>
        </w:tc>
        <w:tc>
          <w:tcPr>
            <w:tcW w:type="dxa" w:w="1440"/>
            <w:shd w:fill="FAFAFA" w:val="clear"/>
          </w:tcPr>
          <w:p>
            <w:r>
              <w:rPr>
                <w:sz w:val="17"/>
              </w:rPr>
              <w:t>33,291</w:t>
            </w:r>
          </w:p>
        </w:tc>
        <w:tc>
          <w:tcPr>
            <w:tcW w:type="dxa" w:w="1440"/>
            <w:shd w:fill="FAFAFA" w:val="clear"/>
          </w:tcPr>
          <w:p>
            <w:r>
              <w:rPr>
                <w:b/>
                <w:sz w:val="17"/>
              </w:rPr>
              <w:t>37,388</w:t>
            </w:r>
          </w:p>
        </w:tc>
        <w:tc>
          <w:tcPr>
            <w:tcW w:type="dxa" w:w="1440"/>
            <w:shd w:fill="FAFAFA" w:val="clear"/>
          </w:tcPr>
          <w:p>
            <w:r>
              <w:rPr>
                <w:sz w:val="17"/>
              </w:rPr>
              <w:t>41,485</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05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620,08 milliards FCFA, ce qui en fait l'une des plus importantes capitalisations de la BRVM, reflétant son statut de leader dans le secteur des boissons en Afrique de l'Ouest. Le BPA de 2 781 FCFA indique que chaque action génère un bénéfice substantiel, justifiant un PER de 13,5x. Ce ratio est légèrement supérieur à la moyenne historique de la BRVM (8-12x), ce qui témoigne d'une prime de croissance accordée par le marché aux excellentes performances récentes de la société. Le P/B de 3,18x confirme cette prime, le marché valorisant l'actif net de la société bien au-delà de sa valeur comptable, en raison de sa forte rentabilité (ROE de 23,46%). Enfin, l'EV/EBITDA de 7,4x se situe dans une fourchette raisonnable (5-10x), indiquant que la valorisation globale de l'entreprise, rapportée à sa capacité opérationnelle, reste attractive malgré la prime sur le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SLBC affiche une progression de +5,50%, avec une légère baisse de -0,08% lors de la dernière séance. Le titre a évolué dans une fourchette de 35 540 FCFA (plus bas) à 41 500 FCFA (plus haut), démontrant une amplitude de trading de près de 17%. La moyenne du cours sur la période est de 38 548 FCFA, très proche de la médiane de 38 825 FCFA, ce qui indique une distribution des prix relativement symétrique, confirmée par un skewness de -0,335. L'écart-type de 946 FCFA (CV de 2,5%) révèle une dispersion très faible des prix autour de la moyenne, signe d'une stabilité relative du titre. Le kurtosis de 0,923, proche d'une distribution normale, suggère un risque de mouvements extrêmes limité. La volatilité annualisée de 31,1% classe le titre dans la catégorie des valeurs à volatilité élevée (&gt;30%), ce qui implique un risque non négligeable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Les MM20 (39 020,5 FCFA) et MM50 (38 869,4 FCFA) sont toutes deux supérieures au cours actuel de 37 670 FCFA, indiquant une tendance baissière à court et moyen terme. Le croisement de ces moyennes au-dessus du prix suggère une pression vendeuse récente, mais la décision globale reste "Achat" car le titre se maintient au-dessus de ses moyennes à plus long terme.</w:t>
      </w:r>
    </w:p>
    <w:p>
      <w:pPr>
        <w:spacing w:after="120" w:line="276" w:lineRule="auto"/>
      </w:pPr>
      <w:r>
        <w:t>**Bandes de Bollinger :** Le cours actuel (37 670 FCFA) se situe près de la borne inférieure (37 287,99 FCFA), ce qui indique une zone de survente potentielle. La largeur des bandes (écart de 3 465 FCFA entre les bornes) reflète une volatilité modérée. La décision "Neutre" suggère que le marché attend un catalyseur pour déterminer la direction future.</w:t>
      </w:r>
    </w:p>
    <w:p>
      <w:pPr>
        <w:spacing w:after="120" w:line="276" w:lineRule="auto"/>
      </w:pPr>
      <w:r>
        <w:t>**MACD :** Le MACD (-280,11) est négatif et inférieur à sa ligne de signal (-68,10), confirmant un momentum baissier à court terme. La divergence négative indique que la pression vendeuse est toujours dominante, justifiant la décision de "Vente".</w:t>
      </w:r>
    </w:p>
    <w:p>
      <w:pPr>
        <w:spacing w:after="120" w:line="276" w:lineRule="auto"/>
      </w:pPr>
      <w:r>
        <w:t>**RSI :** À 36,79, le RSI se situe en zone neutre mais proche de la zone de survente (&lt;30). Cela suggère que le titre n'est pas encore survendu, mais que la pression vendeuse s'atténue. La décision "Neutre" est cohérente avec cette lecture.</w:t>
      </w:r>
    </w:p>
    <w:p>
      <w:pPr>
        <w:spacing w:after="120" w:line="276" w:lineRule="auto"/>
      </w:pPr>
      <w:r>
        <w:t>**Stochastique :** Avec un %K à 1,69 et un %D à 3,24, le stochastique est en territoire de survente extrême. Ce niveau très bas indique un potentiel de rebond technique imminent, justifiant la décision "Achat".</w:t>
      </w:r>
    </w:p>
    <w:p>
      <w:pPr>
        <w:spacing w:after="120" w:line="276" w:lineRule="auto"/>
      </w:pPr>
      <w:r>
        <w:t>**Conclusion technique :** Les indicateurs sont mitigés : les moyennes mobiles et le MACD suggèrent une faiblesse à court terme, tandis que le stochastique en survente extrême et le RSI proche de la zone de survente indiquent un possible retournement haussier. La configuration actuelle suggère une consolidation avant un éventuel rebond technique.</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des performances exceptionnelles avec un chiffre d'affaires de 378,12 milliards FCFA, en hausse de 22,1% par rapport à 2024 (309,72 milliards FCFA). Le résultat net a plus que doublé, passant de 21,47 milliards FCFA en 2024 à 45,78 milliards FCFA en 2025, portant la marge nette de 6,9% à 12,1%. Cette amélioration spectaculaire s'explique par une maîtrise des coûts, une baisse des charges financières (-55%) et un effet de levier opérationnel favorable. La rentabilité des fonds propres (ROE) atteint 23,46% et le ROA 13,48%, des niveaux excellents qui confirment l'efficacité de la gestion. La structure financière est saine avec une autonomie financière de 57,5% et une capacité de remboursement de seulement 0,67 an. Le BFR de 61,59 milliards FCFA est positif mais gérable, avec des délais clients (64 jours) et fournisseurs (77 jours) équilibrés. Les rapports trimestriels confirment cette dynamique : le T1 2026 affiche une croissance du CA de +7,6% (93,46 milliards FCFA) et un résultat net de 16,26 milliards FCFA (+4,8%), suggérant une poursuite de la tendance positive. Sur la base de ces données, on estime que l'exercice 2026 devrait confirmer la solidité des fondamentaux, avec un CA potentiel dépassant 400 milliards FCFA et un résultat net autour de 48-50 milliards FCFA. La politique de dividende généreuse (2 127 FCFA par action proposé pour 2025, soit un rendement d'environ 5,6%) renforce l'attractivité du titre.</w:t>
      </w:r>
    </w:p>
    <w:p>
      <w:pPr>
        <w:spacing w:after="120" w:line="276" w:lineRule="auto"/>
      </w:pPr>
      <w:r>
        <w:t>---</w:t>
      </w:r>
    </w:p>
    <w:p>
      <w:pPr>
        <w:spacing w:after="120" w:line="276" w:lineRule="auto"/>
      </w:pPr>
      <w:r>
        <w:t>### PARTIE 4 : CONCLUSION D'INVESTISSEMENT</w:t>
      </w:r>
    </w:p>
    <w:p>
      <w:pPr>
        <w:spacing w:after="120" w:line="276" w:lineRule="auto"/>
      </w:pPr>
      <w:r>
        <w:t>La valorisation de SLBC (PER 13,5x, P/B 3,18x, EV/EBITDA 7,4x) reflète une prime de croissance justifiée par des fondamentaux exceptionnels, mais le comportement du cours sur 100 jours (+5,5%) avec une volatilité élevée (31,1%) et des statistiques de distribution normales suggèrent une stabilité relative. Les signaux techniques sont mitigés : les moyennes mobiles et le MACD indiquent une faiblesse à court terme, mais le stochastique en survente extrême et le RSI proche de la zone de survente suggèrent un potentiel de rebond. Les fondamentaux restent très solides avec une croissance de 22% du CA, un doublement du résultat net et une politique de dividende attractive. Les prédictions IA pour les 10 prochains jours (37 546 à 37 719 FCFA) indiquent une stabilisation du cours autour des niveaux actuels, confirmant la phase de consolidation technique. La convergence entre la solidité fondamentale et le potentiel de rebond technique, malgré une valorisation légèrement élevée, conduit à une recommandation **ACHAT** avec un niveau de confiance **Moyen** et un risque global **Moyen**. L'horizon d'investissement optimal serait de **moyen terme (3-12 mois)**, permettant de capter à la fois le potentiel de rebond technique et la poursuite de la croissance fondamentale.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122.38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1,307 titres</w:t>
            </w:r>
          </w:p>
        </w:tc>
        <w:tc>
          <w:tcPr>
            <w:tcW w:type="dxa" w:w="2268"/>
            <w:shd w:fill="FFF2CC" w:val="clear"/>
          </w:tcPr>
          <w:p>
            <w:r>
              <w:rPr>
                <w:b/>
                <w:color w:val="503200"/>
                <w:sz w:val="16"/>
              </w:rPr>
              <w:t xml:space="preserve">Cours actuel : </w:t>
            </w:r>
            <w:r>
              <w:rPr>
                <w:color w:val="000000"/>
                <w:sz w:val="17"/>
              </w:rPr>
              <w:t>15,700 FCFA</w:t>
            </w:r>
          </w:p>
          <w:p>
            <w:r>
              <w:rPr>
                <w:b/>
                <w:color w:val="503200"/>
                <w:sz w:val="16"/>
              </w:rPr>
              <w:t xml:space="preserve">Var. 100 jours : </w:t>
            </w:r>
            <w:r>
              <w:rPr>
                <w:b/>
                <w:color w:val="007800"/>
                <w:sz w:val="17"/>
              </w:rPr>
              <w:t>+17.21%</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14.62% (Moyenne) — μ=14,076 FCFA, σ=2,058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β=-0.4676 (Contre-cyclique) — Cov=-0.000017, Var(idx)=0.000036, ρ=-0.117,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σ_j=2.39%/j (Stable) — Vol. annualisée≈37.9%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2026-08-05</w:t>
            </w:r>
          </w:p>
        </w:tc>
        <w:tc>
          <w:tcPr>
            <w:tcW w:type="dxa" w:w="1440"/>
            <w:shd w:fill="FAFAFA" w:val="clear"/>
          </w:tcPr>
          <w:p>
            <w:r>
              <w:rPr>
                <w:sz w:val="17"/>
              </w:rPr>
              <w:t>14,879</w:t>
            </w:r>
          </w:p>
        </w:tc>
        <w:tc>
          <w:tcPr>
            <w:tcW w:type="dxa" w:w="1440"/>
            <w:shd w:fill="FAFAFA" w:val="clear"/>
          </w:tcPr>
          <w:p>
            <w:r>
              <w:rPr>
                <w:b/>
                <w:sz w:val="17"/>
              </w:rPr>
              <w:t>15,535</w:t>
            </w:r>
          </w:p>
        </w:tc>
        <w:tc>
          <w:tcPr>
            <w:tcW w:type="dxa" w:w="1440"/>
            <w:shd w:fill="FAFAFA" w:val="clear"/>
          </w:tcPr>
          <w:p>
            <w:r>
              <w:rPr>
                <w:sz w:val="17"/>
              </w:rPr>
              <w:t>16,192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2026-08-06</w:t>
            </w:r>
          </w:p>
        </w:tc>
        <w:tc>
          <w:tcPr>
            <w:tcW w:type="dxa" w:w="1440"/>
            <w:shd w:fill="FAFAFA" w:val="clear"/>
          </w:tcPr>
          <w:p>
            <w:r>
              <w:rPr>
                <w:sz w:val="17"/>
              </w:rPr>
              <w:t>14,575</w:t>
            </w:r>
          </w:p>
        </w:tc>
        <w:tc>
          <w:tcPr>
            <w:tcW w:type="dxa" w:w="1440"/>
            <w:shd w:fill="FAFAFA" w:val="clear"/>
          </w:tcPr>
          <w:p>
            <w:r>
              <w:rPr>
                <w:b/>
                <w:sz w:val="17"/>
              </w:rPr>
              <w:t>15,502</w:t>
            </w:r>
          </w:p>
        </w:tc>
        <w:tc>
          <w:tcPr>
            <w:tcW w:type="dxa" w:w="1440"/>
            <w:shd w:fill="FAFAFA" w:val="clear"/>
          </w:tcPr>
          <w:p>
            <w:r>
              <w:rPr>
                <w:sz w:val="17"/>
              </w:rPr>
              <w:t>16,428</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2026-08-10</w:t>
            </w:r>
          </w:p>
        </w:tc>
        <w:tc>
          <w:tcPr>
            <w:tcW w:type="dxa" w:w="1440"/>
            <w:shd w:fill="FAFAFA" w:val="clear"/>
          </w:tcPr>
          <w:p>
            <w:r>
              <w:rPr>
                <w:sz w:val="17"/>
              </w:rPr>
              <w:t>14,322</w:t>
            </w:r>
          </w:p>
        </w:tc>
        <w:tc>
          <w:tcPr>
            <w:tcW w:type="dxa" w:w="1440"/>
            <w:shd w:fill="FAFAFA" w:val="clear"/>
          </w:tcPr>
          <w:p>
            <w:r>
              <w:rPr>
                <w:b/>
                <w:sz w:val="17"/>
              </w:rPr>
              <w:t>15,453</w:t>
            </w:r>
          </w:p>
        </w:tc>
        <w:tc>
          <w:tcPr>
            <w:tcW w:type="dxa" w:w="1440"/>
            <w:shd w:fill="FAFAFA" w:val="clear"/>
          </w:tcPr>
          <w:p>
            <w:r>
              <w:rPr>
                <w:sz w:val="17"/>
              </w:rPr>
              <w:t>16,584</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14,103</w:t>
            </w:r>
          </w:p>
        </w:tc>
        <w:tc>
          <w:tcPr>
            <w:tcW w:type="dxa" w:w="1440"/>
            <w:shd w:fill="FAFAFA" w:val="clear"/>
          </w:tcPr>
          <w:p>
            <w:r>
              <w:rPr>
                <w:b/>
                <w:sz w:val="17"/>
              </w:rPr>
              <w:t>15,405</w:t>
            </w:r>
          </w:p>
        </w:tc>
        <w:tc>
          <w:tcPr>
            <w:tcW w:type="dxa" w:w="1440"/>
            <w:shd w:fill="FAFAFA" w:val="clear"/>
          </w:tcPr>
          <w:p>
            <w:r>
              <w:rPr>
                <w:sz w:val="17"/>
              </w:rPr>
              <w:t>16,707</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13,908</w:t>
            </w:r>
          </w:p>
        </w:tc>
        <w:tc>
          <w:tcPr>
            <w:tcW w:type="dxa" w:w="1440"/>
            <w:shd w:fill="FFDCE0" w:val="clear"/>
          </w:tcPr>
          <w:p>
            <w:r>
              <w:rPr>
                <w:b/>
                <w:sz w:val="17"/>
              </w:rPr>
              <w:t>15,360</w:t>
            </w:r>
          </w:p>
        </w:tc>
        <w:tc>
          <w:tcPr>
            <w:tcW w:type="dxa" w:w="1440"/>
            <w:shd w:fill="FFDCE0" w:val="clear"/>
          </w:tcPr>
          <w:p>
            <w:r>
              <w:rPr>
                <w:sz w:val="17"/>
              </w:rPr>
              <w:t>16,811</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13,729</w:t>
            </w:r>
          </w:p>
        </w:tc>
        <w:tc>
          <w:tcPr>
            <w:tcW w:type="dxa" w:w="1440"/>
            <w:shd w:fill="FFDCE0" w:val="clear"/>
          </w:tcPr>
          <w:p>
            <w:r>
              <w:rPr>
                <w:b/>
                <w:sz w:val="17"/>
              </w:rPr>
              <w:t>15,315</w:t>
            </w:r>
          </w:p>
        </w:tc>
        <w:tc>
          <w:tcPr>
            <w:tcW w:type="dxa" w:w="1440"/>
            <w:shd w:fill="FFDCE0" w:val="clear"/>
          </w:tcPr>
          <w:p>
            <w:r>
              <w:rPr>
                <w:sz w:val="17"/>
              </w:rPr>
              <w:t>16,900</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13,563</w:t>
            </w:r>
          </w:p>
        </w:tc>
        <w:tc>
          <w:tcPr>
            <w:tcW w:type="dxa" w:w="1440"/>
            <w:shd w:fill="FFDCE0" w:val="clear"/>
          </w:tcPr>
          <w:p>
            <w:r>
              <w:rPr>
                <w:b/>
                <w:sz w:val="17"/>
              </w:rPr>
              <w:t>15,270</w:t>
            </w:r>
          </w:p>
        </w:tc>
        <w:tc>
          <w:tcPr>
            <w:tcW w:type="dxa" w:w="1440"/>
            <w:shd w:fill="FFDCE0" w:val="clear"/>
          </w:tcPr>
          <w:p>
            <w:r>
              <w:rPr>
                <w:sz w:val="17"/>
              </w:rPr>
              <w:t>16,978</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13,406</w:t>
            </w:r>
          </w:p>
        </w:tc>
        <w:tc>
          <w:tcPr>
            <w:tcW w:type="dxa" w:w="1440"/>
            <w:shd w:fill="FFDCE0" w:val="clear"/>
          </w:tcPr>
          <w:p>
            <w:r>
              <w:rPr>
                <w:b/>
                <w:sz w:val="17"/>
              </w:rPr>
              <w:t>15,226</w:t>
            </w:r>
          </w:p>
        </w:tc>
        <w:tc>
          <w:tcPr>
            <w:tcW w:type="dxa" w:w="1440"/>
            <w:shd w:fill="FFDCE0" w:val="clear"/>
          </w:tcPr>
          <w:p>
            <w:r>
              <w:rPr>
                <w:sz w:val="17"/>
              </w:rPr>
              <w:t>17,046</w:t>
            </w:r>
          </w:p>
        </w:tc>
        <w:tc>
          <w:tcPr>
            <w:tcW w:type="dxa" w:w="1440"/>
            <w:shd w:fill="FFDCE0" w:val="clear"/>
          </w:tcPr>
          <w:p>
            <w:r>
              <w:rPr>
                <w:b/>
                <w:color w:val="C00000"/>
                <w:sz w:val="17"/>
              </w:rPr>
              <w:t>-3.0%</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13,258</w:t>
            </w:r>
          </w:p>
        </w:tc>
        <w:tc>
          <w:tcPr>
            <w:tcW w:type="dxa" w:w="1440"/>
            <w:shd w:fill="FFDCE0" w:val="clear"/>
          </w:tcPr>
          <w:p>
            <w:r>
              <w:rPr>
                <w:b/>
                <w:sz w:val="17"/>
              </w:rPr>
              <w:t>15,183</w:t>
            </w:r>
          </w:p>
        </w:tc>
        <w:tc>
          <w:tcPr>
            <w:tcW w:type="dxa" w:w="1440"/>
            <w:shd w:fill="FFDCE0" w:val="clear"/>
          </w:tcPr>
          <w:p>
            <w:r>
              <w:rPr>
                <w:sz w:val="17"/>
              </w:rPr>
              <w:t>17,108</w:t>
            </w:r>
          </w:p>
        </w:tc>
        <w:tc>
          <w:tcPr>
            <w:tcW w:type="dxa" w:w="1440"/>
            <w:shd w:fill="FFDCE0" w:val="clear"/>
          </w:tcPr>
          <w:p>
            <w:r>
              <w:rPr>
                <w:b/>
                <w:color w:val="C00000"/>
                <w:sz w:val="17"/>
              </w:rPr>
              <w:t>-3.3%</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13,117</w:t>
            </w:r>
          </w:p>
        </w:tc>
        <w:tc>
          <w:tcPr>
            <w:tcW w:type="dxa" w:w="1440"/>
            <w:shd w:fill="FFDCE0" w:val="clear"/>
          </w:tcPr>
          <w:p>
            <w:r>
              <w:rPr>
                <w:b/>
                <w:sz w:val="17"/>
              </w:rPr>
              <w:t>15,140</w:t>
            </w:r>
          </w:p>
        </w:tc>
        <w:tc>
          <w:tcPr>
            <w:tcW w:type="dxa" w:w="1440"/>
            <w:shd w:fill="FFDCE0" w:val="clear"/>
          </w:tcPr>
          <w:p>
            <w:r>
              <w:rPr>
                <w:sz w:val="17"/>
              </w:rPr>
              <w:t>17,163</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122,38 milliards FCFA, un niveau significatif qui la positionne parmi les valeurs moyennes de la BRVM, reflétant un profil industriel solide. Avec un BPA de 1 677 FCFA, chaque action génère un bénéfice substantiel, justifiant un PER de 9,4x, inférieur à la moyenne du marché BRVM (8-12x), ce qui suggère une sous-évaluation relative et un potentiel de rattrapage. Le P/B de 2,85x indique que le marché valorise la société à près de trois fois sa valeur comptable, une prime de croissance raisonnable pour une entreprise affichant un ROE de 30,5%. Enfin, l'EV/EBITDA de 5,8x, dans la fourchette basse des 5-10x, confirme que la valeur d'entreprise reste attractive par rapport à sa capacité opérationnelle, renforçant l'idée d'une décote potentielle sur le titre.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remarquable de +17,21%, avec une dernière séance en hausse de +1,29% à 15 700 FCFA, témoignant d'un momentum positif persistant. Le titre a évolué dans un large range de 11 450 FCFA (plus bas) à 17 735 FCFA (plus haut), illustrant une volatilité significative mais une tendance globale haussière. La moyenne (14 076 FCFA) est supérieure à la médiane (13 355 FCFA), indiquant une distribution asymétrique avec des valeurs extrêmes élevées tirant la moyenne vers le haut, cohérent avec le skewness positif de 0,291. L'écart-type de 2 068 FCFA (CV=14,7%) révèle une dispersion modérée des prix autour de la moyenne, tandis que le kurtosis de -1,412 (platykurtique) suggère une faible concentration des variations, réduisant le risque de pics soudains. La volatilité annualisée de 37,9% classe SMBC comme un titre à forte volatilité, offrant des opportunités mais exigeant une gestion de risque rigoureuse.</w:t>
      </w:r>
    </w:p>
    <w:p>
      <w:pPr>
        <w:spacing w:after="120" w:line="276" w:lineRule="auto" w:before="240"/>
      </w:pPr>
      <w:r>
        <w:rPr>
          <w:b/>
          <w:color w:val="003366"/>
          <w:sz w:val="24"/>
        </w:rPr>
        <w:t>**PARTIE 2 : ANALYSE TECHNIQUE DÉTAILLÉE**</w:t>
      </w:r>
    </w:p>
    <w:p>
      <w:pPr>
        <w:spacing w:after="120" w:line="276" w:lineRule="auto"/>
      </w:pPr>
      <w:r>
        <w:t>**Moyennes Mobiles** : Le cours actuel (15 700 FCFA) se situe sous la MM20 (16 178,5 FCFA) mais au-dessus de la MM50 (15 856,9 FCFA), indiquant une consolidation récente après une tendance haussière. La décision d'achat suggère que la tendance de fond reste positive, avec un potentiel de rebond si le cours repasse au-dessus de la MM20.</w:t>
      </w:r>
    </w:p>
    <w:p>
      <w:pPr>
        <w:spacing w:after="120" w:line="276" w:lineRule="auto"/>
      </w:pPr>
      <w:r>
        <w:t>**Bandes de Bollinger** : Le prix évolue entre la borne inférieure (14 937,7 FCFA) et la borne supérieure (17 419,3 FCFA), proche de la moyenne, signalant une volatilité modérée. La décision neutre reflète une phase de stabilisation après des mouvements amples, avec un risque de breakout à surveiller.</w:t>
      </w:r>
    </w:p>
    <w:p>
      <w:pPr>
        <w:spacing w:after="120" w:line="276" w:lineRule="auto"/>
      </w:pPr>
      <w:r>
        <w:t>**MACD** : La valeur négative de -119,8 avec un signal à 14,6 indique un momentum baissier à court terme, malgré la tendance haussière de fond. La décision de vente suggère une correction technique en cours, potentiellement temporaire.</w:t>
      </w:r>
    </w:p>
    <w:p>
      <w:pPr>
        <w:spacing w:after="120" w:line="276" w:lineRule="auto"/>
      </w:pPr>
      <w:r>
        <w:t>**RSI** : À 42,2, le RSI se situe en zone neutre (30-70), indiquant un équilibre entre pression acheteuse et vendeuse. La décision neutre reflète une absence de surachat ou de survente, laissant place à une évolution directionnelle.</w:t>
      </w:r>
    </w:p>
    <w:p>
      <w:pPr>
        <w:spacing w:after="120" w:line="276" w:lineRule="auto"/>
      </w:pPr>
      <w:r>
        <w:t>**Stochastique** : Le %K (34,7) et le %D (24,1) sont en zone basse, avec un %K au-dessus du %D, suggérant un début de retournement haussier. La décision neutre indique que le mouvement n'est pas encore confirmé.</w:t>
      </w:r>
    </w:p>
    <w:p>
      <w:pPr>
        <w:spacing w:after="120" w:line="276" w:lineRule="auto"/>
      </w:pPr>
      <w:r>
        <w:t>**Conclusion technique** : Les indicateurs sont mitigés, avec une tendance de fond haussière (MM, Bollinger) mais un momentum court terme négatif (MACD). Le RSI et le Stochastique suggèrent une stabilisation, mais la prudence est de mise. Une reprise au-dessus de la MM20 confirmerait le signal d'achat, tandis qu'un passage sous la MM50 invaliderait la tendance.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 milliards FCFA, en baisse de -9,7% par rapport à 2024 (229,06 milliards FCFA), mais avec une amélioration spectaculaire de la rentabilité : le résultat net progresse de +50,3% à 13,075 milliards FCFA, portant la marge nette à 6,3% (contre 3,8% en 2024). Le ROE s'établit à 30,47%, un niveau excellent (&gt;15%), et le ROA à 7,26%, démontrant une utilisation efficace des actifs. La structure financière s'est renforcée avec des capitaux propres de 42,91 milliards FCFA (+21,6%) et une trésorerie nette positive de 23,99 milliards FCFA. Cependant, le BFR de 1,69 milliard FCFA et le délai clients de 193,75 jours (élevé) signalent un risque de trésorerie, bien que le délai fournisseurs de 207 jours compense partiellement. Les rapports trimestriels 2025 (T1, S1, 9M) confirment une tendance : baisse du CA (-22% au T1, -23% au S1, -14% au 9M) mais amélioration des marges grâce à de meilleures marges de raffinage. Sur la base du 9M 2025 (résultat net de 5,7 milliards FCFA, +6%), on estime que l'exercice 2025 devrait maintenir une rentabilité solide, avec un résultat net annuel potentiellement supérieur aux 13 milliards FCFA si la tendance du T4 se poursuit. La recommandation fondamentale est positive, avec une solidité financière accrue et une gestion opérationnelle exemplaire, malgré des défis commerciaux.</w:t>
      </w:r>
    </w:p>
    <w:p>
      <w:pPr>
        <w:spacing w:after="120" w:line="276" w:lineRule="auto" w:before="240"/>
      </w:pPr>
      <w:r>
        <w:rPr>
          <w:b/>
          <w:color w:val="003366"/>
          <w:sz w:val="24"/>
        </w:rPr>
        <w:t>**PARTIE 4 : CONCLUSION D'INVESTISSEMENT**</w:t>
      </w:r>
    </w:p>
    <w:p>
      <w:pPr>
        <w:spacing w:after="120" w:line="276" w:lineRule="auto"/>
      </w:pPr>
      <w:r>
        <w:t>La valorisation de SMBC est attractive avec un PER de 9,4x (sous-évalué par rapport à la moyenne BRVM) et un EV/EBITDA de 5,8x, indiquant un potentiel de revalorisation. Le comportement du cours sur 100 jours (+17,21%) confirme une tendance haussière, bien que la volatilité élevée (37,9%) et le kurtosis platykurtique suggèrent des mouvements modérés mais des risques de correction. Les signaux techniques sont mitigés (MM haussières, MACD baissier), mais la convergence vers une stabilisation pourrait précéder un nouveau rally. Fondamentalement, SMBC affiche une santé financière robuste avec un ROE de 30,5%, une trésorerie de 24 milliards FCFA et une amélioration des marges, malgré une baisse du CA. Les prédictions IA (15 535 à 15 360 FCFA sur 10 jours) indiquent une légère consolidation, contredisant partiellement le momentum haussier mais restant dans une fourchette raisonnable. La convergence entre la sous-évaluation (PER), la solidité fondamentale et la tendance de fond haussière, malgré des signaux techniques mixtes, justifie une recommandation **ACHAT** avec un niveau de confiance **Moyen** et un risque global **Moyen**. L'horizon optimal est le **moyen terme (3-12 mois)**, permettant de capturer le potentiel de revalorisation tout en gérant la volatilité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3140.00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9,696 titres</w:t>
            </w:r>
          </w:p>
        </w:tc>
        <w:tc>
          <w:tcPr>
            <w:tcW w:type="dxa" w:w="2268"/>
            <w:shd w:fill="FFF2CC" w:val="clear"/>
          </w:tcPr>
          <w:p>
            <w:r>
              <w:rPr>
                <w:b/>
                <w:color w:val="503200"/>
                <w:sz w:val="16"/>
              </w:rPr>
              <w:t xml:space="preserve">Cours actuel : </w:t>
            </w:r>
            <w:r>
              <w:rPr>
                <w:color w:val="000000"/>
                <w:sz w:val="17"/>
              </w:rPr>
              <w:t>31,400 FCFA</w:t>
            </w:r>
          </w:p>
          <w:p>
            <w:r>
              <w:rPr>
                <w:b/>
                <w:color w:val="503200"/>
                <w:sz w:val="16"/>
              </w:rPr>
              <w:t xml:space="preserve">Var. 100 jours : </w:t>
            </w:r>
            <w:r>
              <w:rPr>
                <w:b/>
                <w:color w:val="007800"/>
                <w:sz w:val="17"/>
              </w:rPr>
              <w:t>+8.46%</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4.02% (Faible) — μ=29,210 FCFA, σ=1,175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β=1.0964 (Neutre (suit le marché)) — Cov=0.000039, Var(idx)=0.000036, ρ=0.431,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9,696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σ_j=1.52%/j (Stable) — Vol. annualisée≈24.1%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2026-08-05</w:t>
            </w:r>
          </w:p>
        </w:tc>
        <w:tc>
          <w:tcPr>
            <w:tcW w:type="dxa" w:w="1440"/>
            <w:shd w:fill="FAFAFA" w:val="clear"/>
          </w:tcPr>
          <w:p>
            <w:r>
              <w:rPr>
                <w:sz w:val="17"/>
              </w:rPr>
              <w:t>30,368</w:t>
            </w:r>
          </w:p>
        </w:tc>
        <w:tc>
          <w:tcPr>
            <w:tcW w:type="dxa" w:w="1440"/>
            <w:shd w:fill="FAFAFA" w:val="clear"/>
          </w:tcPr>
          <w:p>
            <w:r>
              <w:rPr>
                <w:b/>
                <w:sz w:val="17"/>
              </w:rPr>
              <w:t>31,051</w:t>
            </w:r>
          </w:p>
        </w:tc>
        <w:tc>
          <w:tcPr>
            <w:tcW w:type="dxa" w:w="1440"/>
            <w:shd w:fill="FAFAFA" w:val="clear"/>
          </w:tcPr>
          <w:p>
            <w:r>
              <w:rPr>
                <w:sz w:val="17"/>
              </w:rPr>
              <w:t>31,734</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2026-08-06</w:t>
            </w:r>
          </w:p>
        </w:tc>
        <w:tc>
          <w:tcPr>
            <w:tcW w:type="dxa" w:w="1440"/>
            <w:shd w:fill="FAFAFA" w:val="clear"/>
          </w:tcPr>
          <w:p>
            <w:r>
              <w:rPr>
                <w:sz w:val="17"/>
              </w:rPr>
              <w:t>30,082</w:t>
            </w:r>
          </w:p>
        </w:tc>
        <w:tc>
          <w:tcPr>
            <w:tcW w:type="dxa" w:w="1440"/>
            <w:shd w:fill="FAFAFA" w:val="clear"/>
          </w:tcPr>
          <w:p>
            <w:r>
              <w:rPr>
                <w:b/>
                <w:sz w:val="17"/>
              </w:rPr>
              <w:t>31,048</w:t>
            </w:r>
          </w:p>
        </w:tc>
        <w:tc>
          <w:tcPr>
            <w:tcW w:type="dxa" w:w="1440"/>
            <w:shd w:fill="FAFAFA" w:val="clear"/>
          </w:tcPr>
          <w:p>
            <w:r>
              <w:rPr>
                <w:sz w:val="17"/>
              </w:rPr>
              <w:t>32,014</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29,833</w:t>
            </w:r>
          </w:p>
        </w:tc>
        <w:tc>
          <w:tcPr>
            <w:tcW w:type="dxa" w:w="1440"/>
            <w:shd w:fill="FAFAFA" w:val="clear"/>
          </w:tcPr>
          <w:p>
            <w:r>
              <w:rPr>
                <w:b/>
                <w:sz w:val="17"/>
              </w:rPr>
              <w:t>31,015</w:t>
            </w:r>
          </w:p>
        </w:tc>
        <w:tc>
          <w:tcPr>
            <w:tcW w:type="dxa" w:w="1440"/>
            <w:shd w:fill="FAFAFA" w:val="clear"/>
          </w:tcPr>
          <w:p>
            <w:r>
              <w:rPr>
                <w:sz w:val="17"/>
              </w:rPr>
              <w:t>32,197</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29,615</w:t>
            </w:r>
          </w:p>
        </w:tc>
        <w:tc>
          <w:tcPr>
            <w:tcW w:type="dxa" w:w="1440"/>
            <w:shd w:fill="FAFAFA" w:val="clear"/>
          </w:tcPr>
          <w:p>
            <w:r>
              <w:rPr>
                <w:b/>
                <w:sz w:val="17"/>
              </w:rPr>
              <w:t>30,978</w:t>
            </w:r>
          </w:p>
        </w:tc>
        <w:tc>
          <w:tcPr>
            <w:tcW w:type="dxa" w:w="1440"/>
            <w:shd w:fill="FAFAFA" w:val="clear"/>
          </w:tcPr>
          <w:p>
            <w:r>
              <w:rPr>
                <w:sz w:val="17"/>
              </w:rPr>
              <w:t>32,342</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2026-08-12</w:t>
            </w:r>
          </w:p>
        </w:tc>
        <w:tc>
          <w:tcPr>
            <w:tcW w:type="dxa" w:w="1440"/>
            <w:shd w:fill="FAFAFA" w:val="clear"/>
          </w:tcPr>
          <w:p>
            <w:r>
              <w:rPr>
                <w:sz w:val="17"/>
              </w:rPr>
              <w:t>29,421</w:t>
            </w:r>
          </w:p>
        </w:tc>
        <w:tc>
          <w:tcPr>
            <w:tcW w:type="dxa" w:w="1440"/>
            <w:shd w:fill="FAFAFA" w:val="clear"/>
          </w:tcPr>
          <w:p>
            <w:r>
              <w:rPr>
                <w:b/>
                <w:sz w:val="17"/>
              </w:rPr>
              <w:t>30,944</w:t>
            </w:r>
          </w:p>
        </w:tc>
        <w:tc>
          <w:tcPr>
            <w:tcW w:type="dxa" w:w="1440"/>
            <w:shd w:fill="FAFAFA" w:val="clear"/>
          </w:tcPr>
          <w:p>
            <w:r>
              <w:rPr>
                <w:sz w:val="17"/>
              </w:rPr>
              <w:t>32,466</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2026-08-13</w:t>
            </w:r>
          </w:p>
        </w:tc>
        <w:tc>
          <w:tcPr>
            <w:tcW w:type="dxa" w:w="1440"/>
            <w:shd w:fill="FAFAFA" w:val="clear"/>
          </w:tcPr>
          <w:p>
            <w:r>
              <w:rPr>
                <w:sz w:val="17"/>
              </w:rPr>
              <w:t>29,245</w:t>
            </w:r>
          </w:p>
        </w:tc>
        <w:tc>
          <w:tcPr>
            <w:tcW w:type="dxa" w:w="1440"/>
            <w:shd w:fill="FAFAFA" w:val="clear"/>
          </w:tcPr>
          <w:p>
            <w:r>
              <w:rPr>
                <w:b/>
                <w:sz w:val="17"/>
              </w:rPr>
              <w:t>30,911</w:t>
            </w:r>
          </w:p>
        </w:tc>
        <w:tc>
          <w:tcPr>
            <w:tcW w:type="dxa" w:w="1440"/>
            <w:shd w:fill="FAFAFA" w:val="clear"/>
          </w:tcPr>
          <w:p>
            <w:r>
              <w:rPr>
                <w:sz w:val="17"/>
              </w:rPr>
              <w:t>32,577</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2026-08-14</w:t>
            </w:r>
          </w:p>
        </w:tc>
        <w:tc>
          <w:tcPr>
            <w:tcW w:type="dxa" w:w="1440"/>
            <w:shd w:fill="FAFAFA" w:val="clear"/>
          </w:tcPr>
          <w:p>
            <w:r>
              <w:rPr>
                <w:sz w:val="17"/>
              </w:rPr>
              <w:t>29,080</w:t>
            </w:r>
          </w:p>
        </w:tc>
        <w:tc>
          <w:tcPr>
            <w:tcW w:type="dxa" w:w="1440"/>
            <w:shd w:fill="FAFAFA" w:val="clear"/>
          </w:tcPr>
          <w:p>
            <w:r>
              <w:rPr>
                <w:b/>
                <w:sz w:val="17"/>
              </w:rPr>
              <w:t>30,878</w:t>
            </w:r>
          </w:p>
        </w:tc>
        <w:tc>
          <w:tcPr>
            <w:tcW w:type="dxa" w:w="1440"/>
            <w:shd w:fill="FAFAFA" w:val="clear"/>
          </w:tcPr>
          <w:p>
            <w:r>
              <w:rPr>
                <w:sz w:val="17"/>
              </w:rPr>
              <w:t>32,676</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2026-08-17</w:t>
            </w:r>
          </w:p>
        </w:tc>
        <w:tc>
          <w:tcPr>
            <w:tcW w:type="dxa" w:w="1440"/>
            <w:shd w:fill="FAFAFA" w:val="clear"/>
          </w:tcPr>
          <w:p>
            <w:r>
              <w:rPr>
                <w:sz w:val="17"/>
              </w:rPr>
              <w:t>28,926</w:t>
            </w:r>
          </w:p>
        </w:tc>
        <w:tc>
          <w:tcPr>
            <w:tcW w:type="dxa" w:w="1440"/>
            <w:shd w:fill="FAFAFA" w:val="clear"/>
          </w:tcPr>
          <w:p>
            <w:r>
              <w:rPr>
                <w:b/>
                <w:sz w:val="17"/>
              </w:rPr>
              <w:t>30,846</w:t>
            </w:r>
          </w:p>
        </w:tc>
        <w:tc>
          <w:tcPr>
            <w:tcW w:type="dxa" w:w="1440"/>
            <w:shd w:fill="FAFAFA" w:val="clear"/>
          </w:tcPr>
          <w:p>
            <w:r>
              <w:rPr>
                <w:sz w:val="17"/>
              </w:rPr>
              <w:t>32,766</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2026-08-18</w:t>
            </w:r>
          </w:p>
        </w:tc>
        <w:tc>
          <w:tcPr>
            <w:tcW w:type="dxa" w:w="1440"/>
            <w:shd w:fill="FAFAFA" w:val="clear"/>
          </w:tcPr>
          <w:p>
            <w:r>
              <w:rPr>
                <w:sz w:val="17"/>
              </w:rPr>
              <w:t>28,780</w:t>
            </w:r>
          </w:p>
        </w:tc>
        <w:tc>
          <w:tcPr>
            <w:tcW w:type="dxa" w:w="1440"/>
            <w:shd w:fill="FAFAFA" w:val="clear"/>
          </w:tcPr>
          <w:p>
            <w:r>
              <w:rPr>
                <w:b/>
                <w:sz w:val="17"/>
              </w:rPr>
              <w:t>30,814</w:t>
            </w:r>
          </w:p>
        </w:tc>
        <w:tc>
          <w:tcPr>
            <w:tcW w:type="dxa" w:w="1440"/>
            <w:shd w:fill="FAFAFA" w:val="clear"/>
          </w:tcPr>
          <w:p>
            <w:r>
              <w:rPr>
                <w:sz w:val="17"/>
              </w:rPr>
              <w:t>32,848</w:t>
            </w:r>
          </w:p>
        </w:tc>
        <w:tc>
          <w:tcPr>
            <w:tcW w:type="dxa" w:w="1440"/>
            <w:shd w:fill="FAFAFA" w:val="clear"/>
          </w:tcPr>
          <w:p>
            <w:r>
              <w:rPr>
                <w:b/>
                <w:color w:val="C00000"/>
                <w:sz w:val="17"/>
              </w:rPr>
              <w:t>-1.9%</w:t>
            </w:r>
          </w:p>
        </w:tc>
      </w:tr>
      <w:tr>
        <w:tc>
          <w:tcPr>
            <w:tcW w:type="dxa" w:w="1440"/>
            <w:shd w:fill="FAFAFA" w:val="clear"/>
          </w:tcPr>
          <w:p>
            <w:r>
              <w:rPr>
                <w:sz w:val="17"/>
              </w:rPr>
              <w:t>J+10  ⭐</w:t>
            </w:r>
          </w:p>
        </w:tc>
        <w:tc>
          <w:tcPr>
            <w:tcW w:type="dxa" w:w="1440"/>
            <w:shd w:fill="FAFAFA" w:val="clear"/>
          </w:tcPr>
          <w:p>
            <w:r>
              <w:rPr>
                <w:sz w:val="17"/>
              </w:rPr>
              <w:t>2026-08-19</w:t>
            </w:r>
          </w:p>
        </w:tc>
        <w:tc>
          <w:tcPr>
            <w:tcW w:type="dxa" w:w="1440"/>
            <w:shd w:fill="FAFAFA" w:val="clear"/>
          </w:tcPr>
          <w:p>
            <w:r>
              <w:rPr>
                <w:sz w:val="17"/>
              </w:rPr>
              <w:t>28,641</w:t>
            </w:r>
          </w:p>
        </w:tc>
        <w:tc>
          <w:tcPr>
            <w:tcW w:type="dxa" w:w="1440"/>
            <w:shd w:fill="FAFAFA" w:val="clear"/>
          </w:tcPr>
          <w:p>
            <w:r>
              <w:rPr>
                <w:b/>
                <w:sz w:val="17"/>
              </w:rPr>
              <w:t>30,783</w:t>
            </w:r>
          </w:p>
        </w:tc>
        <w:tc>
          <w:tcPr>
            <w:tcW w:type="dxa" w:w="1440"/>
            <w:shd w:fill="FAFAFA" w:val="clear"/>
          </w:tcPr>
          <w:p>
            <w:r>
              <w:rPr>
                <w:sz w:val="17"/>
              </w:rPr>
              <w:t>32,924</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3 140 milliards FCFA, ce qui en fait l'une des toutes premières capitalisations de la BRVM, représentant un poids considérable dans l'indice. Avec un BPA de 4 136 FCFA, le titre se négocie à un PER de 7,6x, ce qui est inférieur à la moyenne historique de la place (~8-12x), suggérant une sous-évaluation relative du titre par rapport à ses bénéfices. Le P/B de 2,24x indique que le marché valorise la société à plus de deux fois ses capitaux propres, ce qui est cohérent avec une prime de croissance pour un leader régional. Enfin, un EV/EBITDA de 3,2x, très inférieur au seuil de 5x, confirme une valorisation très attractive de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de +8,46%, avec une dernière séance en hausse de +1,29% à 31 400 FCFA. Le titre a évolué dans une fourchette de 27 160 FCFA (plus bas) à 32 500 FCFA (plus haut), démontrant une dynamique haussière soutenue. La moyenne (29 210 FCFA) étant supérieure à la médiane (28 850 FCFA), la distribution des prix est légèrement asymétrique, ce que confirme le skewness positif de 1,191, indiquant que les jours de hausse ont été plus marqués que les jours de baisse. L'écart-type de 1 181 FCFA (CV de 4,0%) reflète une dispersion modérée des cours autour de la moyenne. Le kurtosis de 0,289 (mésokurtique) suggère une distribution proche de la normale, sans risque de variations extrêmes. La volatilité annualisée de 24,1% classe le titre dans une catégorie de risque modéré.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(31 400 FCFA) se situe au-dessus de la MM20 (31 375,75 FCFA) et nettement au-dessus de la MM50 (29 755,9 FCFA). Cette configuration haussière, où le prix est soutenu par ses moyennes mobiles, justifie la décision d'**Achat**. La pente positive de la MM50 confirme la tendance de fond.</w:t>
      </w:r>
    </w:p>
    <w:p>
      <w:pPr>
        <w:spacing w:after="120" w:line="276" w:lineRule="auto"/>
      </w:pPr>
      <w:r>
        <w:t>**Bandes de Bollinger :** Le cours se positionne dans la partie supérieure du canal, entre la borne inférieure (30 430 FCFA) et la borne supérieure (32 321 FCFA), proche de la moyenne mobile. La largeur des bandes indique une volatilité normale. La décision est **Neutre**, le prix n'étant pas en situation de surachat ou de survente extrême.</w:t>
      </w:r>
    </w:p>
    <w:p>
      <w:pPr>
        <w:spacing w:after="120" w:line="276" w:lineRule="auto"/>
      </w:pPr>
      <w:r>
        <w:t>**MACD :** La valeur du MACD (382,7) est inférieure à son signal (524,2), indiquant un momentum baissier à court terme. Cette divergence négative suggère un possible ralentissement de la dynamique haussière, justifiant la décision de **Vente**. Cependant, les deux lignes restent en territoire positif, ce qui nuance ce signal.</w:t>
      </w:r>
    </w:p>
    <w:p>
      <w:pPr>
        <w:spacing w:after="120" w:line="276" w:lineRule="auto"/>
      </w:pPr>
      <w:r>
        <w:t>**RSI :** Avec une valeur de 28,0, le RSI est en zone de **survente** (&lt;30). Cela indique que le titre a été récemment vendu de manière excessive et qu'un rebond technique est probable. La décision est **Achat**, car cette situation offre souvent un point d'entrée opportun.</w:t>
      </w:r>
    </w:p>
    <w:p>
      <w:pPr>
        <w:spacing w:after="120" w:line="276" w:lineRule="auto"/>
      </w:pPr>
      <w:r>
        <w:t>**Stochastique :** Le %K (40,0) est supérieur au %D (13,333), montrant un croisement haussier en cours de formation. Bien que les deux lignes soient encore basses, cette configuration suggère un potentiel de reprise. La décision est **Neutre**, en attendant une confirmation plus franche.</w:t>
      </w:r>
    </w:p>
    <w:p>
      <w:pPr>
        <w:spacing w:after="120" w:line="276" w:lineRule="auto"/>
      </w:pPr>
      <w:r>
        <w:t>**Conclusion technique :** Les signaux sont mitigés. La tendance de fond (MM) et le RSI (survente) plaident pour un **Achat**, tandis que le MACD (momentum) et les bandes de Bollinger (position neutre) tempèrent cet optimisme. Le croisement haussier du stochastique pourrait être le déclencheur d'un nouveau mouvement haussier. Globalement, la tendance reste positive, mais un palier de consolidation est possible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résultats financiers solides, avec un chiffre d'affaires de 1 923,1 milliards FCFA, en hausse de +8,3% par rapport à 2024. Le résultat net consolidé atteint 413,6 milliards FCFA, en progression de +5,1%, portant la marge nette à 21,5%. La rentabilité des fonds propres (ROE) est excellente à 29,6%, et le ROA s'établit à 12,6%, démontrant une gestion très efficace des actifs. La structure financière est saine avec une autonomie financière de 42,8% et une capacité de remboursement rapide (0,64 an). Le BFR est négatif (-284,9 Mds FCFA), ce qui est un signe de grande solidité, l'entreprise finançant son cycle d'exploitation par ses fournisseurs (délai fournisseurs de 201 jours). Les rapports trimestriels de 2025 (T1, S1, T3) confirment cette dynamique, avec une croissance soutenue du CA et une marge d'EBITDAaL stable autour de 47-48%. Sur la base de ces tendances, on estime que l'exercice 2026 pourrait voir une croissance du chiffre d'affaires de l'ordre de +7 à +9%, portée par la data et les services financiers numériques. Le dividende proposé pour 2025 est de 1 933 FCFA brut par action (1 740 FCFA net), offrant un rendement attractif. Les risques identifiés restent la pression réglementaire et fiscale, ainsi que la concurrence intense sur le mobile money.</w:t>
      </w:r>
    </w:p>
    <w:p>
      <w:pPr>
        <w:spacing w:after="120" w:line="276" w:lineRule="auto"/>
      </w:pPr>
      <w:r>
        <w:t>---</w:t>
      </w:r>
    </w:p>
    <w:p>
      <w:pPr>
        <w:spacing w:after="120" w:line="276" w:lineRule="auto"/>
      </w:pPr>
      <w:r>
        <w:t>### PARTIE 4 : CONCLUSION D'INVESTISSEMENT</w:t>
      </w:r>
    </w:p>
    <w:p>
      <w:pPr>
        <w:spacing w:after="120" w:line="276" w:lineRule="auto"/>
      </w:pPr>
      <w:r>
        <w:t>La valorisation de SNTS est très attractive (PER 7,6x, EV/EBITDA 3,2x), indiquant une sous-évaluation malgré des fondamentaux de grande qualité. Le comportement du cours est positif (+8,46% sur 100 jours) avec une volatilité modérée, bien que le skewness positif suggère un potentiel de hausse. Les signaux techniques sont partagés, mais la tendance de fond (MM) et le RSI en survente plaident pour un point d'entrée opportun à court terme. Les fondamentaux sont excellents, avec une croissance rentable et une structure financière robuste. Les prédictions IA (31 051 FCFA à 30 944 FCFA sur 10 jours) suggèrent une légère consolidation, ce qui pourrait offrir un meilleur point d'entrée. En synthèse, la convergence entre la sous-évaluation, la solidité financière et la tendance haussière de fond justifie une recommandation **ACHAT**. Le niveau de confiance est **Élevé**, le risque global est **Moyen** (volatilité modérée, risques réglementaires). L'horizon d'investissement optimal est le **moyen terme (3-12 mois)**, pour capter à la fois le potentiel de revalorisation et le rendement du dividende.</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[4]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pr\u00e9sente une performance financi\u00e8re solide avec une croissance soutenue et une rentabilit\u00e9 \u00e9lev\u00e9e, mais \u00e9volue dans un environnement concurrentiel intense et inflationniste. La strat\u00e9gie de d\u00e9veloppement du tr\u00e8s haut d\u00e9bit et la position de leader justifient le maintien en portefeuille."}</w:t>
      </w:r>
    </w:p>
    <w:p>
      <w:pPr>
        <w:spacing w:before="40"/>
        <w:ind w:left="400"/>
      </w:pPr>
      <w:r>
        <w:rPr>
          <w:sz w:val="18"/>
        </w:rPr>
        <w:t>Sonatel affiche une performance financière solide en 2022 avec un chiffre d'affaires en croissance de 9% à 1 455 milliards FCFA et un résultat net en hausse de 10,5% à 278,9 milliards FCFA. Le groupe maintient son leadership sur tous ses marchés de présence (Sénégal, Mali, Guinée, Guinée Bissau, Sierra Leone) malgré un contexte socio-économique difficile. La croissance est portée par le développement du très haut débit avec 10,6 millions de clients 4G et une forte croissance du parc broadband fixe (+34,8%). L'EBITDAAL progresse de 8,8% à 631,5 milliards FCFA avec une marge de 43,4%, témoignant d'une rentabilité opérationnelle robuste. Le groupe propose un dividende de 1 667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'262,5 milliards FCFA', 'ebitdaal': '631,5 milliards FCFA', 'clients_4G': '10,6 millions', 'parc_mobile': '37,9 millions', 'marge_ebitdaal': '43,4%', 'operating_cash_flow': '369,1 milliards FCFA', 'clients_orange_money': '26,4 millions'}</w:t>
            </w:r>
          </w:p>
        </w:tc>
        <w:tc>
          <w:tcPr>
            <w:tcW w:type="dxa" w:w="2160"/>
          </w:tcPr>
          <w:p>
            <w:pPr>
              <w:ind w:left="100"/>
            </w:pPr>
            <w:r/>
            <w:r>
              <w:rPr>
                <w:b/>
                <w:sz w:val="16"/>
              </w:rPr>
              <w:t>dividende</w:t>
              <w:br/>
            </w:r>
            <w:r>
              <w:rPr>
                <w:sz w:val="18"/>
              </w:rPr>
              <w:t>1 667 FCFA brut par action (1 500 FCFA net)</w:t>
            </w:r>
          </w:p>
        </w:tc>
        <w:tc>
          <w:tcPr>
            <w:tcW w:type="dxa" w:w="2160"/>
          </w:tcPr>
          <w:p>
            <w:pPr>
              <w:ind w:left="100"/>
            </w:pPr>
            <w:r/>
            <w:r>
              <w:rPr>
                <w:b/>
                <w:sz w:val="16"/>
              </w:rPr>
              <w:t>marge_nette</w:t>
              <w:br/>
            </w:r>
            <w:r>
              <w:rPr>
                <w:sz w:val="18"/>
              </w:rPr>
              <w:t>19,2%</w:t>
            </w:r>
          </w:p>
        </w:tc>
        <w:tc>
          <w:tcPr>
            <w:tcW w:type="dxa" w:w="2160"/>
          </w:tcPr>
          <w:p>
            <w:pPr>
              <w:ind w:left="100"/>
            </w:pPr>
            <w:r/>
            <w:r>
              <w:rPr>
                <w:b/>
                <w:sz w:val="16"/>
              </w:rPr>
              <w:t>total_actif</w:t>
              <w:br/>
            </w:r>
            <w:r>
              <w:rPr>
                <w:sz w:val="18"/>
              </w:rPr>
              <w:t>2 252,2 milliards FCFA</w:t>
            </w:r>
          </w:p>
        </w:tc>
      </w:tr>
      <w:tr>
        <w:tc>
          <w:tcPr>
            <w:tcW w:type="dxa" w:w="2160"/>
          </w:tcPr>
          <w:p>
            <w:r/>
            <w:r>
              <w:rPr>
                <w:b/>
                <w:sz w:val="16"/>
              </w:rPr>
              <w:t>resultat_net</w:t>
              <w:br/>
            </w:r>
            <w:r>
              <w:rPr>
                <w:sz w:val="18"/>
              </w:rPr>
              <w:t>278,9 milliards FCFA</w:t>
            </w:r>
          </w:p>
        </w:tc>
        <w:tc>
          <w:tcPr>
            <w:tcW w:type="dxa" w:w="2160"/>
          </w:tcPr>
          <w:p>
            <w:r/>
            <w:r>
              <w:rPr>
                <w:b/>
                <w:sz w:val="16"/>
              </w:rPr>
              <w:t>capitaux_propres</w:t>
              <w:br/>
            </w:r>
            <w:r>
              <w:rPr>
                <w:sz w:val="18"/>
              </w:rPr>
              <w:t>898,5 milliards FCFA</w:t>
            </w:r>
          </w:p>
        </w:tc>
        <w:tc>
          <w:tcPr>
            <w:tcW w:type="dxa" w:w="2160"/>
          </w:tcPr>
          <w:p>
            <w:r/>
            <w:r>
              <w:rPr>
                <w:b/>
                <w:sz w:val="16"/>
              </w:rPr>
              <w:t>chiffre_affaires</w:t>
              <w:br/>
            </w:r>
            <w:r>
              <w:rPr>
                <w:sz w:val="18"/>
              </w:rPr>
              <w:t>1 455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 à 1 455 milliards FCFA malgré la baisse d'Orange Money</w:t>
      </w:r>
    </w:p>
    <w:p>
      <w:pPr>
        <w:pStyle w:val="ListBullet"/>
        <w:spacing w:before="20" w:after="20"/>
        <w:ind w:left="700"/>
      </w:pPr>
      <w:r>
        <w:rPr>
          <w:sz w:val="18"/>
        </w:rPr>
        <w:t>Résultat net en progression de 10,5% à 278,9 milliards FCFA avec une marge nette de 19,2%</w:t>
      </w:r>
    </w:p>
    <w:p>
      <w:pPr>
        <w:pStyle w:val="ListBullet"/>
        <w:spacing w:before="20" w:after="20"/>
        <w:ind w:left="700"/>
      </w:pPr>
      <w:r>
        <w:rPr>
          <w:sz w:val="18"/>
        </w:rPr>
        <w:t>Maintien du leadership sur tous les marchés avec des parts de marché entre 51,6% et 65,9%</w:t>
      </w:r>
    </w:p>
    <w:p>
      <w:pPr>
        <w:pStyle w:val="ListBullet"/>
        <w:spacing w:before="20" w:after="20"/>
        <w:ind w:left="700"/>
      </w:pPr>
      <w:r>
        <w:rPr>
          <w:sz w:val="18"/>
        </w:rPr>
        <w:t>Forte croissance du parc 4G (+33%) atteignant 10,6 millions de clients actifs</w:t>
      </w:r>
    </w:p>
    <w:p>
      <w:pPr>
        <w:pStyle w:val="ListBullet"/>
        <w:spacing w:before="20" w:after="20"/>
        <w:ind w:left="700"/>
      </w:pPr>
      <w:r>
        <w:rPr>
          <w:sz w:val="18"/>
        </w:rPr>
        <w:t>Développement significatif du broadband fixe (+34,8%) avec 586K clients dont 491K en fibre</w:t>
      </w:r>
    </w:p>
    <w:p>
      <w:pPr>
        <w:pStyle w:val="ListBullet"/>
        <w:spacing w:before="20" w:after="20"/>
        <w:ind w:left="700"/>
      </w:pPr>
      <w:r>
        <w:rPr>
          <w:sz w:val="18"/>
        </w:rPr>
        <w:t>EBITDAAL en hausse de 8,8% à 631,5 milliards FCFA avec une marge stable à 43,4%</w:t>
      </w:r>
    </w:p>
    <w:p>
      <w:pPr>
        <w:spacing w:before="40"/>
        <w:ind w:left="400"/>
      </w:pPr>
      <w:r>
        <w:rPr>
          <w:b/>
          <w:color w:val="C05000"/>
          <w:sz w:val="18"/>
        </w:rPr>
        <w:t xml:space="preserve">⚠️ Risques : </w:t>
      </w:r>
      <w:r>
        <w:rPr>
          <w:sz w:val="18"/>
        </w:rPr>
        <w:t>["Contexte socio-\u00e9conomique difficile avec inflation \u00e9lev\u00e9e et transitions militaires au Mali et en Guin\u00e9e", "Agressivit\u00e9 concurrentielle croissante sur tous les march\u00e9s, notamment sur la data et le mobile money", "D\u00e9pr\u00e9ciation mon\u00e9taire importante en Sie</w:t>
      </w:r>
    </w:p>
    <w:p>
      <w:pPr>
        <w:spacing w:before="40"/>
        <w:ind w:left="400"/>
      </w:pPr>
      <w:r>
        <w:rPr>
          <w:b/>
          <w:color w:val="0064A0"/>
          <w:sz w:val="18"/>
        </w:rPr>
        <w:t xml:space="preserve">🔮 Perspectives : </w:t>
      </w:r>
      <w:r>
        <w:rPr>
          <w:sz w:val="18"/>
        </w:rPr>
        <w:t>Pour 2023, Sonatel vise à renforcer sa performance en croissance et rentabilité grâce à un plan d'efficience opérationnelle. Le groupe poursuivra sa stratégie d'opérateur multiservices en accélérant le très haut débit fixe et mobile, la distribution de contenus via Wido et Orange Energie. L'objectif</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170.65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4,251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B40000"/>
                <w:sz w:val="17"/>
              </w:rPr>
              <w:t>-9.71%</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5.56% (Moyenne) — μ=8,052 FCFA, σ=448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β=0.9117 (Neutre (suit le marché)) — Cov=0.000033, Var(idx)=0.000036, ρ=0.241,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2026-08-05</w:t>
            </w:r>
          </w:p>
        </w:tc>
        <w:tc>
          <w:tcPr>
            <w:tcW w:type="dxa" w:w="1440"/>
            <w:shd w:fill="C6EFCE" w:val="clear"/>
          </w:tcPr>
          <w:p>
            <w:r>
              <w:rPr>
                <w:sz w:val="17"/>
              </w:rPr>
              <w:t>7,871</w:t>
            </w:r>
          </w:p>
        </w:tc>
        <w:tc>
          <w:tcPr>
            <w:tcW w:type="dxa" w:w="1440"/>
            <w:shd w:fill="C6EFCE" w:val="clear"/>
          </w:tcPr>
          <w:p>
            <w:r>
              <w:rPr>
                <w:b/>
                <w:sz w:val="17"/>
              </w:rPr>
              <w:t>8,117</w:t>
            </w:r>
          </w:p>
        </w:tc>
        <w:tc>
          <w:tcPr>
            <w:tcW w:type="dxa" w:w="1440"/>
            <w:shd w:fill="C6EFCE" w:val="clear"/>
          </w:tcPr>
          <w:p>
            <w:r>
              <w:rPr>
                <w:sz w:val="17"/>
              </w:rPr>
              <w:t>8,363</w:t>
            </w:r>
          </w:p>
        </w:tc>
        <w:tc>
          <w:tcPr>
            <w:tcW w:type="dxa" w:w="1440"/>
            <w:shd w:fill="C6EFCE" w:val="clear"/>
          </w:tcPr>
          <w:p>
            <w:r>
              <w:rPr>
                <w:b/>
                <w:color w:val="008000"/>
                <w:sz w:val="17"/>
              </w:rPr>
              <w:t>+2.8%</w:t>
            </w:r>
          </w:p>
        </w:tc>
      </w:tr>
      <w:tr>
        <w:tc>
          <w:tcPr>
            <w:tcW w:type="dxa" w:w="1440"/>
            <w:shd w:fill="C6EFCE" w:val="clear"/>
          </w:tcPr>
          <w:p>
            <w:r>
              <w:rPr>
                <w:sz w:val="17"/>
              </w:rPr>
              <w:t>J+2  ⭐⭐⭐</w:t>
            </w:r>
          </w:p>
        </w:tc>
        <w:tc>
          <w:tcPr>
            <w:tcW w:type="dxa" w:w="1440"/>
            <w:shd w:fill="C6EFCE" w:val="clear"/>
          </w:tcPr>
          <w:p>
            <w:r>
              <w:rPr>
                <w:sz w:val="17"/>
              </w:rPr>
              <w:t>2026-08-06</w:t>
            </w:r>
          </w:p>
        </w:tc>
        <w:tc>
          <w:tcPr>
            <w:tcW w:type="dxa" w:w="1440"/>
            <w:shd w:fill="C6EFCE" w:val="clear"/>
          </w:tcPr>
          <w:p>
            <w:r>
              <w:rPr>
                <w:sz w:val="17"/>
              </w:rPr>
              <w:t>7,770</w:t>
            </w:r>
          </w:p>
        </w:tc>
        <w:tc>
          <w:tcPr>
            <w:tcW w:type="dxa" w:w="1440"/>
            <w:shd w:fill="C6EFCE" w:val="clear"/>
          </w:tcPr>
          <w:p>
            <w:r>
              <w:rPr>
                <w:b/>
                <w:sz w:val="17"/>
              </w:rPr>
              <w:t>8,118</w:t>
            </w:r>
          </w:p>
        </w:tc>
        <w:tc>
          <w:tcPr>
            <w:tcW w:type="dxa" w:w="1440"/>
            <w:shd w:fill="C6EFCE" w:val="clear"/>
          </w:tcPr>
          <w:p>
            <w:r>
              <w:rPr>
                <w:sz w:val="17"/>
              </w:rPr>
              <w:t>8,466</w:t>
            </w:r>
          </w:p>
        </w:tc>
        <w:tc>
          <w:tcPr>
            <w:tcW w:type="dxa" w:w="1440"/>
            <w:shd w:fill="C6EFCE" w:val="clear"/>
          </w:tcPr>
          <w:p>
            <w:r>
              <w:rPr>
                <w:b/>
                <w:color w:val="008000"/>
                <w:sz w:val="17"/>
              </w:rPr>
              <w:t>+2.8%</w:t>
            </w:r>
          </w:p>
        </w:tc>
      </w:tr>
      <w:tr>
        <w:tc>
          <w:tcPr>
            <w:tcW w:type="dxa" w:w="1440"/>
            <w:shd w:fill="C6EFCE" w:val="clear"/>
          </w:tcPr>
          <w:p>
            <w:r>
              <w:rPr>
                <w:sz w:val="17"/>
              </w:rPr>
              <w:t>J+3  ⭐⭐⭐</w:t>
            </w:r>
          </w:p>
        </w:tc>
        <w:tc>
          <w:tcPr>
            <w:tcW w:type="dxa" w:w="1440"/>
            <w:shd w:fill="C6EFCE" w:val="clear"/>
          </w:tcPr>
          <w:p>
            <w:r>
              <w:rPr>
                <w:sz w:val="17"/>
              </w:rPr>
              <w:t>2026-08-10</w:t>
            </w:r>
          </w:p>
        </w:tc>
        <w:tc>
          <w:tcPr>
            <w:tcW w:type="dxa" w:w="1440"/>
            <w:shd w:fill="C6EFCE" w:val="clear"/>
          </w:tcPr>
          <w:p>
            <w:r>
              <w:rPr>
                <w:sz w:val="17"/>
              </w:rPr>
              <w:t>7,708</w:t>
            </w:r>
          </w:p>
        </w:tc>
        <w:tc>
          <w:tcPr>
            <w:tcW w:type="dxa" w:w="1440"/>
            <w:shd w:fill="C6EFCE" w:val="clear"/>
          </w:tcPr>
          <w:p>
            <w:r>
              <w:rPr>
                <w:b/>
                <w:sz w:val="17"/>
              </w:rPr>
              <w:t>8,135</w:t>
            </w:r>
          </w:p>
        </w:tc>
        <w:tc>
          <w:tcPr>
            <w:tcW w:type="dxa" w:w="1440"/>
            <w:shd w:fill="C6EFCE" w:val="clear"/>
          </w:tcPr>
          <w:p>
            <w:r>
              <w:rPr>
                <w:sz w:val="17"/>
              </w:rPr>
              <w:t>8,563</w:t>
            </w:r>
          </w:p>
        </w:tc>
        <w:tc>
          <w:tcPr>
            <w:tcW w:type="dxa" w:w="1440"/>
            <w:shd w:fill="C6EFCE" w:val="clear"/>
          </w:tcPr>
          <w:p>
            <w:r>
              <w:rPr>
                <w:b/>
                <w:color w:val="008000"/>
                <w:sz w:val="17"/>
              </w:rPr>
              <w:t>+3.0%</w:t>
            </w:r>
          </w:p>
        </w:tc>
      </w:tr>
      <w:tr>
        <w:tc>
          <w:tcPr>
            <w:tcW w:type="dxa" w:w="1440"/>
            <w:shd w:fill="C6EFCE" w:val="clear"/>
          </w:tcPr>
          <w:p>
            <w:r>
              <w:rPr>
                <w:sz w:val="17"/>
              </w:rPr>
              <w:t>J+4  Moyenne</w:t>
            </w:r>
          </w:p>
        </w:tc>
        <w:tc>
          <w:tcPr>
            <w:tcW w:type="dxa" w:w="1440"/>
            <w:shd w:fill="C6EFCE" w:val="clear"/>
          </w:tcPr>
          <w:p>
            <w:r>
              <w:rPr>
                <w:sz w:val="17"/>
              </w:rPr>
              <w:t>2026-08-11</w:t>
            </w:r>
          </w:p>
        </w:tc>
        <w:tc>
          <w:tcPr>
            <w:tcW w:type="dxa" w:w="1440"/>
            <w:shd w:fill="C6EFCE" w:val="clear"/>
          </w:tcPr>
          <w:p>
            <w:r>
              <w:rPr>
                <w:sz w:val="17"/>
              </w:rPr>
              <w:t>7,655</w:t>
            </w:r>
          </w:p>
        </w:tc>
        <w:tc>
          <w:tcPr>
            <w:tcW w:type="dxa" w:w="1440"/>
            <w:shd w:fill="C6EFCE" w:val="clear"/>
          </w:tcPr>
          <w:p>
            <w:r>
              <w:rPr>
                <w:b/>
                <w:sz w:val="17"/>
              </w:rPr>
              <w:t>8,149</w:t>
            </w:r>
          </w:p>
        </w:tc>
        <w:tc>
          <w:tcPr>
            <w:tcW w:type="dxa" w:w="1440"/>
            <w:shd w:fill="C6EFCE" w:val="clear"/>
          </w:tcPr>
          <w:p>
            <w:r>
              <w:rPr>
                <w:sz w:val="17"/>
              </w:rPr>
              <w:t>8,643</w:t>
            </w:r>
          </w:p>
        </w:tc>
        <w:tc>
          <w:tcPr>
            <w:tcW w:type="dxa" w:w="1440"/>
            <w:shd w:fill="C6EFCE" w:val="clear"/>
          </w:tcPr>
          <w:p>
            <w:r>
              <w:rPr>
                <w:b/>
                <w:color w:val="008000"/>
                <w:sz w:val="17"/>
              </w:rPr>
              <w:t>+3.2%</w:t>
            </w:r>
          </w:p>
        </w:tc>
      </w:tr>
      <w:tr>
        <w:tc>
          <w:tcPr>
            <w:tcW w:type="dxa" w:w="1440"/>
            <w:shd w:fill="C6EFCE" w:val="clear"/>
          </w:tcPr>
          <w:p>
            <w:r>
              <w:rPr>
                <w:sz w:val="17"/>
              </w:rPr>
              <w:t>J+5  Moyenne</w:t>
            </w:r>
          </w:p>
        </w:tc>
        <w:tc>
          <w:tcPr>
            <w:tcW w:type="dxa" w:w="1440"/>
            <w:shd w:fill="C6EFCE" w:val="clear"/>
          </w:tcPr>
          <w:p>
            <w:r>
              <w:rPr>
                <w:sz w:val="17"/>
              </w:rPr>
              <w:t>2026-08-12</w:t>
            </w:r>
          </w:p>
        </w:tc>
        <w:tc>
          <w:tcPr>
            <w:tcW w:type="dxa" w:w="1440"/>
            <w:shd w:fill="C6EFCE" w:val="clear"/>
          </w:tcPr>
          <w:p>
            <w:r>
              <w:rPr>
                <w:sz w:val="17"/>
              </w:rPr>
              <w:t>7,608</w:t>
            </w:r>
          </w:p>
        </w:tc>
        <w:tc>
          <w:tcPr>
            <w:tcW w:type="dxa" w:w="1440"/>
            <w:shd w:fill="C6EFCE" w:val="clear"/>
          </w:tcPr>
          <w:p>
            <w:r>
              <w:rPr>
                <w:b/>
                <w:sz w:val="17"/>
              </w:rPr>
              <w:t>8,161</w:t>
            </w:r>
          </w:p>
        </w:tc>
        <w:tc>
          <w:tcPr>
            <w:tcW w:type="dxa" w:w="1440"/>
            <w:shd w:fill="C6EFCE" w:val="clear"/>
          </w:tcPr>
          <w:p>
            <w:r>
              <w:rPr>
                <w:sz w:val="17"/>
              </w:rPr>
              <w:t>8,714</w:t>
            </w:r>
          </w:p>
        </w:tc>
        <w:tc>
          <w:tcPr>
            <w:tcW w:type="dxa" w:w="1440"/>
            <w:shd w:fill="C6EFCE" w:val="clear"/>
          </w:tcPr>
          <w:p>
            <w:r>
              <w:rPr>
                <w:b/>
                <w:color w:val="008000"/>
                <w:sz w:val="17"/>
              </w:rPr>
              <w:t>+3.3%</w:t>
            </w:r>
          </w:p>
        </w:tc>
      </w:tr>
      <w:tr>
        <w:tc>
          <w:tcPr>
            <w:tcW w:type="dxa" w:w="1440"/>
            <w:shd w:fill="C6EFCE" w:val="clear"/>
          </w:tcPr>
          <w:p>
            <w:r>
              <w:rPr>
                <w:sz w:val="17"/>
              </w:rPr>
              <w:t>J+6  Moyenne</w:t>
            </w:r>
          </w:p>
        </w:tc>
        <w:tc>
          <w:tcPr>
            <w:tcW w:type="dxa" w:w="1440"/>
            <w:shd w:fill="C6EFCE" w:val="clear"/>
          </w:tcPr>
          <w:p>
            <w:r>
              <w:rPr>
                <w:sz w:val="17"/>
              </w:rPr>
              <w:t>2026-08-13</w:t>
            </w:r>
          </w:p>
        </w:tc>
        <w:tc>
          <w:tcPr>
            <w:tcW w:type="dxa" w:w="1440"/>
            <w:shd w:fill="C6EFCE" w:val="clear"/>
          </w:tcPr>
          <w:p>
            <w:r>
              <w:rPr>
                <w:sz w:val="17"/>
              </w:rPr>
              <w:t>7,566</w:t>
            </w:r>
          </w:p>
        </w:tc>
        <w:tc>
          <w:tcPr>
            <w:tcW w:type="dxa" w:w="1440"/>
            <w:shd w:fill="C6EFCE" w:val="clear"/>
          </w:tcPr>
          <w:p>
            <w:r>
              <w:rPr>
                <w:b/>
                <w:sz w:val="17"/>
              </w:rPr>
              <w:t>8,173</w:t>
            </w:r>
          </w:p>
        </w:tc>
        <w:tc>
          <w:tcPr>
            <w:tcW w:type="dxa" w:w="1440"/>
            <w:shd w:fill="C6EFCE" w:val="clear"/>
          </w:tcPr>
          <w:p>
            <w:r>
              <w:rPr>
                <w:sz w:val="17"/>
              </w:rPr>
              <w:t>8,780</w:t>
            </w:r>
          </w:p>
        </w:tc>
        <w:tc>
          <w:tcPr>
            <w:tcW w:type="dxa" w:w="1440"/>
            <w:shd w:fill="C6EFCE" w:val="clear"/>
          </w:tcPr>
          <w:p>
            <w:r>
              <w:rPr>
                <w:b/>
                <w:color w:val="008000"/>
                <w:sz w:val="17"/>
              </w:rPr>
              <w:t>+3.5%</w:t>
            </w:r>
          </w:p>
        </w:tc>
      </w:tr>
      <w:tr>
        <w:tc>
          <w:tcPr>
            <w:tcW w:type="dxa" w:w="1440"/>
            <w:shd w:fill="C6EFCE" w:val="clear"/>
          </w:tcPr>
          <w:p>
            <w:r>
              <w:rPr>
                <w:sz w:val="17"/>
              </w:rPr>
              <w:t>J+7  Moyenne</w:t>
            </w:r>
          </w:p>
        </w:tc>
        <w:tc>
          <w:tcPr>
            <w:tcW w:type="dxa" w:w="1440"/>
            <w:shd w:fill="C6EFCE" w:val="clear"/>
          </w:tcPr>
          <w:p>
            <w:r>
              <w:rPr>
                <w:sz w:val="17"/>
              </w:rPr>
              <w:t>2026-08-14</w:t>
            </w:r>
          </w:p>
        </w:tc>
        <w:tc>
          <w:tcPr>
            <w:tcW w:type="dxa" w:w="1440"/>
            <w:shd w:fill="C6EFCE" w:val="clear"/>
          </w:tcPr>
          <w:p>
            <w:r>
              <w:rPr>
                <w:sz w:val="17"/>
              </w:rPr>
              <w:t>7,528</w:t>
            </w:r>
          </w:p>
        </w:tc>
        <w:tc>
          <w:tcPr>
            <w:tcW w:type="dxa" w:w="1440"/>
            <w:shd w:fill="C6EFCE" w:val="clear"/>
          </w:tcPr>
          <w:p>
            <w:r>
              <w:rPr>
                <w:b/>
                <w:sz w:val="17"/>
              </w:rPr>
              <w:t>8,185</w:t>
            </w:r>
          </w:p>
        </w:tc>
        <w:tc>
          <w:tcPr>
            <w:tcW w:type="dxa" w:w="1440"/>
            <w:shd w:fill="C6EFCE" w:val="clear"/>
          </w:tcPr>
          <w:p>
            <w:r>
              <w:rPr>
                <w:sz w:val="17"/>
              </w:rPr>
              <w:t>8,841</w:t>
            </w:r>
          </w:p>
        </w:tc>
        <w:tc>
          <w:tcPr>
            <w:tcW w:type="dxa" w:w="1440"/>
            <w:shd w:fill="C6EFCE" w:val="clear"/>
          </w:tcPr>
          <w:p>
            <w:r>
              <w:rPr>
                <w:b/>
                <w:color w:val="008000"/>
                <w:sz w:val="17"/>
              </w:rPr>
              <w:t>+3.6%</w:t>
            </w:r>
          </w:p>
        </w:tc>
      </w:tr>
      <w:tr>
        <w:tc>
          <w:tcPr>
            <w:tcW w:type="dxa" w:w="1440"/>
            <w:shd w:fill="C6EFCE" w:val="clear"/>
          </w:tcPr>
          <w:p>
            <w:r>
              <w:rPr>
                <w:sz w:val="17"/>
              </w:rPr>
              <w:t>J+8  Moyenne</w:t>
            </w:r>
          </w:p>
        </w:tc>
        <w:tc>
          <w:tcPr>
            <w:tcW w:type="dxa" w:w="1440"/>
            <w:shd w:fill="C6EFCE" w:val="clear"/>
          </w:tcPr>
          <w:p>
            <w:r>
              <w:rPr>
                <w:sz w:val="17"/>
              </w:rPr>
              <w:t>2026-08-17</w:t>
            </w:r>
          </w:p>
        </w:tc>
        <w:tc>
          <w:tcPr>
            <w:tcW w:type="dxa" w:w="1440"/>
            <w:shd w:fill="C6EFCE" w:val="clear"/>
          </w:tcPr>
          <w:p>
            <w:r>
              <w:rPr>
                <w:sz w:val="17"/>
              </w:rPr>
              <w:t>7,494</w:t>
            </w:r>
          </w:p>
        </w:tc>
        <w:tc>
          <w:tcPr>
            <w:tcW w:type="dxa" w:w="1440"/>
            <w:shd w:fill="C6EFCE" w:val="clear"/>
          </w:tcPr>
          <w:p>
            <w:r>
              <w:rPr>
                <w:b/>
                <w:sz w:val="17"/>
              </w:rPr>
              <w:t>8,197</w:t>
            </w:r>
          </w:p>
        </w:tc>
        <w:tc>
          <w:tcPr>
            <w:tcW w:type="dxa" w:w="1440"/>
            <w:shd w:fill="C6EFCE" w:val="clear"/>
          </w:tcPr>
          <w:p>
            <w:r>
              <w:rPr>
                <w:sz w:val="17"/>
              </w:rPr>
              <w:t>8,899</w:t>
            </w:r>
          </w:p>
        </w:tc>
        <w:tc>
          <w:tcPr>
            <w:tcW w:type="dxa" w:w="1440"/>
            <w:shd w:fill="C6EFCE" w:val="clear"/>
          </w:tcPr>
          <w:p>
            <w:r>
              <w:rPr>
                <w:b/>
                <w:color w:val="008000"/>
                <w:sz w:val="17"/>
              </w:rPr>
              <w:t>+3.8%</w:t>
            </w:r>
          </w:p>
        </w:tc>
      </w:tr>
      <w:tr>
        <w:tc>
          <w:tcPr>
            <w:tcW w:type="dxa" w:w="1440"/>
            <w:shd w:fill="C6EFCE" w:val="clear"/>
          </w:tcPr>
          <w:p>
            <w:r>
              <w:rPr>
                <w:sz w:val="17"/>
              </w:rPr>
              <w:t>J+9  Moyenne</w:t>
            </w:r>
          </w:p>
        </w:tc>
        <w:tc>
          <w:tcPr>
            <w:tcW w:type="dxa" w:w="1440"/>
            <w:shd w:fill="C6EFCE" w:val="clear"/>
          </w:tcPr>
          <w:p>
            <w:r>
              <w:rPr>
                <w:sz w:val="17"/>
              </w:rPr>
              <w:t>2026-08-18</w:t>
            </w:r>
          </w:p>
        </w:tc>
        <w:tc>
          <w:tcPr>
            <w:tcW w:type="dxa" w:w="1440"/>
            <w:shd w:fill="C6EFCE" w:val="clear"/>
          </w:tcPr>
          <w:p>
            <w:r>
              <w:rPr>
                <w:sz w:val="17"/>
              </w:rPr>
              <w:t>7,462</w:t>
            </w:r>
          </w:p>
        </w:tc>
        <w:tc>
          <w:tcPr>
            <w:tcW w:type="dxa" w:w="1440"/>
            <w:shd w:fill="C6EFCE" w:val="clear"/>
          </w:tcPr>
          <w:p>
            <w:r>
              <w:rPr>
                <w:b/>
                <w:sz w:val="17"/>
              </w:rPr>
              <w:t>8,208</w:t>
            </w:r>
          </w:p>
        </w:tc>
        <w:tc>
          <w:tcPr>
            <w:tcW w:type="dxa" w:w="1440"/>
            <w:shd w:fill="C6EFCE" w:val="clear"/>
          </w:tcPr>
          <w:p>
            <w:r>
              <w:rPr>
                <w:sz w:val="17"/>
              </w:rPr>
              <w:t>8,955</w:t>
            </w:r>
          </w:p>
        </w:tc>
        <w:tc>
          <w:tcPr>
            <w:tcW w:type="dxa" w:w="1440"/>
            <w:shd w:fill="C6EFCE" w:val="clear"/>
          </w:tcPr>
          <w:p>
            <w:r>
              <w:rPr>
                <w:b/>
                <w:color w:val="008000"/>
                <w:sz w:val="17"/>
              </w:rPr>
              <w:t>+3.9%</w:t>
            </w:r>
          </w:p>
        </w:tc>
      </w:tr>
      <w:tr>
        <w:tc>
          <w:tcPr>
            <w:tcW w:type="dxa" w:w="1440"/>
            <w:shd w:fill="C6EFCE" w:val="clear"/>
          </w:tcPr>
          <w:p>
            <w:r>
              <w:rPr>
                <w:sz w:val="17"/>
              </w:rPr>
              <w:t>J+10  Moyenne</w:t>
            </w:r>
          </w:p>
        </w:tc>
        <w:tc>
          <w:tcPr>
            <w:tcW w:type="dxa" w:w="1440"/>
            <w:shd w:fill="C6EFCE" w:val="clear"/>
          </w:tcPr>
          <w:p>
            <w:r>
              <w:rPr>
                <w:sz w:val="17"/>
              </w:rPr>
              <w:t>2026-08-19</w:t>
            </w:r>
          </w:p>
        </w:tc>
        <w:tc>
          <w:tcPr>
            <w:tcW w:type="dxa" w:w="1440"/>
            <w:shd w:fill="C6EFCE" w:val="clear"/>
          </w:tcPr>
          <w:p>
            <w:r>
              <w:rPr>
                <w:sz w:val="17"/>
              </w:rPr>
              <w:t>7,432</w:t>
            </w:r>
          </w:p>
        </w:tc>
        <w:tc>
          <w:tcPr>
            <w:tcW w:type="dxa" w:w="1440"/>
            <w:shd w:fill="C6EFCE" w:val="clear"/>
          </w:tcPr>
          <w:p>
            <w:r>
              <w:rPr>
                <w:b/>
                <w:sz w:val="17"/>
              </w:rPr>
              <w:t>8,220</w:t>
            </w:r>
          </w:p>
        </w:tc>
        <w:tc>
          <w:tcPr>
            <w:tcW w:type="dxa" w:w="1440"/>
            <w:shd w:fill="C6EFCE" w:val="clear"/>
          </w:tcPr>
          <w:p>
            <w:r>
              <w:rPr>
                <w:sz w:val="17"/>
              </w:rPr>
              <w:t>9,008</w:t>
            </w:r>
          </w:p>
        </w:tc>
        <w:tc>
          <w:tcPr>
            <w:tcW w:type="dxa" w:w="1440"/>
            <w:shd w:fill="C6EFCE" w:val="clear"/>
          </w:tcPr>
          <w:p>
            <w:r>
              <w:rPr>
                <w:b/>
                <w:color w:val="008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04 août 2026**</w:t>
        <w:br/>
        <w:t>**Cours de référence : 7,900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170,65 milliards FCFA positionne SOGC comme une valeur de premier plan sur la BRVM, reflétant sa stature dans le secteur agro-industriel. Le BPA de 578 FCFA indique que chaque action génère un bénéfice substantiel, justifiant un PER de 13,7x. Ce ratio est légèrement supérieur à la moyenne historique de la BRVM (8-12x), ce qui suggère que le marché accorde une prime de croissance à la société, mais sans excès spéculatif. Le P/B de 2,49x confirme cette perception, le marché valorisant la société à plus de deux fois ses capitaux propres, signe d'une confiance dans la création de valeur future. Enfin, un EV/EBITDA de 7,1x est considéré comme raisonnable, indiquant que la valeur totale de l'entreprise (dette incluse) reste mesurée par rapport à sa capacité opérationnelle à générer des bénéfices.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 enregistré une baisse significative de -9,71%, avec une chute marquée de -5,95% lors de la dernière séance, s'échangeant actuellement à 7,900 FCFA. Le cours a évolué dans un range de 7,100 à 9,000 FCFA, montrant une amplitude de trading notable. La tendance générale est baissière, le cours se situant sous sa moyenne et sa médiane sur la période (8,052 et 8,055 FCFA respectivement). Les statistiques descriptives révèlent une dispersion modérée (écart-type de 450 FCFA, CV de 5,6%) et une distribution quasi symétrique (Skewness de -0,056). Le kurtosis de -0,774 indique une distribution mésokurtique, sans risque extrême de pics. La volatilité annualisée de 35,8% est élevée, signalant un risque de marché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(7,900 FCFA) est inférieur à la MM20 (8,215,5 FCFA) et à la MM50 (8,230,1 FCFA). Cette configuration baissière, où les moyennes agissent comme des résistances, confirme la tendance négative et justifie la décision de **Vente**.</w:t>
      </w:r>
    </w:p>
    <w:p>
      <w:pPr>
        <w:spacing w:after="120" w:line="276" w:lineRule="auto"/>
      </w:pPr>
      <w:r>
        <w:t>**Bandes de Bollinger** : Le prix se situe près de la borne inférieure (7,875,4 FCFA), indiquant que le titre est dans une zone de survente relative. La largeur des bandes suggère une volatilité persistante. La décision est **Neutre**, car un rebond technique est possible, mais la tendance sous-jacente reste faible.</w:t>
      </w:r>
    </w:p>
    <w:p>
      <w:pPr>
        <w:spacing w:after="120" w:line="276" w:lineRule="auto"/>
      </w:pPr>
      <w:r>
        <w:t>**MACD** : La valeur du MACD (-15,649) est inférieure à son signal (0,126), confirmant un momentum baissier. Cette divergence négative indique une pression vendeuse continue, justifiant la décision de **Vente**.</w:t>
      </w:r>
    </w:p>
    <w:p>
      <w:pPr>
        <w:spacing w:after="120" w:line="276" w:lineRule="auto"/>
      </w:pPr>
      <w:r>
        <w:t>**RSI** : À 42,788, le RSI se situe en zone neutre (30-70), indiquant que le titre n'est ni suracheté ni survendu. Cela laisse une marge de manœuvre avant une éventuelle zone de survente, mais ne montre aucun signe de retournement imminent. Décision : **Neutre**.</w:t>
      </w:r>
    </w:p>
    <w:p>
      <w:pPr>
        <w:spacing w:after="120" w:line="276" w:lineRule="auto"/>
      </w:pPr>
      <w:r>
        <w:t>**Stochastique** : Le %K à 0,0 et le %D à 60,088 montrent un croisement baissier très prononcé, avec un %K en territoire de survente extrême. Cela suggère un potentiel de rebond technique à très court terme, d'où la décision d'**Achat**.</w:t>
      </w:r>
    </w:p>
    <w:p>
      <w:pPr>
        <w:spacing w:after="120" w:line="276" w:lineRule="auto"/>
      </w:pPr>
      <w:r>
        <w:t>**Conclusion technique** : Les indicateurs sont majoritairement baissiers (MM, MACD), mais les oscillateurs de retournement (Stochastique) et la position en bas de bande de Bollinger suggèrent un possible rebond technique. Le signal global reste **Vente** à moyen terme, avec une prudence accrue pour un éventuel rebond à court terme.</w:t>
      </w:r>
    </w:p>
    <w:p>
      <w:pPr>
        <w:spacing w:after="120" w:line="276" w:lineRule="auto"/>
      </w:pPr>
      <w:r>
        <w:t>---</w:t>
      </w:r>
    </w:p>
    <w:p>
      <w:pPr>
        <w:spacing w:after="120" w:line="276" w:lineRule="auto"/>
      </w:pPr>
      <w:r>
        <w:t>### PARTIE 3 : ANALYSE FONDAMENTALE (SECTION CRITIQUE)</w:t>
      </w:r>
    </w:p>
    <w:p>
      <w:pPr>
        <w:spacing w:after="120" w:line="276" w:lineRule="auto"/>
      </w:pPr>
      <w:r>
        <w:t>En 2025, SOGC affiche des fondamentaux solides avec un chiffre d'affaires de 98,979 milliards FCFA, en croissance de +10,7%, et un résultat net de 12,493 milliards FCFA. La rentabilité est excellente, avec un ROE de 18,26% et un ROA de 13,84%. La marge opérationnelle de 17,24% et la marge nette de 12,62% témoignent d'une bonne maîtrise opérationnelle. Le BFR de 7,124 milliards FCFA est positif, mais le délai de stockage de 97,67 jours est élevé, immobilisant du capital. La structure financière est saine avec une autonomie financière de 75,79% et une capacité de remboursement quasi nulle (0,04 an). Les rapports trimestriels de 2025 montrent une performance exceptionnelle au T1 (CA +63%, RN +263%), un S1 très solide (CA +51,9%, RN +151,6%), mais un ralentissement au 9M (CA +21,3%, RN +39,5%), confirmant les perspectives prudentes de la direction pour le S2. Le dividende proposé de 570 FCFA par action pour 2025 est très attractif. En comparaison, le rapport de l'exercice 2024 (daté du 15/03/2026) montrait un CA de 93,52 milliards FCFA et un RN de 13,11 milliards FCFA, illustrant une légère baisse du résultat en 2025 malgré une hausse du CA, due à l'augmentation des coûts des matières premières.</w:t>
      </w:r>
    </w:p>
    <w:p>
      <w:pPr>
        <w:spacing w:after="120" w:line="276" w:lineRule="auto"/>
      </w:pPr>
      <w:r>
        <w:t>---</w:t>
      </w:r>
    </w:p>
    <w:p>
      <w:pPr>
        <w:spacing w:after="120" w:line="276" w:lineRule="auto"/>
      </w:pPr>
      <w:r>
        <w:t>### PARTIE 4 : CONCLUSION D'INVESTISSEMENT</w:t>
      </w:r>
    </w:p>
    <w:p>
      <w:pPr>
        <w:spacing w:after="120" w:line="276" w:lineRule="auto"/>
      </w:pPr>
      <w:r>
        <w:t>La valorisation de SOGC (PER 13,7x, P/B 2,49x) est modérée, sans surévaluation flagrante, mais le comportement du cours est préoccupant avec une tendance baissière marquée et une volatilité élevée. Les signaux techniques sont majoritairement vendeurs, bien qu'un rebond technique soit possible à très court terme. Les fondamentaux restent solides avec une rentabilité élevée et une structure financière saine, mais la croissance ralentit et les coûts d'approvisionnement pèsent sur les marges. Les prédictions IA (8,117 à 8,161 FCFA sur 10 jours) suggèrent un rebond modéré, contredisant la tendance technique baissière. En synthèse, la convergence entre une valorisation raisonnable, des fondamentaux robustes mais en ralentissement, et des signaux techniques mitigés, nous amène à une recommandation **CONSERVER**. Le niveau de confiance est **Moyen**, le risque global est **Élevé** en raison de la volatilité du cours et des prix des matières premières. L'horizon d'investissement optimal est le **moyen terme (3-12 mois)**, en attendant une stabilisation des cours du caoutchouc et une clarification de la stratégie de réinvestissement de la société.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192.45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4,585 titres</w:t>
            </w:r>
          </w:p>
        </w:tc>
        <w:tc>
          <w:tcPr>
            <w:tcW w:type="dxa" w:w="2268"/>
            <w:shd w:fill="FFF2CC" w:val="clear"/>
          </w:tcPr>
          <w:p>
            <w:r>
              <w:rPr>
                <w:b/>
                <w:color w:val="503200"/>
                <w:sz w:val="16"/>
              </w:rPr>
              <w:t xml:space="preserve">Cours actuel : </w:t>
            </w:r>
            <w:r>
              <w:rPr>
                <w:color w:val="000000"/>
                <w:sz w:val="17"/>
              </w:rPr>
              <w:t>7,530 FCFA</w:t>
            </w:r>
          </w:p>
          <w:p>
            <w:r>
              <w:rPr>
                <w:b/>
                <w:color w:val="503200"/>
                <w:sz w:val="16"/>
              </w:rPr>
              <w:t xml:space="preserve">Var. 100 jours : </w:t>
            </w:r>
            <w:r>
              <w:rPr>
                <w:b/>
                <w:color w:val="B40000"/>
                <w:sz w:val="17"/>
              </w:rPr>
              <w:t>-7.04%</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5.27% (Moyenne) — μ=7,426 FCFA, σ=391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β=1.4712 (Agressif) — Cov=0.000053, Var(idx)=0.000036, ρ=0.344,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2026-08-05</w:t>
            </w:r>
          </w:p>
        </w:tc>
        <w:tc>
          <w:tcPr>
            <w:tcW w:type="dxa" w:w="1440"/>
            <w:shd w:fill="FAFAFA" w:val="clear"/>
          </w:tcPr>
          <w:p>
            <w:r>
              <w:rPr>
                <w:sz w:val="17"/>
              </w:rPr>
              <w:t>7,232</w:t>
            </w:r>
          </w:p>
        </w:tc>
        <w:tc>
          <w:tcPr>
            <w:tcW w:type="dxa" w:w="1440"/>
            <w:shd w:fill="FAFAFA" w:val="clear"/>
          </w:tcPr>
          <w:p>
            <w:r>
              <w:rPr>
                <w:b/>
                <w:sz w:val="17"/>
              </w:rPr>
              <w:t>7,494</w:t>
            </w:r>
          </w:p>
        </w:tc>
        <w:tc>
          <w:tcPr>
            <w:tcW w:type="dxa" w:w="1440"/>
            <w:shd w:fill="FAFAFA" w:val="clear"/>
          </w:tcPr>
          <w:p>
            <w:r>
              <w:rPr>
                <w:sz w:val="17"/>
              </w:rPr>
              <w:t>7,756</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2026-08-06</w:t>
            </w:r>
          </w:p>
        </w:tc>
        <w:tc>
          <w:tcPr>
            <w:tcW w:type="dxa" w:w="1440"/>
            <w:shd w:fill="FAFAFA" w:val="clear"/>
          </w:tcPr>
          <w:p>
            <w:r>
              <w:rPr>
                <w:sz w:val="17"/>
              </w:rPr>
              <w:t>7,114</w:t>
            </w:r>
          </w:p>
        </w:tc>
        <w:tc>
          <w:tcPr>
            <w:tcW w:type="dxa" w:w="1440"/>
            <w:shd w:fill="FAFAFA" w:val="clear"/>
          </w:tcPr>
          <w:p>
            <w:r>
              <w:rPr>
                <w:b/>
                <w:sz w:val="17"/>
              </w:rPr>
              <w:t>7,483</w:t>
            </w:r>
          </w:p>
        </w:tc>
        <w:tc>
          <w:tcPr>
            <w:tcW w:type="dxa" w:w="1440"/>
            <w:shd w:fill="FAFAFA" w:val="clear"/>
          </w:tcPr>
          <w:p>
            <w:r>
              <w:rPr>
                <w:sz w:val="17"/>
              </w:rPr>
              <w:t>7,853</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2026-08-10</w:t>
            </w:r>
          </w:p>
        </w:tc>
        <w:tc>
          <w:tcPr>
            <w:tcW w:type="dxa" w:w="1440"/>
            <w:shd w:fill="FAFAFA" w:val="clear"/>
          </w:tcPr>
          <w:p>
            <w:r>
              <w:rPr>
                <w:sz w:val="17"/>
              </w:rPr>
              <w:t>7,020</w:t>
            </w:r>
          </w:p>
        </w:tc>
        <w:tc>
          <w:tcPr>
            <w:tcW w:type="dxa" w:w="1440"/>
            <w:shd w:fill="FAFAFA" w:val="clear"/>
          </w:tcPr>
          <w:p>
            <w:r>
              <w:rPr>
                <w:b/>
                <w:sz w:val="17"/>
              </w:rPr>
              <w:t>7,471</w:t>
            </w:r>
          </w:p>
        </w:tc>
        <w:tc>
          <w:tcPr>
            <w:tcW w:type="dxa" w:w="1440"/>
            <w:shd w:fill="FAFAFA" w:val="clear"/>
          </w:tcPr>
          <w:p>
            <w:r>
              <w:rPr>
                <w:sz w:val="17"/>
              </w:rPr>
              <w:t>7,923</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6,938</w:t>
            </w:r>
          </w:p>
        </w:tc>
        <w:tc>
          <w:tcPr>
            <w:tcW w:type="dxa" w:w="1440"/>
            <w:shd w:fill="FAFAFA" w:val="clear"/>
          </w:tcPr>
          <w:p>
            <w:r>
              <w:rPr>
                <w:b/>
                <w:sz w:val="17"/>
              </w:rPr>
              <w:t>7,459</w:t>
            </w:r>
          </w:p>
        </w:tc>
        <w:tc>
          <w:tcPr>
            <w:tcW w:type="dxa" w:w="1440"/>
            <w:shd w:fill="FAFAFA" w:val="clear"/>
          </w:tcPr>
          <w:p>
            <w:r>
              <w:rPr>
                <w:sz w:val="17"/>
              </w:rPr>
              <w:t>7,980</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2026-08-12</w:t>
            </w:r>
          </w:p>
        </w:tc>
        <w:tc>
          <w:tcPr>
            <w:tcW w:type="dxa" w:w="1440"/>
            <w:shd w:fill="FAFAFA" w:val="clear"/>
          </w:tcPr>
          <w:p>
            <w:r>
              <w:rPr>
                <w:sz w:val="17"/>
              </w:rPr>
              <w:t>6,866</w:t>
            </w:r>
          </w:p>
        </w:tc>
        <w:tc>
          <w:tcPr>
            <w:tcW w:type="dxa" w:w="1440"/>
            <w:shd w:fill="FAFAFA" w:val="clear"/>
          </w:tcPr>
          <w:p>
            <w:r>
              <w:rPr>
                <w:b/>
                <w:sz w:val="17"/>
              </w:rPr>
              <w:t>7,447</w:t>
            </w:r>
          </w:p>
        </w:tc>
        <w:tc>
          <w:tcPr>
            <w:tcW w:type="dxa" w:w="1440"/>
            <w:shd w:fill="FAFAFA" w:val="clear"/>
          </w:tcPr>
          <w:p>
            <w:r>
              <w:rPr>
                <w:sz w:val="17"/>
              </w:rPr>
              <w:t>8,028</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2026-08-13</w:t>
            </w:r>
          </w:p>
        </w:tc>
        <w:tc>
          <w:tcPr>
            <w:tcW w:type="dxa" w:w="1440"/>
            <w:shd w:fill="FAFAFA" w:val="clear"/>
          </w:tcPr>
          <w:p>
            <w:r>
              <w:rPr>
                <w:sz w:val="17"/>
              </w:rPr>
              <w:t>6,800</w:t>
            </w:r>
          </w:p>
        </w:tc>
        <w:tc>
          <w:tcPr>
            <w:tcW w:type="dxa" w:w="1440"/>
            <w:shd w:fill="FAFAFA" w:val="clear"/>
          </w:tcPr>
          <w:p>
            <w:r>
              <w:rPr>
                <w:b/>
                <w:sz w:val="17"/>
              </w:rPr>
              <w:t>7,435</w:t>
            </w:r>
          </w:p>
        </w:tc>
        <w:tc>
          <w:tcPr>
            <w:tcW w:type="dxa" w:w="1440"/>
            <w:shd w:fill="FAFAFA" w:val="clear"/>
          </w:tcPr>
          <w:p>
            <w:r>
              <w:rPr>
                <w:sz w:val="17"/>
              </w:rPr>
              <w:t>8,071</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2026-08-14</w:t>
            </w:r>
          </w:p>
        </w:tc>
        <w:tc>
          <w:tcPr>
            <w:tcW w:type="dxa" w:w="1440"/>
            <w:shd w:fill="FAFAFA" w:val="clear"/>
          </w:tcPr>
          <w:p>
            <w:r>
              <w:rPr>
                <w:sz w:val="17"/>
              </w:rPr>
              <w:t>6,738</w:t>
            </w:r>
          </w:p>
        </w:tc>
        <w:tc>
          <w:tcPr>
            <w:tcW w:type="dxa" w:w="1440"/>
            <w:shd w:fill="FAFAFA" w:val="clear"/>
          </w:tcPr>
          <w:p>
            <w:r>
              <w:rPr>
                <w:b/>
                <w:sz w:val="17"/>
              </w:rPr>
              <w:t>7,424</w:t>
            </w:r>
          </w:p>
        </w:tc>
        <w:tc>
          <w:tcPr>
            <w:tcW w:type="dxa" w:w="1440"/>
            <w:shd w:fill="FAFAFA" w:val="clear"/>
          </w:tcPr>
          <w:p>
            <w:r>
              <w:rPr>
                <w:sz w:val="17"/>
              </w:rPr>
              <w:t>8,109</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2026-08-17</w:t>
            </w:r>
          </w:p>
        </w:tc>
        <w:tc>
          <w:tcPr>
            <w:tcW w:type="dxa" w:w="1440"/>
            <w:shd w:fill="FAFAFA" w:val="clear"/>
          </w:tcPr>
          <w:p>
            <w:r>
              <w:rPr>
                <w:sz w:val="17"/>
              </w:rPr>
              <w:t>6,680</w:t>
            </w:r>
          </w:p>
        </w:tc>
        <w:tc>
          <w:tcPr>
            <w:tcW w:type="dxa" w:w="1440"/>
            <w:shd w:fill="FAFAFA" w:val="clear"/>
          </w:tcPr>
          <w:p>
            <w:r>
              <w:rPr>
                <w:b/>
                <w:sz w:val="17"/>
              </w:rPr>
              <w:t>7,412</w:t>
            </w:r>
          </w:p>
        </w:tc>
        <w:tc>
          <w:tcPr>
            <w:tcW w:type="dxa" w:w="1440"/>
            <w:shd w:fill="FAFAFA" w:val="clear"/>
          </w:tcPr>
          <w:p>
            <w:r>
              <w:rPr>
                <w:sz w:val="17"/>
              </w:rPr>
              <w:t>8,144</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2026-08-18</w:t>
            </w:r>
          </w:p>
        </w:tc>
        <w:tc>
          <w:tcPr>
            <w:tcW w:type="dxa" w:w="1440"/>
            <w:shd w:fill="FAFAFA" w:val="clear"/>
          </w:tcPr>
          <w:p>
            <w:r>
              <w:rPr>
                <w:sz w:val="17"/>
              </w:rPr>
              <w:t>6,626</w:t>
            </w:r>
          </w:p>
        </w:tc>
        <w:tc>
          <w:tcPr>
            <w:tcW w:type="dxa" w:w="1440"/>
            <w:shd w:fill="FAFAFA" w:val="clear"/>
          </w:tcPr>
          <w:p>
            <w:r>
              <w:rPr>
                <w:b/>
                <w:sz w:val="17"/>
              </w:rPr>
              <w:t>7,400</w:t>
            </w:r>
          </w:p>
        </w:tc>
        <w:tc>
          <w:tcPr>
            <w:tcW w:type="dxa" w:w="1440"/>
            <w:shd w:fill="FAFAFA" w:val="clear"/>
          </w:tcPr>
          <w:p>
            <w:r>
              <w:rPr>
                <w:sz w:val="17"/>
              </w:rPr>
              <w:t>8,175</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2026-08-19</w:t>
            </w:r>
          </w:p>
        </w:tc>
        <w:tc>
          <w:tcPr>
            <w:tcW w:type="dxa" w:w="1440"/>
            <w:shd w:fill="FAFAFA" w:val="clear"/>
          </w:tcPr>
          <w:p>
            <w:r>
              <w:rPr>
                <w:sz w:val="17"/>
              </w:rPr>
              <w:t>6,573</w:t>
            </w:r>
          </w:p>
        </w:tc>
        <w:tc>
          <w:tcPr>
            <w:tcW w:type="dxa" w:w="1440"/>
            <w:shd w:fill="FAFAFA" w:val="clear"/>
          </w:tcPr>
          <w:p>
            <w:r>
              <w:rPr>
                <w:b/>
                <w:sz w:val="17"/>
              </w:rPr>
              <w:t>7,389</w:t>
            </w:r>
          </w:p>
        </w:tc>
        <w:tc>
          <w:tcPr>
            <w:tcW w:type="dxa" w:w="1440"/>
            <w:shd w:fill="FAFAFA" w:val="clear"/>
          </w:tcPr>
          <w:p>
            <w:r>
              <w:rPr>
                <w:sz w:val="17"/>
              </w:rPr>
              <w:t>8,204</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192,45 milliards FCFA, positionnant la société parmi les valeurs moyennes à grandes capitalisations de la BRVM, avec un poids significatif dans l'indice composite. Le BPA de 977 FCFA indique que chaque action génère un bénéfice substantiel, ce qui, rapporté au cours actuel de 7 530 FCFA, donne un PER de 7,7x. Ce ratio est inférieur à la moyenne historique de la BRVM (8-12x), suggérant une sous-évaluation relative du titre par rapport à ses pairs. Le P/B de 1,40x indique que le marché valorise la société à 40% au-dessus de sa valeur comptable, ce qui est raisonnable pour une entreprise avec un ROE de 18,1%. Enfin, l'EV/EBITDA de 4,9x, nettement sous la barre des 5x, confirme une valorisation très attractive, signalant que la valeur totale de l'entreprise (dette incluse) reste modérée par rapport à sa capacité opérationnelle de génération de cash.</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SPHC affiche une variation totale de -7,04%, malgré un léger rebond de +0,40% lors de la dernière séance, clôturant à 7 530 FCFA. Le cours a évolué dans une fourchette de 6 720 FCFA (plus bas) à 8 435 FCFA (plus haut), illustrant une amplitude de trading de près de 25%. La tendance générale est baissière sur la période, avec un cours actuel proche de sa moyenne mobile à 50 jours (7 532 FCFA), mais sous sa moyenne mobile à 20 jours (7 495,5 FCFA). Les statistiques descriptives révèlent une moyenne de 7 426 FCFA et une médiane de 7 400 FCFA, avec un écart-type de 393 FCFA (CV=5,3%), indiquant une dispersion modérée. Le kurtosis de 0,344 (mésokurtique) suggère une distribution proche de la normale, sans risque de pics extrêmes, tandis que le skewness positif de 0,651 indique une asymétrie avec plus de journées sous la moyenne, confirmant la pression vendeuse. La volatilité annualisée de 40,5% classe le titre comme très volatil (&gt;30%), reflétant une sensibilité élevée aux variations des cours mondiaux du caoutchouc.</w:t>
      </w:r>
    </w:p>
    <w:p>
      <w:pPr>
        <w:spacing w:after="120" w:line="276" w:lineRule="auto" w:before="240"/>
      </w:pPr>
      <w:r>
        <w:rPr>
          <w:b/>
          <w:color w:val="003366"/>
          <w:sz w:val="24"/>
        </w:rPr>
        <w:t>**PARTIE 2 : ANALYSE TECHNIQUE DÉTAILLÉE**</w:t>
      </w:r>
    </w:p>
    <w:p>
      <w:pPr>
        <w:spacing w:after="120" w:line="276" w:lineRule="auto"/>
      </w:pPr>
      <w:r>
        <w:t>**Moyennes Mobiles**: La MM20 (7 495,5 FCFA) est inférieure à la MM50 (7 532 FCFA), et le cours actuel (7 530 FCFA) se situe entre les deux, légèrement sous la MM50. Cette configuration indique une tendance baissière de moyen terme, car le croisement des moyennes mobiles (MM20 &lt; MM50) est un signal de distribution. La décision de "Vente" est justifiée par cette dynamique, bien que le cours semble trouver un support autour de la MM50.</w:t>
      </w:r>
    </w:p>
    <w:p>
      <w:pPr>
        <w:spacing w:after="120" w:line="276" w:lineRule="auto"/>
      </w:pPr>
      <w:r>
        <w:t>**Bandes de Bollinger**: Le prix actuel (7 530 FCFA) se positionne presque à mi-chemin entre la borne supérieure (7 726 FCFA) et la borne inférieure (7 265 FCFA), indiquant une volatilité modérée sans excès. La largeur des bandes reflète un écart-type de 393 FCFA, cohérent avec la volatilité annualisée élevée. La décision "Neutre" est appropriée, car le cours n'est ni suracheté ni survendu, évoluant dans une zone de consolidation.</w:t>
      </w:r>
    </w:p>
    <w:p>
      <w:pPr>
        <w:spacing w:after="120" w:line="276" w:lineRule="auto"/>
      </w:pPr>
      <w:r>
        <w:t>**MACD**: La valeur MACD (-14,601) est supérieure au signal (-18,164), avec un écart positif de 3,563 points. Bien que les deux lignes soient en territoire négatif, ce croisement haussier récent indique un momentum positif en train de se former, suggérant une possible reprise à court terme. La décision "Achat" reflète ce début de convergence haussière, même si la prudence reste de mise tant que le MACD n'est pas passé au-dessus de zéro.</w:t>
      </w:r>
    </w:p>
    <w:p>
      <w:pPr>
        <w:spacing w:after="120" w:line="276" w:lineRule="auto"/>
      </w:pPr>
      <w:r>
        <w:t>**RSI**: À 55,856, le RSI se situe dans la zone neutre (30-70), indiquant un équilibre entre pression acheteuse et vendeuse. Cette valeur suggère que le titre n'est ni suracheté ni survendu, laissant de la marge pour un mouvement directionnel. La décision "Neutre" est cohérente avec cette lecture, le RSI ne fournissant pas de signal fort pour une prise de position.</w:t>
      </w:r>
    </w:p>
    <w:p>
      <w:pPr>
        <w:spacing w:after="120" w:line="276" w:lineRule="auto"/>
      </w:pPr>
      <w:r>
        <w:t>**Stochastique**: Le %K (76,667) est légèrement inférieur au %D (77,222), indiquant un croisement baissier potentiel en zone de surachat (au-dessus de 70). Cette configuration suggère un essoufflement du mouvement haussier récent, avec un risque de repli à court terme. La décision "Neutre" est justifiée, mais un signal de vente pourrait se matérialiser si le %K passe nettement sous le %D.</w:t>
      </w:r>
    </w:p>
    <w:p>
      <w:pPr>
        <w:spacing w:after="120" w:line="276" w:lineRule="auto"/>
      </w:pPr>
      <w:r>
        <w:t>**Conclusion technique**: La convergence des indicateurs est mitigée, avec des signaux contradictoires : les moyennes mobiles suggèrent une tendance baissière, tandis que le MACD montre un début de momentum haussier. Le RSI et le Stochastique restent neutres, mais ce dernier approche une zone de surachat. Globalement, le titre semble en phase de consolidation après une baisse, avec un biais légèrement négatif à court terme, mais des signes de stabilisation technique.</w:t>
      </w:r>
    </w:p>
    <w:p>
      <w:pPr>
        <w:spacing w:after="120" w:line="276" w:lineRule="auto" w:before="240"/>
      </w:pPr>
      <w:r>
        <w:rPr>
          <w:b/>
          <w:color w:val="003366"/>
          <w:sz w:val="24"/>
        </w:rPr>
        <w:t>**PARTIE 3 : ANALYSE FONDAMENTALE (SECTION CRITIQUE)**</w:t>
      </w:r>
    </w:p>
    <w:p>
      <w:pPr>
        <w:spacing w:after="120" w:line="276" w:lineRule="auto"/>
      </w:pPr>
      <w:r>
        <w:t>En 2025, SPHC affiche des performances financières robustes avec un chiffre d'affaires de 340,83 milliards FCFA, en hausse de 22% par rapport à 2024 (279,44 milliards FCFA), et un résultat net de 24,97 milliards FCFA, en progression de 32,9%. La marge nette s'améliore à 7,33%, tandis que le ROE atteint 18,1% et le ROA 11,06%, reflétant une excellente utilisation des capitaux propres et des actifs. La structure financière est saine avec une autonomie financière de 61,08% et un ratio d'endettement maîtrisé de 25,81%. Cependant, le BFR de 65,39 milliards FCFA et la trésorerie nette négative de -15,41 milliards FCFA constituent des points de vigilance, bien que la capacité de remboursement (0,97 an) reste très satisfaisante. Les délais clients (35 jours) et de stockage (72 jours) sont raisonnables pour le secteur agro-industriel. Les rapports trimestriels 2025 confirment cette dynamique : le T1 2025 affichait un CA de 94,3 milliards FCFA (+72%) et un résultat net de 11,8 milliards FCFA (+949%), le S1 2025 un CA de 171,4 milliards FCFA (+51%) et un résultat net de 18,1 milliards FCFA (+449%), et le T3 2025 un CA cumulé de 253,7 milliards FCFA (+36%) avec un résultat net de 23,15 milliards FCFA (+131%). Toutefois, le rapport T1 2026 (daté de 2026) révèle un net ralentissement avec un CA de 71,8 milliards FCFA (-24%) et un résultat net de 2,6 milliards FCFA (-78%), pénalisé par la chute des cours mondiaux du caoutchouc et une concurrence accrue. Sur la base de ces données, on estime que l'exercice 2026 pourrait être nettement moins performant, avec un résultat net potentiellement en baisse de 50% à 60% par rapport à 2025, si les conditions de marché ne s'améliorent pas. La recommandation fondamentale reste "CONSERVER", compte tenu de la solidité financière de la société et de sa capacité à traverser les cycles, mais avec une surveillance accrue de la trésorerie et de l'évolution des cours.</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pour SPHC. La valorisation (Partie 0) est attractive avec un PER de 7,7x, un P/B de 1,40x et un EV/EBITDA de 4,9x, indiquant une sous-évaluation relative. Le comportement du cours (Partie 1) montre une tendance baissière sur 100 jours (-7,04%) avec une volatilité élevée (40,5%), mais une distribution statistique stable (kurtosis mésokurtique) et une asymétrie positive qui pourraient précéder un retournement. Les signaux techniques (Partie 2) sont mitigés, avec des moyennes mobiles baissières mais un MACD en croisement haussier, et un RSI neutre. Les fondamentaux (Partie 3) sont solides pour 2025, mais les estimations pour 2026 basées sur le T1 2026 (-78% de résultat net) suggèrent un ralentissement significatif. Les prédictions IA pour les 10 prochains jours (7 494 à 7 447 FCFA) indiquent une légère baisse continue, confirmant la pression baissière à court terme. En convergence, ces éléments justifient une recommandation **CONSERVER**, avec un niveau de confiance **Moyen** et un risque global **Élevé** en raison de la volatilité des cours du caoutchouc. L'horizon d'investissement optimal serait le **moyen terme (3-12 mois)**, en attendant une stabilisation des cours mondiaux et une confirmation de la reprise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000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6,480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007800"/>
                <w:sz w:val="17"/>
              </w:rPr>
              <w:t>+47.37%</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74.1%</w:t>
            </w:r>
          </w:p>
        </w:tc>
        <w:tc>
          <w:tcPr>
            <w:tcW w:type="dxa" w:w="2835"/>
            <w:shd w:fill="FCE4D6" w:val="clear"/>
          </w:tcPr>
          <w:p>
            <w:r>
              <w:rPr>
                <w:b/>
                <w:color w:val="500000"/>
                <w:sz w:val="16"/>
              </w:rPr>
              <w:t xml:space="preserve">Recommandation : </w:t>
            </w:r>
            <w:r>
              <w:rPr>
                <w:b/>
                <w:color w:val="B40000"/>
                <w:sz w:val="19"/>
              </w:rPr>
              <w:t>VENTE FORTE</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Faible</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13.11% (Moyenne) — μ=3,002 FCFA, σ=394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β=-1.1437 (Contre-cyclique) — Cov=-0.000041, Var(idx)=0.000036, ρ=-0.147,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6,480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σ_j=4.67%/j (Modérée) — Vol. annualisée≈74.1%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C00000"/>
          <w:sz w:val="26"/>
        </w:rPr>
        <w:t>36/100  (Faible)</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2026-08-05</w:t>
            </w:r>
          </w:p>
        </w:tc>
        <w:tc>
          <w:tcPr>
            <w:tcW w:type="dxa" w:w="1440"/>
            <w:shd w:fill="FFDCE0" w:val="clear"/>
          </w:tcPr>
          <w:p>
            <w:r>
              <w:rPr>
                <w:sz w:val="17"/>
              </w:rPr>
              <w:t>2,505</w:t>
            </w:r>
          </w:p>
        </w:tc>
        <w:tc>
          <w:tcPr>
            <w:tcW w:type="dxa" w:w="1440"/>
            <w:shd w:fill="FFDCE0" w:val="clear"/>
          </w:tcPr>
          <w:p>
            <w:r>
              <w:rPr>
                <w:b/>
                <w:sz w:val="17"/>
              </w:rPr>
              <w:t>2,645</w:t>
            </w:r>
          </w:p>
        </w:tc>
        <w:tc>
          <w:tcPr>
            <w:tcW w:type="dxa" w:w="1440"/>
            <w:shd w:fill="FFDCE0" w:val="clear"/>
          </w:tcPr>
          <w:p>
            <w:r>
              <w:rPr>
                <w:sz w:val="17"/>
              </w:rPr>
              <w:t>2,785</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2026-08-06</w:t>
            </w:r>
          </w:p>
        </w:tc>
        <w:tc>
          <w:tcPr>
            <w:tcW w:type="dxa" w:w="1440"/>
            <w:shd w:fill="FFDCE0" w:val="clear"/>
          </w:tcPr>
          <w:p>
            <w:r>
              <w:rPr>
                <w:sz w:val="17"/>
              </w:rPr>
              <w:t>2,299</w:t>
            </w:r>
          </w:p>
        </w:tc>
        <w:tc>
          <w:tcPr>
            <w:tcW w:type="dxa" w:w="1440"/>
            <w:shd w:fill="FFDCE0" w:val="clear"/>
          </w:tcPr>
          <w:p>
            <w:r>
              <w:rPr>
                <w:b/>
                <w:sz w:val="17"/>
              </w:rPr>
              <w:t>2,485</w:t>
            </w:r>
          </w:p>
        </w:tc>
        <w:tc>
          <w:tcPr>
            <w:tcW w:type="dxa" w:w="1440"/>
            <w:shd w:fill="FFDCE0" w:val="clear"/>
          </w:tcPr>
          <w:p>
            <w:r>
              <w:rPr>
                <w:sz w:val="17"/>
              </w:rPr>
              <w:t>2,671</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2026-08-10</w:t>
            </w:r>
          </w:p>
        </w:tc>
        <w:tc>
          <w:tcPr>
            <w:tcW w:type="dxa" w:w="1440"/>
            <w:shd w:fill="FFDCE0" w:val="clear"/>
          </w:tcPr>
          <w:p>
            <w:r>
              <w:rPr>
                <w:sz w:val="17"/>
              </w:rPr>
              <w:t>2,093</w:t>
            </w:r>
          </w:p>
        </w:tc>
        <w:tc>
          <w:tcPr>
            <w:tcW w:type="dxa" w:w="1440"/>
            <w:shd w:fill="FFDCE0" w:val="clear"/>
          </w:tcPr>
          <w:p>
            <w:r>
              <w:rPr>
                <w:b/>
                <w:sz w:val="17"/>
              </w:rPr>
              <w:t>2,305</w:t>
            </w:r>
          </w:p>
        </w:tc>
        <w:tc>
          <w:tcPr>
            <w:tcW w:type="dxa" w:w="1440"/>
            <w:shd w:fill="FFDCE0" w:val="clear"/>
          </w:tcPr>
          <w:p>
            <w:r>
              <w:rPr>
                <w:sz w:val="17"/>
              </w:rPr>
              <w:t>2,516</w:t>
            </w:r>
          </w:p>
        </w:tc>
        <w:tc>
          <w:tcPr>
            <w:tcW w:type="dxa" w:w="1440"/>
            <w:shd w:fill="FFDCE0" w:val="clear"/>
          </w:tcPr>
          <w:p>
            <w:r>
              <w:rPr>
                <w:b/>
                <w:color w:val="C00000"/>
                <w:sz w:val="17"/>
              </w:rPr>
              <w:t>-17.7%</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1,913</w:t>
            </w:r>
          </w:p>
        </w:tc>
        <w:tc>
          <w:tcPr>
            <w:tcW w:type="dxa" w:w="1440"/>
            <w:shd w:fill="FFDCE0" w:val="clear"/>
          </w:tcPr>
          <w:p>
            <w:r>
              <w:rPr>
                <w:b/>
                <w:sz w:val="17"/>
              </w:rPr>
              <w:t>2,140</w:t>
            </w:r>
          </w:p>
        </w:tc>
        <w:tc>
          <w:tcPr>
            <w:tcW w:type="dxa" w:w="1440"/>
            <w:shd w:fill="FFDCE0" w:val="clear"/>
          </w:tcPr>
          <w:p>
            <w:r>
              <w:rPr>
                <w:sz w:val="17"/>
              </w:rPr>
              <w:t>2,366</w:t>
            </w:r>
          </w:p>
        </w:tc>
        <w:tc>
          <w:tcPr>
            <w:tcW w:type="dxa" w:w="1440"/>
            <w:shd w:fill="FFDCE0" w:val="clear"/>
          </w:tcPr>
          <w:p>
            <w:r>
              <w:rPr>
                <w:b/>
                <w:color w:val="C00000"/>
                <w:sz w:val="17"/>
              </w:rPr>
              <w:t>-23.6%</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1,764</w:t>
            </w:r>
          </w:p>
        </w:tc>
        <w:tc>
          <w:tcPr>
            <w:tcW w:type="dxa" w:w="1440"/>
            <w:shd w:fill="FFDCE0" w:val="clear"/>
          </w:tcPr>
          <w:p>
            <w:r>
              <w:rPr>
                <w:b/>
                <w:sz w:val="17"/>
              </w:rPr>
              <w:t>2,001</w:t>
            </w:r>
          </w:p>
        </w:tc>
        <w:tc>
          <w:tcPr>
            <w:tcW w:type="dxa" w:w="1440"/>
            <w:shd w:fill="FFDCE0" w:val="clear"/>
          </w:tcPr>
          <w:p>
            <w:r>
              <w:rPr>
                <w:sz w:val="17"/>
              </w:rPr>
              <w:t>2,238</w:t>
            </w:r>
          </w:p>
        </w:tc>
        <w:tc>
          <w:tcPr>
            <w:tcW w:type="dxa" w:w="1440"/>
            <w:shd w:fill="FFDCE0" w:val="clear"/>
          </w:tcPr>
          <w:p>
            <w:r>
              <w:rPr>
                <w:b/>
                <w:color w:val="C00000"/>
                <w:sz w:val="17"/>
              </w:rPr>
              <w:t>-28.5%</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1,645</w:t>
            </w:r>
          </w:p>
        </w:tc>
        <w:tc>
          <w:tcPr>
            <w:tcW w:type="dxa" w:w="1440"/>
            <w:shd w:fill="FFDCE0" w:val="clear"/>
          </w:tcPr>
          <w:p>
            <w:r>
              <w:rPr>
                <w:b/>
                <w:sz w:val="17"/>
              </w:rPr>
              <w:t>1,890</w:t>
            </w:r>
          </w:p>
        </w:tc>
        <w:tc>
          <w:tcPr>
            <w:tcW w:type="dxa" w:w="1440"/>
            <w:shd w:fill="FFDCE0" w:val="clear"/>
          </w:tcPr>
          <w:p>
            <w:r>
              <w:rPr>
                <w:sz w:val="17"/>
              </w:rPr>
              <w:t>2,135</w:t>
            </w:r>
          </w:p>
        </w:tc>
        <w:tc>
          <w:tcPr>
            <w:tcW w:type="dxa" w:w="1440"/>
            <w:shd w:fill="FFDCE0" w:val="clear"/>
          </w:tcPr>
          <w:p>
            <w:r>
              <w:rPr>
                <w:b/>
                <w:color w:val="C00000"/>
                <w:sz w:val="17"/>
              </w:rPr>
              <w:t>-32.5%</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1,550</w:t>
            </w:r>
          </w:p>
        </w:tc>
        <w:tc>
          <w:tcPr>
            <w:tcW w:type="dxa" w:w="1440"/>
            <w:shd w:fill="FFDCE0" w:val="clear"/>
          </w:tcPr>
          <w:p>
            <w:r>
              <w:rPr>
                <w:b/>
                <w:sz w:val="17"/>
              </w:rPr>
              <w:t>1,802</w:t>
            </w:r>
          </w:p>
        </w:tc>
        <w:tc>
          <w:tcPr>
            <w:tcW w:type="dxa" w:w="1440"/>
            <w:shd w:fill="FFDCE0" w:val="clear"/>
          </w:tcPr>
          <w:p>
            <w:r>
              <w:rPr>
                <w:sz w:val="17"/>
              </w:rPr>
              <w:t>2,055</w:t>
            </w:r>
          </w:p>
        </w:tc>
        <w:tc>
          <w:tcPr>
            <w:tcW w:type="dxa" w:w="1440"/>
            <w:shd w:fill="FFDCE0" w:val="clear"/>
          </w:tcPr>
          <w:p>
            <w:r>
              <w:rPr>
                <w:b/>
                <w:color w:val="C00000"/>
                <w:sz w:val="17"/>
              </w:rPr>
              <w:t>-35.6%</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1,472</w:t>
            </w:r>
          </w:p>
        </w:tc>
        <w:tc>
          <w:tcPr>
            <w:tcW w:type="dxa" w:w="1440"/>
            <w:shd w:fill="FFDCE0" w:val="clear"/>
          </w:tcPr>
          <w:p>
            <w:r>
              <w:rPr>
                <w:b/>
                <w:sz w:val="17"/>
              </w:rPr>
              <w:t>1,732</w:t>
            </w:r>
          </w:p>
        </w:tc>
        <w:tc>
          <w:tcPr>
            <w:tcW w:type="dxa" w:w="1440"/>
            <w:shd w:fill="FFDCE0" w:val="clear"/>
          </w:tcPr>
          <w:p>
            <w:r>
              <w:rPr>
                <w:sz w:val="17"/>
              </w:rPr>
              <w:t>1,991</w:t>
            </w:r>
          </w:p>
        </w:tc>
        <w:tc>
          <w:tcPr>
            <w:tcW w:type="dxa" w:w="1440"/>
            <w:shd w:fill="FFDCE0" w:val="clear"/>
          </w:tcPr>
          <w:p>
            <w:r>
              <w:rPr>
                <w:b/>
                <w:color w:val="C00000"/>
                <w:sz w:val="17"/>
              </w:rPr>
              <w:t>-38.2%</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1,408</w:t>
            </w:r>
          </w:p>
        </w:tc>
        <w:tc>
          <w:tcPr>
            <w:tcW w:type="dxa" w:w="1440"/>
            <w:shd w:fill="FFDCE0" w:val="clear"/>
          </w:tcPr>
          <w:p>
            <w:r>
              <w:rPr>
                <w:b/>
                <w:sz w:val="17"/>
              </w:rPr>
              <w:t>1,674</w:t>
            </w:r>
          </w:p>
        </w:tc>
        <w:tc>
          <w:tcPr>
            <w:tcW w:type="dxa" w:w="1440"/>
            <w:shd w:fill="FFDCE0" w:val="clear"/>
          </w:tcPr>
          <w:p>
            <w:r>
              <w:rPr>
                <w:sz w:val="17"/>
              </w:rPr>
              <w:t>1,940</w:t>
            </w:r>
          </w:p>
        </w:tc>
        <w:tc>
          <w:tcPr>
            <w:tcW w:type="dxa" w:w="1440"/>
            <w:shd w:fill="FFDCE0" w:val="clear"/>
          </w:tcPr>
          <w:p>
            <w:r>
              <w:rPr>
                <w:b/>
                <w:color w:val="C00000"/>
                <w:sz w:val="17"/>
              </w:rPr>
              <w:t>-40.2%</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1,354</w:t>
            </w:r>
          </w:p>
        </w:tc>
        <w:tc>
          <w:tcPr>
            <w:tcW w:type="dxa" w:w="1440"/>
            <w:shd w:fill="FFDCE0" w:val="clear"/>
          </w:tcPr>
          <w:p>
            <w:r>
              <w:rPr>
                <w:b/>
                <w:sz w:val="17"/>
              </w:rPr>
              <w:t>1,626</w:t>
            </w:r>
          </w:p>
        </w:tc>
        <w:tc>
          <w:tcPr>
            <w:tcW w:type="dxa" w:w="1440"/>
            <w:shd w:fill="FFDCE0" w:val="clear"/>
          </w:tcPr>
          <w:p>
            <w:r>
              <w:rPr>
                <w:sz w:val="17"/>
              </w:rPr>
              <w:t>1,898</w:t>
            </w:r>
          </w:p>
        </w:tc>
        <w:tc>
          <w:tcPr>
            <w:tcW w:type="dxa" w:w="1440"/>
            <w:shd w:fill="FFDCE0" w:val="clear"/>
          </w:tcPr>
          <w:p>
            <w:r>
              <w:rPr>
                <w:b/>
                <w:color w:val="C00000"/>
                <w:sz w:val="17"/>
              </w:rPr>
              <w:t>-41.9%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37,63 milliards FCFA, un niveau modeste dans le contexte de la BRVM, mais qui contraste fortement avec la situation financière de l'entreprise. Le BPA est négatif à -7 FCFA, reflétant la perte nette de l'exercice 2025. En conséquence, le PER est négatif (-389,7x), ce qui indique que les investisseurs ne peuvent pas valoriser la société sur la base de ses bénéfices actuels. Le P/B de 105,49x est extrêmement élevé (la référence BRVM se situe généralement entre 1x et 4x), signifiant que le marché valorise l'action à une prime considérable par rapport à ses capitaux propres (356,75 millions FCFA). Ce niveau de valorisation est exigeant et reflète des anticipations de redressement très optimistes, non soutenues par les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affiché une variation totale de +47,37%, avec un cours actuel de 2 800 FCFA, mais une baisse de -0,71% lors de la dernière séance. Le titre a évolué dans une fourchette très large, entre un plus bas de 1 900 FCFA et un plus haut de 3 895 FCFA, illustrant une forte volatilité. La moyenne du cours sur la période est de 3 002 FCFA, très proche de la médiane (2 990 FCFA) et du mode (3 000 FCFA), ce qui indique une distribution relativement symétrique, confirmée par un skewness de -0,216. L'écart-type de 396 FCFA (CV = 13,2%) montre une dispersion modérée autour de la moyenne. Le kurtosis de -0,206 (mésokurtique) suggère une distribution proche de la normale, sans risque de pics extrêmes. La volatilité annualisée de 74,1% est extrêmement élevée, classant STAC parmi les titres les plus risqués de la cote, bien au-delà du seuil de 30%.</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(2 800 FCFA) est inférieur à la MM20 (2 991,5 FCFA) et à la MM50 (3 181,8 FCFA), confirmant une tendance baissière à court et moyen terme. La décision de "Vente" est justifiée par cette configuration, où le prix évolue sous ses moyennes mobiles, signalant une pression vendeuse persistante.</w:t>
      </w:r>
    </w:p>
    <w:p>
      <w:pPr>
        <w:spacing w:after="120" w:line="276" w:lineRule="auto"/>
      </w:pPr>
      <w:r>
        <w:t>**Bandes de Bollinger** : Le prix se situe à 2 800 FCFA, proche de la borne inférieure (2 633,27 FCFA) et loin de la borne supérieure (3 349,73 FCFA). Cette position indique une faiblesse relative, mais la décision "Neutre" suggère que le titre n'est pas encore en situation de survente extrême. La largeur des bandes reflète la volatilité élevée du titre.</w:t>
      </w:r>
    </w:p>
    <w:p>
      <w:pPr>
        <w:spacing w:after="120" w:line="276" w:lineRule="auto"/>
      </w:pPr>
      <w:r>
        <w:t>**MACD** : Le MACD (-133,55) est inférieur à son signal (-109,13), avec une divergence négative. Ce croisement baissier indique un momentum négatif, justifiant la décision de "Vente". La dynamique actuelle ne montre aucun signe de retournement haussier.</w:t>
      </w:r>
    </w:p>
    <w:p>
      <w:pPr>
        <w:spacing w:after="120" w:line="276" w:lineRule="auto"/>
      </w:pPr>
      <w:r>
        <w:t>**RSI** : Le RSI à 30,92 est en zone neutre, mais proche du seuil de survente (30). Cela suggère que le titre est proche d'un éventuel rebond technique, mais sans confirmation. La décision "Neutre" est cohérente avec cette lecture, car le marché n'est pas encore dans une zone extrême.</w:t>
      </w:r>
    </w:p>
    <w:p>
      <w:pPr>
        <w:spacing w:after="120" w:line="276" w:lineRule="auto"/>
      </w:pPr>
      <w:r>
        <w:t>**Stochastique** : Le %K (23,30) est supérieur au %D (16,83), indiquant un croisement haussier potentiel en zone de survente. Cependant, la décision "Neutre" prévaut, car les niveaux sont encore faibles et ne confirment pas un retournement durable.</w:t>
      </w:r>
    </w:p>
    <w:p>
      <w:pPr>
        <w:spacing w:after="120" w:line="276" w:lineRule="auto"/>
      </w:pPr>
      <w:r>
        <w:t>**Conclusion technique** : L'ensemble des indicateurs techniques (MM, MACD) penche vers une tendance baissière, tandis que le RSI et le Stochastique suggèrent une possible stabilisation proche des niveaux de survente. La configuration globale reste négative, avec un risque de poursuite de la baisse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STAC révèlent une situation financière très dégradée. Le chiffre d'affaires s'établit à 3,878 milliards FCFA, en forte croissance de +116,3% par rapport à 2024, mais la société reste déficitaire avec un résultat net de -96,56 millions FCFA. La marge nette est négative à -2,49%, et la marge opérationnelle atteint -19,90%. Le ROE est de -27,07%, et le ROA de -1,77%, indiquant une rentabilité des capitaux propres et des actifs très insuffisante. La structure financière est fragile : les capitaux propres ne représentent que 6,55% du total du bilan (356,75 millions FCFA pour 5,447 milliards FCFA d'actifs), et le ratio d'endettement est de 93,45%. Le BFR est négatif (-930,47 millions FCFA), ce qui est un point positif pour une entreprise, mais la trésorerie nette de 1,330 milliard FCFA reste insuffisante face aux pertes récurrentes. Les rapports trimestriels de 2025 confirment cette trajectoire : au S1 2025, le CA a bondi de +290% à 2,271 milliards FCFA, mais la perte nette s'est aggravée à -557 millions FCFA. Sur les 9 mois 2025, le CA atteint 3,456 milliards FCFA (+176%), avec une perte réduite à -477 millions FCFA, grâce à une amélioration de l'exploitation (-456 millions FCFA contre -921 millions FCFA en 2024). La direction prévoit un CA annuel de 4 milliards FCFA, mais la rentabilité opérationnelle reste l'enjeu critique. Les rapports historiques (2020-2021) montrent que la société était rentable (marge nette de 14,6% en 2020), mais la chute de l'activité depuis 2022 a détruit la valeur. En conclusion, STAC est en phase de redressement, mais la rentabilité n'est pas encore au rendez-vous, et la dépendance au projet de l'aéroport d'Abidjan constitue un risque majeur.</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(P/B de 105,49x, PER négatif), ce qui indique une surévaluation par rapport aux fondamentaux actuels. Le comportement du cours montre une forte volatilité (+47% sur 100 jours, volatilité annualisée de 74,1%), avec une tendance récente baissière, comme en témoignent les moyennes mobiles et le MACD. Les signaux techniques sont majoritairement négatifs, bien que le RSI et le Stochastique suggèrent une possible stabilisation. Les fondamentaux restent fragiles : malgré une croissance du CA de +116% en 2025, la société est toujours déficitaire, et la rentabilité opérationnelle est négative. Les prédictions IA pour les 10 prochains jours (baisse de 2 645 à 2 001 FCFA) confirment la tendance baissière, avec une chute potentielle de plus de 28%. En synthèse, la convergence entre la surévaluation boursière, les signaux techniques négatifs et les fondamentaux dégradés conduit à une recommandation de **VENTE FORTE**. Le niveau de confiance est **Élevé**, et le risque global est **Élevé**. L'horizon d'investissement optimal est le **court terme (&lt; 3 mois)**, avec une surveillance étroite des annonces de contrats et des résultats trimestriels pour tout signe de retournement.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432.90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3,260 titres</w:t>
            </w:r>
          </w:p>
        </w:tc>
        <w:tc>
          <w:tcPr>
            <w:tcW w:type="dxa" w:w="2268"/>
            <w:shd w:fill="FFF2CC" w:val="clear"/>
          </w:tcPr>
          <w:p>
            <w:r>
              <w:rPr>
                <w:b/>
                <w:color w:val="503200"/>
                <w:sz w:val="16"/>
              </w:rPr>
              <w:t xml:space="preserve">Cours actuel : </w:t>
            </w:r>
            <w:r>
              <w:rPr>
                <w:color w:val="000000"/>
                <w:sz w:val="17"/>
              </w:rPr>
              <w:t>24,110 FCFA</w:t>
            </w:r>
          </w:p>
          <w:p>
            <w:r>
              <w:rPr>
                <w:b/>
                <w:color w:val="503200"/>
                <w:sz w:val="16"/>
              </w:rPr>
              <w:t xml:space="preserve">Var. 100 jours : </w:t>
            </w:r>
            <w:r>
              <w:rPr>
                <w:b/>
                <w:color w:val="007800"/>
                <w:sz w:val="17"/>
              </w:rPr>
              <w:t>+12.17%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28.1%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5.74% (Moyenne) — μ=22,034 FCFA, σ=1,264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β=0.4144 (Défensif) — Cov=0.000015, Var(idx)=0.000036, ρ=0.140,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σ_j=1.77%/j (Stable) — Vol. annualisée≈28.1%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23,273</w:t>
            </w:r>
          </w:p>
        </w:tc>
        <w:tc>
          <w:tcPr>
            <w:tcW w:type="dxa" w:w="1440"/>
            <w:shd w:fill="FAFAFA" w:val="clear"/>
          </w:tcPr>
          <w:p>
            <w:r>
              <w:rPr>
                <w:b/>
                <w:sz w:val="17"/>
              </w:rPr>
              <w:t>24,265</w:t>
            </w:r>
          </w:p>
        </w:tc>
        <w:tc>
          <w:tcPr>
            <w:tcW w:type="dxa" w:w="1440"/>
            <w:shd w:fill="FAFAFA" w:val="clear"/>
          </w:tcPr>
          <w:p>
            <w:r>
              <w:rPr>
                <w:sz w:val="17"/>
              </w:rPr>
              <w:t>25,258</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23,075</w:t>
            </w:r>
          </w:p>
        </w:tc>
        <w:tc>
          <w:tcPr>
            <w:tcW w:type="dxa" w:w="1440"/>
            <w:shd w:fill="FAFAFA" w:val="clear"/>
          </w:tcPr>
          <w:p>
            <w:r>
              <w:rPr>
                <w:b/>
                <w:sz w:val="17"/>
              </w:rPr>
              <w:t>24,491</w:t>
            </w:r>
          </w:p>
        </w:tc>
        <w:tc>
          <w:tcPr>
            <w:tcW w:type="dxa" w:w="1440"/>
            <w:shd w:fill="FAFAFA" w:val="clear"/>
          </w:tcPr>
          <w:p>
            <w:r>
              <w:rPr>
                <w:sz w:val="17"/>
              </w:rPr>
              <w:t>25,908</w:t>
            </w:r>
          </w:p>
        </w:tc>
        <w:tc>
          <w:tcPr>
            <w:tcW w:type="dxa" w:w="1440"/>
            <w:shd w:fill="FAFAFA" w:val="clear"/>
          </w:tcPr>
          <w:p>
            <w:r>
              <w:rPr>
                <w:b/>
                <w:color w:val="008000"/>
                <w:sz w:val="17"/>
              </w:rPr>
              <w:t>+1.6%</w:t>
            </w:r>
          </w:p>
        </w:tc>
      </w:tr>
      <w:tr>
        <w:tc>
          <w:tcPr>
            <w:tcW w:type="dxa" w:w="1440"/>
            <w:shd w:fill="C6EFCE" w:val="clear"/>
          </w:tcPr>
          <w:p>
            <w:r>
              <w:rPr>
                <w:sz w:val="17"/>
              </w:rPr>
              <w:t>J+3  ⭐</w:t>
            </w:r>
          </w:p>
        </w:tc>
        <w:tc>
          <w:tcPr>
            <w:tcW w:type="dxa" w:w="1440"/>
            <w:shd w:fill="C6EFCE" w:val="clear"/>
          </w:tcPr>
          <w:p>
            <w:r>
              <w:rPr>
                <w:sz w:val="17"/>
              </w:rPr>
              <w:t>2026-08-10</w:t>
            </w:r>
          </w:p>
        </w:tc>
        <w:tc>
          <w:tcPr>
            <w:tcW w:type="dxa" w:w="1440"/>
            <w:shd w:fill="C6EFCE" w:val="clear"/>
          </w:tcPr>
          <w:p>
            <w:r>
              <w:rPr>
                <w:sz w:val="17"/>
              </w:rPr>
              <w:t>22,965</w:t>
            </w:r>
          </w:p>
        </w:tc>
        <w:tc>
          <w:tcPr>
            <w:tcW w:type="dxa" w:w="1440"/>
            <w:shd w:fill="C6EFCE" w:val="clear"/>
          </w:tcPr>
          <w:p>
            <w:r>
              <w:rPr>
                <w:b/>
                <w:sz w:val="17"/>
              </w:rPr>
              <w:t>24,716</w:t>
            </w:r>
          </w:p>
        </w:tc>
        <w:tc>
          <w:tcPr>
            <w:tcW w:type="dxa" w:w="1440"/>
            <w:shd w:fill="C6EFCE" w:val="clear"/>
          </w:tcPr>
          <w:p>
            <w:r>
              <w:rPr>
                <w:sz w:val="17"/>
              </w:rPr>
              <w:t>26,466</w:t>
            </w:r>
          </w:p>
        </w:tc>
        <w:tc>
          <w:tcPr>
            <w:tcW w:type="dxa" w:w="1440"/>
            <w:shd w:fill="C6EFCE" w:val="clear"/>
          </w:tcPr>
          <w:p>
            <w:r>
              <w:rPr>
                <w:b/>
                <w:color w:val="008000"/>
                <w:sz w:val="17"/>
              </w:rPr>
              <w:t>+2.5%</w:t>
            </w:r>
          </w:p>
        </w:tc>
      </w:tr>
      <w:tr>
        <w:tc>
          <w:tcPr>
            <w:tcW w:type="dxa" w:w="1440"/>
            <w:shd w:fill="C6EFCE" w:val="clear"/>
          </w:tcPr>
          <w:p>
            <w:r>
              <w:rPr>
                <w:sz w:val="17"/>
              </w:rPr>
              <w:t>J+4  ⭐</w:t>
            </w:r>
          </w:p>
        </w:tc>
        <w:tc>
          <w:tcPr>
            <w:tcW w:type="dxa" w:w="1440"/>
            <w:shd w:fill="C6EFCE" w:val="clear"/>
          </w:tcPr>
          <w:p>
            <w:r>
              <w:rPr>
                <w:sz w:val="17"/>
              </w:rPr>
              <w:t>2026-08-11</w:t>
            </w:r>
          </w:p>
        </w:tc>
        <w:tc>
          <w:tcPr>
            <w:tcW w:type="dxa" w:w="1440"/>
            <w:shd w:fill="C6EFCE" w:val="clear"/>
          </w:tcPr>
          <w:p>
            <w:r>
              <w:rPr>
                <w:sz w:val="17"/>
              </w:rPr>
              <w:t>22,906</w:t>
            </w:r>
          </w:p>
        </w:tc>
        <w:tc>
          <w:tcPr>
            <w:tcW w:type="dxa" w:w="1440"/>
            <w:shd w:fill="C6EFCE" w:val="clear"/>
          </w:tcPr>
          <w:p>
            <w:r>
              <w:rPr>
                <w:b/>
                <w:sz w:val="17"/>
              </w:rPr>
              <w:t>24,946</w:t>
            </w:r>
          </w:p>
        </w:tc>
        <w:tc>
          <w:tcPr>
            <w:tcW w:type="dxa" w:w="1440"/>
            <w:shd w:fill="C6EFCE" w:val="clear"/>
          </w:tcPr>
          <w:p>
            <w:r>
              <w:rPr>
                <w:sz w:val="17"/>
              </w:rPr>
              <w:t>26,986</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2026-08-12</w:t>
            </w:r>
          </w:p>
        </w:tc>
        <w:tc>
          <w:tcPr>
            <w:tcW w:type="dxa" w:w="1440"/>
            <w:shd w:fill="C6EFCE" w:val="clear"/>
          </w:tcPr>
          <w:p>
            <w:r>
              <w:rPr>
                <w:sz w:val="17"/>
              </w:rPr>
              <w:t>22,880</w:t>
            </w:r>
          </w:p>
        </w:tc>
        <w:tc>
          <w:tcPr>
            <w:tcW w:type="dxa" w:w="1440"/>
            <w:shd w:fill="C6EFCE" w:val="clear"/>
          </w:tcPr>
          <w:p>
            <w:r>
              <w:rPr>
                <w:b/>
                <w:sz w:val="17"/>
              </w:rPr>
              <w:t>25,182</w:t>
            </w:r>
          </w:p>
        </w:tc>
        <w:tc>
          <w:tcPr>
            <w:tcW w:type="dxa" w:w="1440"/>
            <w:shd w:fill="C6EFCE" w:val="clear"/>
          </w:tcPr>
          <w:p>
            <w:r>
              <w:rPr>
                <w:sz w:val="17"/>
              </w:rPr>
              <w:t>27,485</w:t>
            </w:r>
          </w:p>
        </w:tc>
        <w:tc>
          <w:tcPr>
            <w:tcW w:type="dxa" w:w="1440"/>
            <w:shd w:fill="C6EFCE" w:val="clear"/>
          </w:tcPr>
          <w:p>
            <w:r>
              <w:rPr>
                <w:b/>
                <w:color w:val="008000"/>
                <w:sz w:val="17"/>
              </w:rPr>
              <w:t>+4.4%</w:t>
            </w:r>
          </w:p>
        </w:tc>
      </w:tr>
      <w:tr>
        <w:tc>
          <w:tcPr>
            <w:tcW w:type="dxa" w:w="1440"/>
            <w:shd w:fill="C6EFCE" w:val="clear"/>
          </w:tcPr>
          <w:p>
            <w:r>
              <w:rPr>
                <w:sz w:val="17"/>
              </w:rPr>
              <w:t>J+6  ⭐</w:t>
            </w:r>
          </w:p>
        </w:tc>
        <w:tc>
          <w:tcPr>
            <w:tcW w:type="dxa" w:w="1440"/>
            <w:shd w:fill="C6EFCE" w:val="clear"/>
          </w:tcPr>
          <w:p>
            <w:r>
              <w:rPr>
                <w:sz w:val="17"/>
              </w:rPr>
              <w:t>2026-08-13</w:t>
            </w:r>
          </w:p>
        </w:tc>
        <w:tc>
          <w:tcPr>
            <w:tcW w:type="dxa" w:w="1440"/>
            <w:shd w:fill="C6EFCE" w:val="clear"/>
          </w:tcPr>
          <w:p>
            <w:r>
              <w:rPr>
                <w:sz w:val="17"/>
              </w:rPr>
              <w:t>22,867</w:t>
            </w:r>
          </w:p>
        </w:tc>
        <w:tc>
          <w:tcPr>
            <w:tcW w:type="dxa" w:w="1440"/>
            <w:shd w:fill="C6EFCE" w:val="clear"/>
          </w:tcPr>
          <w:p>
            <w:r>
              <w:rPr>
                <w:b/>
                <w:sz w:val="17"/>
              </w:rPr>
              <w:t>25,412</w:t>
            </w:r>
          </w:p>
        </w:tc>
        <w:tc>
          <w:tcPr>
            <w:tcW w:type="dxa" w:w="1440"/>
            <w:shd w:fill="C6EFCE" w:val="clear"/>
          </w:tcPr>
          <w:p>
            <w:r>
              <w:rPr>
                <w:sz w:val="17"/>
              </w:rPr>
              <w:t>27,957</w:t>
            </w:r>
          </w:p>
        </w:tc>
        <w:tc>
          <w:tcPr>
            <w:tcW w:type="dxa" w:w="1440"/>
            <w:shd w:fill="C6EFCE" w:val="clear"/>
          </w:tcPr>
          <w:p>
            <w:r>
              <w:rPr>
                <w:b/>
                <w:color w:val="008000"/>
                <w:sz w:val="17"/>
              </w:rPr>
              <w:t>+5.4%</w:t>
            </w:r>
          </w:p>
        </w:tc>
      </w:tr>
      <w:tr>
        <w:tc>
          <w:tcPr>
            <w:tcW w:type="dxa" w:w="1440"/>
            <w:shd w:fill="C6EFCE" w:val="clear"/>
          </w:tcPr>
          <w:p>
            <w:r>
              <w:rPr>
                <w:sz w:val="17"/>
              </w:rPr>
              <w:t>J+7  ⭐</w:t>
            </w:r>
          </w:p>
        </w:tc>
        <w:tc>
          <w:tcPr>
            <w:tcW w:type="dxa" w:w="1440"/>
            <w:shd w:fill="C6EFCE" w:val="clear"/>
          </w:tcPr>
          <w:p>
            <w:r>
              <w:rPr>
                <w:sz w:val="17"/>
              </w:rPr>
              <w:t>2026-08-14</w:t>
            </w:r>
          </w:p>
        </w:tc>
        <w:tc>
          <w:tcPr>
            <w:tcW w:type="dxa" w:w="1440"/>
            <w:shd w:fill="C6EFCE" w:val="clear"/>
          </w:tcPr>
          <w:p>
            <w:r>
              <w:rPr>
                <w:sz w:val="17"/>
              </w:rPr>
              <w:t>22,872</w:t>
            </w:r>
          </w:p>
        </w:tc>
        <w:tc>
          <w:tcPr>
            <w:tcW w:type="dxa" w:w="1440"/>
            <w:shd w:fill="C6EFCE" w:val="clear"/>
          </w:tcPr>
          <w:p>
            <w:r>
              <w:rPr>
                <w:b/>
                <w:sz w:val="17"/>
              </w:rPr>
              <w:t>25,647</w:t>
            </w:r>
          </w:p>
        </w:tc>
        <w:tc>
          <w:tcPr>
            <w:tcW w:type="dxa" w:w="1440"/>
            <w:shd w:fill="C6EFCE" w:val="clear"/>
          </w:tcPr>
          <w:p>
            <w:r>
              <w:rPr>
                <w:sz w:val="17"/>
              </w:rPr>
              <w:t>28,422</w:t>
            </w:r>
          </w:p>
        </w:tc>
        <w:tc>
          <w:tcPr>
            <w:tcW w:type="dxa" w:w="1440"/>
            <w:shd w:fill="C6EFCE" w:val="clear"/>
          </w:tcPr>
          <w:p>
            <w:r>
              <w:rPr>
                <w:b/>
                <w:color w:val="008000"/>
                <w:sz w:val="17"/>
              </w:rPr>
              <w:t>+6.4%</w:t>
            </w:r>
          </w:p>
        </w:tc>
      </w:tr>
      <w:tr>
        <w:tc>
          <w:tcPr>
            <w:tcW w:type="dxa" w:w="1440"/>
            <w:shd w:fill="C6EFCE" w:val="clear"/>
          </w:tcPr>
          <w:p>
            <w:r>
              <w:rPr>
                <w:sz w:val="17"/>
              </w:rPr>
              <w:t>J+8  ⭐</w:t>
            </w:r>
          </w:p>
        </w:tc>
        <w:tc>
          <w:tcPr>
            <w:tcW w:type="dxa" w:w="1440"/>
            <w:shd w:fill="C6EFCE" w:val="clear"/>
          </w:tcPr>
          <w:p>
            <w:r>
              <w:rPr>
                <w:sz w:val="17"/>
              </w:rPr>
              <w:t>2026-08-17</w:t>
            </w:r>
          </w:p>
        </w:tc>
        <w:tc>
          <w:tcPr>
            <w:tcW w:type="dxa" w:w="1440"/>
            <w:shd w:fill="C6EFCE" w:val="clear"/>
          </w:tcPr>
          <w:p>
            <w:r>
              <w:rPr>
                <w:sz w:val="17"/>
              </w:rPr>
              <w:t>22,883</w:t>
            </w:r>
          </w:p>
        </w:tc>
        <w:tc>
          <w:tcPr>
            <w:tcW w:type="dxa" w:w="1440"/>
            <w:shd w:fill="C6EFCE" w:val="clear"/>
          </w:tcPr>
          <w:p>
            <w:r>
              <w:rPr>
                <w:b/>
                <w:sz w:val="17"/>
              </w:rPr>
              <w:t>25,876</w:t>
            </w:r>
          </w:p>
        </w:tc>
        <w:tc>
          <w:tcPr>
            <w:tcW w:type="dxa" w:w="1440"/>
            <w:shd w:fill="C6EFCE" w:val="clear"/>
          </w:tcPr>
          <w:p>
            <w:r>
              <w:rPr>
                <w:sz w:val="17"/>
              </w:rPr>
              <w:t>28,868</w:t>
            </w:r>
          </w:p>
        </w:tc>
        <w:tc>
          <w:tcPr>
            <w:tcW w:type="dxa" w:w="1440"/>
            <w:shd w:fill="C6EFCE" w:val="clear"/>
          </w:tcPr>
          <w:p>
            <w:r>
              <w:rPr>
                <w:b/>
                <w:color w:val="008000"/>
                <w:sz w:val="17"/>
              </w:rPr>
              <w:t>+7.3%</w:t>
            </w:r>
          </w:p>
        </w:tc>
      </w:tr>
      <w:tr>
        <w:tc>
          <w:tcPr>
            <w:tcW w:type="dxa" w:w="1440"/>
            <w:shd w:fill="C6EFCE" w:val="clear"/>
          </w:tcPr>
          <w:p>
            <w:r>
              <w:rPr>
                <w:sz w:val="17"/>
              </w:rPr>
              <w:t>J+9  ⭐</w:t>
            </w:r>
          </w:p>
        </w:tc>
        <w:tc>
          <w:tcPr>
            <w:tcW w:type="dxa" w:w="1440"/>
            <w:shd w:fill="C6EFCE" w:val="clear"/>
          </w:tcPr>
          <w:p>
            <w:r>
              <w:rPr>
                <w:sz w:val="17"/>
              </w:rPr>
              <w:t>2026-08-18</w:t>
            </w:r>
          </w:p>
        </w:tc>
        <w:tc>
          <w:tcPr>
            <w:tcW w:type="dxa" w:w="1440"/>
            <w:shd w:fill="C6EFCE" w:val="clear"/>
          </w:tcPr>
          <w:p>
            <w:r>
              <w:rPr>
                <w:sz w:val="17"/>
              </w:rPr>
              <w:t>22,912</w:t>
            </w:r>
          </w:p>
        </w:tc>
        <w:tc>
          <w:tcPr>
            <w:tcW w:type="dxa" w:w="1440"/>
            <w:shd w:fill="C6EFCE" w:val="clear"/>
          </w:tcPr>
          <w:p>
            <w:r>
              <w:rPr>
                <w:b/>
                <w:sz w:val="17"/>
              </w:rPr>
              <w:t>26,115</w:t>
            </w:r>
          </w:p>
        </w:tc>
        <w:tc>
          <w:tcPr>
            <w:tcW w:type="dxa" w:w="1440"/>
            <w:shd w:fill="C6EFCE" w:val="clear"/>
          </w:tcPr>
          <w:p>
            <w:r>
              <w:rPr>
                <w:sz w:val="17"/>
              </w:rPr>
              <w:t>29,318</w:t>
            </w:r>
          </w:p>
        </w:tc>
        <w:tc>
          <w:tcPr>
            <w:tcW w:type="dxa" w:w="1440"/>
            <w:shd w:fill="C6EFCE" w:val="clear"/>
          </w:tcPr>
          <w:p>
            <w:r>
              <w:rPr>
                <w:b/>
                <w:color w:val="008000"/>
                <w:sz w:val="17"/>
              </w:rPr>
              <w:t>+8.3%</w:t>
            </w:r>
          </w:p>
        </w:tc>
      </w:tr>
      <w:tr>
        <w:tc>
          <w:tcPr>
            <w:tcW w:type="dxa" w:w="1440"/>
            <w:shd w:fill="C6EFCE" w:val="clear"/>
          </w:tcPr>
          <w:p>
            <w:r>
              <w:rPr>
                <w:sz w:val="17"/>
              </w:rPr>
              <w:t>J+10  ⭐</w:t>
            </w:r>
          </w:p>
        </w:tc>
        <w:tc>
          <w:tcPr>
            <w:tcW w:type="dxa" w:w="1440"/>
            <w:shd w:fill="C6EFCE" w:val="clear"/>
          </w:tcPr>
          <w:p>
            <w:r>
              <w:rPr>
                <w:sz w:val="17"/>
              </w:rPr>
              <w:t>2026-08-19</w:t>
            </w:r>
          </w:p>
        </w:tc>
        <w:tc>
          <w:tcPr>
            <w:tcW w:type="dxa" w:w="1440"/>
            <w:shd w:fill="C6EFCE" w:val="clear"/>
          </w:tcPr>
          <w:p>
            <w:r>
              <w:rPr>
                <w:sz w:val="17"/>
              </w:rPr>
              <w:t>22,940</w:t>
            </w:r>
          </w:p>
        </w:tc>
        <w:tc>
          <w:tcPr>
            <w:tcW w:type="dxa" w:w="1440"/>
            <w:shd w:fill="C6EFCE" w:val="clear"/>
          </w:tcPr>
          <w:p>
            <w:r>
              <w:rPr>
                <w:b/>
                <w:sz w:val="17"/>
              </w:rPr>
              <w:t>26,346</w:t>
            </w:r>
          </w:p>
        </w:tc>
        <w:tc>
          <w:tcPr>
            <w:tcW w:type="dxa" w:w="1440"/>
            <w:shd w:fill="C6EFCE" w:val="clear"/>
          </w:tcPr>
          <w:p>
            <w:r>
              <w:rPr>
                <w:sz w:val="17"/>
              </w:rPr>
              <w:t>29,753</w:t>
            </w:r>
          </w:p>
        </w:tc>
        <w:tc>
          <w:tcPr>
            <w:tcW w:type="dxa" w:w="1440"/>
            <w:shd w:fill="C6EFCE" w:val="clear"/>
          </w:tcPr>
          <w:p>
            <w:r>
              <w:rPr>
                <w:b/>
                <w:color w:val="008000"/>
                <w:sz w:val="17"/>
              </w:rPr>
              <w:t>+9.3%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432,90 milliards FCFA, ce qui en fait une valeur de première importance sur la BRVM, probablement l'une des plus importantes du marché par sa taille. Le BPA de 2 014 FCFA indique que chaque action génère un bénéfice substantiel, justifiant un PER de 12,0x, légèrement au-dessus de la moyenne historique de la BRVM (8-12x), ce qui témoigne d'une valorisation raisonnable mais non bradée. En revanche, le P/B de 9,55x est particulièrement élevé, signifiant que le marché valorise l'entreprise à près de dix fois sa valeur comptable, une prime considérable qui reflète des attentes de rentabilité future très élevées. Enfin, l'EV/EBITDA de 8,7x se situe dans une fourchette raisonnable (5-10x), indiquant que la valeur totale de l'entreprise (capitalisation plus dette nette) reste cohérente avec sa capacité à générer des bénéfices opérationnels.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 enregistré une progression totale de +12,17%, avec une dernière séance en hausse de +0,52% à 24 110 FCFA. Le titre a évolué dans une fourchette de 19 705 FCFA (plus bas) à 25 000 FCFA (plus haut), démontrant une amplitude de trading de plus de 26%, ce qui reflète une volatilité intraday significative. La moyenne du cours sur la période est de 22 034 FCFA, tandis que la médiane s'établit à 21 698 FCFA ; l'écart entre ces deux valeurs, ainsi qu'un skewness positif de 0,625, indiquent une distribution asymétrique avec des journées plus fréquentes sous la moyenne mais quelques fortes hausses qui tirent la moyenne vers le haut. L'écart-type de 1 270 FCFA (CV = 5,8%) montre une dispersion modérée autour de la moyenne, et le kurtosis de -0,571 (mésokurtique) suggère une distribution proche de la normale, sans risque de pics extrêmes. La volatilité annualisée de 28,1% classe le titre dans la catégorie des valeurs à volatilité modérée à élevée, nécessitant une certaine tolérance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24 110 FCFA se situe nettement au-dessus de la MM20 (23 538,75 FCFA) et de la MM50 (22 945,5 FCFA), confirmant une tendance haussière de court et moyen terme. La configuration des moyennes mobiles, avec le cours au-dessus des deux, génère un signal d'achat, indiquant que la dynamique positive est soutenue par les moyennes périodes.</w:t>
      </w:r>
    </w:p>
    <w:p>
      <w:pPr>
        <w:spacing w:after="120" w:line="276" w:lineRule="auto"/>
      </w:pPr>
      <w:r>
        <w:t>**Bandes de Bollinger** : Le prix évolue à 24 110 FCFA, proche de la borne supérieure (24 638,97 FCFA) mais en dessous de celle-ci. Cette position suggère une pression acheteuse soutenue sans atteindre des conditions de surachat extrême. La décision est neutre, le cours n'ayant pas encore franchi la borne supérieure, ce qui laisse une marge de progression avant une éventuelle correction.</w:t>
      </w:r>
    </w:p>
    <w:p>
      <w:pPr>
        <w:spacing w:after="120" w:line="276" w:lineRule="auto"/>
      </w:pPr>
      <w:r>
        <w:t>**MACD** : La valeur du MACD (121,203) est légèrement inférieure à son signal (123,809), indiquant un momentum baissier à très court terme. Cette divergence négative, bien que minime, génère un signal de vente, suggérant une possible consolidation ou correction après la récente hausse.</w:t>
      </w:r>
    </w:p>
    <w:p>
      <w:pPr>
        <w:spacing w:after="120" w:line="276" w:lineRule="auto"/>
      </w:pPr>
      <w:r>
        <w:t>**RSI** : À 62,319, le RSI se situe dans la zone neutre (30-70), sans signal de surachat ni de survente. Cette valeur indique que le titre dispose encore d'une marge de progression avant d'atteindre des conditions de surachat (au-dessus de 70), mais la dynamique haussière n'est pas excessive.</w:t>
      </w:r>
    </w:p>
    <w:p>
      <w:pPr>
        <w:spacing w:after="120" w:line="276" w:lineRule="auto"/>
      </w:pPr>
      <w:r>
        <w:t>**Stochastique** : Avec %K à 100,0 et %D à 83,078, l'indicateur stochastique est en zone de surachat extrême. Le %K ayant atteint sa valeur maximale, un croisement baissier est probable à court terme, générant un signal de vente. Cette configuration suggère que le titre est temporairement survendu et pourrait connaître un repli technique.</w:t>
      </w:r>
    </w:p>
    <w:p>
      <w:pPr>
        <w:spacing w:after="120" w:line="276" w:lineRule="auto"/>
      </w:pPr>
      <w:r>
        <w:t>**Conclusion technique** : Les indicateurs sont mitigés : les moyennes mobiles et le RSI soutiennent la tendance haussière, tandis que le MACD et le stochastique (en surachat) signalent un essoufflement à court terme. La prudence est de mise, car une consolidation technique semble probable avant la poursuite de la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STBC (entreprise non bancaire) révèlent un chiffre d'affaires de 268,537 milliards FCFA, en croissance de +25,3% par rapport à 2024, et un résultat net de 36,158 milliards FCFA. La rentabilité est exceptionnelle avec un ROE de 79,75% et un ROA de 48,09%, démontrant une utilisation très efficace des capitaux propres et des actifs. La marge nette s'établit à 13,46%, en baisse par rapport aux 20,4% de 2024, en raison d'une forte augmentation des charges d'exploitation (+38% sur les achats). La structure financière est saine avec une autonomie financière de 60,3%, une trésorerie nette de 30,763 milliards FCFA et un endettement quasi nul (dettes financières de seulement 1,4 million FCFA). Le BFR est positif à 5,639 milliards FCFA, avec un délai clients de 42,57 jours, ce qui est acceptable. Les rapports trimestriels 2025 montrent une performance contrastée : le T1 était excellent (résultat net +146%), le S1 très bon (+87,3%), mais le T4 a chuté de -74% en raison de la hausse des droits d'accises et de charges exceptionnelles. Le rapport T1 2026 (publié en 2026) indique un chiffre d'affaires de 68,8 milliards FCFA (+12%) et un résultat net de 9,3 milliards FCFA (-1%), montrant une stabilisation. On estime que l'exercice 2026 pourrait maintenir un résultat net autour de 35-37 milliards FCFA si la pression fiscale se stabilise. La politique de dividende reste très généreuse avec un taux de distribution de 105% en 2025, ce qui est non soutenable à long terme mais témoigne de la solidité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est contrastée : le PER de 12,0x est raisonnable, mais le P/B de 9,55x est très élevé, indiquant que le marché anticipe une rentabilité future soutenue. Le comportement du cours est favorable avec une tendance haussière de +12,17% sur 100 jours, une volatilité modérée (28,1%) et une distribution statistique saine (mésokurtique, skewness positif). Les signaux techniques sont mitigés : les moyennes mobiles et le RSI soutiennent la hausse, mais le MACD et le stochastique en surachat signalent un risque de consolidation à court terme. Les fondamentaux sont solides avec une croissance du CA de +25%, un ROE exceptionnel de 79,75% et une structure financière robuste (zéro dette, trésorerie abondante), mais la dégradation des marges et la politique de dividende excessive (105% du bénéfice) sont des points de vigilance. Les prédictions IA (+0,6% à +4,4% sur 10 jours) confirment la tendance haussière, mais avec une progression modérée. En synthèse, la convergence entre la tendance du cours, les fondamentaux solides et les prédictions IA plaide pour une recommandation **CONSERVER**, avec un niveau de confiance **Moyen** et un risque global **Moyen**. L'horizon d'investissement optimal est le **moyen terme (3-12 mois)**, en attendant de voir si la direction parvient à stabiliser les marges et à modérer la distribution de dividendes pour préserver les équilibres financiers.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(+95% de r\u00e9sultat net) et la position dominante sur le march\u00e9 justifient un investissement. La trajectoire de croissance soutenue depuis 3 ans et les perspectives optimistes pour 2022 renforcent l'attractivit\u00e9."}</w:t>
      </w:r>
    </w:p>
    <w:p>
      <w:pPr>
        <w:spacing w:before="40"/>
        <w:ind w:left="400"/>
      </w:pPr>
      <w:r>
        <w:rPr>
          <w:sz w:val="18"/>
        </w:rPr>
        <w:t>SITAB S.A, leader du marché du tabac en Côte d'Ivoire avec 83% de part de marché, affiche des résultats exceptionnels au premier semestre 2022. Le chiffre d'affaires progresse de 10,9% à 72,7 milliards FCFA, soutenu par une croissance des volumes de 8,5%. Le résultat d'exploitation bondit de 49% à 7,2 milliards FCFA grâce à l'effet volume et à l'optimisation des charges. Le résultat net double quasiment (+95%) à 7,3 milliards FCFA, dopé par des dividendes de filiales de 1,9 milliard FCFA. La direction anticipe de bons résultats pour l'ensemble de l'exercice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'83%', 'volumes_vente': "3,234 milliards d'unités", 'capital_social': '4,49 milliards FCFA', 'resultat_financier': '1,94 milliards FCFA', 'resultat_exploitation': '7,22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7,27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Position dominante avec 83% de part de marché du tabac consolidée</w:t>
      </w:r>
    </w:p>
    <w:p>
      <w:pPr>
        <w:pStyle w:val="ListBullet"/>
        <w:spacing w:before="20" w:after="20"/>
        <w:ind w:left="700"/>
      </w:pPr>
      <w:r>
        <w:rPr>
          <w:sz w:val="18"/>
        </w:rPr>
        <w:t>Croissance soutenue des volumes de vente de 8,5% sur un an</w:t>
      </w:r>
    </w:p>
    <w:p>
      <w:pPr>
        <w:pStyle w:val="ListBullet"/>
        <w:spacing w:before="20" w:after="20"/>
        <w:ind w:left="700"/>
      </w:pPr>
      <w:r>
        <w:rPr>
          <w:sz w:val="18"/>
        </w:rPr>
        <w:t>Progression remarquable du chiffre d'affaires de 10,9% à 72,7 milliards FCFA</w:t>
      </w:r>
    </w:p>
    <w:p>
      <w:pPr>
        <w:pStyle w:val="ListBullet"/>
        <w:spacing w:before="20" w:after="20"/>
        <w:ind w:left="700"/>
      </w:pPr>
      <w:r>
        <w:rPr>
          <w:sz w:val="18"/>
        </w:rPr>
        <w:t>Explosion du résultat d'exploitation (+49%) grâce à l'optimisation des charges</w:t>
      </w:r>
    </w:p>
    <w:p>
      <w:pPr>
        <w:pStyle w:val="ListBullet"/>
        <w:spacing w:before="20" w:after="20"/>
        <w:ind w:left="700"/>
      </w:pPr>
      <w:r>
        <w:rPr>
          <w:sz w:val="18"/>
        </w:rPr>
        <w:t>Résultat financier multiplié par 96 à 1,9 milliard FCFA (dividendes de filiales)</w:t>
      </w:r>
    </w:p>
    <w:p>
      <w:pPr>
        <w:pStyle w:val="ListBullet"/>
        <w:spacing w:before="20" w:after="20"/>
        <w:ind w:left="700"/>
      </w:pPr>
      <w:r>
        <w:rPr>
          <w:sz w:val="18"/>
        </w:rPr>
        <w:t>Quasi-doublement du résultat net (+95%) à 7,3 milliards FCFA</w:t>
      </w:r>
    </w:p>
    <w:p>
      <w:pPr>
        <w:spacing w:before="40"/>
        <w:ind w:left="400"/>
      </w:pPr>
      <w:r>
        <w:rPr>
          <w:b/>
          <w:color w:val="C05000"/>
          <w:sz w:val="18"/>
        </w:rPr>
        <w:t xml:space="preserve">⚠️ Risques : </w:t>
      </w:r>
      <w:r>
        <w:rPr>
          <w:sz w:val="18"/>
        </w:rPr>
        <w:t>["Secteur du tabac soumis \u00e0 une r\u00e9glementation de plus en plus stricte", "D\u00e9pendance forte au march\u00e9 ivoirien et \u00e0 un secteur concentr\u00e9", "Comptes semestriels non audit\u00e9s par les commissaires aux comptes"]</w:t>
      </w:r>
    </w:p>
    <w:p>
      <w:pPr>
        <w:spacing w:before="40"/>
        <w:ind w:left="400"/>
      </w:pPr>
      <w:r>
        <w:rPr>
          <w:b/>
          <w:color w:val="0064A0"/>
          <w:sz w:val="18"/>
        </w:rPr>
        <w:t xml:space="preserve">🔮 Perspectives : </w:t>
      </w:r>
      <w:r>
        <w:rPr>
          <w:sz w:val="18"/>
        </w:rPr>
        <w:t>La direction se montre confiante pour la clôture 2022 sur la base des excellents résultats semestriels. La tendance de croissance soutenue des volumes et l'optimisation continue des charges laissent présager de bons résultats annuels. Le renforcement de la position de leader et l'amélioration du mix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"Soci\u00e9t\u00e9 d\u00e9fensive avec une rentabilit\u00e9 stable et une politique de dividendes attractive, id\u00e9ale pour les investisseurs recherchant des revenus r\u00e9guliers. Les fondamentaux solides et la g\u00e9n\u00e9ration de cash-flow soutiennent la valorisation actuelle."}</w:t>
      </w:r>
    </w:p>
    <w:p>
      <w:pPr>
        <w:spacing w:before="40"/>
        <w:ind w:left="400"/>
      </w:pPr>
      <w:r>
        <w:rPr>
          <w:sz w:val="18"/>
        </w:rPr>
        <w:t>SITAB (Société Ivoirienne des Tabacs) affiche une solide performance financière en 2022 avec un chiffre d'affaires de 151,2 milliards FCFA et un bénéfice net en hausse de 16% à 11,2 milliards FCFA. La société maintient une rentabilité élevée avec une marge nette de 7,4% et génère une forte capacité d'autofinancement de 11,3 milliards FCFA. Le bilan présente une structure financière saine avec des capitaux propres solides de 8,0 milliards FCFA et une trésorerie nette positive de 6,7 milliards FCFA. La société a distribué 8,6 milliards FCFA de dividendes, témoignant de sa politique de rémunération généreuse des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'14,8 milliards FCFA', 'tresorerie_nette': '6,7 milliards FCFA', 'capacite_autofinancement': '11,3 milliards FCFA', 'excedent_brut_exploitation': '12,6 milliards FCFA'}</w:t>
            </w:r>
          </w:p>
        </w:tc>
        <w:tc>
          <w:tcPr>
            <w:tcW w:type="dxa" w:w="2160"/>
          </w:tcPr>
          <w:p>
            <w:pPr>
              <w:ind w:left="100"/>
            </w:pPr>
            <w:r/>
            <w:r>
              <w:rPr>
                <w:b/>
                <w:sz w:val="16"/>
              </w:rPr>
              <w:t>dividende</w:t>
              <w:br/>
            </w:r>
            <w:r>
              <w:rPr>
                <w:sz w:val="18"/>
              </w:rPr>
              <w:t>8,6 milliards FCFA distribués</w:t>
            </w:r>
          </w:p>
        </w:tc>
        <w:tc>
          <w:tcPr>
            <w:tcW w:type="dxa" w:w="2160"/>
          </w:tcPr>
          <w:p>
            <w:pPr>
              <w:ind w:left="100"/>
            </w:pPr>
            <w:r/>
            <w:r>
              <w:rPr>
                <w:b/>
                <w:sz w:val="16"/>
              </w:rPr>
              <w:t>marge_nette</w:t>
              <w:br/>
            </w:r>
            <w:r>
              <w:rPr>
                <w:sz w:val="18"/>
              </w:rPr>
              <w:t>7,4%</w:t>
            </w:r>
          </w:p>
        </w:tc>
        <w:tc>
          <w:tcPr>
            <w:tcW w:type="dxa" w:w="2160"/>
          </w:tcPr>
          <w:p>
            <w:pPr>
              <w:ind w:left="100"/>
            </w:pPr>
            <w:r/>
            <w:r>
              <w:rPr>
                <w:b/>
                <w:sz w:val="16"/>
              </w:rPr>
              <w:t>total_actif</w:t>
              <w:br/>
            </w:r>
            <w:r>
              <w:rPr>
                <w:sz w:val="18"/>
              </w:rPr>
              <w:t>27,3 milliards FCFA</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8,0 milliards FCFA</w:t>
            </w:r>
          </w:p>
        </w:tc>
        <w:tc>
          <w:tcPr>
            <w:tcW w:type="dxa" w:w="2160"/>
          </w:tcPr>
          <w:p>
            <w:r/>
            <w:r>
              <w:rPr>
                <w:b/>
                <w:sz w:val="16"/>
              </w:rPr>
              <w:t>chiffre_affaires</w:t>
              <w:br/>
            </w:r>
            <w:r>
              <w:rPr>
                <w:sz w:val="18"/>
              </w:rPr>
              <w:t>151,2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151,2 milliards FCFA en 2022</w:t>
      </w:r>
    </w:p>
    <w:p>
      <w:pPr>
        <w:pStyle w:val="ListBullet"/>
        <w:spacing w:before="20" w:after="20"/>
        <w:ind w:left="700"/>
      </w:pPr>
      <w:r>
        <w:rPr>
          <w:sz w:val="18"/>
        </w:rPr>
        <w:t>Progression du bénéfice net de 16,1% à 11,2 milliards FCFA</w:t>
      </w:r>
    </w:p>
    <w:p>
      <w:pPr>
        <w:pStyle w:val="ListBullet"/>
        <w:spacing w:before="20" w:after="20"/>
        <w:ind w:left="700"/>
      </w:pPr>
      <w:r>
        <w:rPr>
          <w:sz w:val="18"/>
        </w:rPr>
        <w:t>Marge nette solide de 7,4% confirmant l'efficacité opérationnelle</w:t>
      </w:r>
    </w:p>
    <w:p>
      <w:pPr>
        <w:pStyle w:val="ListBullet"/>
        <w:spacing w:before="20" w:after="20"/>
        <w:ind w:left="700"/>
      </w:pPr>
      <w:r>
        <w:rPr>
          <w:sz w:val="18"/>
        </w:rPr>
        <w:t>Distribution de dividendes de 8,6 milliards FCFA maintenue au niveau élevé</w:t>
      </w:r>
    </w:p>
    <w:p>
      <w:pPr>
        <w:pStyle w:val="ListBullet"/>
        <w:spacing w:before="20" w:after="20"/>
        <w:ind w:left="700"/>
      </w:pPr>
      <w:r>
        <w:rPr>
          <w:sz w:val="18"/>
        </w:rPr>
        <w:t>Forte capacité d'autofinancement de 11,3 milliards FCFA (+13,4%)</w:t>
      </w:r>
    </w:p>
    <w:p>
      <w:pPr>
        <w:pStyle w:val="ListBullet"/>
        <w:spacing w:before="20" w:after="20"/>
        <w:ind w:left="700"/>
      </w:pPr>
      <w:r>
        <w:rPr>
          <w:sz w:val="18"/>
        </w:rPr>
        <w:t>Réduction significative du BFR de 3,8 milliards FCFA améliorant la trésorerie</w:t>
      </w:r>
    </w:p>
    <w:p>
      <w:pPr>
        <w:spacing w:before="40"/>
        <w:ind w:left="400"/>
      </w:pPr>
      <w:r>
        <w:rPr>
          <w:b/>
          <w:color w:val="C05000"/>
          <w:sz w:val="18"/>
        </w:rPr>
        <w:t xml:space="preserve">⚠️ Risques : </w:t>
      </w:r>
      <w:r>
        <w:rPr>
          <w:sz w:val="18"/>
        </w:rPr>
        <w:t>["Exposition aux r\u00e9glementations sanitaires et fiscales croissantes sur le secteur du tabac", "D\u00e9pendance aux importations de mati\u00e8res premi\u00e8res soumises aux fluctuations de change", "\u00c9volution d\u00e9favorable des habitudes de consommation et sensibilisation aux risques san</w:t>
      </w:r>
    </w:p>
    <w:p>
      <w:pPr>
        <w:spacing w:before="40"/>
        <w:ind w:left="400"/>
      </w:pPr>
      <w:r>
        <w:rPr>
          <w:b/>
          <w:color w:val="0064A0"/>
          <w:sz w:val="18"/>
        </w:rPr>
        <w:t xml:space="preserve">🔮 Perspectives : </w:t>
      </w:r>
      <w:r>
        <w:rPr>
          <w:sz w:val="18"/>
        </w:rPr>
        <w:t>SITAB devrait maintenir sa performance solide en 2023 grâce à son positionnement dominant sur le marché ivoirien et sa capacité à répercuter les hausses de coûts. La société pourrait continuer sa politique de dividendes généreuse tout en préservant ses marges opérationnelles élevées.</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182.90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9,401 titres</w:t>
            </w:r>
          </w:p>
        </w:tc>
        <w:tc>
          <w:tcPr>
            <w:tcW w:type="dxa" w:w="2268"/>
            <w:shd w:fill="FFF2CC" w:val="clear"/>
          </w:tcPr>
          <w:p>
            <w:r>
              <w:rPr>
                <w:b/>
                <w:color w:val="503200"/>
                <w:sz w:val="16"/>
              </w:rPr>
              <w:t xml:space="preserve">Cours actuel : </w:t>
            </w:r>
            <w:r>
              <w:rPr>
                <w:color w:val="000000"/>
                <w:sz w:val="17"/>
              </w:rPr>
              <w:t>2,905 FCFA</w:t>
            </w:r>
          </w:p>
          <w:p>
            <w:r>
              <w:rPr>
                <w:b/>
                <w:color w:val="503200"/>
                <w:sz w:val="16"/>
              </w:rPr>
              <w:t xml:space="preserve">Var. 100 jours : </w:t>
            </w:r>
            <w:r>
              <w:rPr>
                <w:b/>
                <w:color w:val="007800"/>
                <w:sz w:val="17"/>
              </w:rPr>
              <w:t>+1.93%</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3.23% (Faible) — μ=2,848 FCFA, σ=92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β=-0.0198 (Contre-cyclique) — Cov=-0.000001, Var(idx)=0.000036, ρ=-0.005,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9,401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2,759</w:t>
            </w:r>
          </w:p>
        </w:tc>
        <w:tc>
          <w:tcPr>
            <w:tcW w:type="dxa" w:w="1440"/>
            <w:shd w:fill="FAFAFA" w:val="clear"/>
          </w:tcPr>
          <w:p>
            <w:r>
              <w:rPr>
                <w:b/>
                <w:sz w:val="17"/>
              </w:rPr>
              <w:t>2,905</w:t>
            </w:r>
          </w:p>
        </w:tc>
        <w:tc>
          <w:tcPr>
            <w:tcW w:type="dxa" w:w="1440"/>
            <w:shd w:fill="FAFAFA" w:val="clear"/>
          </w:tcPr>
          <w:p>
            <w:r>
              <w:rPr>
                <w:sz w:val="17"/>
              </w:rPr>
              <w:t>3,052</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2,689</w:t>
            </w:r>
          </w:p>
        </w:tc>
        <w:tc>
          <w:tcPr>
            <w:tcW w:type="dxa" w:w="1440"/>
            <w:shd w:fill="FAFAFA" w:val="clear"/>
          </w:tcPr>
          <w:p>
            <w:r>
              <w:rPr>
                <w:b/>
                <w:sz w:val="17"/>
              </w:rPr>
              <w:t>2,896</w:t>
            </w:r>
          </w:p>
        </w:tc>
        <w:tc>
          <w:tcPr>
            <w:tcW w:type="dxa" w:w="1440"/>
            <w:shd w:fill="FAFAFA" w:val="clear"/>
          </w:tcPr>
          <w:p>
            <w:r>
              <w:rPr>
                <w:sz w:val="17"/>
              </w:rPr>
              <w:t>3,102</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2,640</w:t>
            </w:r>
          </w:p>
        </w:tc>
        <w:tc>
          <w:tcPr>
            <w:tcW w:type="dxa" w:w="1440"/>
            <w:shd w:fill="FAFAFA" w:val="clear"/>
          </w:tcPr>
          <w:p>
            <w:r>
              <w:rPr>
                <w:b/>
                <w:sz w:val="17"/>
              </w:rPr>
              <w:t>2,892</w:t>
            </w:r>
          </w:p>
        </w:tc>
        <w:tc>
          <w:tcPr>
            <w:tcW w:type="dxa" w:w="1440"/>
            <w:shd w:fill="FAFAFA" w:val="clear"/>
          </w:tcPr>
          <w:p>
            <w:r>
              <w:rPr>
                <w:sz w:val="17"/>
              </w:rPr>
              <w:t>3,145</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2,597</w:t>
            </w:r>
          </w:p>
        </w:tc>
        <w:tc>
          <w:tcPr>
            <w:tcW w:type="dxa" w:w="1440"/>
            <w:shd w:fill="FAFAFA" w:val="clear"/>
          </w:tcPr>
          <w:p>
            <w:r>
              <w:rPr>
                <w:b/>
                <w:sz w:val="17"/>
              </w:rPr>
              <w:t>2,888</w:t>
            </w:r>
          </w:p>
        </w:tc>
        <w:tc>
          <w:tcPr>
            <w:tcW w:type="dxa" w:w="1440"/>
            <w:shd w:fill="FAFAFA" w:val="clear"/>
          </w:tcPr>
          <w:p>
            <w:r>
              <w:rPr>
                <w:sz w:val="17"/>
              </w:rPr>
              <w:t>3,179</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2026-08-12</w:t>
            </w:r>
          </w:p>
        </w:tc>
        <w:tc>
          <w:tcPr>
            <w:tcW w:type="dxa" w:w="1440"/>
            <w:shd w:fill="FAFAFA" w:val="clear"/>
          </w:tcPr>
          <w:p>
            <w:r>
              <w:rPr>
                <w:sz w:val="17"/>
              </w:rPr>
              <w:t>2,558</w:t>
            </w:r>
          </w:p>
        </w:tc>
        <w:tc>
          <w:tcPr>
            <w:tcW w:type="dxa" w:w="1440"/>
            <w:shd w:fill="FAFAFA" w:val="clear"/>
          </w:tcPr>
          <w:p>
            <w:r>
              <w:rPr>
                <w:b/>
                <w:sz w:val="17"/>
              </w:rPr>
              <w:t>2,883</w:t>
            </w:r>
          </w:p>
        </w:tc>
        <w:tc>
          <w:tcPr>
            <w:tcW w:type="dxa" w:w="1440"/>
            <w:shd w:fill="FAFAFA" w:val="clear"/>
          </w:tcPr>
          <w:p>
            <w:r>
              <w:rPr>
                <w:sz w:val="17"/>
              </w:rPr>
              <w:t>3,209</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2026-08-13</w:t>
            </w:r>
          </w:p>
        </w:tc>
        <w:tc>
          <w:tcPr>
            <w:tcW w:type="dxa" w:w="1440"/>
            <w:shd w:fill="FAFAFA" w:val="clear"/>
          </w:tcPr>
          <w:p>
            <w:r>
              <w:rPr>
                <w:sz w:val="17"/>
              </w:rPr>
              <w:t>2,523</w:t>
            </w:r>
          </w:p>
        </w:tc>
        <w:tc>
          <w:tcPr>
            <w:tcW w:type="dxa" w:w="1440"/>
            <w:shd w:fill="FAFAFA" w:val="clear"/>
          </w:tcPr>
          <w:p>
            <w:r>
              <w:rPr>
                <w:b/>
                <w:sz w:val="17"/>
              </w:rPr>
              <w:t>2,879</w:t>
            </w:r>
          </w:p>
        </w:tc>
        <w:tc>
          <w:tcPr>
            <w:tcW w:type="dxa" w:w="1440"/>
            <w:shd w:fill="FAFAFA" w:val="clear"/>
          </w:tcPr>
          <w:p>
            <w:r>
              <w:rPr>
                <w:sz w:val="17"/>
              </w:rPr>
              <w:t>3,234</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2026-08-14</w:t>
            </w:r>
          </w:p>
        </w:tc>
        <w:tc>
          <w:tcPr>
            <w:tcW w:type="dxa" w:w="1440"/>
            <w:shd w:fill="FAFAFA" w:val="clear"/>
          </w:tcPr>
          <w:p>
            <w:r>
              <w:rPr>
                <w:sz w:val="17"/>
              </w:rPr>
              <w:t>2,491</w:t>
            </w:r>
          </w:p>
        </w:tc>
        <w:tc>
          <w:tcPr>
            <w:tcW w:type="dxa" w:w="1440"/>
            <w:shd w:fill="FAFAFA" w:val="clear"/>
          </w:tcPr>
          <w:p>
            <w:r>
              <w:rPr>
                <w:b/>
                <w:sz w:val="17"/>
              </w:rPr>
              <w:t>2,874</w:t>
            </w:r>
          </w:p>
        </w:tc>
        <w:tc>
          <w:tcPr>
            <w:tcW w:type="dxa" w:w="1440"/>
            <w:shd w:fill="FAFAFA" w:val="clear"/>
          </w:tcPr>
          <w:p>
            <w:r>
              <w:rPr>
                <w:sz w:val="17"/>
              </w:rPr>
              <w:t>3,258</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2026-08-17</w:t>
            </w:r>
          </w:p>
        </w:tc>
        <w:tc>
          <w:tcPr>
            <w:tcW w:type="dxa" w:w="1440"/>
            <w:shd w:fill="FAFAFA" w:val="clear"/>
          </w:tcPr>
          <w:p>
            <w:r>
              <w:rPr>
                <w:sz w:val="17"/>
              </w:rPr>
              <w:t>2,460</w:t>
            </w:r>
          </w:p>
        </w:tc>
        <w:tc>
          <w:tcPr>
            <w:tcW w:type="dxa" w:w="1440"/>
            <w:shd w:fill="FAFAFA" w:val="clear"/>
          </w:tcPr>
          <w:p>
            <w:r>
              <w:rPr>
                <w:b/>
                <w:sz w:val="17"/>
              </w:rPr>
              <w:t>2,870</w:t>
            </w:r>
          </w:p>
        </w:tc>
        <w:tc>
          <w:tcPr>
            <w:tcW w:type="dxa" w:w="1440"/>
            <w:shd w:fill="FAFAFA" w:val="clear"/>
          </w:tcPr>
          <w:p>
            <w:r>
              <w:rPr>
                <w:sz w:val="17"/>
              </w:rPr>
              <w:t>3,279</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2026-08-18</w:t>
            </w:r>
          </w:p>
        </w:tc>
        <w:tc>
          <w:tcPr>
            <w:tcW w:type="dxa" w:w="1440"/>
            <w:shd w:fill="FAFAFA" w:val="clear"/>
          </w:tcPr>
          <w:p>
            <w:r>
              <w:rPr>
                <w:sz w:val="17"/>
              </w:rPr>
              <w:t>2,432</w:t>
            </w:r>
          </w:p>
        </w:tc>
        <w:tc>
          <w:tcPr>
            <w:tcW w:type="dxa" w:w="1440"/>
            <w:shd w:fill="FAFAFA" w:val="clear"/>
          </w:tcPr>
          <w:p>
            <w:r>
              <w:rPr>
                <w:b/>
                <w:sz w:val="17"/>
              </w:rPr>
              <w:t>2,865</w:t>
            </w:r>
          </w:p>
        </w:tc>
        <w:tc>
          <w:tcPr>
            <w:tcW w:type="dxa" w:w="1440"/>
            <w:shd w:fill="FAFAFA" w:val="clear"/>
          </w:tcPr>
          <w:p>
            <w:r>
              <w:rPr>
                <w:sz w:val="17"/>
              </w:rPr>
              <w:t>3,298</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2026-08-19</w:t>
            </w:r>
          </w:p>
        </w:tc>
        <w:tc>
          <w:tcPr>
            <w:tcW w:type="dxa" w:w="1440"/>
            <w:shd w:fill="FAFAFA" w:val="clear"/>
          </w:tcPr>
          <w:p>
            <w:r>
              <w:rPr>
                <w:sz w:val="17"/>
              </w:rPr>
              <w:t>2,404</w:t>
            </w:r>
          </w:p>
        </w:tc>
        <w:tc>
          <w:tcPr>
            <w:tcW w:type="dxa" w:w="1440"/>
            <w:shd w:fill="FAFAFA" w:val="clear"/>
          </w:tcPr>
          <w:p>
            <w:r>
              <w:rPr>
                <w:b/>
                <w:sz w:val="17"/>
              </w:rPr>
              <w:t>2,860</w:t>
            </w:r>
          </w:p>
        </w:tc>
        <w:tc>
          <w:tcPr>
            <w:tcW w:type="dxa" w:w="1440"/>
            <w:shd w:fill="FAFAFA" w:val="clear"/>
          </w:tcPr>
          <w:p>
            <w:r>
              <w:rPr>
                <w:sz w:val="17"/>
              </w:rPr>
              <w:t>3,316</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04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182,90 milliards FCFA, ce qui en fait une valeur de première ligne sur la BRVM, représentative du secteur énergétique ivoirien. Avec un BPA de 144 FCFA, le titre se négocie à un PER de 20,1x, nettement supérieur à la moyenne historique de la BRVM (8-12x). Cette décote apparente suggère que le marché intègre déjà des perspectives de croissance future ou une prime de qualité pour ce leader sectoriel. Le P/B de 5,05x confirme cette prime, le marché valorisant fortement les capitaux propres de la société, soit plus de cinq fois leur valeur comptable. Enfin, un EV/EBITDA de 10,6x, bien que dans la fourchette haute (10-15x), indique que la valeur d'entreprise reste cohérente avec sa capacité à générer du cash-flow opérationnel, mais ne laisse que peu de marge de sécurité pour l'investisseur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TTLC affiche une progression modeste de +1,93%, mais la dernière séance montre un recul marqué de -2,84%, signe d'une volatilité à court terme. Le titre a évolué dans un range de 2,650 FCFA (plus bas) à 3,060 FCFA (plus haut), démontrant une amplitude de trading de plus de 15%. La moyenne (2,848 FCFA) et la médiane (2,855 FCFA) étant quasi identiques, la distribution des prix est symétrique, ce que confirme le skewness de -0,158. L'écart-type de 92 FCFA (CV=3,2%) indique une dispersion très faible autour de la moyenne, suggérant un cours relativement stable. Le kurtosis de -0,592 (mésokurtique) indique l'absence de mouvements extrêmes ou de pics de prix, avec une distribution proche de la normale. Cependant, la volatilité annualisée de 38,6% est élevée (&gt;30%), signalant un risque de prix substantiel pour un investisseur à long terme, malgré une stabilité apparente à court terme.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(2,905 FCFA) se situe sous la MM20 (2,921,5 FCFA) mais au-dessus de la MM50 (2,892,4 FCFA). Cette configuration, où le prix est entre les deux moyennes, indique une tendance de fond haussière à moyen terme, mais une faiblesse à très court terme. La décision "Achat" est justifiée par la position du cours au-dessus de la MM50, signalant que la tendance de fond reste positive.</w:t>
      </w:r>
    </w:p>
    <w:p>
      <w:pPr>
        <w:spacing w:after="120" w:line="276" w:lineRule="auto"/>
      </w:pPr>
      <w:r>
        <w:t>**Bandes de Bollinger**: Le prix se trouve presque à mi-chemin entre la borne supérieure (3,068,8 FCFA) et la borne inférieure (2,774,2 FCFA). Cette position centrale indique une volatilité modérée et l'absence de pression directionnelle forte. La décision "Neutre" est appropriée, car le titre n'est ni suracheté ni survendu, évoluant dans une zone de confort sans signal clair de cassure.</w:t>
      </w:r>
    </w:p>
    <w:p>
      <w:pPr>
        <w:spacing w:after="120" w:line="276" w:lineRule="auto"/>
      </w:pPr>
      <w:r>
        <w:t>**MACD**: Avec une valeur de 16,034 et un signal à 19,01, le MACD est passé sous sa ligne de signal. Cette configuration baissière indique un ralentissement du momentum haussier. La décision "Vente" est cohérente avec cette divergence négative, suggérant que la dynamique positive s'essouffle et qu'un repli technique est possible à court terme.</w:t>
      </w:r>
    </w:p>
    <w:p>
      <w:pPr>
        <w:spacing w:after="120" w:line="276" w:lineRule="auto"/>
      </w:pPr>
      <w:r>
        <w:t>**RSI**: À 56,52, le RSI se situe dans la zone neutre (30-70), sans signal de surachat ni de survente. Cette valeur indique que le titre dispose d'une marge de manœuvre dans les deux sens, sans pression excessive des acheteurs ou des vendeurs. La décision "Neutre" est justifiée, le momentum n'étant ni excessivement haussier ni baissier.</w:t>
      </w:r>
    </w:p>
    <w:p>
      <w:pPr>
        <w:spacing w:after="120" w:line="276" w:lineRule="auto"/>
      </w:pPr>
      <w:r>
        <w:t>**Stochastique**: Le %K (58,7) est nettement inférieur au %D (81,2), formant un croisement baissier. Cette configuration suggère que la dynamique haussière récente s'estompe et qu'un mouvement de correction est probable. La décision "Neutre" reste prudente, mais la divergence entre %K et %D est un signal d'alerte pour les acheteurs à court terme.</w:t>
      </w:r>
    </w:p>
    <w:p>
      <w:pPr>
        <w:spacing w:after="120" w:line="276" w:lineRule="auto"/>
      </w:pPr>
      <w:r>
        <w:t>**Conclusion technique**: Les indicateurs sont mitigés : les moyennes mobiles plaident pour une tendance haussière de fond, tandis que le MACD et le Stochastique montrent des signes de faiblesse à court terme. Le RSI et les Bandes de Bollinger restent neutres. Cette divergence suggère une phase de consolidation, avec un risque de repli vers la zone des 2,850-2,880 FCFA avant une éventuelle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structurés, TTLC a réalisé un chiffre d'affaires de 588,709 milliards FCFA, en baisse de -5,2% par rapport à 2024 (621,042 Mds). Le résultat net s'établit à 9,087 milliards FCFA, contre 9,374 milliards en 2024, soit une légère contraction de -3%. La rentabilité des capitaux propres (ROE) reste excellente à 25,1%, et le ROA atteint 4,8%. En tant qu'entreprise de distribution, le BFR négatif de -9,662 milliards FCFA est un point très favorable, indiquant que la société finance son exploitation grâce aux délais de paiement de ses fournisseurs (49,7 jours). Cependant, la trésorerie nette est fortement négative (-21,9 milliards), et le ratio d'endettement (90,2%) est élevé. Les rapports trimestriels de 2025 confirment la tendance : le S1 2025 (rapport daté de juin 2025) montre un CA en baisse de -7,1% et un résultat net en chute de -25,5%, principalement dû à un effet de base défavorable et à une charge fiscale anticipée. Le T3 2025 (rapport de septembre 2025) poursuit cette tendance avec un CA cumulé en baisse de -5,7% et un résultat net en recul de -30,2%. Cependant, le rapport T1 2026 (daté de 2026) marque un net rebond : le CA progresse de +4,3% à 154,392 milliards FCFA et le résultat net de +5,5% à 2,329 milliards FCFA. Sur cette base, on estime que l'exercice 2026 pourrait voir une stabilisation du CA autour de 600 milliards FCFA et une amélioration du résultat net vers 9,5-10 milliards FCFA, si la dynamique du T1 se confirme. La politique de dividende reste très généreuse, avec un taux de distribution de 110% en 2025, mais elle pèse sur la trésorerie. La recommandation fondamentale est de CONSERVER, la société affichant une solidité opérationnelle (EBE en hausse de +12% en 2025) mais des signaux d'alerte sur sa structure financière.</w:t>
      </w:r>
    </w:p>
    <w:p>
      <w:pPr>
        <w:spacing w:after="120" w:line="276" w:lineRule="auto"/>
      </w:pPr>
      <w:r>
        <w:t>---</w:t>
      </w:r>
    </w:p>
    <w:p>
      <w:pPr>
        <w:spacing w:after="120" w:line="276" w:lineRule="auto"/>
      </w:pPr>
      <w:r>
        <w:t>### PARTIE 4 : CONCLUSION D'INVESTISSEMENT</w:t>
      </w:r>
    </w:p>
    <w:p>
      <w:pPr>
        <w:spacing w:after="120" w:line="276" w:lineRule="auto"/>
      </w:pPr>
      <w:r>
        <w:t>La valorisation de TTLC (PER de 20,1x, P/B de 5,05x) indique une surévaluation relative par rapport au marché BRVM, les investisseurs payant une prime significative pour la qualité du titre. Le comportement du cours sur 100 jours montre une stabilité avec une volatilité annualisée élevée (38,6%), mais une distribution symétrique sans extrêmes, ce qui est rassurant. Les signaux techniques sont mitigés : la tendance de fond reste haussière (MM50), mais les indicateurs de momentum (MACD, Stochastique) suggèrent un repli à court terme. Les fondamentaux sont solides avec un ROE de 25,1%, mais la dégradation de la trésorerie et l'endettement croissant sont des points de vigilance. Les prédictions IA pour les 10 prochains jours (baisse progressive de 2,905 à 2,883 FCFA) confirment le signal technique baissier à court terme. La convergence entre la surévaluation, les signaux techniques baissiers et les prédictions IA suggère une prudence. **Recommandation finale : CONSERVER**. Le niveau de confiance est **Moyen**, car la solidité fondamentale contraste avec les signaux techniques et de valorisation. Le risque global est **Moyen**, principalement lié à la dégradation de la trésorerie et à la volatilité du secteur pétrolier. L'horizon d'investissement optimal serait le **moyen terme (3-12 mois)**, en attendant une amélioration des indicateurs techniques ou une correction du cours vers les 2,750-2,800 FCFA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croissance solide du CA et des b\u00e9n\u00e9fices malgr\u00e9 un contexte difficile. Cependant, l'exposition aux variations des cours p\u00e9troliers et l'environnement g\u00e9opolitique incertain justifient une prudence."}</w:t>
      </w:r>
    </w:p>
    <w:p>
      <w:pPr>
        <w:spacing w:before="40"/>
        <w:ind w:left="400"/>
      </w:pPr>
      <w:r>
        <w:rPr>
          <w:sz w:val="18"/>
        </w:rPr>
        <w:t>TotalEnergies Marketing Côte d'Ivoire affiche une performance solide au 3ème trimestre 2022 avec un chiffre d'affaires en hausse de 14,4% à 419,384 milliards FCFA. Le résultat net progresse de 5,9% à 9,149 milliards FCFA malgré un environnement économique tendu lié à la guerre en Ukraine. La hausse des prix des produits pétroliers a soutenu les revenus tandis que la bonne performance commerciale a compensé la réduction des ventes spots. L'évolution des cours mondiaux du pétrole a eu un impact mitigé avec un effet favorable sur le premier semestre et défavorable sur le troisième trimestre. La société démontre une résilience remarquable dans un contexte géopolitique et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'14,4%', 'capital_social': '3,148 milliards FCFA', 'croissance_resultat_net': '5,9%', 'resultat_activites_ordinaires': '11,971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9,149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419,384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14,4% à 419,384 milliards FCFA</w:t>
      </w:r>
    </w:p>
    <w:p>
      <w:pPr>
        <w:pStyle w:val="ListBullet"/>
        <w:spacing w:before="20" w:after="20"/>
        <w:ind w:left="700"/>
      </w:pPr>
      <w:r>
        <w:rPr>
          <w:sz w:val="18"/>
        </w:rPr>
        <w:t>Résultat net en progression de 5,9% à 9,149 milliards FCFA</w:t>
      </w:r>
    </w:p>
    <w:p>
      <w:pPr>
        <w:pStyle w:val="ListBullet"/>
        <w:spacing w:before="20" w:after="20"/>
        <w:ind w:left="700"/>
      </w:pPr>
      <w:r>
        <w:rPr>
          <w:sz w:val="18"/>
        </w:rPr>
        <w:t>Hausse des prix des produits pétroliers favorisant la croissance du CA</w:t>
      </w:r>
    </w:p>
    <w:p>
      <w:pPr>
        <w:pStyle w:val="ListBullet"/>
        <w:spacing w:before="20" w:after="20"/>
        <w:ind w:left="700"/>
      </w:pPr>
      <w:r>
        <w:rPr>
          <w:sz w:val="18"/>
        </w:rPr>
        <w:t>Bonne performance commerciale malgré la réduction des ventes spots</w:t>
      </w:r>
    </w:p>
    <w:p>
      <w:pPr>
        <w:pStyle w:val="ListBullet"/>
        <w:spacing w:before="20" w:after="20"/>
        <w:ind w:left="700"/>
      </w:pPr>
      <w:r>
        <w:rPr>
          <w:sz w:val="18"/>
        </w:rPr>
        <w:t>Impact négatif de la guerre en Ukraine sur l'environnement économique</w:t>
      </w:r>
    </w:p>
    <w:p>
      <w:pPr>
        <w:pStyle w:val="ListBullet"/>
        <w:spacing w:before="20" w:after="20"/>
        <w:ind w:left="700"/>
      </w:pPr>
      <w:r>
        <w:rPr>
          <w:sz w:val="18"/>
        </w:rPr>
        <w:t>Effet défavorable des cours pétroliers mondiaux sur le 3ème trimestre</w:t>
      </w:r>
    </w:p>
    <w:p>
      <w:pPr>
        <w:spacing w:before="40"/>
        <w:ind w:left="400"/>
      </w:pPr>
      <w:r>
        <w:rPr>
          <w:b/>
          <w:color w:val="C05000"/>
          <w:sz w:val="18"/>
        </w:rPr>
        <w:t xml:space="preserve">⚠️ Risques : </w:t>
      </w:r>
      <w:r>
        <w:rPr>
          <w:sz w:val="18"/>
        </w:rPr>
        <w:t>["Volatilit\u00e9 des cours mondiaux du p\u00e9trole impactant directement les r\u00e9sultats", "Environnement \u00e9conomique tendu li\u00e9 aux cons\u00e9quences de la guerre en Ukraine", "D\u00e9pendance aux prix des produits p\u00e9troliers pour la croissance du chiffre d'affaires"]</w:t>
      </w:r>
    </w:p>
    <w:p>
      <w:pPr>
        <w:spacing w:before="40"/>
        <w:ind w:left="400"/>
      </w:pPr>
      <w:r>
        <w:rPr>
          <w:b/>
          <w:color w:val="0064A0"/>
          <w:sz w:val="18"/>
        </w:rPr>
        <w:t xml:space="preserve">🔮 Perspectives : </w:t>
      </w:r>
      <w:r>
        <w:rPr>
          <w:sz w:val="18"/>
        </w:rPr>
        <w:t>Les perspectives dépendront largement de l'évolution des cours pétroliers et de la stabilisation de l'environnement géopolitique mondial. La capacité de la société à maintenir sa performance commerciale et à gérer l'impact des fluctuations des prix sera déterminante pour 2023.</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114.02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2,880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+6.54%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10.79% (Moyenne) — μ=3,427 FCFA, σ=370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β=1.3459 (Agressif) — Cov=0.000048, Var(idx)=0.000036, ρ=0.255,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3,263</w:t>
            </w:r>
          </w:p>
        </w:tc>
        <w:tc>
          <w:tcPr>
            <w:tcW w:type="dxa" w:w="1440"/>
            <w:shd w:fill="FAFAFA" w:val="clear"/>
          </w:tcPr>
          <w:p>
            <w:r>
              <w:rPr>
                <w:b/>
                <w:sz w:val="17"/>
              </w:rPr>
              <w:t>3,467</w:t>
            </w:r>
          </w:p>
        </w:tc>
        <w:tc>
          <w:tcPr>
            <w:tcW w:type="dxa" w:w="1440"/>
            <w:shd w:fill="FAFAFA" w:val="clear"/>
          </w:tcPr>
          <w:p>
            <w:r>
              <w:rPr>
                <w:sz w:val="17"/>
              </w:rPr>
              <w:t>3,672</w:t>
            </w:r>
          </w:p>
        </w:tc>
        <w:tc>
          <w:tcPr>
            <w:tcW w:type="dxa" w:w="1440"/>
            <w:shd w:fill="FAFAFA" w:val="clear"/>
          </w:tcPr>
          <w:p>
            <w:r>
              <w:rPr>
                <w:b/>
                <w:color w:val="C00000"/>
                <w:sz w:val="17"/>
              </w:rPr>
              <w:t>-0.9%</w:t>
            </w:r>
          </w:p>
        </w:tc>
      </w:tr>
      <w:tr>
        <w:tc>
          <w:tcPr>
            <w:tcW w:type="dxa" w:w="1440"/>
            <w:shd w:fill="FFDCE0" w:val="clear"/>
          </w:tcPr>
          <w:p>
            <w:r>
              <w:rPr>
                <w:sz w:val="17"/>
              </w:rPr>
              <w:t>J+2  ⭐</w:t>
            </w:r>
          </w:p>
        </w:tc>
        <w:tc>
          <w:tcPr>
            <w:tcW w:type="dxa" w:w="1440"/>
            <w:shd w:fill="FFDCE0" w:val="clear"/>
          </w:tcPr>
          <w:p>
            <w:r>
              <w:rPr>
                <w:sz w:val="17"/>
              </w:rPr>
              <w:t>2026-08-06</w:t>
            </w:r>
          </w:p>
        </w:tc>
        <w:tc>
          <w:tcPr>
            <w:tcW w:type="dxa" w:w="1440"/>
            <w:shd w:fill="FFDCE0" w:val="clear"/>
          </w:tcPr>
          <w:p>
            <w:r>
              <w:rPr>
                <w:sz w:val="17"/>
              </w:rPr>
              <w:t>3,136</w:t>
            </w:r>
          </w:p>
        </w:tc>
        <w:tc>
          <w:tcPr>
            <w:tcW w:type="dxa" w:w="1440"/>
            <w:shd w:fill="FFDCE0" w:val="clear"/>
          </w:tcPr>
          <w:p>
            <w:r>
              <w:rPr>
                <w:b/>
                <w:sz w:val="17"/>
              </w:rPr>
              <w:t>3,422</w:t>
            </w:r>
          </w:p>
        </w:tc>
        <w:tc>
          <w:tcPr>
            <w:tcW w:type="dxa" w:w="1440"/>
            <w:shd w:fill="FFDCE0" w:val="clear"/>
          </w:tcPr>
          <w:p>
            <w:r>
              <w:rPr>
                <w:sz w:val="17"/>
              </w:rPr>
              <w:t>3,707</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2026-08-10</w:t>
            </w:r>
          </w:p>
        </w:tc>
        <w:tc>
          <w:tcPr>
            <w:tcW w:type="dxa" w:w="1440"/>
            <w:shd w:fill="FFDCE0" w:val="clear"/>
          </w:tcPr>
          <w:p>
            <w:r>
              <w:rPr>
                <w:sz w:val="17"/>
              </w:rPr>
              <w:t>3,037</w:t>
            </w:r>
          </w:p>
        </w:tc>
        <w:tc>
          <w:tcPr>
            <w:tcW w:type="dxa" w:w="1440"/>
            <w:shd w:fill="FFDCE0" w:val="clear"/>
          </w:tcPr>
          <w:p>
            <w:r>
              <w:rPr>
                <w:b/>
                <w:sz w:val="17"/>
              </w:rPr>
              <w:t>3,382</w:t>
            </w:r>
          </w:p>
        </w:tc>
        <w:tc>
          <w:tcPr>
            <w:tcW w:type="dxa" w:w="1440"/>
            <w:shd w:fill="FFDCE0" w:val="clear"/>
          </w:tcPr>
          <w:p>
            <w:r>
              <w:rPr>
                <w:sz w:val="17"/>
              </w:rPr>
              <w:t>3,727</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2026-08-11</w:t>
            </w:r>
          </w:p>
        </w:tc>
        <w:tc>
          <w:tcPr>
            <w:tcW w:type="dxa" w:w="1440"/>
            <w:shd w:fill="FFDCE0" w:val="clear"/>
          </w:tcPr>
          <w:p>
            <w:r>
              <w:rPr>
                <w:sz w:val="17"/>
              </w:rPr>
              <w:t>2,951</w:t>
            </w:r>
          </w:p>
        </w:tc>
        <w:tc>
          <w:tcPr>
            <w:tcW w:type="dxa" w:w="1440"/>
            <w:shd w:fill="FFDCE0" w:val="clear"/>
          </w:tcPr>
          <w:p>
            <w:r>
              <w:rPr>
                <w:b/>
                <w:sz w:val="17"/>
              </w:rPr>
              <w:t>3,346</w:t>
            </w:r>
          </w:p>
        </w:tc>
        <w:tc>
          <w:tcPr>
            <w:tcW w:type="dxa" w:w="1440"/>
            <w:shd w:fill="FFDCE0" w:val="clear"/>
          </w:tcPr>
          <w:p>
            <w:r>
              <w:rPr>
                <w:sz w:val="17"/>
              </w:rPr>
              <w:t>3,740</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2,875</w:t>
            </w:r>
          </w:p>
        </w:tc>
        <w:tc>
          <w:tcPr>
            <w:tcW w:type="dxa" w:w="1440"/>
            <w:shd w:fill="FFDCE0" w:val="clear"/>
          </w:tcPr>
          <w:p>
            <w:r>
              <w:rPr>
                <w:b/>
                <w:sz w:val="17"/>
              </w:rPr>
              <w:t>3,312</w:t>
            </w:r>
          </w:p>
        </w:tc>
        <w:tc>
          <w:tcPr>
            <w:tcW w:type="dxa" w:w="1440"/>
            <w:shd w:fill="FFDCE0" w:val="clear"/>
          </w:tcPr>
          <w:p>
            <w:r>
              <w:rPr>
                <w:sz w:val="17"/>
              </w:rPr>
              <w:t>3,748</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2,806</w:t>
            </w:r>
          </w:p>
        </w:tc>
        <w:tc>
          <w:tcPr>
            <w:tcW w:type="dxa" w:w="1440"/>
            <w:shd w:fill="FFDCE0" w:val="clear"/>
          </w:tcPr>
          <w:p>
            <w:r>
              <w:rPr>
                <w:b/>
                <w:sz w:val="17"/>
              </w:rPr>
              <w:t>3,280</w:t>
            </w:r>
          </w:p>
        </w:tc>
        <w:tc>
          <w:tcPr>
            <w:tcW w:type="dxa" w:w="1440"/>
            <w:shd w:fill="FFDCE0" w:val="clear"/>
          </w:tcPr>
          <w:p>
            <w:r>
              <w:rPr>
                <w:sz w:val="17"/>
              </w:rPr>
              <w:t>3,753</w:t>
            </w:r>
          </w:p>
        </w:tc>
        <w:tc>
          <w:tcPr>
            <w:tcW w:type="dxa" w:w="1440"/>
            <w:shd w:fill="FFDCE0" w:val="clear"/>
          </w:tcPr>
          <w:p>
            <w:r>
              <w:rPr>
                <w:b/>
                <w:color w:val="C00000"/>
                <w:sz w:val="17"/>
              </w:rPr>
              <w:t>-6.3%</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2,743</w:t>
            </w:r>
          </w:p>
        </w:tc>
        <w:tc>
          <w:tcPr>
            <w:tcW w:type="dxa" w:w="1440"/>
            <w:shd w:fill="FFDCE0" w:val="clear"/>
          </w:tcPr>
          <w:p>
            <w:r>
              <w:rPr>
                <w:b/>
                <w:sz w:val="17"/>
              </w:rPr>
              <w:t>3,249</w:t>
            </w:r>
          </w:p>
        </w:tc>
        <w:tc>
          <w:tcPr>
            <w:tcW w:type="dxa" w:w="1440"/>
            <w:shd w:fill="FFDCE0" w:val="clear"/>
          </w:tcPr>
          <w:p>
            <w:r>
              <w:rPr>
                <w:sz w:val="17"/>
              </w:rPr>
              <w:t>3,756</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2,684</w:t>
            </w:r>
          </w:p>
        </w:tc>
        <w:tc>
          <w:tcPr>
            <w:tcW w:type="dxa" w:w="1440"/>
            <w:shd w:fill="FFDCE0" w:val="clear"/>
          </w:tcPr>
          <w:p>
            <w:r>
              <w:rPr>
                <w:b/>
                <w:sz w:val="17"/>
              </w:rPr>
              <w:t>3,221</w:t>
            </w:r>
          </w:p>
        </w:tc>
        <w:tc>
          <w:tcPr>
            <w:tcW w:type="dxa" w:w="1440"/>
            <w:shd w:fill="FFDCE0" w:val="clear"/>
          </w:tcPr>
          <w:p>
            <w:r>
              <w:rPr>
                <w:sz w:val="17"/>
              </w:rPr>
              <w:t>3,758</w:t>
            </w:r>
          </w:p>
        </w:tc>
        <w:tc>
          <w:tcPr>
            <w:tcW w:type="dxa" w:w="1440"/>
            <w:shd w:fill="FFDCE0" w:val="clear"/>
          </w:tcPr>
          <w:p>
            <w:r>
              <w:rPr>
                <w:b/>
                <w:color w:val="C00000"/>
                <w:sz w:val="17"/>
              </w:rPr>
              <w:t>-8.0%</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2,629</w:t>
            </w:r>
          </w:p>
        </w:tc>
        <w:tc>
          <w:tcPr>
            <w:tcW w:type="dxa" w:w="1440"/>
            <w:shd w:fill="FFDCE0" w:val="clear"/>
          </w:tcPr>
          <w:p>
            <w:r>
              <w:rPr>
                <w:b/>
                <w:sz w:val="17"/>
              </w:rPr>
              <w:t>3,194</w:t>
            </w:r>
          </w:p>
        </w:tc>
        <w:tc>
          <w:tcPr>
            <w:tcW w:type="dxa" w:w="1440"/>
            <w:shd w:fill="FFDCE0" w:val="clear"/>
          </w:tcPr>
          <w:p>
            <w:r>
              <w:rPr>
                <w:sz w:val="17"/>
              </w:rPr>
              <w:t>3,759</w:t>
            </w:r>
          </w:p>
        </w:tc>
        <w:tc>
          <w:tcPr>
            <w:tcW w:type="dxa" w:w="1440"/>
            <w:shd w:fill="FFDCE0" w:val="clear"/>
          </w:tcPr>
          <w:p>
            <w:r>
              <w:rPr>
                <w:b/>
                <w:color w:val="C00000"/>
                <w:sz w:val="17"/>
              </w:rPr>
              <w:t>-8.7%</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2,578</w:t>
            </w:r>
          </w:p>
        </w:tc>
        <w:tc>
          <w:tcPr>
            <w:tcW w:type="dxa" w:w="1440"/>
            <w:shd w:fill="FFDCE0" w:val="clear"/>
          </w:tcPr>
          <w:p>
            <w:r>
              <w:rPr>
                <w:b/>
                <w:sz w:val="17"/>
              </w:rPr>
              <w:t>3,169</w:t>
            </w:r>
          </w:p>
        </w:tc>
        <w:tc>
          <w:tcPr>
            <w:tcW w:type="dxa" w:w="1440"/>
            <w:shd w:fill="FFDCE0" w:val="clear"/>
          </w:tcPr>
          <w:p>
            <w:r>
              <w:rPr>
                <w:sz w:val="17"/>
              </w:rPr>
              <w:t>3,759</w:t>
            </w:r>
          </w:p>
        </w:tc>
        <w:tc>
          <w:tcPr>
            <w:tcW w:type="dxa" w:w="1440"/>
            <w:shd w:fill="FFDCE0" w:val="clear"/>
          </w:tcPr>
          <w:p>
            <w:r>
              <w:rPr>
                <w:b/>
                <w:color w:val="C00000"/>
                <w:sz w:val="17"/>
              </w:rPr>
              <w:t>-9.5%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**Date : 4 août 2026 | Cours : 3 500 FCFA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TTLS s'établit à 114,02 milliards FCFA, ce qui positionne le titre comme une valeur de première ligne sur la BRVM, bénéficiant d'une liquidité et d'une visibilité institutionnelle notables. Avec un BPA de 208 FCFA, le PER de 16,8x se situe nettement au-dessus de la moyenne historique du marché BRVM (8-12x), indiquant que les investisseurs paient une prime substantielle pour la qualité perçue du titre et son ancrage au groupe TotalEnergies. Cette prime est confirmée par le P/B de 4,04x, qui reflète une valorisation exigeante par rapport à la valeur comptable des actifs. Enfin, l'EV/EBITDA de 7,1x, dans la fourchette raisonnable de 5-10x, tempère légèrement ce constat en montrant que la valeur totale de l'entreprise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TTLS affiche une progression de +6,54%, mais la dernière séance en date montre un recul marqué de -4,24%, suggérant une correction brutale après une période d'accumulation. Le cours a évolué dans un range de trading très large, oscillant entre un plus bas de 2 845 FCFA et un plus haut de 4 500 FCFA, illustrant une volatilité extrême et des mouvements spéculatifs importants. La moyenne (3 427 FCFA) étant supérieure à la médiane (3 350 FCFA), on observe une asymétrie positive confirmée par le skewness de 1.008, signifiant que la distribution des rendements est étirée vers la droite avec des pics de prix plus fréquents sous la moyenne. Le kurtosis de 0.466 (mésokurtique) indique une distribution proche de la normale, sans risque de "queues épaisses" extrêmes. La volatilité annualisée de 49,9% classe le titre comme très risqué, bien au-delà du seuil des 30%, ce qui exige une gestion rigoureuse du risque pour tout investisseur.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3 500 FCFA se situe sous la MM20 (3 889,5 FCFA) et la MM50 (3 698 FCFA), indiquant une pression vendeuse à court et moyen terme. La configuration des MM suggère une tendance baissière récente, mais le signal global reste "Achat" car le cours évolue au-dessus de ses moyennes sur une plus longue période. La cassure sous ces niveaux est un signal d'alerte majeur.</w:t>
      </w:r>
    </w:p>
    <w:p>
      <w:pPr>
        <w:spacing w:after="120" w:line="276" w:lineRule="auto"/>
      </w:pPr>
      <w:r>
        <w:t>**Bandes de Bollinger** : Le prix se négocie près de la borne inférieure (3 322 FCFA), à 178 FCFA au-dessus de celle-ci, ce qui indique que le titre est proche d'une zone de survente. La largeur des bandes (écart de 1 134 FCFA entre les bornes) reflète la forte volatilité actuelle. La décision "Neutre" est justifiée car le titre n'a pas encore touché la borne inférieure, mais un rebond technique est possible à ces niveaux.</w:t>
      </w:r>
    </w:p>
    <w:p>
      <w:pPr>
        <w:spacing w:after="120" w:line="276" w:lineRule="auto"/>
      </w:pPr>
      <w:r>
        <w:t>**MACD** : La valeur négative du MACD (-55,455) par rapport à son signal (2,258) confirme une dynamique baissière claire. La divergence négative montre que le momentum est résolument vendeur, et la décision "Vente" est cohérente avec la faiblesse du cours actuel. Un croisement haussier serait nécessaire pour inverser cette tendance.</w:t>
      </w:r>
    </w:p>
    <w:p>
      <w:pPr>
        <w:spacing w:after="120" w:line="276" w:lineRule="auto"/>
      </w:pPr>
      <w:r>
        <w:t>**RSI** : À 28,141, le RSI est en zone de survente (&lt;30), signalant que le titre est techniquement survendu. Historiquement, cela précède souvent un rebond technique, mais dans un contexte de forte volatilité, le RSI peut rester en zone de survente plus longtemps. La décision "Achat" reflète ce potentiel de rebond à court terme.</w:t>
      </w:r>
    </w:p>
    <w:p>
      <w:pPr>
        <w:spacing w:after="120" w:line="276" w:lineRule="auto"/>
      </w:pPr>
      <w:r>
        <w:t>**Stochastique** : Le %K à 0,0 et le %D à 3,401 sont extrêmement bas, confirmant une condition de survente sévère. Le croisement haussier n'est pas encore amorcé, mais la décision "Achat" suggère que le marché est proche d'un point de retournement.</w:t>
      </w:r>
    </w:p>
    <w:p>
      <w:pPr>
        <w:spacing w:after="120" w:line="276" w:lineRule="auto"/>
      </w:pPr>
      <w:r>
        <w:t>**Conclusion technique** : La convergence des indicateurs de survente (RSI, Stochastique) avec la proximité de la borne inférieure de Bollinger suggère un potentiel de rebond technique à très court terme. Cependant, la tendance de fond reste baissière, comme le confirment le MACD et la position sous les moyennes mobiles. Le scénario le plus probable est une stabilisation suivie d'un rebond technique, mais la prudence reste de mise tant que le cours n'aura pas repris la MM20.</w:t>
      </w:r>
    </w:p>
    <w:p>
      <w:pPr>
        <w:spacing w:after="120" w:line="276" w:lineRule="auto"/>
      </w:pPr>
      <w:r>
        <w:t>---</w:t>
      </w:r>
    </w:p>
    <w:p>
      <w:pPr>
        <w:spacing w:after="120" w:line="276" w:lineRule="auto"/>
      </w:pPr>
      <w:r>
        <w:t>### PARTIE 3 : ANALYSE FONDAMENTALE (SECTION CRITIQUE)</w:t>
      </w:r>
    </w:p>
    <w:p>
      <w:pPr>
        <w:spacing w:after="120" w:line="276" w:lineRule="auto"/>
      </w:pPr>
      <w:r>
        <w:t>En 2025, TTLS a réalisé un chiffre d'affaires de 455,209 milliards FCFA, en baisse de 6,1% par rapport à 2024, principalement en raison de l'arrêt stratégique de la commercialisation du fuel lourd. Le résultat net s'établit à 6,779 milliards FCFA, en repli de 5,1%, mais la marge nette reste stable à 1,49%, typique du secteur de distribution pétrolière. La rentabilité des fonds propres (ROE) est excellente à 24%, tandis que le ROA est plus modeste à 3,95%, reflétant une structure d'actifs lourde. Le BFR négatif de -36,899 milliards FCFA est un point très positif, indiquant que l'entreprise finance son cycle d'exploitation grâce à ses fournisseurs (délai fournisseurs de 97,76 jours contre 47,43 jours pour les clients). Sur la base du rapport du T1 2026 (CA de 99,9 milliards, en baisse de 10% mais résultat net en hausse de 5% à 1,585 milliard), on estime que l'exercice 2026 pourrait voir une stabilisation du résultat net autour de 6,5-7 milliards FCFA, porté par l'amélioration des marges sur les lubrifiants et le GPL. La trésorerie s'est considérablement renforcée (20,567 milliards FCFA), et la capacité de remboursement de 0,94 an témoigne d'une solidité financière remarquable. Les perspectives de croissance liées à la mise en production de Sangomar et du GNL (GTA) offrent des débouchés significatifs, mais la dépendance aux décisions réglementaires de l'État sénégalais sur les prix à la pompe reste le principal risque.</w:t>
      </w:r>
    </w:p>
    <w:p>
      <w:pPr>
        <w:spacing w:after="120" w:line="276" w:lineRule="auto"/>
      </w:pPr>
      <w:r>
        <w:t>---</w:t>
      </w:r>
    </w:p>
    <w:p>
      <w:pPr>
        <w:spacing w:after="120" w:line="276" w:lineRule="auto"/>
      </w:pPr>
      <w:r>
        <w:t>### PARTIE 4 : CONCLUSION D'INVESTISSEMENT</w:t>
      </w:r>
    </w:p>
    <w:p>
      <w:pPr>
        <w:spacing w:after="120" w:line="276" w:lineRule="auto"/>
      </w:pPr>
      <w:r>
        <w:t>La valorisation de TTLS est exigeante avec un PER de 16,8x et un P/B de 4,04x, nettement supérieurs aux moyennes BRVM, mais justifiés par la solidité opérationnelle et la position dominante de l'entreprise. Le comportement du cours sur 100 jours montre une tendance haussière (+6,54%) mais avec une volatilité extrême (49,9%) et une correction récente de -4,24%, signalant une phase de consolidation. Les signaux techniques sont mitigés : les indicateurs de survente (RSI à 28, Stochastique à 0) suggèrent un rebond imminent, mais le MACD négatif et la position sous les moyennes mobiles indiquent une pression baissière persistante. Les fondamentaux restent solides avec un ROE de 24%, un BFR négatif favorable et une trésorerie abondante, malgré une baisse du CA et du résultat net. Les prédictions IA (3 467 à 3 312 FCFA sur 10 jours) confirment la tendance baissière à court terme, en ligne avec les signaux techniques. La convergence entre la faiblesse technique à court terme et la solidité fondamentale à long terme justifie une recommandation **CONSERVER** avec un niveau de confiance **Moyen**. Le risque global est **Élevé** en raison de la volatilité du titre et de la dépendance réglementaire. L'horizon d'investissement optimal est le **moyen terme (3-12 mois)**, en attendant une clarification sur la politique de dividende et une stabilisation des volumes.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502.33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 titres</w:t>
            </w:r>
          </w:p>
        </w:tc>
        <w:tc>
          <w:tcPr>
            <w:tcW w:type="dxa" w:w="2268"/>
            <w:shd w:fill="FFF2CC" w:val="clear"/>
          </w:tcPr>
          <w:p>
            <w:r>
              <w:rPr>
                <w:b/>
                <w:color w:val="503200"/>
                <w:sz w:val="16"/>
              </w:rPr>
              <w:t xml:space="preserve">Cours actuel : </w:t>
            </w:r>
            <w:r>
              <w:rPr>
                <w:color w:val="000000"/>
                <w:sz w:val="17"/>
              </w:rPr>
              <w:t>54,700 FCFA</w:t>
            </w:r>
          </w:p>
          <w:p>
            <w:r>
              <w:rPr>
                <w:b/>
                <w:color w:val="503200"/>
                <w:sz w:val="16"/>
              </w:rPr>
              <w:t xml:space="preserve">Var. 100 jours : </w:t>
            </w:r>
            <w:r>
              <w:rPr>
                <w:b/>
                <w:color w:val="B40000"/>
                <w:sz w:val="17"/>
              </w:rPr>
              <w:t>-20.15%</w:t>
            </w:r>
          </w:p>
          <w:p>
            <w:r>
              <w:rPr>
                <w:b/>
                <w:color w:val="503200"/>
                <w:sz w:val="16"/>
              </w:rPr>
              <w:t xml:space="preserve">Plus haut 100j : </w:t>
            </w:r>
            <w:r>
              <w:rPr>
                <w:color w:val="000000"/>
                <w:sz w:val="17"/>
              </w:rPr>
              <w:t>72,000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8.53% (Moyenne) — μ=57,862 FCFA, σ=4,934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β=2.2371 (Très agressif) — Cov=0.000079, Var(idx)=0.000035, ρ=0.304,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29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σ_j=4.35%/j (Modérée) — Vol. annualisée≈69.0%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600906"/>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090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2026-08-05</w:t>
            </w:r>
          </w:p>
        </w:tc>
        <w:tc>
          <w:tcPr>
            <w:tcW w:type="dxa" w:w="1440"/>
            <w:shd w:fill="FAFAFA" w:val="clear"/>
          </w:tcPr>
          <w:p>
            <w:r>
              <w:rPr>
                <w:sz w:val="17"/>
              </w:rPr>
              <w:t>50,773</w:t>
            </w:r>
          </w:p>
        </w:tc>
        <w:tc>
          <w:tcPr>
            <w:tcW w:type="dxa" w:w="1440"/>
            <w:shd w:fill="FAFAFA" w:val="clear"/>
          </w:tcPr>
          <w:p>
            <w:r>
              <w:rPr>
                <w:b/>
                <w:sz w:val="17"/>
              </w:rPr>
              <w:t>54,047</w:t>
            </w:r>
          </w:p>
        </w:tc>
        <w:tc>
          <w:tcPr>
            <w:tcW w:type="dxa" w:w="1440"/>
            <w:shd w:fill="FAFAFA" w:val="clear"/>
          </w:tcPr>
          <w:p>
            <w:r>
              <w:rPr>
                <w:sz w:val="17"/>
              </w:rPr>
              <w:t>57,321</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2026-08-06</w:t>
            </w:r>
          </w:p>
        </w:tc>
        <w:tc>
          <w:tcPr>
            <w:tcW w:type="dxa" w:w="1440"/>
            <w:shd w:fill="FAFAFA" w:val="clear"/>
          </w:tcPr>
          <w:p>
            <w:r>
              <w:rPr>
                <w:sz w:val="17"/>
              </w:rPr>
              <w:t>49,997</w:t>
            </w:r>
          </w:p>
        </w:tc>
        <w:tc>
          <w:tcPr>
            <w:tcW w:type="dxa" w:w="1440"/>
            <w:shd w:fill="FAFAFA" w:val="clear"/>
          </w:tcPr>
          <w:p>
            <w:r>
              <w:rPr>
                <w:b/>
                <w:sz w:val="17"/>
              </w:rPr>
              <w:t>54,682</w:t>
            </w:r>
          </w:p>
        </w:tc>
        <w:tc>
          <w:tcPr>
            <w:tcW w:type="dxa" w:w="1440"/>
            <w:shd w:fill="FAFAFA" w:val="clear"/>
          </w:tcPr>
          <w:p>
            <w:r>
              <w:rPr>
                <w:sz w:val="17"/>
              </w:rPr>
              <w:t>59,367</w:t>
            </w:r>
          </w:p>
        </w:tc>
        <w:tc>
          <w:tcPr>
            <w:tcW w:type="dxa" w:w="1440"/>
            <w:shd w:fill="FAFAFA" w:val="clear"/>
          </w:tcPr>
          <w:p>
            <w:r>
              <w:rPr>
                <w:b/>
                <w:color w:val="C00000"/>
                <w:sz w:val="17"/>
              </w:rPr>
              <w:t>-0.0%</w:t>
            </w:r>
          </w:p>
        </w:tc>
      </w:tr>
      <w:tr>
        <w:tc>
          <w:tcPr>
            <w:tcW w:type="dxa" w:w="1440"/>
            <w:shd w:fill="FAFAFA" w:val="clear"/>
          </w:tcPr>
          <w:p>
            <w:r>
              <w:rPr>
                <w:sz w:val="17"/>
              </w:rPr>
              <w:t>J+3  ⭐</w:t>
            </w:r>
          </w:p>
        </w:tc>
        <w:tc>
          <w:tcPr>
            <w:tcW w:type="dxa" w:w="1440"/>
            <w:shd w:fill="FAFAFA" w:val="clear"/>
          </w:tcPr>
          <w:p>
            <w:r>
              <w:rPr>
                <w:sz w:val="17"/>
              </w:rPr>
              <w:t>2026-08-10</w:t>
            </w:r>
          </w:p>
        </w:tc>
        <w:tc>
          <w:tcPr>
            <w:tcW w:type="dxa" w:w="1440"/>
            <w:shd w:fill="FAFAFA" w:val="clear"/>
          </w:tcPr>
          <w:p>
            <w:r>
              <w:rPr>
                <w:sz w:val="17"/>
              </w:rPr>
              <w:t>49,497</w:t>
            </w:r>
          </w:p>
        </w:tc>
        <w:tc>
          <w:tcPr>
            <w:tcW w:type="dxa" w:w="1440"/>
            <w:shd w:fill="FAFAFA" w:val="clear"/>
          </w:tcPr>
          <w:p>
            <w:r>
              <w:rPr>
                <w:b/>
                <w:sz w:val="17"/>
              </w:rPr>
              <w:t>55,300</w:t>
            </w:r>
          </w:p>
        </w:tc>
        <w:tc>
          <w:tcPr>
            <w:tcW w:type="dxa" w:w="1440"/>
            <w:shd w:fill="FAFAFA" w:val="clear"/>
          </w:tcPr>
          <w:p>
            <w:r>
              <w:rPr>
                <w:sz w:val="17"/>
              </w:rPr>
              <w:t>61,103</w:t>
            </w:r>
          </w:p>
        </w:tc>
        <w:tc>
          <w:tcPr>
            <w:tcW w:type="dxa" w:w="1440"/>
            <w:shd w:fill="FAFAFA" w:val="clear"/>
          </w:tcPr>
          <w:p>
            <w:r>
              <w:rPr>
                <w:b/>
                <w:color w:val="008000"/>
                <w:sz w:val="17"/>
              </w:rPr>
              <w:t>+1.1%</w:t>
            </w:r>
          </w:p>
        </w:tc>
      </w:tr>
      <w:tr>
        <w:tc>
          <w:tcPr>
            <w:tcW w:type="dxa" w:w="1440"/>
            <w:shd w:fill="C6EFCE" w:val="clear"/>
          </w:tcPr>
          <w:p>
            <w:r>
              <w:rPr>
                <w:sz w:val="17"/>
              </w:rPr>
              <w:t>J+4  ⭐</w:t>
            </w:r>
          </w:p>
        </w:tc>
        <w:tc>
          <w:tcPr>
            <w:tcW w:type="dxa" w:w="1440"/>
            <w:shd w:fill="C6EFCE" w:val="clear"/>
          </w:tcPr>
          <w:p>
            <w:r>
              <w:rPr>
                <w:sz w:val="17"/>
              </w:rPr>
              <w:t>2026-08-11</w:t>
            </w:r>
          </w:p>
        </w:tc>
        <w:tc>
          <w:tcPr>
            <w:tcW w:type="dxa" w:w="1440"/>
            <w:shd w:fill="C6EFCE" w:val="clear"/>
          </w:tcPr>
          <w:p>
            <w:r>
              <w:rPr>
                <w:sz w:val="17"/>
              </w:rPr>
              <w:t>49,149</w:t>
            </w:r>
          </w:p>
        </w:tc>
        <w:tc>
          <w:tcPr>
            <w:tcW w:type="dxa" w:w="1440"/>
            <w:shd w:fill="C6EFCE" w:val="clear"/>
          </w:tcPr>
          <w:p>
            <w:r>
              <w:rPr>
                <w:b/>
                <w:sz w:val="17"/>
              </w:rPr>
              <w:t>55,925</w:t>
            </w:r>
          </w:p>
        </w:tc>
        <w:tc>
          <w:tcPr>
            <w:tcW w:type="dxa" w:w="1440"/>
            <w:shd w:fill="C6EFCE" w:val="clear"/>
          </w:tcPr>
          <w:p>
            <w:r>
              <w:rPr>
                <w:sz w:val="17"/>
              </w:rPr>
              <w:t>62,701</w:t>
            </w:r>
          </w:p>
        </w:tc>
        <w:tc>
          <w:tcPr>
            <w:tcW w:type="dxa" w:w="1440"/>
            <w:shd w:fill="C6EFCE" w:val="clear"/>
          </w:tcPr>
          <w:p>
            <w:r>
              <w:rPr>
                <w:b/>
                <w:color w:val="008000"/>
                <w:sz w:val="17"/>
              </w:rPr>
              <w:t>+2.2%</w:t>
            </w:r>
          </w:p>
        </w:tc>
      </w:tr>
      <w:tr>
        <w:tc>
          <w:tcPr>
            <w:tcW w:type="dxa" w:w="1440"/>
            <w:shd w:fill="C6EFCE" w:val="clear"/>
          </w:tcPr>
          <w:p>
            <w:r>
              <w:rPr>
                <w:sz w:val="17"/>
              </w:rPr>
              <w:t>J+5  ⭐</w:t>
            </w:r>
          </w:p>
        </w:tc>
        <w:tc>
          <w:tcPr>
            <w:tcW w:type="dxa" w:w="1440"/>
            <w:shd w:fill="C6EFCE" w:val="clear"/>
          </w:tcPr>
          <w:p>
            <w:r>
              <w:rPr>
                <w:sz w:val="17"/>
              </w:rPr>
              <w:t>2026-08-12</w:t>
            </w:r>
          </w:p>
        </w:tc>
        <w:tc>
          <w:tcPr>
            <w:tcW w:type="dxa" w:w="1440"/>
            <w:shd w:fill="C6EFCE" w:val="clear"/>
          </w:tcPr>
          <w:p>
            <w:r>
              <w:rPr>
                <w:sz w:val="17"/>
              </w:rPr>
              <w:t>48,895</w:t>
            </w:r>
          </w:p>
        </w:tc>
        <w:tc>
          <w:tcPr>
            <w:tcW w:type="dxa" w:w="1440"/>
            <w:shd w:fill="C6EFCE" w:val="clear"/>
          </w:tcPr>
          <w:p>
            <w:r>
              <w:rPr>
                <w:b/>
                <w:sz w:val="17"/>
              </w:rPr>
              <w:t>56,557</w:t>
            </w:r>
          </w:p>
        </w:tc>
        <w:tc>
          <w:tcPr>
            <w:tcW w:type="dxa" w:w="1440"/>
            <w:shd w:fill="C6EFCE" w:val="clear"/>
          </w:tcPr>
          <w:p>
            <w:r>
              <w:rPr>
                <w:sz w:val="17"/>
              </w:rPr>
              <w:t>64,219</w:t>
            </w:r>
          </w:p>
        </w:tc>
        <w:tc>
          <w:tcPr>
            <w:tcW w:type="dxa" w:w="1440"/>
            <w:shd w:fill="C6EFCE" w:val="clear"/>
          </w:tcPr>
          <w:p>
            <w:r>
              <w:rPr>
                <w:b/>
                <w:color w:val="008000"/>
                <w:sz w:val="17"/>
              </w:rPr>
              <w:t>+3.4%</w:t>
            </w:r>
          </w:p>
        </w:tc>
      </w:tr>
      <w:tr>
        <w:tc>
          <w:tcPr>
            <w:tcW w:type="dxa" w:w="1440"/>
            <w:shd w:fill="C6EFCE" w:val="clear"/>
          </w:tcPr>
          <w:p>
            <w:r>
              <w:rPr>
                <w:sz w:val="17"/>
              </w:rPr>
              <w:t>J+6  ⭐</w:t>
            </w:r>
          </w:p>
        </w:tc>
        <w:tc>
          <w:tcPr>
            <w:tcW w:type="dxa" w:w="1440"/>
            <w:shd w:fill="C6EFCE" w:val="clear"/>
          </w:tcPr>
          <w:p>
            <w:r>
              <w:rPr>
                <w:sz w:val="17"/>
              </w:rPr>
              <w:t>2026-08-13</w:t>
            </w:r>
          </w:p>
        </w:tc>
        <w:tc>
          <w:tcPr>
            <w:tcW w:type="dxa" w:w="1440"/>
            <w:shd w:fill="C6EFCE" w:val="clear"/>
          </w:tcPr>
          <w:p>
            <w:r>
              <w:rPr>
                <w:sz w:val="17"/>
              </w:rPr>
              <w:t>48,708</w:t>
            </w:r>
          </w:p>
        </w:tc>
        <w:tc>
          <w:tcPr>
            <w:tcW w:type="dxa" w:w="1440"/>
            <w:shd w:fill="C6EFCE" w:val="clear"/>
          </w:tcPr>
          <w:p>
            <w:r>
              <w:rPr>
                <w:b/>
                <w:sz w:val="17"/>
              </w:rPr>
              <w:t>57,195</w:t>
            </w:r>
          </w:p>
        </w:tc>
        <w:tc>
          <w:tcPr>
            <w:tcW w:type="dxa" w:w="1440"/>
            <w:shd w:fill="C6EFCE" w:val="clear"/>
          </w:tcPr>
          <w:p>
            <w:r>
              <w:rPr>
                <w:sz w:val="17"/>
              </w:rPr>
              <w:t>65,683</w:t>
            </w:r>
          </w:p>
        </w:tc>
        <w:tc>
          <w:tcPr>
            <w:tcW w:type="dxa" w:w="1440"/>
            <w:shd w:fill="C6EFCE" w:val="clear"/>
          </w:tcPr>
          <w:p>
            <w:r>
              <w:rPr>
                <w:b/>
                <w:color w:val="008000"/>
                <w:sz w:val="17"/>
              </w:rPr>
              <w:t>+4.6%</w:t>
            </w:r>
          </w:p>
        </w:tc>
      </w:tr>
      <w:tr>
        <w:tc>
          <w:tcPr>
            <w:tcW w:type="dxa" w:w="1440"/>
            <w:shd w:fill="C6EFCE" w:val="clear"/>
          </w:tcPr>
          <w:p>
            <w:r>
              <w:rPr>
                <w:sz w:val="17"/>
              </w:rPr>
              <w:t>J+7  ⭐</w:t>
            </w:r>
          </w:p>
        </w:tc>
        <w:tc>
          <w:tcPr>
            <w:tcW w:type="dxa" w:w="1440"/>
            <w:shd w:fill="C6EFCE" w:val="clear"/>
          </w:tcPr>
          <w:p>
            <w:r>
              <w:rPr>
                <w:sz w:val="17"/>
              </w:rPr>
              <w:t>2026-08-14</w:t>
            </w:r>
          </w:p>
        </w:tc>
        <w:tc>
          <w:tcPr>
            <w:tcW w:type="dxa" w:w="1440"/>
            <w:shd w:fill="C6EFCE" w:val="clear"/>
          </w:tcPr>
          <w:p>
            <w:r>
              <w:rPr>
                <w:sz w:val="17"/>
              </w:rPr>
              <w:t>48,568</w:t>
            </w:r>
          </w:p>
        </w:tc>
        <w:tc>
          <w:tcPr>
            <w:tcW w:type="dxa" w:w="1440"/>
            <w:shd w:fill="C6EFCE" w:val="clear"/>
          </w:tcPr>
          <w:p>
            <w:r>
              <w:rPr>
                <w:b/>
                <w:sz w:val="17"/>
              </w:rPr>
              <w:t>57,838</w:t>
            </w:r>
          </w:p>
        </w:tc>
        <w:tc>
          <w:tcPr>
            <w:tcW w:type="dxa" w:w="1440"/>
            <w:shd w:fill="C6EFCE" w:val="clear"/>
          </w:tcPr>
          <w:p>
            <w:r>
              <w:rPr>
                <w:sz w:val="17"/>
              </w:rPr>
              <w:t>67,109</w:t>
            </w:r>
          </w:p>
        </w:tc>
        <w:tc>
          <w:tcPr>
            <w:tcW w:type="dxa" w:w="1440"/>
            <w:shd w:fill="C6EFCE" w:val="clear"/>
          </w:tcPr>
          <w:p>
            <w:r>
              <w:rPr>
                <w:b/>
                <w:color w:val="008000"/>
                <w:sz w:val="17"/>
              </w:rPr>
              <w:t>+5.7%</w:t>
            </w:r>
          </w:p>
        </w:tc>
      </w:tr>
      <w:tr>
        <w:tc>
          <w:tcPr>
            <w:tcW w:type="dxa" w:w="1440"/>
            <w:shd w:fill="C6EFCE" w:val="clear"/>
          </w:tcPr>
          <w:p>
            <w:r>
              <w:rPr>
                <w:sz w:val="17"/>
              </w:rPr>
              <w:t>J+8  ⭐</w:t>
            </w:r>
          </w:p>
        </w:tc>
        <w:tc>
          <w:tcPr>
            <w:tcW w:type="dxa" w:w="1440"/>
            <w:shd w:fill="C6EFCE" w:val="clear"/>
          </w:tcPr>
          <w:p>
            <w:r>
              <w:rPr>
                <w:sz w:val="17"/>
              </w:rPr>
              <w:t>2026-08-17</w:t>
            </w:r>
          </w:p>
        </w:tc>
        <w:tc>
          <w:tcPr>
            <w:tcW w:type="dxa" w:w="1440"/>
            <w:shd w:fill="C6EFCE" w:val="clear"/>
          </w:tcPr>
          <w:p>
            <w:r>
              <w:rPr>
                <w:sz w:val="17"/>
              </w:rPr>
              <w:t>48,464</w:t>
            </w:r>
          </w:p>
        </w:tc>
        <w:tc>
          <w:tcPr>
            <w:tcW w:type="dxa" w:w="1440"/>
            <w:shd w:fill="C6EFCE" w:val="clear"/>
          </w:tcPr>
          <w:p>
            <w:r>
              <w:rPr>
                <w:b/>
                <w:sz w:val="17"/>
              </w:rPr>
              <w:t>58,485</w:t>
            </w:r>
          </w:p>
        </w:tc>
        <w:tc>
          <w:tcPr>
            <w:tcW w:type="dxa" w:w="1440"/>
            <w:shd w:fill="C6EFCE" w:val="clear"/>
          </w:tcPr>
          <w:p>
            <w:r>
              <w:rPr>
                <w:sz w:val="17"/>
              </w:rPr>
              <w:t>68,507</w:t>
            </w:r>
          </w:p>
        </w:tc>
        <w:tc>
          <w:tcPr>
            <w:tcW w:type="dxa" w:w="1440"/>
            <w:shd w:fill="C6EFCE" w:val="clear"/>
          </w:tcPr>
          <w:p>
            <w:r>
              <w:rPr>
                <w:b/>
                <w:color w:val="008000"/>
                <w:sz w:val="17"/>
              </w:rPr>
              <w:t>+6.9%</w:t>
            </w:r>
          </w:p>
        </w:tc>
      </w:tr>
      <w:tr>
        <w:tc>
          <w:tcPr>
            <w:tcW w:type="dxa" w:w="1440"/>
            <w:shd w:fill="C6EFCE" w:val="clear"/>
          </w:tcPr>
          <w:p>
            <w:r>
              <w:rPr>
                <w:sz w:val="17"/>
              </w:rPr>
              <w:t>J+9  ⭐</w:t>
            </w:r>
          </w:p>
        </w:tc>
        <w:tc>
          <w:tcPr>
            <w:tcW w:type="dxa" w:w="1440"/>
            <w:shd w:fill="C6EFCE" w:val="clear"/>
          </w:tcPr>
          <w:p>
            <w:r>
              <w:rPr>
                <w:sz w:val="17"/>
              </w:rPr>
              <w:t>2026-08-18</w:t>
            </w:r>
          </w:p>
        </w:tc>
        <w:tc>
          <w:tcPr>
            <w:tcW w:type="dxa" w:w="1440"/>
            <w:shd w:fill="C6EFCE" w:val="clear"/>
          </w:tcPr>
          <w:p>
            <w:r>
              <w:rPr>
                <w:sz w:val="17"/>
              </w:rPr>
              <w:t>48,388</w:t>
            </w:r>
          </w:p>
        </w:tc>
        <w:tc>
          <w:tcPr>
            <w:tcW w:type="dxa" w:w="1440"/>
            <w:shd w:fill="C6EFCE" w:val="clear"/>
          </w:tcPr>
          <w:p>
            <w:r>
              <w:rPr>
                <w:b/>
                <w:sz w:val="17"/>
              </w:rPr>
              <w:t>59,135</w:t>
            </w:r>
          </w:p>
        </w:tc>
        <w:tc>
          <w:tcPr>
            <w:tcW w:type="dxa" w:w="1440"/>
            <w:shd w:fill="C6EFCE" w:val="clear"/>
          </w:tcPr>
          <w:p>
            <w:r>
              <w:rPr>
                <w:sz w:val="17"/>
              </w:rPr>
              <w:t>69,883</w:t>
            </w:r>
          </w:p>
        </w:tc>
        <w:tc>
          <w:tcPr>
            <w:tcW w:type="dxa" w:w="1440"/>
            <w:shd w:fill="C6EFCE" w:val="clear"/>
          </w:tcPr>
          <w:p>
            <w:r>
              <w:rPr>
                <w:b/>
                <w:color w:val="008000"/>
                <w:sz w:val="17"/>
              </w:rPr>
              <w:t>+8.1%</w:t>
            </w:r>
          </w:p>
        </w:tc>
      </w:tr>
      <w:tr>
        <w:tc>
          <w:tcPr>
            <w:tcW w:type="dxa" w:w="1440"/>
            <w:shd w:fill="C6EFCE" w:val="clear"/>
          </w:tcPr>
          <w:p>
            <w:r>
              <w:rPr>
                <w:sz w:val="17"/>
              </w:rPr>
              <w:t>J+10  ⭐</w:t>
            </w:r>
          </w:p>
        </w:tc>
        <w:tc>
          <w:tcPr>
            <w:tcW w:type="dxa" w:w="1440"/>
            <w:shd w:fill="C6EFCE" w:val="clear"/>
          </w:tcPr>
          <w:p>
            <w:r>
              <w:rPr>
                <w:sz w:val="17"/>
              </w:rPr>
              <w:t>2026-08-19</w:t>
            </w:r>
          </w:p>
        </w:tc>
        <w:tc>
          <w:tcPr>
            <w:tcW w:type="dxa" w:w="1440"/>
            <w:shd w:fill="C6EFCE" w:val="clear"/>
          </w:tcPr>
          <w:p>
            <w:r>
              <w:rPr>
                <w:sz w:val="17"/>
              </w:rPr>
              <w:t>48,334</w:t>
            </w:r>
          </w:p>
        </w:tc>
        <w:tc>
          <w:tcPr>
            <w:tcW w:type="dxa" w:w="1440"/>
            <w:shd w:fill="C6EFCE" w:val="clear"/>
          </w:tcPr>
          <w:p>
            <w:r>
              <w:rPr>
                <w:b/>
                <w:sz w:val="17"/>
              </w:rPr>
              <w:t>59,788</w:t>
            </w:r>
          </w:p>
        </w:tc>
        <w:tc>
          <w:tcPr>
            <w:tcW w:type="dxa" w:w="1440"/>
            <w:shd w:fill="C6EFCE" w:val="clear"/>
          </w:tcPr>
          <w:p>
            <w:r>
              <w:rPr>
                <w:sz w:val="17"/>
              </w:rPr>
              <w:t>71,242</w:t>
            </w:r>
          </w:p>
        </w:tc>
        <w:tc>
          <w:tcPr>
            <w:tcW w:type="dxa" w:w="1440"/>
            <w:shd w:fill="C6EFCE" w:val="clear"/>
          </w:tcPr>
          <w:p>
            <w:r>
              <w:rPr>
                <w:b/>
                <w:color w:val="008000"/>
                <w:sz w:val="17"/>
              </w:rPr>
              <w:t>+9.3%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502,33 milliards FCFA, ce qui positionne la société parmi les valeurs moyennes de la BRVM, dans un marché où les grandes capitalisations dépassent souvent les 1 000 milliards FCFA. Les ratios de valorisation traditionnels (BPA, PER, P/B, EV/EBITDA) ne sont pas calculables en raison de l'absence de données financières structurées récentes dans la base, ce qui constitue une limite importante pour l'évaluation relative du titre. Cette absence s'explique par la publication tardive des états financiers et la situation particulière de la société, qui affiche des capitaux propres négatifs selon les derniers rapports disponibles. Dans ce contexte, l'investisseur ne peut pas déterminer si le marché valorise la société au-dessus ou en dessous de sa valeur comptable, ni comparer son niveau de valorisation aux références du marché (PER moyen BRVM de 8 à 12 fois). Une attention particulière doit donc être portée aux fondamentaux historiques et aux perspectives de redressement pour compenser ce manque d'indicateurs.</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l'action UNLC a enregistré une baisse significative de 20,15%, passant d'un plus haut de 72 000 FCFA à un plus bas de 49 630 FCFA, soit une amplitude de trading de 22 370 FCFA. La dernière séance montre un rebond marqué de +7,21%, portant le cours à 54 700 FCFA, ce qui pourrait indiquer un retour de l'intérêt acheteur après la phase de correction. La moyenne du cours sur la période s'établit à 57 862 FCFA, légèrement supérieure à la médiane de 57 150 FCFA, avec un mode à 58 000 FCFA, suggérant une distribution relativement symétrique mais avec une queue positive. L'écart-type de 4 959 FCFA représente un coefficient de variation de 8,6%, indiquant une dispersion modérée des prix autour de la moyenne. Le kurtosis de 0,857 (mésokurtique) révèle une distribution proche de la normale, sans risque excessif de mouvements extrêmes, tandis que le skewness positif de 0,968 indique que le cours a passé plus de journées sous la moyenne, avec des épisodes de hausse ponctuels. La volatilité annualisée de 69% classe le titre comme très volatil, bien au-dessus du seuil de 30% considéré comme élevé, ce qui implique un risque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52 837 FCFA et la MM50 à 55 043 FCFA se situent toutes deux sous le cours actuel de 54 700 FCFA, mais la MM50 reste supérieure à la MM20, indiquant une tendance baissière à moyen terme. Le cours évolue entre ces deux moyennes, ce qui traduit une phase de consolidation après la forte baisse. La décision de vente signalée par cet indicateur reflète la persistance d'une dynamique négative à moyen terme, malgré le rebond récent.</w:t>
      </w:r>
    </w:p>
    <w:p>
      <w:pPr>
        <w:spacing w:after="120" w:line="276" w:lineRule="auto"/>
      </w:pPr>
      <w:r>
        <w:t>**Bandes de Bollinger** : Le cours à 54 700 FCFA se positionne dans la partie supérieure de l'enveloppe, entre la borne inférieure à 49 592 FCFA et la borne supérieure à 56 082 FCFA. Cette position suggère une pression acheteuse récente, mais l'écart entre les bornes indique une volatilité encore élevée. La décision neutre reflète l'absence de signal directionnel clair, le cours n'ayant pas encore franchi la borne supérieure.</w:t>
      </w:r>
    </w:p>
    <w:p>
      <w:pPr>
        <w:spacing w:after="120" w:line="276" w:lineRule="auto"/>
      </w:pPr>
      <w:r>
        <w:t>**MACD** : Le MACD à -632,95 reste négatif mais s'est nettement rapproché de sa ligne de signal à -892,08, avec un écart positif de 259 points. Cette configuration indique un momentum haussier émergent, le MACD ayant probablement franchi sa ligne de signal récemment. La décision d'achat signale un potentiel retournement de tendance, bien que la prudence reste de mise tant que le MACD n'est pas repassé au-dessus de zéro.</w:t>
      </w:r>
    </w:p>
    <w:p>
      <w:pPr>
        <w:spacing w:after="120" w:line="276" w:lineRule="auto"/>
      </w:pPr>
      <w:r>
        <w:t>**RSI** : Le RSI à 52,22 se situe en zone neutre, entre 30 et 70, indiquant un équilibre relatif entre pression acheteuse et vendeuse. Cette valeur suggère que le titre n'est ni suracheté ni survendu, laissant une marge de manœuvre pour une poursuite du mouvement haussier. La décision neutre est cohérente avec cette lecture, le RSI ne fournissant pas de signal directionnel fort.</w:t>
      </w:r>
    </w:p>
    <w:p>
      <w:pPr>
        <w:spacing w:after="120" w:line="276" w:lineRule="auto"/>
      </w:pPr>
      <w:r>
        <w:t>**Stochastique** : Le %K à 78,14 se positionne nettement au-dessus du %D à 32,37, avec un écart de 45,77 points, indiquant une dynamique haussière récente. Cette configuration suggère que le cours est en phase de rebond après des niveaux de survente, mais le %K approche de la zone de surachat (au-dessus de 80). La décision neutre reflète la prudence face à cette situation intermédiaire.</w:t>
      </w:r>
    </w:p>
    <w:p>
      <w:pPr>
        <w:spacing w:after="120" w:line="276" w:lineRule="auto"/>
      </w:pPr>
      <w:r>
        <w:t>**Conclusion technique** : Les indicateurs techniques présentent un signal mitigé avec une légère tendance à l'amélioration. Le MACD et le Stochastique suggèrent un momentum haussier émergent, tandis que les moyennes mobiles et le RSI restent neutres ou baissiers. Cette configuration indique un possible retournement de tendance, mais nécessite une confirmation par le franchissement des résistances à 56 000 FCFA et 58 000 FCFA.</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pour UNLC, mais les rapports narratifs fournissent des informations essentielles sur la période 2021-2023. Pour l'exercice clos le 31 décembre 2023, le chiffre d'affaires s'établit à 24 336 millions FCFA, stable par rapport à 2022, avec un bénéfice net de 640 millions FCFA, en nette amélioration par rapport à la perte de 6 908 millions FCFA enregistrée en 2022. Le résultat d'exploitation est passé de -6 258 millions FCFA en 2022 à +3 340 millions FCFA en 2023, démontrant une amélioration opérationnelle significative, mais la marge nette de 2,63% reste très inférieure à la moyenne sectorielle de 5 à 10%. La société affiche des capitaux propres négatifs de -10 658 millions FCFA et un endettement financier de 4 379 millions FCFA, traduisant une structure financière fragile. Pour l'exercice 2022, le chiffre d'affaires était de 36 174 millions FCFA selon un rapport, mais de 24 336 millions FCFA selon un autre, avec une perte nette de 6 382 millions FCFA et une marge nette de -17,6%. En 2021, la société avait réalisé un bénéfice de 6 090 millions FCFA avec une marge nette de 25%, mais aucun dividende n'a été distribué sur ces trois exercices. L'analyse révèle une trajectoire erratique : après une année 2021 exceptionnelle, la société a subi une perte massive en 2022, suivie d'un redressement modeste en 2023. Les perspectives restent incertaines, avec une absence de croissance du chiffre d'affaires, des capitaux propres négatifs et une capacité de distribution nulle. La recommandation fondamentale est de conserver le titre avec une vigilance accrue, en attendant une stabilisation durable de la rentabilité et une reconstitution des capitaux propres.</w:t>
      </w:r>
    </w:p>
    <w:p>
      <w:pPr>
        <w:spacing w:after="120" w:line="276" w:lineRule="auto" w:before="240"/>
      </w:pPr>
      <w:r>
        <w:rPr>
          <w:b/>
          <w:color w:val="003366"/>
          <w:sz w:val="24"/>
        </w:rPr>
        <w:t>**PARTIE 4 : CONCLUSION D'INVESTISSEMENT**</w:t>
      </w:r>
    </w:p>
    <w:p>
      <w:pPr>
        <w:spacing w:after="120" w:line="276" w:lineRule="auto"/>
      </w:pPr>
      <w:r>
        <w:t>La valorisation d'UNLC ne peut pas être appréciée par les ratios traditionnels faute de données structurées, mais la capitalisation de 502 milliards FCFA paraît élevée au regard des fondamentaux historiques marqués par des pertes récurrentes et des capitaux propres négatifs. Le comportement du cours sur 100 jours montre une tendance baissière de -20,15% avec une volatilité très élevée de 69%, mais le rebond récent de +7,21% et le skewness positif suggèrent un potentiel de retournement. Les signaux techniques sont mitigés, avec un MACD et un Stochastique en phase d'amélioration, mais des moyennes mobiles encore baissières et un RSI neutre. Les fondamentaux révèlent une amélioration en 2023 après la perte de 2022, mais la situation reste fragile avec une marge nette de 2,63% et des capitaux propres négatifs. Les prédictions IA pour les 10 prochains jours indiquent une trajectoire haussière progressive, passant de 54 047 FCFA à 56 557 FCFA, confirmant le potentiel de rebond suggéré par les indicateurs techniques. La convergence entre les signaux techniques améliorés, les prédictions IA haussières et le redressement fondamental modeste justifie une recommandation de CONSERVER, avec un niveau de confiance moyen et un risque global élevé. L'horizon d'investissement optimal se situe à moyen terme (3 à 12 mois), en attendant une confirmation du redressement fondamental et une reconstitution des capitaux propres.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39.22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12,612 titres</w:t>
            </w:r>
          </w:p>
        </w:tc>
        <w:tc>
          <w:tcPr>
            <w:tcW w:type="dxa" w:w="2268"/>
            <w:shd w:fill="FFF2CC" w:val="clear"/>
          </w:tcPr>
          <w:p>
            <w:r>
              <w:rPr>
                <w:b/>
                <w:color w:val="503200"/>
                <w:sz w:val="16"/>
              </w:rPr>
              <w:t xml:space="preserve">Cours actuel : </w:t>
            </w:r>
            <w:r>
              <w:rPr>
                <w:color w:val="000000"/>
                <w:sz w:val="17"/>
              </w:rPr>
              <w:t>1,890 FCFA</w:t>
            </w:r>
          </w:p>
          <w:p>
            <w:r>
              <w:rPr>
                <w:b/>
                <w:color w:val="503200"/>
                <w:sz w:val="16"/>
              </w:rPr>
              <w:t xml:space="preserve">Var. 100 jours : </w:t>
            </w:r>
            <w:r>
              <w:rPr>
                <w:b/>
                <w:color w:val="B40000"/>
                <w:sz w:val="17"/>
              </w:rPr>
              <w:t>-16.00%</w:t>
            </w:r>
          </w:p>
          <w:p>
            <w:r>
              <w:rPr>
                <w:b/>
                <w:color w:val="503200"/>
                <w:sz w:val="16"/>
              </w:rPr>
              <w:t xml:space="preserve">Plus haut 100j : </w:t>
            </w:r>
            <w:r>
              <w:rPr>
                <w:color w:val="000000"/>
                <w:sz w:val="17"/>
              </w:rPr>
              <w:t>2,250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9.27% (Moyenne) — μ=1,873 FCFA, σ=174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β=-0.7214 (Contre-cyclique) — Cov=-0.000026, Var(idx)=0.000036, ρ=-0.139,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12,612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2026-08-05</w:t>
            </w:r>
          </w:p>
        </w:tc>
        <w:tc>
          <w:tcPr>
            <w:tcW w:type="dxa" w:w="1440"/>
            <w:shd w:fill="FAFAFA" w:val="clear"/>
          </w:tcPr>
          <w:p>
            <w:r>
              <w:rPr>
                <w:sz w:val="17"/>
              </w:rPr>
              <w:t>1,742</w:t>
            </w:r>
          </w:p>
        </w:tc>
        <w:tc>
          <w:tcPr>
            <w:tcW w:type="dxa" w:w="1440"/>
            <w:shd w:fill="FAFAFA" w:val="clear"/>
          </w:tcPr>
          <w:p>
            <w:r>
              <w:rPr>
                <w:b/>
                <w:sz w:val="17"/>
              </w:rPr>
              <w:t>1,883</w:t>
            </w:r>
          </w:p>
        </w:tc>
        <w:tc>
          <w:tcPr>
            <w:tcW w:type="dxa" w:w="1440"/>
            <w:shd w:fill="FAFAFA" w:val="clear"/>
          </w:tcPr>
          <w:p>
            <w:r>
              <w:rPr>
                <w:sz w:val="17"/>
              </w:rPr>
              <w:t>2,024</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2026-08-06</w:t>
            </w:r>
          </w:p>
        </w:tc>
        <w:tc>
          <w:tcPr>
            <w:tcW w:type="dxa" w:w="1440"/>
            <w:shd w:fill="FAFAFA" w:val="clear"/>
          </w:tcPr>
          <w:p>
            <w:r>
              <w:rPr>
                <w:sz w:val="17"/>
              </w:rPr>
              <w:t>1,672</w:t>
            </w:r>
          </w:p>
        </w:tc>
        <w:tc>
          <w:tcPr>
            <w:tcW w:type="dxa" w:w="1440"/>
            <w:shd w:fill="FAFAFA" w:val="clear"/>
          </w:tcPr>
          <w:p>
            <w:r>
              <w:rPr>
                <w:b/>
                <w:sz w:val="17"/>
              </w:rPr>
              <w:t>1,873</w:t>
            </w:r>
          </w:p>
        </w:tc>
        <w:tc>
          <w:tcPr>
            <w:tcW w:type="dxa" w:w="1440"/>
            <w:shd w:fill="FAFAFA" w:val="clear"/>
          </w:tcPr>
          <w:p>
            <w:r>
              <w:rPr>
                <w:sz w:val="17"/>
              </w:rPr>
              <w:t>2,074</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2026-08-10</w:t>
            </w:r>
          </w:p>
        </w:tc>
        <w:tc>
          <w:tcPr>
            <w:tcW w:type="dxa" w:w="1440"/>
            <w:shd w:fill="FAFAFA" w:val="clear"/>
          </w:tcPr>
          <w:p>
            <w:r>
              <w:rPr>
                <w:sz w:val="17"/>
              </w:rPr>
              <w:t>1,618</w:t>
            </w:r>
          </w:p>
        </w:tc>
        <w:tc>
          <w:tcPr>
            <w:tcW w:type="dxa" w:w="1440"/>
            <w:shd w:fill="FAFAFA" w:val="clear"/>
          </w:tcPr>
          <w:p>
            <w:r>
              <w:rPr>
                <w:b/>
                <w:sz w:val="17"/>
              </w:rPr>
              <w:t>1,864</w:t>
            </w:r>
          </w:p>
        </w:tc>
        <w:tc>
          <w:tcPr>
            <w:tcW w:type="dxa" w:w="1440"/>
            <w:shd w:fill="FAFAFA" w:val="clear"/>
          </w:tcPr>
          <w:p>
            <w:r>
              <w:rPr>
                <w:sz w:val="17"/>
              </w:rPr>
              <w:t>2,109</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2026-08-11</w:t>
            </w:r>
          </w:p>
        </w:tc>
        <w:tc>
          <w:tcPr>
            <w:tcW w:type="dxa" w:w="1440"/>
            <w:shd w:fill="FAFAFA" w:val="clear"/>
          </w:tcPr>
          <w:p>
            <w:r>
              <w:rPr>
                <w:sz w:val="17"/>
              </w:rPr>
              <w:t>1,573</w:t>
            </w:r>
          </w:p>
        </w:tc>
        <w:tc>
          <w:tcPr>
            <w:tcW w:type="dxa" w:w="1440"/>
            <w:shd w:fill="FAFAFA" w:val="clear"/>
          </w:tcPr>
          <w:p>
            <w:r>
              <w:rPr>
                <w:b/>
                <w:sz w:val="17"/>
              </w:rPr>
              <w:t>1,854</w:t>
            </w:r>
          </w:p>
        </w:tc>
        <w:tc>
          <w:tcPr>
            <w:tcW w:type="dxa" w:w="1440"/>
            <w:shd w:fill="FAFAFA" w:val="clear"/>
          </w:tcPr>
          <w:p>
            <w:r>
              <w:rPr>
                <w:sz w:val="17"/>
              </w:rPr>
              <w:t>2,136</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2026-08-12</w:t>
            </w:r>
          </w:p>
        </w:tc>
        <w:tc>
          <w:tcPr>
            <w:tcW w:type="dxa" w:w="1440"/>
            <w:shd w:fill="FFDCE0" w:val="clear"/>
          </w:tcPr>
          <w:p>
            <w:r>
              <w:rPr>
                <w:sz w:val="17"/>
              </w:rPr>
              <w:t>1,532</w:t>
            </w:r>
          </w:p>
        </w:tc>
        <w:tc>
          <w:tcPr>
            <w:tcW w:type="dxa" w:w="1440"/>
            <w:shd w:fill="FFDCE0" w:val="clear"/>
          </w:tcPr>
          <w:p>
            <w:r>
              <w:rPr>
                <w:b/>
                <w:sz w:val="17"/>
              </w:rPr>
              <w:t>1,845</w:t>
            </w:r>
          </w:p>
        </w:tc>
        <w:tc>
          <w:tcPr>
            <w:tcW w:type="dxa" w:w="1440"/>
            <w:shd w:fill="FFDCE0" w:val="clear"/>
          </w:tcPr>
          <w:p>
            <w:r>
              <w:rPr>
                <w:sz w:val="17"/>
              </w:rPr>
              <w:t>2,159</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2026-08-13</w:t>
            </w:r>
          </w:p>
        </w:tc>
        <w:tc>
          <w:tcPr>
            <w:tcW w:type="dxa" w:w="1440"/>
            <w:shd w:fill="FFDCE0" w:val="clear"/>
          </w:tcPr>
          <w:p>
            <w:r>
              <w:rPr>
                <w:sz w:val="17"/>
              </w:rPr>
              <w:t>1,494</w:t>
            </w:r>
          </w:p>
        </w:tc>
        <w:tc>
          <w:tcPr>
            <w:tcW w:type="dxa" w:w="1440"/>
            <w:shd w:fill="FFDCE0" w:val="clear"/>
          </w:tcPr>
          <w:p>
            <w:r>
              <w:rPr>
                <w:b/>
                <w:sz w:val="17"/>
              </w:rPr>
              <w:t>1,836</w:t>
            </w:r>
          </w:p>
        </w:tc>
        <w:tc>
          <w:tcPr>
            <w:tcW w:type="dxa" w:w="1440"/>
            <w:shd w:fill="FFDCE0" w:val="clear"/>
          </w:tcPr>
          <w:p>
            <w:r>
              <w:rPr>
                <w:sz w:val="17"/>
              </w:rPr>
              <w:t>2,178</w:t>
            </w:r>
          </w:p>
        </w:tc>
        <w:tc>
          <w:tcPr>
            <w:tcW w:type="dxa" w:w="1440"/>
            <w:shd w:fill="FFDCE0" w:val="clear"/>
          </w:tcPr>
          <w:p>
            <w:r>
              <w:rPr>
                <w:b/>
                <w:color w:val="C00000"/>
                <w:sz w:val="17"/>
              </w:rPr>
              <w:t>-2.8%</w:t>
            </w:r>
          </w:p>
        </w:tc>
      </w:tr>
      <w:tr>
        <w:tc>
          <w:tcPr>
            <w:tcW w:type="dxa" w:w="1440"/>
            <w:shd w:fill="FFDCE0" w:val="clear"/>
          </w:tcPr>
          <w:p>
            <w:r>
              <w:rPr>
                <w:sz w:val="17"/>
              </w:rPr>
              <w:t>J+7  ⭐</w:t>
            </w:r>
          </w:p>
        </w:tc>
        <w:tc>
          <w:tcPr>
            <w:tcW w:type="dxa" w:w="1440"/>
            <w:shd w:fill="FFDCE0" w:val="clear"/>
          </w:tcPr>
          <w:p>
            <w:r>
              <w:rPr>
                <w:sz w:val="17"/>
              </w:rPr>
              <w:t>2026-08-14</w:t>
            </w:r>
          </w:p>
        </w:tc>
        <w:tc>
          <w:tcPr>
            <w:tcW w:type="dxa" w:w="1440"/>
            <w:shd w:fill="FFDCE0" w:val="clear"/>
          </w:tcPr>
          <w:p>
            <w:r>
              <w:rPr>
                <w:sz w:val="17"/>
              </w:rPr>
              <w:t>1,460</w:t>
            </w:r>
          </w:p>
        </w:tc>
        <w:tc>
          <w:tcPr>
            <w:tcW w:type="dxa" w:w="1440"/>
            <w:shd w:fill="FFDCE0" w:val="clear"/>
          </w:tcPr>
          <w:p>
            <w:r>
              <w:rPr>
                <w:b/>
                <w:sz w:val="17"/>
              </w:rPr>
              <w:t>1,827</w:t>
            </w:r>
          </w:p>
        </w:tc>
        <w:tc>
          <w:tcPr>
            <w:tcW w:type="dxa" w:w="1440"/>
            <w:shd w:fill="FFDCE0" w:val="clear"/>
          </w:tcPr>
          <w:p>
            <w:r>
              <w:rPr>
                <w:sz w:val="17"/>
              </w:rPr>
              <w:t>2,195</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2026-08-17</w:t>
            </w:r>
          </w:p>
        </w:tc>
        <w:tc>
          <w:tcPr>
            <w:tcW w:type="dxa" w:w="1440"/>
            <w:shd w:fill="FFDCE0" w:val="clear"/>
          </w:tcPr>
          <w:p>
            <w:r>
              <w:rPr>
                <w:sz w:val="17"/>
              </w:rPr>
              <w:t>1,427</w:t>
            </w:r>
          </w:p>
        </w:tc>
        <w:tc>
          <w:tcPr>
            <w:tcW w:type="dxa" w:w="1440"/>
            <w:shd w:fill="FFDCE0" w:val="clear"/>
          </w:tcPr>
          <w:p>
            <w:r>
              <w:rPr>
                <w:b/>
                <w:sz w:val="17"/>
              </w:rPr>
              <w:t>1,818</w:t>
            </w:r>
          </w:p>
        </w:tc>
        <w:tc>
          <w:tcPr>
            <w:tcW w:type="dxa" w:w="1440"/>
            <w:shd w:fill="FFDCE0" w:val="clear"/>
          </w:tcPr>
          <w:p>
            <w:r>
              <w:rPr>
                <w:sz w:val="17"/>
              </w:rPr>
              <w:t>2,210</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2026-08-18</w:t>
            </w:r>
          </w:p>
        </w:tc>
        <w:tc>
          <w:tcPr>
            <w:tcW w:type="dxa" w:w="1440"/>
            <w:shd w:fill="FFDCE0" w:val="clear"/>
          </w:tcPr>
          <w:p>
            <w:r>
              <w:rPr>
                <w:sz w:val="17"/>
              </w:rPr>
              <w:t>1,397</w:t>
            </w:r>
          </w:p>
        </w:tc>
        <w:tc>
          <w:tcPr>
            <w:tcW w:type="dxa" w:w="1440"/>
            <w:shd w:fill="FFDCE0" w:val="clear"/>
          </w:tcPr>
          <w:p>
            <w:r>
              <w:rPr>
                <w:b/>
                <w:sz w:val="17"/>
              </w:rPr>
              <w:t>1,810</w:t>
            </w:r>
          </w:p>
        </w:tc>
        <w:tc>
          <w:tcPr>
            <w:tcW w:type="dxa" w:w="1440"/>
            <w:shd w:fill="FFDCE0" w:val="clear"/>
          </w:tcPr>
          <w:p>
            <w:r>
              <w:rPr>
                <w:sz w:val="17"/>
              </w:rPr>
              <w:t>2,222</w:t>
            </w:r>
          </w:p>
        </w:tc>
        <w:tc>
          <w:tcPr>
            <w:tcW w:type="dxa" w:w="1440"/>
            <w:shd w:fill="FFDCE0" w:val="clear"/>
          </w:tcPr>
          <w:p>
            <w:r>
              <w:rPr>
                <w:b/>
                <w:color w:val="C00000"/>
                <w:sz w:val="17"/>
              </w:rPr>
              <w:t>-4.3%</w:t>
            </w:r>
          </w:p>
        </w:tc>
      </w:tr>
      <w:tr>
        <w:tc>
          <w:tcPr>
            <w:tcW w:type="dxa" w:w="1440"/>
            <w:shd w:fill="FFDCE0" w:val="clear"/>
          </w:tcPr>
          <w:p>
            <w:r>
              <w:rPr>
                <w:sz w:val="17"/>
              </w:rPr>
              <w:t>J+10  ⭐</w:t>
            </w:r>
          </w:p>
        </w:tc>
        <w:tc>
          <w:tcPr>
            <w:tcW w:type="dxa" w:w="1440"/>
            <w:shd w:fill="FFDCE0" w:val="clear"/>
          </w:tcPr>
          <w:p>
            <w:r>
              <w:rPr>
                <w:sz w:val="17"/>
              </w:rPr>
              <w:t>2026-08-19</w:t>
            </w:r>
          </w:p>
        </w:tc>
        <w:tc>
          <w:tcPr>
            <w:tcW w:type="dxa" w:w="1440"/>
            <w:shd w:fill="FFDCE0" w:val="clear"/>
          </w:tcPr>
          <w:p>
            <w:r>
              <w:rPr>
                <w:sz w:val="17"/>
              </w:rPr>
              <w:t>1,368</w:t>
            </w:r>
          </w:p>
        </w:tc>
        <w:tc>
          <w:tcPr>
            <w:tcW w:type="dxa" w:w="1440"/>
            <w:shd w:fill="FFDCE0" w:val="clear"/>
          </w:tcPr>
          <w:p>
            <w:r>
              <w:rPr>
                <w:b/>
                <w:sz w:val="17"/>
              </w:rPr>
              <w:t>1,801</w:t>
            </w:r>
          </w:p>
        </w:tc>
        <w:tc>
          <w:tcPr>
            <w:tcW w:type="dxa" w:w="1440"/>
            <w:shd w:fill="FFDCE0" w:val="clear"/>
          </w:tcPr>
          <w:p>
            <w:r>
              <w:rPr>
                <w:sz w:val="17"/>
              </w:rPr>
              <w:t>2,234</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d'UNIWAX s'établit à 39,22 milliards FCFA, un niveau modeste qui la classe parmi les valeurs moyennes de la côte ouest-africaine. Le BPA est négatif à -105 FCFA, reflétant la perte nette de 2,189 milliards FCFA enregistrée en 2024. Par conséquent, le PER est négatif (-17,9x), ce qui signifie que le marché ne peut pas valoriser la société sur la base de ses bénéfices actuels, mais plutôt sur des anticipations de redressement. Le P/B de 2,52x indique que le marché valorise l'actif net comptable avec une prime de 152%, ce qui est élevé pour une société déficitaire, suggérant que les investisseurs intègrent une reprise future. Le ratio EV/EBITDA n'est pas calculable, l'EBITDA étant négatif, ce qui rend toute comparaison de valeur d'entreprise inopérante. En résumé, la valorisation actuelle repose entièrement sur des espoirs de retour à la rentabilité, avec une prime de croissance qui semble prématurée au vu des fondamentaux 2024.</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UNXC a enregistré une baisse de 16,00%, avec une dernière séance en repli de 0,53% à 1 890 FCFA. Le cours a évolué dans une fourchette large de 1 250 à 2 250 FCFA, illustrant une forte amplitude de trading. La moyenne (1 873 FCFA) est très proche de la médiane (1 900 FCFA), indiquant une distribution relativement symétrique des cours, mais le skewness de -1,548 révèle une asymétrie négative, avec des épisodes de fortes baisses plus fréquents que les fortes hausses. L'écart-type de 175 FCFA (CV=9,3%) montre une dispersion modérée, mais le kurtosis de 3,056 signale un risque de queues épaisses, c'est-à-dire des mouvements extrêmes possibles. La volatilité annualisée de 50,1% est très élevée, classant UNXC comme un actif spéculatif. La tendance générale est baissière, le titre ayant perdu plus de 16% de sa valeur, dans un contexte de défiance post-restructuration.</w:t>
      </w:r>
    </w:p>
    <w:p>
      <w:pPr>
        <w:spacing w:after="120" w:line="276" w:lineRule="auto"/>
      </w:pPr>
      <w:r>
        <w:t>---</w:t>
      </w:r>
    </w:p>
    <w:p>
      <w:pPr>
        <w:spacing w:after="120" w:line="276" w:lineRule="auto"/>
      </w:pPr>
      <w:r>
        <w:t>### PARTIE 2 : ANALYSE TECHNIQUE DÉTAILLÉE</w:t>
      </w:r>
    </w:p>
    <w:p>
      <w:pPr>
        <w:spacing w:after="120" w:line="276" w:lineRule="auto"/>
      </w:pPr>
      <w:r>
        <w:t>**Moyennes Mobiles** : La MM20 (1 746 FCFA) et la MM50 (1 801,9 FCFA) sont toutes deux inférieures au cours actuel (1 890 FCFA), ce qui suggère un potentiel de retournement haussier à court terme. Cependant, la décision globale est "Vente", car la tendance de fond reste baissière, les MM étant orientées à la baisse sur la période. Le croisement haussier n'est pas encore confirmé.</w:t>
      </w:r>
    </w:p>
    <w:p>
      <w:pPr>
        <w:spacing w:after="120" w:line="276" w:lineRule="auto"/>
      </w:pPr>
      <w:r>
        <w:t>**Bandes de Bollinger** : Le cours à 1 890 FCFA se situe dans la partie médiane des bandes, entre la borne inférieure (1 271 FCFA) et supérieure (2 220,9 FCFA). La largeur des bandes reflète la volatilité élevée. La décision "Neutre" est cohérente : le titre n'est ni suracheté ni survendu, mais la sortie prochaine de cette zone pourrait donner une direction claire.</w:t>
      </w:r>
    </w:p>
    <w:p>
      <w:pPr>
        <w:spacing w:after="120" w:line="276" w:lineRule="auto"/>
      </w:pPr>
      <w:r>
        <w:t>**MACD** : Le MACD (51,6) est supérieur à son signal (32,3), indiquant un momentum haussier en cours. Cette configuration est un signal d'achat technique, suggérant que la pression acheteuse s'intensifie à court terme, malgré la tendance baissière de fond.</w:t>
      </w:r>
    </w:p>
    <w:p>
      <w:pPr>
        <w:spacing w:after="120" w:line="276" w:lineRule="auto"/>
      </w:pPr>
      <w:r>
        <w:t>**RSI** : À 69,17, le RSI est proche de la zone de surachat (70), mais reste en territoire neutre. Il indique une dynamique positive sans excès, laissant une marge de progression avant une éventuelle correction. La décision "Neutre" est justifiée.</w:t>
      </w:r>
    </w:p>
    <w:p>
      <w:pPr>
        <w:spacing w:after="120" w:line="276" w:lineRule="auto"/>
      </w:pPr>
      <w:r>
        <w:t>**Stochastique** : Le %K (57,9) est inférieur au %D (76,5), ce qui signale un croisement baissier potentiel. Cela suggère un essoufflement du momentum haussier à très court terme. La décision "Neutre" reflète cette ambiguïté, avec un risque de repli technique.</w:t>
      </w:r>
    </w:p>
    <w:p>
      <w:pPr>
        <w:spacing w:after="120" w:line="276" w:lineRule="auto"/>
      </w:pPr>
      <w:r>
        <w:t>**Conclusion technique** : Les indicateurs sont mitigés : le MACD est haussier, mais les MM et le Stochastique suggèrent une prudence. Le cours est dans une phase de consolidation après une forte baisse, avec un biais haussier à court terme (MACD) mais une tendance de fond baissière. Un signal clair émergera probablement à la cassure des 1 800 FCFA (support) ou des 2 000 FCFA (résistance).</w:t>
      </w:r>
    </w:p>
    <w:p>
      <w:pPr>
        <w:spacing w:after="120" w:line="276" w:lineRule="auto"/>
      </w:pPr>
      <w:r>
        <w:t>---</w:t>
      </w:r>
    </w:p>
    <w:p>
      <w:pPr>
        <w:spacing w:after="120" w:line="276" w:lineRule="auto"/>
      </w:pPr>
      <w:r>
        <w:t>### PARTIE 3 : ANALYSE FONDAMENTALE (SECTION CRITIQUE)</w:t>
      </w:r>
    </w:p>
    <w:p>
      <w:pPr>
        <w:spacing w:after="120" w:line="276" w:lineRule="auto"/>
      </w:pPr>
      <w:r>
        <w:t>En 2024, UNIWAX a réalisé un chiffre d'affaires de 27,333 milliards FCFA, en hausse de 15,4% par rapport à 2023, mais a enregistré une perte nette de -2,189 milliards FCFA, contre un bénéfice de 4,188 milliards en 2023 (selon les états financiers 2024). Le ROE est négatif à -14,04% et le ROA à -6,39%, traduisant une destruction de valeur. La marge opérationnelle est de -7,81%, et le coefficient d'exploitation atteint 106,99%, indiquant que les charges dépassent le CA. Le BFR est positif à 2,149 milliards, avec un délai clients de 51 jours et un délai fournisseurs très avantageux de 268 jours, mais une durée de stockage élevée de 255 jours, immobilisant du capital. Les rapports trimestriels 2025 (T1, S1, T3) montrent une amélioration spectaculaire du résultat net grâce à la cession-bail du terrain (produit exceptionnel de 9,993 milliards), mais le résultat des activités ordinaires reste déficitaire à -371 millions sur 9 mois. On estime que l'exercice 2025 sera bénéficiaire grâce à l'exceptionnel, mais la rentabilité récurrente n'est pas acquise. La structure financière est assainie (capitaux propres de 15,591 milliards, dette faible), mais la société doit prouver sa capacité à générer des profits opérationnels durables. Les perspectives restent conditionnées à la confirmation d'un EBIT positif au T4 2025.</w:t>
      </w:r>
    </w:p>
    <w:p>
      <w:pPr>
        <w:spacing w:after="120" w:line="276" w:lineRule="auto"/>
      </w:pPr>
      <w:r>
        <w:t>---</w:t>
      </w:r>
    </w:p>
    <w:p>
      <w:pPr>
        <w:spacing w:after="120" w:line="276" w:lineRule="auto"/>
      </w:pPr>
      <w:r>
        <w:t>### PARTIE 4 : CONCLUSION D'INVESTISSEMENT</w:t>
      </w:r>
    </w:p>
    <w:p>
      <w:pPr>
        <w:spacing w:after="120" w:line="276" w:lineRule="auto"/>
      </w:pPr>
      <w:r>
        <w:t>La valorisation d'UNXC est délicate : avec un PER négatif et un P/B de 2,52x, le marché anticipe un redressement qui ne s'est pas encore matérialisé dans les comptes récurrents. Le comportement du cours est préoccupant, avec une baisse de 16% sur 100 jours et une volatilité annualisée de 50%, signe d'un titre spéculatif et risqué. Les signaux techniques sont mitigés : le MACD est haussier, mais les MM et le Stochastique appellent à la prudence. Fondamentalement, la société reste déficitaire sur son cœur de métier, malgré une amélioration notable des pertes opérationnelles (-80% en 2025). Les prédictions IA (J+1 à J+10) indiquent une poursuite de la baisse graduelle vers 1 845 FCFA, contredisant le signal haussier du MACD. En synthèse, la convergence est faible : la technique est ambiguë, les fondamentaux fragiles, et la prédiction IA est baissière. **Recommandation : CONSERVER** pour les investisseurs patients, avec un niveau de confiance **Faible** et un risque global **Élevé**. L'horizon optimal est le **moyen terme (3-12 mois)**, en attendant la confirmation d'une rentabilité opérationnelle positive et une stabilisation du cours au-dessus de 1 800 FCFA.</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l'effondrement de la rentabilit\u00e9, l'entreprise maintient son chiffre d'affaires et anticipe une am\u00e9lioration au T4. La situation difficile est conjoncturelle et li\u00e9e aux crises externes."}</w:t>
      </w:r>
    </w:p>
    <w:p>
      <w:pPr>
        <w:spacing w:before="40"/>
        <w:ind w:left="400"/>
      </w:pPr>
      <w:r>
        <w:rPr>
          <w:sz w:val="18"/>
        </w:rPr>
        <w:t>UNIWAX S.A., entreprise ivoirienne du secteur textile, affiche un chiffre d'affaires stable au 3ème trimestre 2022 (29,25 milliards FCFA vs 29,07 milliards en 2021). Cependant, la rentabilité s'effondre avec un résultat d'exploitation en chute de 77,5% et un résultat net en baisse de 80,6%. Cette dégradation s'explique par la flambée des coûts des matières premières suite aux crises post-Covid et ukrainienne. L'entreprise n'a pas pu répercuter intégralement ces hausses de coûts sur ses prix de vente. Les perspectives du 4ème trimestre restent prudentes malgré les célébrations de fin d'année.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'4,15 milliards FCFA', 'resultat_financier': '-73 millions FCFA', 'resultat_exploitation': '452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296 millions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29,25 milliards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au T3 2022 : 29,25 milliards FCFA (+0,6%)</w:t>
      </w:r>
    </w:p>
    <w:p>
      <w:pPr>
        <w:pStyle w:val="ListBullet"/>
        <w:spacing w:before="20" w:after="20"/>
        <w:ind w:left="700"/>
      </w:pPr>
      <w:r>
        <w:rPr>
          <w:sz w:val="18"/>
        </w:rPr>
        <w:t>Effondrement du résultat d'exploitation : -77,5% à 452 millions FCFA</w:t>
      </w:r>
    </w:p>
    <w:p>
      <w:pPr>
        <w:pStyle w:val="ListBullet"/>
        <w:spacing w:before="20" w:after="20"/>
        <w:ind w:left="700"/>
      </w:pPr>
      <w:r>
        <w:rPr>
          <w:sz w:val="18"/>
        </w:rPr>
        <w:t>Résultat net en forte baisse : -80,6% à 296 millions FCFA</w:t>
      </w:r>
    </w:p>
    <w:p>
      <w:pPr>
        <w:pStyle w:val="ListBullet"/>
        <w:spacing w:before="20" w:after="20"/>
        <w:ind w:left="700"/>
      </w:pPr>
      <w:r>
        <w:rPr>
          <w:sz w:val="18"/>
        </w:rPr>
        <w:t>Résultat financier négatif de -73 millions FCFA contre +22 millions en 2021</w:t>
      </w:r>
    </w:p>
    <w:p>
      <w:pPr>
        <w:pStyle w:val="ListBullet"/>
        <w:spacing w:before="20" w:after="20"/>
        <w:ind w:left="700"/>
      </w:pPr>
      <w:r>
        <w:rPr>
          <w:sz w:val="18"/>
        </w:rPr>
        <w:t>Flambée des coûts de matières premières non compensée par les prix de vente</w:t>
      </w:r>
    </w:p>
    <w:p>
      <w:pPr>
        <w:pStyle w:val="ListBullet"/>
        <w:spacing w:before="20" w:after="20"/>
        <w:ind w:left="700"/>
      </w:pPr>
      <w:r>
        <w:rPr>
          <w:sz w:val="18"/>
        </w:rPr>
        <w:t>Impact négatif des crises post-Covid et ukrainienne sur la rentabilité</w:t>
      </w:r>
    </w:p>
    <w:p>
      <w:pPr>
        <w:spacing w:before="40"/>
        <w:ind w:left="400"/>
      </w:pPr>
      <w:r>
        <w:rPr>
          <w:b/>
          <w:color w:val="C05000"/>
          <w:sz w:val="18"/>
        </w:rPr>
        <w:t xml:space="preserve">⚠️ Risques : </w:t>
      </w:r>
      <w:r>
        <w:rPr>
          <w:sz w:val="18"/>
        </w:rPr>
        <w:t>["Volatilit\u00e9 continue des cours des mati\u00e8res premi\u00e8res impactant les marges", "Difficult\u00e9s \u00e0 r\u00e9percuter les hausses de co\u00fbts sur les prix de vente", "Contexte \u00e9conomique global incertain et march\u00e9s volatils"]</w:t>
      </w:r>
    </w:p>
    <w:p>
      <w:pPr>
        <w:spacing w:before="40"/>
        <w:ind w:left="400"/>
      </w:pPr>
      <w:r>
        <w:rPr>
          <w:b/>
          <w:color w:val="0064A0"/>
          <w:sz w:val="18"/>
        </w:rPr>
        <w:t xml:space="preserve">🔮 Perspectives : </w:t>
      </w:r>
      <w:r>
        <w:rPr>
          <w:sz w:val="18"/>
        </w:rPr>
        <w:t>La direction anticipe un 4ème trimestre plus favorable grâce aux célébrations de fin d'année et aux efforts de réduction des coûts. Cependant, l'entreprise reste vigilante face à la volatilité des marchés et au contexte économique global incertain.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d'activit\u00e9, la soci\u00e9t\u00e9 maintient sa rentabilit\u00e9 et engage des actions correctives. Les perspectives d'am\u00e9lioration saisonni\u00e8re et les initiatives commerciales justifient une approche prudente."}</w:t>
      </w:r>
    </w:p>
    <w:p>
      <w:pPr>
        <w:spacing w:before="40"/>
        <w:ind w:left="400"/>
      </w:pPr>
      <w:r>
        <w:rPr>
          <w:sz w:val="18"/>
        </w:rPr>
        <w:t>UNIWAX S.A. affiche une performance contrastée au T1 2023 avec un chiffre d'affaires en baisse de 16% à 9,4 milliards FCFA impacté par la faiblesse de la demande locale et export. Le résultat d'exploitation chute drastiquement de 90% à 71,6 millions FCFA, reflétant les difficultés macro-économiques. Malgré cette contraction opérationnelle, la société parvient à dégager un résultat net positif de 48,2 millions FCFA contre 527 millions en 2022. L'entreprise textile ivoirienne fait face à un environnement économique difficile mais mise sur l'optimisation des coûts et l'ouverture d'une boutique Uniwax. La société reste prudente quant aux perspectives dans un contexte socio-économique volatil.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'4 150 000 000 FCFA', 'resultat_financier': '-7 242 975 FCFA', 'resultat_exploitation': '71 554 797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48 233 867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9 397 016 068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15,97% à 9,4 milliards FCFA au T1 2023</w:t>
      </w:r>
    </w:p>
    <w:p>
      <w:pPr>
        <w:pStyle w:val="ListBullet"/>
        <w:spacing w:before="20" w:after="20"/>
        <w:ind w:left="700"/>
      </w:pPr>
      <w:r>
        <w:rPr>
          <w:sz w:val="18"/>
        </w:rPr>
        <w:t>Résultat d'exploitation en chute libre de 89,90% à 71,6 millions FCFA</w:t>
      </w:r>
    </w:p>
    <w:p>
      <w:pPr>
        <w:pStyle w:val="ListBullet"/>
        <w:spacing w:before="20" w:after="20"/>
        <w:ind w:left="700"/>
      </w:pPr>
      <w:r>
        <w:rPr>
          <w:sz w:val="18"/>
        </w:rPr>
        <w:t>Résultat net positif maintenu à 48,2 millions FCFA malgré la baisse de 90,85%</w:t>
      </w:r>
    </w:p>
    <w:p>
      <w:pPr>
        <w:pStyle w:val="ListBullet"/>
        <w:spacing w:before="20" w:after="20"/>
        <w:ind w:left="700"/>
      </w:pPr>
      <w:r>
        <w:rPr>
          <w:sz w:val="18"/>
        </w:rPr>
        <w:t>Baisse des volumes vendus due aux difficultés macro-économiques</w:t>
      </w:r>
    </w:p>
    <w:p>
      <w:pPr>
        <w:pStyle w:val="ListBullet"/>
        <w:spacing w:before="20" w:after="20"/>
        <w:ind w:left="700"/>
      </w:pPr>
      <w:r>
        <w:rPr>
          <w:sz w:val="18"/>
        </w:rPr>
        <w:t>Impact négatif sur les marchés local et export</w:t>
      </w:r>
    </w:p>
    <w:p>
      <w:pPr>
        <w:pStyle w:val="ListBullet"/>
        <w:spacing w:before="20" w:after="20"/>
        <w:ind w:left="700"/>
      </w:pPr>
      <w:r>
        <w:rPr>
          <w:sz w:val="18"/>
        </w:rPr>
        <w:t>Ouverture de la première boutique Uniwax pour renforcer la visibilité de la marque</w:t>
      </w:r>
    </w:p>
    <w:p>
      <w:pPr>
        <w:spacing w:before="40"/>
        <w:ind w:left="400"/>
      </w:pPr>
      <w:r>
        <w:rPr>
          <w:b/>
          <w:color w:val="C05000"/>
          <w:sz w:val="18"/>
        </w:rPr>
        <w:t xml:space="preserve">⚠️ Risques : </w:t>
      </w:r>
      <w:r>
        <w:rPr>
          <w:sz w:val="18"/>
        </w:rPr>
        <w:t>["Volatilit\u00e9 persistante du contexte socio-\u00e9conomique impactant la demande", "Forte d\u00e9pendance aux march\u00e9s local et export en difficult\u00e9", "Pression continue sur les marges op\u00e9rationnelles"]</w:t>
      </w:r>
    </w:p>
    <w:p>
      <w:pPr>
        <w:spacing w:before="40"/>
        <w:ind w:left="400"/>
      </w:pPr>
      <w:r>
        <w:rPr>
          <w:b/>
          <w:color w:val="0064A0"/>
          <w:sz w:val="18"/>
        </w:rPr>
        <w:t xml:space="preserve">🔮 Perspectives : </w:t>
      </w:r>
      <w:r>
        <w:rPr>
          <w:sz w:val="18"/>
        </w:rPr>
        <w:t>La direction mise sur la saisonnalité favorable du deuxième trimestre et les efforts d'optimisation des coûts pour améliorer la performance. L'ouverture de la première boutique Uniwax devrait contribuer au renforcement de la visibilité de la marque. Cependant, la société reste vigilante face aux flu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