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09/08/2026 à 05:24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TTLS  (score 77/100)</w:t>
      </w:r>
    </w:p>
    <w:p>
      <w:pPr>
        <w:spacing w:before="20" w:after="20"/>
        <w:ind w:left="360" w:right="360"/>
        <w:shd w:val="clear" w:color="auto" w:fill="EBF5FB"/>
      </w:pPr>
      <w:r>
        <w:rPr>
          <w:b/>
          <w:sz w:val="19"/>
        </w:rPr>
        <w:t xml:space="preserve">Secteur surperformant :  </w:t>
      </w:r>
      <w:r>
        <w:rPr>
          <w:color w:val="008000"/>
          <w:sz w:val="19"/>
        </w:rPr>
        <w:t>SERVICES PUBLICS  (+52.7%)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485.48 points </w:t>
      </w:r>
      <w:r>
        <w:rPr>
          <w:color w:val="008000"/>
        </w:rPr>
        <w:t>(+0.66%)</w:t>
      </w:r>
      <w:r>
        <w:t xml:space="preserve"> sur la séance. </w:t>
      </w:r>
      <w:r>
        <w:t>La capitalisation globale du marché atteint 18 702,115 milliards FCFA.</w:t>
      </w:r>
    </w:p>
    <w:p/>
    <w:p>
      <w:pPr>
        <w:pStyle w:val="Heading3"/>
      </w:pPr>
      <w:r>
        <w:t>📊 Évolution de l'indice BRVM Composite (100 derniers jours)</w:t>
      </w:r>
    </w:p>
    <w:p>
      <w:r>
        <w:rPr>
          <w:b/>
        </w:rPr>
        <w:t xml:space="preserve">BRVM Composite — </w:t>
      </w:r>
      <w:r>
        <w:t xml:space="preserve">Sur les 98 derniers jours de cotation (2026-03-12 au 2026-08-06), l'indice BRVM Composite a évolué de </w:t>
      </w:r>
      <w:r>
        <w:rPr>
          <w:b/>
          <w:color w:val="008000"/>
        </w:rPr>
        <w:t>+16.53%</w:t>
      </w:r>
      <w:r>
        <w:t>, passant de 416.63 pts à 485.48 pts. Le plus haut atteint est 485.89 pts et le plus bas 397.33 pts. Sur l'ensemble de la période, la moyenne de l'indice s'établit à 433.64 pts, la médiane à 425.77 pts et le mode à 403.36 pts</w:t>
      </w:r>
      <w:r>
        <w:t xml:space="preserve"> (asymétrie positive — plus de jours sous la moyenne). </w:t>
      </w:r>
      <w:r>
        <w:t xml:space="preserve">L'écart-type de 30.03 pts (CV=6.9%) traduit une faible dispersion des cotations. Le kurtosis de -1.24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+16.43%</w:t>
      </w:r>
      <w:r>
        <w:t xml:space="preserve"> sur la période, passant de 16 063,493 Mds FCFA à 18 702,115 Mds FCFA. Le pic de capitalisation observé est de 18 718,133 Mds FCFA et le plancher de 15 319,235 Mds FCFA. La moyenne de la capitalisation sur la période s'établit à 16 712,230 Mds FCFA, la médiane à 16 413,190 Mds FCFA et le mode à 15 319,235 Mds FCFA</w:t>
      </w:r>
      <w:r>
        <w:t xml:space="preserve"> (asymétrie positive). </w:t>
      </w:r>
      <w:r>
        <w:t>L'écart-type de 1 151,435 Mds FCFA (CV=6.9%) reflète une faible variabilité de la valorisation du marché. Le kurtosis de -1.24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ONTBF - ONTBF - ONATEL BURKINA FASO</w:t>
      </w:r>
      <w:r>
        <w:t xml:space="preserve"> | Prix: 2940 FCFA | </w:t>
      </w:r>
      <w:r>
        <w:rPr>
          <w:b/>
          <w:color w:val="008000"/>
        </w:rPr>
        <w:t>ACHAT FORT</w:t>
      </w:r>
      <w:r>
        <w:t xml:space="preserve"> | Confiance: Faible | Risque: Faible</w:t>
      </w:r>
    </w:p>
    <w:p>
      <w:pPr>
        <w:pStyle w:val="ListNumber"/>
      </w:pPr>
      <w:r>
        <w:rPr>
          <w:b/>
        </w:rPr>
        <w:t>ABJC - ABJC - SERVAIR ABIDJAN CI</w:t>
      </w:r>
      <w:r>
        <w:t xml:space="preserve"> | Prix: 3010 FCFA | </w:t>
      </w:r>
      <w:r>
        <w:rPr>
          <w:b/>
          <w:color w:val="008000"/>
        </w:rPr>
        <w:t>ACHAT</w:t>
      </w:r>
      <w:r>
        <w:t xml:space="preserve"> | Confiance: Faible | Risque: Moyen</w:t>
      </w:r>
    </w:p>
    <w:p>
      <w:pPr>
        <w:pStyle w:val="ListNumber"/>
      </w:pPr>
      <w:r>
        <w:rPr>
          <w:b/>
        </w:rPr>
        <w:t>BICB - BIIC BN - Banque internationale pour le commerce du benin</w:t>
      </w:r>
      <w:r>
        <w:t xml:space="preserve"> | Prix: 7595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29100 FCFA | </w:t>
      </w:r>
      <w:r>
        <w:rPr>
          <w:b/>
          <w:color w:val="008000"/>
        </w:rPr>
        <w:t>ACHAT</w:t>
      </w:r>
      <w:r>
        <w:t xml:space="preserve"> | Confiance: Faible | Risque: Moyen</w:t>
      </w:r>
    </w:p>
    <w:p>
      <w:pPr>
        <w:pStyle w:val="ListNumber"/>
      </w:pPr>
      <w:r>
        <w:rPr>
          <w:b/>
        </w:rPr>
        <w:t>BNBC - BNBC - BERNABE CI</w:t>
      </w:r>
      <w:r>
        <w:t xml:space="preserve"> | Prix: 1900 FCFA | </w:t>
      </w:r>
      <w:r>
        <w:rPr>
          <w:b/>
          <w:color w:val="008000"/>
        </w:rPr>
        <w:t>ACHAT</w:t>
      </w:r>
      <w:r>
        <w:t xml:space="preserve"> | Confiance: Moyen | Risque: Moyen</w:t>
      </w:r>
    </w:p>
    <w:p>
      <w:pPr>
        <w:pStyle w:val="ListNumber"/>
      </w:pPr>
      <w:r>
        <w:rPr>
          <w:b/>
        </w:rPr>
        <w:t>BOAB - BANK OF AFRICA BENIN</w:t>
      </w:r>
      <w:r>
        <w:t xml:space="preserve"> | Prix: 8710 FCFA | </w:t>
      </w:r>
      <w:r>
        <w:rPr>
          <w:b/>
          <w:color w:val="008000"/>
        </w:rPr>
        <w:t>ACHAT</w:t>
      </w:r>
      <w:r>
        <w:t xml:space="preserve"> | Confiance: Faible | Risque: Moyen</w:t>
      </w:r>
    </w:p>
    <w:p>
      <w:pPr>
        <w:pStyle w:val="ListNumber"/>
      </w:pPr>
      <w:r>
        <w:rPr>
          <w:b/>
        </w:rPr>
        <w:t>BOABF - BANK OF AFRICA BURKINA FASO</w:t>
      </w:r>
      <w:r>
        <w:t xml:space="preserve"> | Prix: 7230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5590 FCFA | </w:t>
      </w:r>
      <w:r>
        <w:rPr>
          <w:b/>
          <w:color w:val="008000"/>
        </w:rPr>
        <w:t>ACHAT</w:t>
      </w:r>
      <w:r>
        <w:t xml:space="preserve"> | Confiance: Moyen | Risque: Faible</w:t>
      </w:r>
    </w:p>
    <w:p>
      <w:pPr>
        <w:pStyle w:val="ListNumber"/>
      </w:pPr>
      <w:r>
        <w:rPr>
          <w:b/>
        </w:rPr>
        <w:t>BOAN - BANK OF AFRICA NIGER</w:t>
      </w:r>
      <w:r>
        <w:t xml:space="preserve"> | Prix: 5200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52.74%</w:t>
      </w:r>
      <w:r>
        <w:t xml:space="preserve">  |  </w:t>
      </w:r>
      <w:r>
        <w:rPr>
          <w:b/>
        </w:rPr>
        <w:t xml:space="preserve">vs BRVM Composite: </w:t>
      </w:r>
      <w:r>
        <w:rPr>
          <w:b/>
          <w:color w:val="008000"/>
        </w:rPr>
        <w:t>+36.21%  🟢 Surperformance</w:t>
      </w:r>
      <w:r>
        <w:br/>
      </w:r>
      <w:r>
        <w:rPr>
          <w:b/>
        </w:rPr>
        <w:t xml:space="preserve">Sentiment général: </w:t>
      </w:r>
      <w:r>
        <w:t xml:space="preserve">ACHAT  |  </w:t>
      </w:r>
      <w:r>
        <w:rPr>
          <w:b/>
        </w:rPr>
        <w:t xml:space="preserve">Risque moyen: </w:t>
      </w:r>
      <w:r>
        <w:t xml:space="preserve">Moyen  |  </w:t>
      </w:r>
      <w:r>
        <w:rPr>
          <w:b/>
        </w:rPr>
        <w:t xml:space="preserve">Prix moyen: </w:t>
      </w:r>
      <w:r>
        <w:t>8460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32.77%</w:t>
      </w:r>
      <w:r>
        <w:t xml:space="preserve">  |  </w:t>
      </w:r>
      <w:r>
        <w:rPr>
          <w:b/>
        </w:rPr>
        <w:t xml:space="preserve">vs BRVM Composite: </w:t>
      </w:r>
      <w:r>
        <w:rPr>
          <w:b/>
          <w:color w:val="008000"/>
        </w:rPr>
        <w:t>+16.25%  🟢 Surperformance</w:t>
      </w:r>
      <w:r>
        <w:br/>
      </w:r>
      <w:r>
        <w:rPr>
          <w:b/>
        </w:rPr>
        <w:t xml:space="preserve">Sentiment général: </w:t>
      </w:r>
      <w:r>
        <w:t xml:space="preserve">ACHAT  |  </w:t>
      </w:r>
      <w:r>
        <w:rPr>
          <w:b/>
        </w:rPr>
        <w:t xml:space="preserve">Risque moyen: </w:t>
      </w:r>
      <w:r>
        <w:t xml:space="preserve">Faible  |  </w:t>
      </w:r>
      <w:r>
        <w:rPr>
          <w:b/>
        </w:rPr>
        <w:t xml:space="preserve">Prix moyen: </w:t>
      </w:r>
      <w:r>
        <w:t>12908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23.86%</w:t>
      </w:r>
      <w:r>
        <w:t xml:space="preserve">  |  </w:t>
      </w:r>
      <w:r>
        <w:rPr>
          <w:b/>
        </w:rPr>
        <w:t xml:space="preserve">vs BRVM Composite: </w:t>
      </w:r>
      <w:r>
        <w:rPr>
          <w:b/>
          <w:color w:val="008000"/>
        </w:rPr>
        <w:t>+7.33%  🟢 Surperformance</w:t>
      </w:r>
      <w:r>
        <w:br/>
      </w:r>
      <w:r>
        <w:rPr>
          <w:b/>
        </w:rPr>
        <w:t xml:space="preserve">Sentiment général: </w:t>
      </w:r>
      <w:r>
        <w:t xml:space="preserve">ACHAT  |  </w:t>
      </w:r>
      <w:r>
        <w:rPr>
          <w:b/>
        </w:rPr>
        <w:t xml:space="preserve">Risque moyen: </w:t>
      </w:r>
      <w:r>
        <w:t xml:space="preserve">Moyen  |  </w:t>
      </w:r>
      <w:r>
        <w:rPr>
          <w:b/>
        </w:rPr>
        <w:t xml:space="preserve">Prix moyen: </w:t>
      </w:r>
      <w:r>
        <w:t>18721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8.02%</w:t>
      </w:r>
      <w:r>
        <w:t xml:space="preserve">  |  </w:t>
      </w:r>
      <w:r>
        <w:rPr>
          <w:b/>
        </w:rPr>
        <w:t xml:space="preserve">vs BRVM Composite: </w:t>
      </w:r>
      <w:r>
        <w:rPr>
          <w:b/>
          <w:color w:val="C00000"/>
        </w:rPr>
        <w:t>-8.51%  🔴 Sous-performance</w:t>
      </w:r>
      <w:r>
        <w:br/>
      </w:r>
      <w:r>
        <w:rPr>
          <w:b/>
        </w:rPr>
        <w:t xml:space="preserve">Sentiment général: </w:t>
      </w:r>
      <w:r>
        <w:t xml:space="preserve">ACHAT  |  </w:t>
      </w:r>
      <w:r>
        <w:rPr>
          <w:b/>
        </w:rPr>
        <w:t xml:space="preserve">Risque moyen: </w:t>
      </w:r>
      <w:r>
        <w:t xml:space="preserve">Moyen  |  </w:t>
      </w:r>
      <w:r>
        <w:rPr>
          <w:b/>
        </w:rPr>
        <w:t xml:space="preserve">Prix moyen: </w:t>
      </w:r>
      <w:r>
        <w:t>6286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5.50%</w:t>
      </w:r>
      <w:r>
        <w:t xml:space="preserve">  |  </w:t>
      </w:r>
      <w:r>
        <w:rPr>
          <w:b/>
        </w:rPr>
        <w:t xml:space="preserve">vs BRVM Composite: </w:t>
      </w:r>
      <w:r>
        <w:rPr>
          <w:b/>
          <w:color w:val="C00000"/>
        </w:rPr>
        <w:t>-11.02%  🔴 Sous-performance</w:t>
      </w:r>
      <w:r>
        <w:br/>
      </w:r>
      <w:r>
        <w:rPr>
          <w:b/>
        </w:rPr>
        <w:t xml:space="preserve">Sentiment général: </w:t>
      </w:r>
      <w:r>
        <w:t xml:space="preserve">ACHAT  |  </w:t>
      </w:r>
      <w:r>
        <w:rPr>
          <w:b/>
        </w:rPr>
        <w:t xml:space="preserve">Risque moyen: </w:t>
      </w:r>
      <w:r>
        <w:t xml:space="preserve">Faible  |  </w:t>
      </w:r>
      <w:r>
        <w:rPr>
          <w:b/>
        </w:rPr>
        <w:t xml:space="preserve">Prix moyen: </w:t>
      </w:r>
      <w:r>
        <w:t>17038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4.81%</w:t>
      </w:r>
      <w:r>
        <w:t xml:space="preserve">  |  </w:t>
      </w:r>
      <w:r>
        <w:rPr>
          <w:b/>
        </w:rPr>
        <w:t xml:space="preserve">vs BRVM Composite: </w:t>
      </w:r>
      <w:r>
        <w:rPr>
          <w:b/>
          <w:color w:val="C00000"/>
        </w:rPr>
        <w:t>-11.72%  🔴 Sous-performance</w:t>
      </w:r>
      <w:r>
        <w:br/>
      </w:r>
      <w:r>
        <w:rPr>
          <w:b/>
        </w:rPr>
        <w:t xml:space="preserve">Sentiment général: </w:t>
      </w:r>
      <w:r>
        <w:t xml:space="preserve">ACHAT  |  </w:t>
      </w:r>
      <w:r>
        <w:rPr>
          <w:b/>
        </w:rPr>
        <w:t xml:space="preserve">Risque moyen: </w:t>
      </w:r>
      <w:r>
        <w:t xml:space="preserve">Moyen  |  </w:t>
      </w:r>
      <w:r>
        <w:rPr>
          <w:b/>
        </w:rPr>
        <w:t xml:space="preserve">Prix moyen: </w:t>
      </w:r>
      <w:r>
        <w:t>2772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-6.40%</w:t>
      </w:r>
      <w:r>
        <w:t xml:space="preserve">  |  </w:t>
      </w:r>
      <w:r>
        <w:rPr>
          <w:b/>
        </w:rPr>
        <w:t xml:space="preserve">vs BRVM Composite: </w:t>
      </w:r>
      <w:r>
        <w:rPr>
          <w:b/>
          <w:color w:val="C00000"/>
        </w:rPr>
        <w:t>-22.92%  🔴 Sous-performance</w:t>
      </w:r>
      <w:r>
        <w:br/>
      </w:r>
      <w:r>
        <w:rPr>
          <w:b/>
        </w:rPr>
        <w:t xml:space="preserve">Sentiment général: </w:t>
      </w:r>
      <w:r>
        <w:t xml:space="preserve">ACHAT  |  </w:t>
      </w:r>
      <w:r>
        <w:rPr>
          <w:b/>
        </w:rPr>
        <w:t xml:space="preserve">Risque moyen: </w:t>
      </w:r>
      <w:r>
        <w:t xml:space="preserve">Faible  |  </w:t>
      </w:r>
      <w:r>
        <w:rPr>
          <w:b/>
        </w:rPr>
        <w:t xml:space="preserve">Prix moyen: </w:t>
      </w:r>
      <w:r>
        <w:t>2388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ETIT, NEIC, PALC, SCRC, SHEC, SIBC, SIVC, STBC,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BOAC, BOAM, BOAN, BOAS, LNBB, NSBC, ORAC, ORGT, PRSC, SAFC, SDSC, SICC, SNTS, STAC,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BOAB, BOABF, CABC, CBIBF, CFAC, ECOC, FTSC, NTLC, ONTBF, SDCC, SEMC, SGBC, SLBC, SMBC, SOGC, SPHC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2586033</w:t>
            </w:r>
          </w:p>
        </w:tc>
        <w:tc>
          <w:tcPr>
            <w:tcW w:type="dxa" w:w="1728"/>
          </w:tcPr>
          <w:p>
            <w:r>
              <w:t>177955455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16343</w:t>
            </w:r>
          </w:p>
        </w:tc>
        <w:tc>
          <w:tcPr>
            <w:tcW w:type="dxa" w:w="1728"/>
          </w:tcPr>
          <w:p>
            <w:r>
              <w:t>41363669 FCFA</w:t>
            </w:r>
          </w:p>
        </w:tc>
        <w:tc>
          <w:tcPr>
            <w:tcW w:type="dxa" w:w="1728"/>
          </w:tcPr>
          <w:p>
            <w:r>
              <w:t>21.63%</w:t>
            </w:r>
          </w:p>
        </w:tc>
        <w:tc>
          <w:tcPr>
            <w:tcW w:type="dxa" w:w="1728"/>
          </w:tcPr>
          <w:p>
            <w:r>
              <w:t>ACHAT</w:t>
            </w:r>
          </w:p>
        </w:tc>
      </w:tr>
      <w:tr>
        <w:tc>
          <w:tcPr>
            <w:tcW w:type="dxa" w:w="1728"/>
          </w:tcPr>
          <w:p>
            <w:r>
              <w:t>SNTS (SNTS - SONATEL SN)</w:t>
            </w:r>
          </w:p>
        </w:tc>
        <w:tc>
          <w:tcPr>
            <w:tcW w:type="dxa" w:w="1728"/>
          </w:tcPr>
          <w:p>
            <w:r>
              <w:t>12703</w:t>
            </w:r>
          </w:p>
        </w:tc>
        <w:tc>
          <w:tcPr>
            <w:tcW w:type="dxa" w:w="1728"/>
          </w:tcPr>
          <w:p>
            <w:r>
              <w:t>395633410 FCFA</w:t>
            </w:r>
          </w:p>
        </w:tc>
        <w:tc>
          <w:tcPr>
            <w:tcW w:type="dxa" w:w="1728"/>
          </w:tcPr>
          <w:p>
            <w:r>
              <w:t>6.90%</w:t>
            </w:r>
          </w:p>
        </w:tc>
        <w:tc>
          <w:tcPr>
            <w:tcW w:type="dxa" w:w="1728"/>
          </w:tcPr>
          <w:p>
            <w:r>
              <w:t>ACHAT</w:t>
            </w:r>
          </w:p>
        </w:tc>
      </w:tr>
      <w:tr>
        <w:tc>
          <w:tcPr>
            <w:tcW w:type="dxa" w:w="1728"/>
          </w:tcPr>
          <w:p>
            <w:r>
              <w:t>UNXC (UNXC - UNIWAX COTE D'IVOIRE)</w:t>
            </w:r>
          </w:p>
        </w:tc>
        <w:tc>
          <w:tcPr>
            <w:tcW w:type="dxa" w:w="1728"/>
          </w:tcPr>
          <w:p>
            <w:r>
              <w:t>10740</w:t>
            </w:r>
          </w:p>
        </w:tc>
        <w:tc>
          <w:tcPr>
            <w:tcW w:type="dxa" w:w="1728"/>
          </w:tcPr>
          <w:p>
            <w:r>
              <w:t>19656332 FCFA</w:t>
            </w:r>
          </w:p>
        </w:tc>
        <w:tc>
          <w:tcPr>
            <w:tcW w:type="dxa" w:w="1728"/>
          </w:tcPr>
          <w:p>
            <w:r>
              <w:t>-9.52%</w:t>
            </w:r>
          </w:p>
        </w:tc>
        <w:tc>
          <w:tcPr>
            <w:tcW w:type="dxa" w:w="1728"/>
          </w:tcPr>
          <w:p>
            <w:r>
              <w:t>ACHAT</w:t>
            </w:r>
          </w:p>
        </w:tc>
      </w:tr>
      <w:tr>
        <w:tc>
          <w:tcPr>
            <w:tcW w:type="dxa" w:w="1728"/>
          </w:tcPr>
          <w:p>
            <w:r>
              <w:t>SIBC (SIBC - SOCIETE IVOIRIENNE DE BANQUE)</w:t>
            </w:r>
          </w:p>
        </w:tc>
        <w:tc>
          <w:tcPr>
            <w:tcW w:type="dxa" w:w="1728"/>
          </w:tcPr>
          <w:p>
            <w:r>
              <w:t>9440</w:t>
            </w:r>
          </w:p>
        </w:tc>
        <w:tc>
          <w:tcPr>
            <w:tcW w:type="dxa" w:w="1728"/>
          </w:tcPr>
          <w:p>
            <w:r>
              <w:t>84017657 FCFA</w:t>
            </w:r>
          </w:p>
        </w:tc>
        <w:tc>
          <w:tcPr>
            <w:tcW w:type="dxa" w:w="1728"/>
          </w:tcPr>
          <w:p>
            <w:r>
              <w:t>30.99%</w:t>
            </w:r>
          </w:p>
        </w:tc>
        <w:tc>
          <w:tcPr>
            <w:tcW w:type="dxa" w:w="1728"/>
          </w:tcPr>
          <w:p>
            <w:r>
              <w:t>ACHAT</w:t>
            </w:r>
          </w:p>
        </w:tc>
      </w:tr>
      <w:tr>
        <w:tc>
          <w:tcPr>
            <w:tcW w:type="dxa" w:w="1728"/>
          </w:tcPr>
          <w:p>
            <w:r>
              <w:t>BOAS (BANK OF AFRICA SENEGAL)</w:t>
            </w:r>
          </w:p>
        </w:tc>
        <w:tc>
          <w:tcPr>
            <w:tcW w:type="dxa" w:w="1728"/>
          </w:tcPr>
          <w:p>
            <w:r>
              <w:t>9285</w:t>
            </w:r>
          </w:p>
        </w:tc>
        <w:tc>
          <w:tcPr>
            <w:tcW w:type="dxa" w:w="1728"/>
          </w:tcPr>
          <w:p>
            <w:r>
              <w:t>69083179 FCFA</w:t>
            </w:r>
          </w:p>
        </w:tc>
        <w:tc>
          <w:tcPr>
            <w:tcW w:type="dxa" w:w="1728"/>
          </w:tcPr>
          <w:p>
            <w:r>
              <w:t>10.14%</w:t>
            </w:r>
          </w:p>
        </w:tc>
        <w:tc>
          <w:tcPr>
            <w:tcW w:type="dxa" w:w="1728"/>
          </w:tcPr>
          <w:p>
            <w:r>
              <w:t>ACHAT</w:t>
            </w:r>
          </w:p>
        </w:tc>
      </w:tr>
      <w:tr>
        <w:tc>
          <w:tcPr>
            <w:tcW w:type="dxa" w:w="1728"/>
          </w:tcPr>
          <w:p>
            <w:r>
              <w:t>ONTBF (ONTBF - ONATEL BURKINA FASO)</w:t>
            </w:r>
          </w:p>
        </w:tc>
        <w:tc>
          <w:tcPr>
            <w:tcW w:type="dxa" w:w="1728"/>
          </w:tcPr>
          <w:p>
            <w:r>
              <w:t>8823</w:t>
            </w:r>
          </w:p>
        </w:tc>
        <w:tc>
          <w:tcPr>
            <w:tcW w:type="dxa" w:w="1728"/>
          </w:tcPr>
          <w:p>
            <w:r>
              <w:t>24190351 FCFA</w:t>
            </w:r>
          </w:p>
        </w:tc>
        <w:tc>
          <w:tcPr>
            <w:tcW w:type="dxa" w:w="1728"/>
          </w:tcPr>
          <w:p>
            <w:r>
              <w:t>-2.65%</w:t>
            </w:r>
          </w:p>
        </w:tc>
        <w:tc>
          <w:tcPr>
            <w:tcW w:type="dxa" w:w="1728"/>
          </w:tcPr>
          <w:p>
            <w:r>
              <w:t>ACHAT FORT</w:t>
            </w:r>
          </w:p>
        </w:tc>
      </w:tr>
      <w:tr>
        <w:tc>
          <w:tcPr>
            <w:tcW w:type="dxa" w:w="1728"/>
          </w:tcPr>
          <w:p>
            <w:r>
              <w:t>BICB (BIIC BN - Banque internationale pour le commerce du benin)</w:t>
            </w:r>
          </w:p>
        </w:tc>
        <w:tc>
          <w:tcPr>
            <w:tcW w:type="dxa" w:w="1728"/>
          </w:tcPr>
          <w:p>
            <w:r>
              <w:t>7852</w:t>
            </w:r>
          </w:p>
        </w:tc>
        <w:tc>
          <w:tcPr>
            <w:tcW w:type="dxa" w:w="1728"/>
          </w:tcPr>
          <w:p>
            <w:r>
              <w:t>56930850 FCFA</w:t>
            </w:r>
          </w:p>
        </w:tc>
        <w:tc>
          <w:tcPr>
            <w:tcW w:type="dxa" w:w="1728"/>
          </w:tcPr>
          <w:p>
            <w:r>
              <w:t>46.06%</w:t>
            </w:r>
          </w:p>
        </w:tc>
        <w:tc>
          <w:tcPr>
            <w:tcW w:type="dxa" w:w="1728"/>
          </w:tcPr>
          <w:p>
            <w:r>
              <w:t>ACHAT</w:t>
            </w:r>
          </w:p>
        </w:tc>
      </w:tr>
      <w:tr>
        <w:tc>
          <w:tcPr>
            <w:tcW w:type="dxa" w:w="1728"/>
          </w:tcPr>
          <w:p>
            <w:r>
              <w:t>SCRC (SCRC - SUCRIVOIRE)</w:t>
            </w:r>
          </w:p>
        </w:tc>
        <w:tc>
          <w:tcPr>
            <w:tcW w:type="dxa" w:w="1728"/>
          </w:tcPr>
          <w:p>
            <w:r>
              <w:t>7534</w:t>
            </w:r>
          </w:p>
        </w:tc>
        <w:tc>
          <w:tcPr>
            <w:tcW w:type="dxa" w:w="1728"/>
          </w:tcPr>
          <w:p>
            <w:r>
              <w:t>27319452 FCFA</w:t>
            </w:r>
          </w:p>
        </w:tc>
        <w:tc>
          <w:tcPr>
            <w:tcW w:type="dxa" w:w="1728"/>
          </w:tcPr>
          <w:p>
            <w:r>
              <w:t>135.88%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LNBB (LNBB - LOTERIE NATIONALE DU BENIN)</w:t>
            </w:r>
          </w:p>
        </w:tc>
        <w:tc>
          <w:tcPr>
            <w:tcW w:type="dxa" w:w="1728"/>
          </w:tcPr>
          <w:p>
            <w:r>
              <w:t>3321</w:t>
            </w:r>
          </w:p>
        </w:tc>
        <w:tc>
          <w:tcPr>
            <w:tcW w:type="dxa" w:w="1728"/>
          </w:tcPr>
          <w:p>
            <w:r>
              <w:t>14385154 FCFA</w:t>
            </w:r>
          </w:p>
        </w:tc>
        <w:tc>
          <w:tcPr>
            <w:tcW w:type="dxa" w:w="1728"/>
          </w:tcPr>
          <w:p>
            <w:r>
              <w:t>10.26%</w:t>
            </w:r>
          </w:p>
        </w:tc>
        <w:tc>
          <w:tcPr>
            <w:tcW w:type="dxa" w:w="1728"/>
          </w:tcPr>
          <w:p>
            <w:r>
              <w:t>ACHAT</w:t>
            </w:r>
          </w:p>
        </w:tc>
      </w:tr>
      <w:tr>
        <w:tc>
          <w:tcPr>
            <w:tcW w:type="dxa" w:w="1728"/>
          </w:tcPr>
          <w:p>
            <w:r>
              <w:t>PALC (PALC - PALM COTE D'IVOIRE)</w:t>
            </w:r>
          </w:p>
        </w:tc>
        <w:tc>
          <w:tcPr>
            <w:tcW w:type="dxa" w:w="1728"/>
          </w:tcPr>
          <w:p>
            <w:r>
              <w:t>3307</w:t>
            </w:r>
          </w:p>
        </w:tc>
        <w:tc>
          <w:tcPr>
            <w:tcW w:type="dxa" w:w="1728"/>
          </w:tcPr>
          <w:p>
            <w:r>
              <w:t>29137420 FCFA</w:t>
            </w:r>
          </w:p>
        </w:tc>
        <w:tc>
          <w:tcPr>
            <w:tcW w:type="dxa" w:w="1728"/>
          </w:tcPr>
          <w:p>
            <w:r>
              <w:t>-4.52%</w:t>
            </w:r>
          </w:p>
        </w:tc>
        <w:tc>
          <w:tcPr>
            <w:tcW w:type="dxa" w:w="1728"/>
          </w:tcPr>
          <w:p>
            <w:r>
              <w:t>ACHAT</w:t>
            </w:r>
          </w:p>
        </w:tc>
      </w:tr>
      <w:tr>
        <w:tc>
          <w:tcPr>
            <w:tcW w:type="dxa" w:w="1728"/>
          </w:tcPr>
          <w:p>
            <w:r>
              <w:t>STBC (STBC - SITAB COTE D'IVOIRE)</w:t>
            </w:r>
          </w:p>
        </w:tc>
        <w:tc>
          <w:tcPr>
            <w:tcW w:type="dxa" w:w="1728"/>
          </w:tcPr>
          <w:p>
            <w:r>
              <w:t>3191</w:t>
            </w:r>
          </w:p>
        </w:tc>
        <w:tc>
          <w:tcPr>
            <w:tcW w:type="dxa" w:w="1728"/>
          </w:tcPr>
          <w:p>
            <w:r>
              <w:t>75112747 FCFA</w:t>
            </w:r>
          </w:p>
        </w:tc>
        <w:tc>
          <w:tcPr>
            <w:tcW w:type="dxa" w:w="1728"/>
          </w:tcPr>
          <w:p>
            <w:r>
              <w:t>15.65%</w:t>
            </w:r>
          </w:p>
        </w:tc>
        <w:tc>
          <w:tcPr>
            <w:tcW w:type="dxa" w:w="1728"/>
          </w:tcPr>
          <w:p>
            <w:r>
              <w:t>ACHAT</w:t>
            </w:r>
          </w:p>
        </w:tc>
      </w:tr>
      <w:tr>
        <w:tc>
          <w:tcPr>
            <w:tcW w:type="dxa" w:w="1728"/>
          </w:tcPr>
          <w:p>
            <w:r>
              <w:t>SOGC (SOGC - Société des caoutchoucs de Grand-Béréby)</w:t>
            </w:r>
          </w:p>
        </w:tc>
        <w:tc>
          <w:tcPr>
            <w:tcW w:type="dxa" w:w="1728"/>
          </w:tcPr>
          <w:p>
            <w:r>
              <w:t>3049</w:t>
            </w:r>
          </w:p>
        </w:tc>
        <w:tc>
          <w:tcPr>
            <w:tcW w:type="dxa" w:w="1728"/>
          </w:tcPr>
          <w:p>
            <w:r>
              <w:t>24887621 FCFA</w:t>
            </w:r>
          </w:p>
        </w:tc>
        <w:tc>
          <w:tcPr>
            <w:tcW w:type="dxa" w:w="1728"/>
          </w:tcPr>
          <w:p>
            <w:r>
              <w:t>-8.06%</w:t>
            </w:r>
          </w:p>
        </w:tc>
        <w:tc>
          <w:tcPr>
            <w:tcW w:type="dxa" w:w="1728"/>
          </w:tcPr>
          <w:p>
            <w:r>
              <w:t>ACHAT</w:t>
            </w:r>
          </w:p>
        </w:tc>
      </w:tr>
      <w:tr>
        <w:tc>
          <w:tcPr>
            <w:tcW w:type="dxa" w:w="1728"/>
          </w:tcPr>
          <w:p>
            <w:r>
              <w:t>CABC (CABC - SICABLE COTE D'IVOIRE)</w:t>
            </w:r>
          </w:p>
        </w:tc>
        <w:tc>
          <w:tcPr>
            <w:tcW w:type="dxa" w:w="1728"/>
          </w:tcPr>
          <w:p>
            <w:r>
              <w:t>2937</w:t>
            </w:r>
          </w:p>
        </w:tc>
        <w:tc>
          <w:tcPr>
            <w:tcW w:type="dxa" w:w="1728"/>
          </w:tcPr>
          <w:p>
            <w:r>
              <w:t>10723314 FCFA</w:t>
            </w:r>
          </w:p>
        </w:tc>
        <w:tc>
          <w:tcPr>
            <w:tcW w:type="dxa" w:w="1728"/>
          </w:tcPr>
          <w:p>
            <w:r>
              <w:t>-7.79%</w:t>
            </w:r>
          </w:p>
        </w:tc>
        <w:tc>
          <w:tcPr>
            <w:tcW w:type="dxa" w:w="1728"/>
          </w:tcPr>
          <w:p>
            <w:r>
              <w:t>ACHAT</w:t>
            </w:r>
          </w:p>
        </w:tc>
      </w:tr>
      <w:tr>
        <w:tc>
          <w:tcPr>
            <w:tcW w:type="dxa" w:w="1728"/>
          </w:tcPr>
          <w:p>
            <w:r>
              <w:t>ECOC (ECOC - ECOBANK COTE D'IVOIRE)</w:t>
            </w:r>
          </w:p>
        </w:tc>
        <w:tc>
          <w:tcPr>
            <w:tcW w:type="dxa" w:w="1728"/>
          </w:tcPr>
          <w:p>
            <w:r>
              <w:t>2782</w:t>
            </w:r>
          </w:p>
        </w:tc>
        <w:tc>
          <w:tcPr>
            <w:tcW w:type="dxa" w:w="1728"/>
          </w:tcPr>
          <w:p>
            <w:r>
              <w:t>44388704 FCFA</w:t>
            </w:r>
          </w:p>
        </w:tc>
        <w:tc>
          <w:tcPr>
            <w:tcW w:type="dxa" w:w="1728"/>
          </w:tcPr>
          <w:p>
            <w:r>
              <w:t>-1.22%</w:t>
            </w:r>
          </w:p>
        </w:tc>
        <w:tc>
          <w:tcPr>
            <w:tcW w:type="dxa" w:w="1728"/>
          </w:tcPr>
          <w:p>
            <w:r>
              <w:t>ACHAT</w:t>
            </w:r>
          </w:p>
        </w:tc>
      </w:tr>
      <w:tr>
        <w:tc>
          <w:tcPr>
            <w:tcW w:type="dxa" w:w="1728"/>
          </w:tcPr>
          <w:p>
            <w:r>
              <w:t>SMBC (SMBC - Société Multinationale de Bitumes COTE D'IVOIRE)</w:t>
            </w:r>
          </w:p>
        </w:tc>
        <w:tc>
          <w:tcPr>
            <w:tcW w:type="dxa" w:w="1728"/>
          </w:tcPr>
          <w:p>
            <w:r>
              <w:t>2044</w:t>
            </w:r>
          </w:p>
        </w:tc>
        <w:tc>
          <w:tcPr>
            <w:tcW w:type="dxa" w:w="1728"/>
          </w:tcPr>
          <w:p>
            <w:r>
              <w:t>32501613 FCFA</w:t>
            </w:r>
          </w:p>
        </w:tc>
        <w:tc>
          <w:tcPr>
            <w:tcW w:type="dxa" w:w="1728"/>
          </w:tcPr>
          <w:p>
            <w:r>
              <w:t>23.51%</w:t>
            </w:r>
          </w:p>
        </w:tc>
        <w:tc>
          <w:tcPr>
            <w:tcW w:type="dxa" w:w="1728"/>
          </w:tcPr>
          <w:p>
            <w:r>
              <w:t>ACHAT</w:t>
            </w:r>
          </w:p>
        </w:tc>
      </w:tr>
      <w:tr>
        <w:tc>
          <w:tcPr>
            <w:tcW w:type="dxa" w:w="1728"/>
          </w:tcPr>
          <w:p>
            <w:r>
              <w:t>SLBC (SLBC - SOLIBRA COTE D'IVOIRE)</w:t>
            </w:r>
          </w:p>
        </w:tc>
        <w:tc>
          <w:tcPr>
            <w:tcW w:type="dxa" w:w="1728"/>
          </w:tcPr>
          <w:p>
            <w:r>
              <w:t>1851</w:t>
            </w:r>
          </w:p>
        </w:tc>
        <w:tc>
          <w:tcPr>
            <w:tcW w:type="dxa" w:w="1728"/>
          </w:tcPr>
          <w:p>
            <w:r>
              <w:t>72046212 FCFA</w:t>
            </w:r>
          </w:p>
        </w:tc>
        <w:tc>
          <w:tcPr>
            <w:tcW w:type="dxa" w:w="1728"/>
          </w:tcPr>
          <w:p>
            <w:r>
              <w:t>-5.16%</w:t>
            </w:r>
          </w:p>
        </w:tc>
        <w:tc>
          <w:tcPr>
            <w:tcW w:type="dxa" w:w="1728"/>
          </w:tcPr>
          <w:p>
            <w:r>
              <w:t>ACHAT</w:t>
            </w:r>
          </w:p>
        </w:tc>
      </w:tr>
      <w:tr>
        <w:tc>
          <w:tcPr>
            <w:tcW w:type="dxa" w:w="1728"/>
          </w:tcPr>
          <w:p>
            <w:r>
              <w:t>BNBC (BNBC - BERNABE CI)</w:t>
            </w:r>
          </w:p>
        </w:tc>
        <w:tc>
          <w:tcPr>
            <w:tcW w:type="dxa" w:w="1728"/>
          </w:tcPr>
          <w:p>
            <w:r>
              <w:t>1845</w:t>
            </w:r>
          </w:p>
        </w:tc>
        <w:tc>
          <w:tcPr>
            <w:tcW w:type="dxa" w:w="1728"/>
          </w:tcPr>
          <w:p>
            <w:r>
              <w:t>3472286 FCFA</w:t>
            </w:r>
          </w:p>
        </w:tc>
        <w:tc>
          <w:tcPr>
            <w:tcW w:type="dxa" w:w="1728"/>
          </w:tcPr>
          <w:p>
            <w:r>
              <w:t>18.75%</w:t>
            </w:r>
          </w:p>
        </w:tc>
        <w:tc>
          <w:tcPr>
            <w:tcW w:type="dxa" w:w="1728"/>
          </w:tcPr>
          <w:p>
            <w:r>
              <w:t>ACHAT</w:t>
            </w:r>
          </w:p>
        </w:tc>
      </w:tr>
      <w:tr>
        <w:tc>
          <w:tcPr>
            <w:tcW w:type="dxa" w:w="1728"/>
          </w:tcPr>
          <w:p>
            <w:r>
              <w:t>NEIC (NEIC - NEI-CEDA CI)</w:t>
            </w:r>
          </w:p>
        </w:tc>
        <w:tc>
          <w:tcPr>
            <w:tcW w:type="dxa" w:w="1728"/>
          </w:tcPr>
          <w:p>
            <w:r>
              <w:t>1820</w:t>
            </w:r>
          </w:p>
        </w:tc>
        <w:tc>
          <w:tcPr>
            <w:tcW w:type="dxa" w:w="1728"/>
          </w:tcPr>
          <w:p>
            <w:r>
              <w:t>4033979 FCFA</w:t>
            </w:r>
          </w:p>
        </w:tc>
        <w:tc>
          <w:tcPr>
            <w:tcW w:type="dxa" w:w="1728"/>
          </w:tcPr>
          <w:p>
            <w:r>
              <w:t>48.42%</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SDCC - SDCC - Société de Distribution d'Eau de Côte d'Ivoire</w:t>
      </w:r>
    </w:p>
    <w:p>
      <w:r>
        <w:rPr>
          <w:b/>
        </w:rPr>
        <w:t xml:space="preserve">Score de divergence: </w:t>
      </w:r>
      <w:r>
        <w:t>6/8</w:t>
        <w:br/>
      </w:r>
      <w:r>
        <w:rPr>
          <w:b/>
        </w:rPr>
        <w:t xml:space="preserve">Description: </w:t>
      </w:r>
      <w:r>
        <w:t>Signaux de vente: MM, MACD,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ONTBF - ONTBF - ONATEL BURKINA FASO</w:t>
      </w:r>
    </w:p>
    <w:p>
      <w:r>
        <w:rPr>
          <w:b/>
        </w:rPr>
        <w:t xml:space="preserve">Score de divergence: </w:t>
      </w:r>
      <w:r>
        <w:t>5/8</w:t>
        <w:br/>
      </w:r>
      <w:r>
        <w:rPr>
          <w:b/>
        </w:rPr>
        <w:t xml:space="preserve">Description: </w:t>
      </w:r>
      <w:r>
        <w:t>Signaux d'achat: MACD | Signaux de vente: MM, RSI, Stochastique | Recommandation finale: ACHAT FORT</w:t>
        <w:br/>
      </w:r>
    </w:p>
    <w:p/>
    <w:p>
      <w:pPr>
        <w:pStyle w:val="Heading3"/>
      </w:pPr>
      <w:r>
        <w:t>4. SEMC - SEMC - EVIOSYS PACKAGING SIEM CI</w:t>
      </w:r>
    </w:p>
    <w:p>
      <w:r>
        <w:rPr>
          <w:b/>
        </w:rPr>
        <w:t xml:space="preserve">Score de divergence: </w:t>
      </w:r>
      <w:r>
        <w:t>5/8</w:t>
        <w:br/>
      </w:r>
      <w:r>
        <w:rPr>
          <w:b/>
        </w:rPr>
        <w:t xml:space="preserve">Description: </w:t>
      </w:r>
      <w:r>
        <w:t>Signaux de vente: MM, MACD | Recommandation finale: ACHAT</w:t>
        <w:br/>
      </w:r>
    </w:p>
    <w:p/>
    <w:p>
      <w:pPr>
        <w:pStyle w:val="Heading3"/>
      </w:pPr>
      <w:r>
        <w:t>5. SGBC - SGBC - SOCIETE GENERALE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et du maïs s'effondrent simultanément sur les marchés internationaux, entraînant une baisse de l'indice des matières premières MXV pendant trois séances consécutives. Cette pression baissière sur les matières premières reflète des craintes de ralentissement de la demande mondiale. Parallèlement, le gouvernement français prolonge l'aide aux « grands rouleurs » pour atténuer l'impact de la hausse des prix du carburant, une mesure qui témoigne des tensions persistantes sur les prix à la pompe dans un contexte de volatilité.</w:t>
      </w:r>
    </w:p>
    <w:p>
      <w:pPr>
        <w:pStyle w:val="Heading3"/>
      </w:pPr>
      <w:r>
        <w:rPr>
          <w:color w:val="500050"/>
        </w:rPr>
        <w:t>⚡ Impact estimé sur la BRVM</w:t>
      </w:r>
    </w:p>
    <w:p>
      <w:pPr>
        <w:spacing w:before="20" w:after="40"/>
        <w:ind w:left="280"/>
      </w:pPr>
      <w:r>
        <w:rPr>
          <w:i/>
          <w:sz w:val="18"/>
        </w:rPr>
        <w:t>La chute des prix du pétrole est globalement positive pour les secteurs consommateurs d'énergie (industriels, transport) mais pèse sur les perspectives des sociétés du secteur ÉNERGIE comme TTLS et TTLC. La baisse du maïs pourrait réduire les coûts d'intrants pour les agro-industries telles que PALC et SIVC. L'effet net sur l'indice BRVM Composite (485.48) devrait être légèrement positif, les baisses de coûts d'exploitation compensant les pressions sur les revenus des sociétés énergétiques.</w:t>
      </w:r>
    </w:p>
    <w:p>
      <w:pPr>
        <w:pStyle w:val="Heading2"/>
      </w:pPr>
      <w:r>
        <w:rPr>
          <w:color w:val="006E32"/>
        </w:rPr>
        <w:t>🌍 Plan Africain</w:t>
      </w:r>
    </w:p>
    <w:p>
      <w:pPr>
        <w:spacing w:before="20" w:after="40"/>
        <w:ind w:left="0"/>
      </w:pPr>
      <w:r>
        <w:rPr>
          <w:sz w:val="18"/>
        </w:rPr>
        <w:t>L'investissement dans l'économie des soins est présenté comme un « levier de croissance stratégique » par un officiel sénégalais, tandis que l'OMS recommande l'investissement privé dans la santé en Mauritanie. Par ailleurs, la Senelec a émis 108 milliards de FCFA de dette verte à la Bourse de Luxembourg, illustrant l'appétit des institutions africaines pour les financements internationaux. Ces signaux indiquent une dynamique positive d'investissement dans les secteurs sociaux et les infrastructures.</w:t>
      </w:r>
    </w:p>
    <w:p>
      <w:pPr>
        <w:pStyle w:val="Heading3"/>
      </w:pPr>
      <w:r>
        <w:rPr>
          <w:color w:val="500050"/>
        </w:rPr>
        <w:t>⚡ Impact estimé sur la BRVM</w:t>
      </w:r>
    </w:p>
    <w:p>
      <w:pPr>
        <w:spacing w:before="20" w:after="40"/>
        <w:ind w:left="280"/>
      </w:pPr>
      <w:r>
        <w:rPr>
          <w:i/>
          <w:sz w:val="18"/>
        </w:rPr>
        <w:t>Ces initiatives africaines n'ont qu'un impact indirect limité sur la BRVM. Toutefois, l'émission de dette verte par Senelec démontre la capacité des entités ouest-africaines à mobiliser des capitaux internationaux, ce qui pourrait réduire la pression sur les financements locaux. Les sociétés de services financiers comme BOAC, SIBC et ETIT pourraient bénéficier d'une activité accrue de conseil et d'intermédiation si cette tendance se confirme dans la zone UEMOA.</w:t>
      </w:r>
    </w:p>
    <w:p>
      <w:pPr>
        <w:pStyle w:val="Heading2"/>
      </w:pPr>
      <w:r>
        <w:rPr>
          <w:color w:val="145A28"/>
        </w:rPr>
        <w:t>🌍 Plan Afrique de l'Ouest</w:t>
      </w:r>
    </w:p>
    <w:p>
      <w:pPr>
        <w:spacing w:before="20" w:after="40"/>
        <w:ind w:left="0"/>
      </w:pPr>
      <w:r>
        <w:rPr>
          <w:sz w:val="18"/>
        </w:rPr>
        <w:t>Le Premier ministre guinéen salue le modèle ivoirien de développement, témoignant du rayonnement économique de la Côte d'Ivoire dans la sous-région. Le projet de monnaie unique ECO pour 2027 suscite des doutes quant à sa faisabilité, et la Guinée a d'ailleurs annoncé renoncer à intégrer cette monnaie unique. Ces incertitudes monétaires régionales créent un climat d'attentisme chez les investisseurs.</w:t>
      </w:r>
    </w:p>
    <w:p>
      <w:pPr>
        <w:pStyle w:val="Heading3"/>
      </w:pPr>
      <w:r>
        <w:rPr>
          <w:color w:val="500050"/>
        </w:rPr>
        <w:t>⚡ Impact estimé sur la BRVM</w:t>
      </w:r>
    </w:p>
    <w:p>
      <w:pPr>
        <w:spacing w:before="20" w:after="40"/>
        <w:ind w:left="280"/>
      </w:pPr>
      <w:r>
        <w:rPr>
          <w:i/>
          <w:sz w:val="18"/>
        </w:rPr>
        <w:t>Le retrait guinéen du projet ECO et les doutes sur son calendrier renforcent la stabilité relative du FCFA, ce qui est rassurant pour les investisseurs de la BRVM. Les sociétés cotées opérant dans plusieurs pays de la CEDEAO, notamment les banques comme SGBC et BICB, bénéficient de la prévisibilité monétaire actuelle. Le leadership économique ivoirien salué par la Guinée conforte les perspectives des sociétés ivoiriennes cotées.</w:t>
      </w:r>
    </w:p>
    <w:p>
      <w:pPr>
        <w:pStyle w:val="Heading2"/>
      </w:pPr>
      <w:r>
        <w:rPr>
          <w:color w:val="8C4600"/>
        </w:rPr>
        <w:t>🏦 Plan UEMOA / Zone Franc</w:t>
      </w:r>
    </w:p>
    <w:p>
      <w:pPr>
        <w:spacing w:before="20" w:after="40"/>
        <w:ind w:left="0"/>
      </w:pPr>
      <w:r>
        <w:rPr>
          <w:sz w:val="18"/>
        </w:rPr>
        <w:t>La BCEAO ne fait l'objet d'aucune annonce spécifique dans les actualités collectées. Les tensions diplomatiques entre le Mali et l'Algérie sont démenties par le Premier ministre malien, tandis qu'une rumeur sur la durée du mandat présidentiel au Sénégal circule sans confirmation officielle. Aucune donnée sur l'inflation, la liquidité bancaire ou les prix du cacao et du caoutchouc n'est disponible dans les actualités fournies.</w:t>
      </w:r>
    </w:p>
    <w:p>
      <w:pPr>
        <w:pStyle w:val="Heading3"/>
      </w:pPr>
      <w:r>
        <w:rPr>
          <w:color w:val="500050"/>
        </w:rPr>
        <w:t>⚡ Impact estimé sur la BRVM</w:t>
      </w:r>
    </w:p>
    <w:p>
      <w:pPr>
        <w:spacing w:before="20" w:after="40"/>
        <w:ind w:left="280"/>
      </w:pPr>
      <w:r>
        <w:rPr>
          <w:i/>
          <w:sz w:val="18"/>
        </w:rPr>
        <w:t>Données insuffisantes pour évaluer précisément l'impact sur les secteurs bancaires et agro-industriels. La stabilité politique relative dans la zone, malgré les rumeurs, maintient un environnement serein pour les opérateurs de la BRVM. Les sociétés de consommation de base comme SCRC et STBC ne sont pas directement affectées par les actualités disponibles.</w:t>
      </w:r>
    </w:p>
    <w:p>
      <w:pPr>
        <w:pStyle w:val="Heading2"/>
      </w:pPr>
      <w:r>
        <w:rPr>
          <w:color w:val="003366"/>
        </w:rPr>
        <w:t>📈 Plan BRVM</w:t>
      </w:r>
    </w:p>
    <w:p>
      <w:pPr>
        <w:spacing w:before="20" w:after="40"/>
        <w:ind w:left="0"/>
      </w:pPr>
      <w:r>
        <w:rPr>
          <w:sz w:val="18"/>
        </w:rPr>
        <w:t>Les résultats encourageants des sociétés cotées ivoiriennes à la BRVM ont été mis en avant par la presse spécialisée en juin dernier. L'indice BRVM Composite s'établit à 485.48 points. Aucune information récente sur les volumes, les IPO ou les mouvements de sociétés spécifiques n'est disponible dans les actualités collectées pour la période récente.</w:t>
      </w:r>
    </w:p>
    <w:p>
      <w:pPr>
        <w:pStyle w:val="Heading3"/>
      </w:pPr>
      <w:r>
        <w:rPr>
          <w:color w:val="500050"/>
        </w:rPr>
        <w:t>⚡ Impact estimé sur la BRVM</w:t>
      </w:r>
    </w:p>
    <w:p>
      <w:pPr>
        <w:spacing w:before="20" w:after="40"/>
        <w:ind w:left="280"/>
      </w:pPr>
      <w:r>
        <w:rPr>
          <w:i/>
          <w:sz w:val="18"/>
        </w:rPr>
        <w:t>La tendance positive des résultats des sociétés ivoiriennes constitue un soutien fondamental pour le marché. Les investisseurs peuvent maintenir leurs positions sur les valeurs bancaires (SGBC, BICB, ETIT) et les valeurs de consommation (NEIC, UNXC) qui bénéficient de la dynamique économique ivoirienne. Données insuffisantes pour recommander des arbitrages spécifiques à court terme.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Aucun conflit majeur, élection ou sanction internationale n'est rapporté dans les actualités collectées. La prolongation de l'aide aux « grands rouleurs » en France constitue une mesure de politique intérieure sans portée géopolitique majeure. Le contexte international apparaît relativement stable sur le plan politique.</w:t>
      </w:r>
    </w:p>
    <w:p>
      <w:pPr>
        <w:pStyle w:val="Heading3"/>
      </w:pPr>
      <w:r>
        <w:rPr>
          <w:color w:val="500050"/>
        </w:rPr>
        <w:t>⚡ Impact estimé sur la BRVM</w:t>
      </w:r>
    </w:p>
    <w:p>
      <w:pPr>
        <w:spacing w:before="20" w:after="40"/>
        <w:ind w:left="280"/>
      </w:pPr>
      <w:r>
        <w:rPr>
          <w:i/>
          <w:sz w:val="18"/>
        </w:rPr>
        <w:t>L'absence de chocs géopolitiques majeurs maintient un environnement favorable aux investissements dans les marchés émergents comme la BRVM. Les investisseurs internationaux ne sont pas incités à réduire leur exposition aux actifs risqués, ce qui soutient les flux entrants potentiels vers la place abidjanaise.</w:t>
      </w:r>
    </w:p>
    <w:p>
      <w:pPr>
        <w:pStyle w:val="Heading2"/>
      </w:pPr>
      <w:r>
        <w:rPr>
          <w:color w:val="006E32"/>
        </w:rPr>
        <w:t>🌍 Plan Africain</w:t>
      </w:r>
    </w:p>
    <w:p>
      <w:pPr>
        <w:spacing w:before="20" w:after="40"/>
        <w:ind w:left="0"/>
      </w:pPr>
      <w:r>
        <w:rPr>
          <w:sz w:val="18"/>
        </w:rPr>
        <w:t>La stabilité politique relative prévaut sur le continent, avec des initiatives positives comme l'investissement dans l'économie des soins au Sénégal et les recommandations de l'OMS en Mauritanie. Aucun coup d'État, transition politique majeure ou crise électorale n'est signalé dans les actualités collectées pour la période récente.</w:t>
      </w:r>
    </w:p>
    <w:p>
      <w:pPr>
        <w:pStyle w:val="Heading3"/>
      </w:pPr>
      <w:r>
        <w:rPr>
          <w:color w:val="500050"/>
        </w:rPr>
        <w:t>⚡ Impact estimé sur la BRVM</w:t>
      </w:r>
    </w:p>
    <w:p>
      <w:pPr>
        <w:spacing w:before="20" w:after="40"/>
        <w:ind w:left="280"/>
      </w:pPr>
      <w:r>
        <w:rPr>
          <w:i/>
          <w:sz w:val="18"/>
        </w:rPr>
        <w:t>La stabilité politique africaine favorise la confiance des investisseurs et le maintien des flux de capitaux vers les places financières régionales. Les sociétés cotées ayant des opérations panafricaines, notamment les télécommunications avec ORAC, bénéficient d'un environnement politique apaisé propice au développement de leurs activités.</w:t>
      </w:r>
    </w:p>
    <w:p>
      <w:pPr>
        <w:pStyle w:val="Heading2"/>
      </w:pPr>
      <w:r>
        <w:rPr>
          <w:color w:val="145A28"/>
        </w:rPr>
        <w:t>🌍 Plan Afrique de l'Ouest</w:t>
      </w:r>
    </w:p>
    <w:p>
      <w:pPr>
        <w:spacing w:before="20" w:after="40"/>
        <w:ind w:left="0"/>
      </w:pPr>
      <w:r>
        <w:rPr>
          <w:sz w:val="18"/>
        </w:rPr>
        <w:t>Le Premier ministre guinéen salue le modèle ivoirien, renforçant l'image de la Côte d'Ivoire comme pôle de stabilité régionale. La Guinée renonce à la monnaie unique ECO, un choix souverain qui n'affecte pas directement la sécurité régionale. Aucune tension sécuritaire majeure n'est rapportée dans la sous-région CEDEAO.</w:t>
      </w:r>
    </w:p>
    <w:p>
      <w:pPr>
        <w:pStyle w:val="Heading3"/>
      </w:pPr>
      <w:r>
        <w:rPr>
          <w:color w:val="500050"/>
        </w:rPr>
        <w:t>⚡ Impact estimé sur la BRVM</w:t>
      </w:r>
    </w:p>
    <w:p>
      <w:pPr>
        <w:spacing w:before="20" w:after="40"/>
        <w:ind w:left="280"/>
      </w:pPr>
      <w:r>
        <w:rPr>
          <w:i/>
          <w:sz w:val="18"/>
        </w:rPr>
        <w:t>Le leadership ivoirien reconnu régionalement renforce l'attractivité de la BRVM, principalement composée de sociétés ivoiriennes. Les entreprises cotées opérant dans plusieurs pays de la sous-région, comme les banques SIBC et BOAC, bénéficient d'un environnement régional stable propice à l'expansion de leurs activités.</w:t>
      </w:r>
    </w:p>
    <w:p>
      <w:pPr>
        <w:pStyle w:val="Heading2"/>
      </w:pPr>
      <w:r>
        <w:rPr>
          <w:color w:val="8C4600"/>
        </w:rPr>
        <w:t>🏦 Plan UEMOA / Zone Franc</w:t>
      </w:r>
    </w:p>
    <w:p>
      <w:pPr>
        <w:spacing w:before="20" w:after="40"/>
        <w:ind w:left="0"/>
      </w:pPr>
      <w:r>
        <w:rPr>
          <w:sz w:val="18"/>
        </w:rPr>
        <w:t>Les tensions diplomatiques Mali-Algérie sont démenties, écartant un risque de déstabilisation régionale. La rumeur sur le mandat présidentiel sénégalais reste non confirmée et ne semble pas affecter la stabilité institutionnelle. Aucune réforme institutionnelle majeure n'est signalée dans l'Union.</w:t>
      </w:r>
    </w:p>
    <w:p>
      <w:pPr>
        <w:pStyle w:val="Heading3"/>
      </w:pPr>
      <w:r>
        <w:rPr>
          <w:color w:val="500050"/>
        </w:rPr>
        <w:t>⚡ Impact estimé sur la BRVM</w:t>
      </w:r>
    </w:p>
    <w:p>
      <w:pPr>
        <w:spacing w:before="20" w:after="40"/>
        <w:ind w:left="280"/>
      </w:pPr>
      <w:r>
        <w:rPr>
          <w:i/>
          <w:sz w:val="18"/>
        </w:rPr>
        <w:t>L'apaisement des tensions diplomatiques et l'absence de crises politiques majeures dans l'UEMOA maintiennent un climat de confiance pour les investisseurs. Les sociétés cotées, notamment celles du secteur financier comme SGBC et BICB, opèrent dans un environnement réglementaire stable et prévisible.</w:t>
      </w:r>
    </w:p>
    <w:p>
      <w:pPr>
        <w:pStyle w:val="Heading2"/>
      </w:pPr>
      <w:r>
        <w:rPr>
          <w:color w:val="003366"/>
        </w:rPr>
        <w:t>📈 Plan BRVM</w:t>
      </w:r>
    </w:p>
    <w:p>
      <w:pPr>
        <w:spacing w:before="20" w:after="40"/>
        <w:ind w:left="0"/>
      </w:pPr>
      <w:r>
        <w:rPr>
          <w:sz w:val="18"/>
        </w:rPr>
        <w:t>Aucune actualité spécifique concernant la réglementation CREPMF, de nouvelles cotations ou des questions de gouvernance n'est disponible dans les données collectées. Le marché semble évoluer sans événement réglementaire marquant.</w:t>
      </w:r>
    </w:p>
    <w:p>
      <w:pPr>
        <w:pStyle w:val="Heading3"/>
      </w:pPr>
      <w:r>
        <w:rPr>
          <w:color w:val="500050"/>
        </w:rPr>
        <w:t>⚡ Impact estimé sur la BRVM</w:t>
      </w:r>
    </w:p>
    <w:p>
      <w:pPr>
        <w:spacing w:before="20" w:after="40"/>
        <w:ind w:left="280"/>
      </w:pPr>
      <w:r>
        <w:rPr>
          <w:i/>
          <w:sz w:val="18"/>
        </w:rPr>
        <w:t>Données insuffisantes pour évaluer l'impact réglementaire sur le marché. L'absence de nouvelles réglementaires majeures peut être interprétée comme un signe de continuité et de stabilité pour les investisseurs actuels et potentiels de la BRVM.</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chute simultanée des prix du pétrole et du maïs constitue l'événement financier majeur, affectant les marchés de matières premières. L'indice MXV a baissé pendant trois séances consécutives. Aucune information sur Wall Street, les taux directeurs, le change ou les flux de capitaux n'est disponible dans les actualités collectées.</w:t>
      </w:r>
    </w:p>
    <w:p>
      <w:pPr>
        <w:pStyle w:val="Heading3"/>
      </w:pPr>
      <w:r>
        <w:rPr>
          <w:color w:val="500050"/>
        </w:rPr>
        <w:t>⚡ Impact estimé sur la BRVM</w:t>
      </w:r>
    </w:p>
    <w:p>
      <w:pPr>
        <w:spacing w:before="20" w:after="40"/>
        <w:ind w:left="280"/>
      </w:pPr>
      <w:r>
        <w:rPr>
          <w:i/>
          <w:sz w:val="18"/>
        </w:rPr>
        <w:t>La baisse des matières premières est globalement positive pour l'économie ivoirienne, importante importatrice de pétrole, ce qui soutient les perspectives des sociétés cotées. Les valeurs énergétiques TTLS et TTLC pourraient subir une pression baissière, tandis que les sociétés industrielles et de consommation comme SIVC et PALC bénéficient de coûts d'intrants réduits.</w:t>
      </w:r>
    </w:p>
    <w:p>
      <w:pPr>
        <w:pStyle w:val="Heading2"/>
      </w:pPr>
      <w:r>
        <w:rPr>
          <w:color w:val="006E32"/>
        </w:rPr>
        <w:t>🌍 Plan Africain</w:t>
      </w:r>
    </w:p>
    <w:p>
      <w:pPr>
        <w:spacing w:before="20" w:after="40"/>
        <w:ind w:left="0"/>
      </w:pPr>
      <w:r>
        <w:rPr>
          <w:sz w:val="18"/>
        </w:rPr>
        <w:t>L'émission de 108 milliards de FCFA de dette verte par Senelec à la Bourse de Luxembourg constitue l'événement financier africain marquant. Cette opération démontre la capacité des entités africaines à accéder aux marchés internationaux de capitaux. Aucune information sur les eurobonds ou les notations souveraines n'est disponible.</w:t>
      </w:r>
    </w:p>
    <w:p>
      <w:pPr>
        <w:pStyle w:val="Heading3"/>
      </w:pPr>
      <w:r>
        <w:rPr>
          <w:color w:val="500050"/>
        </w:rPr>
        <w:t>⚡ Impact estimé sur la BRVM</w:t>
      </w:r>
    </w:p>
    <w:p>
      <w:pPr>
        <w:spacing w:before="20" w:after="40"/>
        <w:ind w:left="280"/>
      </w:pPr>
      <w:r>
        <w:rPr>
          <w:i/>
          <w:sz w:val="18"/>
        </w:rPr>
        <w:t>L'accès réussi de Senelec aux marchés internationaux pourrait inspirer d'autres entités de la zone UEMOA et réduire la concurrence pour les financements locaux. Les banques cotées comme ETIT et BOAC pourraient voir leur rôle d'intermédiation évoluer, avec potentiellement moins de pression sur la liquidité locale.</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 dans les actualités collectées. La BRVM demeure la principale place financière de la région.</w:t>
      </w:r>
    </w:p>
    <w:p>
      <w:pPr>
        <w:pStyle w:val="Heading3"/>
      </w:pPr>
      <w:r>
        <w:rPr>
          <w:color w:val="500050"/>
        </w:rPr>
        <w:t>⚡ Impact estimé sur la BRVM</w:t>
      </w:r>
    </w:p>
    <w:p>
      <w:pPr>
        <w:spacing w:before="20" w:after="40"/>
        <w:ind w:left="280"/>
      </w:pPr>
      <w:r>
        <w:rPr>
          <w:i/>
          <w:sz w:val="18"/>
        </w:rPr>
        <w:t>Données insuffisantes. La BRVM conserve son statut de place financière de référence en Afrique de l'Ouest, sans concurrence régionale immédiate identifiée dans les actualités disponibles.</w:t>
      </w:r>
    </w:p>
    <w:p>
      <w:pPr>
        <w:pStyle w:val="Heading2"/>
      </w:pPr>
      <w:r>
        <w:rPr>
          <w:color w:val="8C4600"/>
        </w:rPr>
        <w:t>🏦 Plan UEMOA / Zone Franc</w:t>
      </w:r>
    </w:p>
    <w:p>
      <w:pPr>
        <w:spacing w:before="20" w:after="40"/>
        <w:ind w:left="0"/>
      </w:pPr>
      <w:r>
        <w:rPr>
          <w:sz w:val="18"/>
        </w:rPr>
        <w:t>Aucune information sur le marché des titres publics UEMOA, le taux interbancaire ou la liquidité n'est disponible dans les actualités collectées. La stabilité monétaire du FCFA, garantie par le mécanisme de la zone franc, reste le cadre de référence.</w:t>
      </w:r>
    </w:p>
    <w:p>
      <w:pPr>
        <w:pStyle w:val="Heading3"/>
      </w:pPr>
      <w:r>
        <w:rPr>
          <w:color w:val="500050"/>
        </w:rPr>
        <w:t>⚡ Impact estimé sur la BRVM</w:t>
      </w:r>
    </w:p>
    <w:p>
      <w:pPr>
        <w:spacing w:before="20" w:after="40"/>
        <w:ind w:left="280"/>
      </w:pPr>
      <w:r>
        <w:rPr>
          <w:i/>
          <w:sz w:val="18"/>
        </w:rPr>
        <w:t>Données insuffisantes pour évaluer l'arbitrage entre titres publics et actions BRVM. La stabilité monétaire actuelle maintient un environnement prévisible pour les investisseurs en actions.</w:t>
      </w:r>
    </w:p>
    <w:p>
      <w:pPr>
        <w:pStyle w:val="Heading2"/>
      </w:pPr>
      <w:r>
        <w:rPr>
          <w:color w:val="003366"/>
        </w:rPr>
        <w:t>📈 Plan BRVM</w:t>
      </w:r>
    </w:p>
    <w:p>
      <w:pPr>
        <w:spacing w:before="20" w:after="40"/>
        <w:ind w:left="0"/>
      </w:pPr>
      <w:r>
        <w:rPr>
          <w:sz w:val="18"/>
        </w:rPr>
        <w:t>L'indice BRVM Composite s'établit à 485.48 points. Les résultats encourageants des sociétés cotées ivoiriennes, rapportés en juin, constituent le principal élément positif. Aucune donnée récente sur les volumes échangés ou les performances individuelles des valeurs n'est disponible.</w:t>
      </w:r>
    </w:p>
    <w:p>
      <w:pPr>
        <w:pStyle w:val="Heading3"/>
      </w:pPr>
      <w:r>
        <w:rPr>
          <w:color w:val="500050"/>
        </w:rPr>
        <w:t>⚡ Impact estimé sur la BRVM</w:t>
      </w:r>
    </w:p>
    <w:p>
      <w:pPr>
        <w:spacing w:before="20" w:after="40"/>
        <w:ind w:left="280"/>
      </w:pPr>
      <w:r>
        <w:rPr>
          <w:i/>
          <w:sz w:val="18"/>
        </w:rPr>
        <w:t>Les fondamentaux des sociétés cotées restent solides, soutenus par la dynamique économique ivoirienne. Recommandation : maintenir les positions sur les valeurs bancaires (SGBC, BICB, ETIT) et les valeurs de consommation (NEIC, UNXC, PALC). Surveiller les valeurs énergétiques (TTLS, TTLC) dans un contexte de baisse des prix du pétrole. Les investisseurs peuvent considérer les niveaux actuels comme une opportunité d'accumulation sur les valeurs de qualité.</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est globalement favorable pour la BRVM. La baisse des prix du pétrole et du maïs réduit les coûts d'exploitation pour la majorité des sociétés cotées, tandis que la stabilité politique régionale et l'absence de chocs géopolitiques majeurs maintiennent la confiance des investisseurs. Les résultats encourageants des sociétés ivoiriennes confortent les fondamentaux du marché. Recommandation : maintenir une exposition aux valeurs bancaires et de consommation, tout en surveillant les valeurs énergétiques qui pourraient subir une pression baissière à court terme.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(2 alerte(s))</w:t>
      </w:r>
    </w:p>
    <w:p>
      <w:pPr>
        <w:spacing w:before="40" w:after="40"/>
        <w:ind w:left="360"/>
      </w:pPr>
      <w:r>
        <w:rPr>
          <w:color w:val="646464"/>
          <w:sz w:val="17"/>
        </w:rPr>
        <w:t xml:space="preserve">[08/08/2026] 🟢  </w:t>
      </w:r>
      <w:r>
        <w:rPr>
          <w:b/>
          <w:color w:val="008000"/>
          <w:sz w:val="18"/>
        </w:rPr>
        <w:t>Prix du carburant : le gouvernement prolonge l'aide « grands rouleurs » - Les Echos</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a décidé de prolonger l'aide destinée aux 'grands rouleurs', une mesure visant à atténuer l'impact de la hausse des prix du carburant sur les transporteurs et les professionnels de la route. Cette prolongation intervient dans un contexte de tensions sur les prix des matières premières, notamment le pétrole. La mesure devrait souteni</w:t>
      </w:r>
    </w:p>
    <w:p>
      <w:pPr>
        <w:spacing w:before="0" w:after="40"/>
        <w:ind w:left="600"/>
      </w:pPr>
      <w:r>
        <w:rPr>
          <w:color w:val="00643C"/>
          <w:sz w:val="16"/>
        </w:rPr>
        <w:t>Points clés : Prolongation de l'aide gouvernementale pour les 'grands rouleurs' (transporteurs et professionnels de la route).  •  Mesure visant à atténuer l'impact de la hausse des prix du carburant sur les coûts de transport et l'inflation.</w:t>
      </w:r>
    </w:p>
    <w:p>
      <w:pPr>
        <w:spacing w:before="0" w:after="60"/>
        <w:ind w:left="600"/>
      </w:pPr>
      <w:r>
        <w:rPr>
          <w:color w:val="0064B4"/>
          <w:sz w:val="15"/>
        </w:rPr>
        <w:t>Source : https://news.google.com/rss/articles/CBMiuwFBVV95cUxOeFIxY2VBZHl4V21NbEZyenJHR0R</w:t>
      </w:r>
    </w:p>
    <w:p>
      <w:pPr>
        <w:spacing w:before="40" w:after="40"/>
        <w:ind w:left="360"/>
      </w:pPr>
      <w:r>
        <w:rPr>
          <w:color w:val="646464"/>
          <w:sz w:val="17"/>
        </w:rPr>
        <w:t xml:space="preserve">[05/08/2026] 🔴  </w:t>
      </w:r>
      <w:r>
        <w:rPr>
          <w:b/>
          <w:color w:val="C00000"/>
          <w:sz w:val="18"/>
        </w:rPr>
        <w:t>Les prix du pétrole et du maïs s'effondrent simultanément.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Les prix du pétrole et du maïs ont chuté simultanément sur les marchés internationaux, selon Vietnam.vn. Cette baisse conjointe reflète des pressions baissières sur les matières premières, probablement liées à des facteurs macroéconomiques ou à une offre abondante. Pour la BRVM, cette évolution pourrait avoir des implications contrastées selon les </w:t>
      </w:r>
    </w:p>
    <w:p>
      <w:pPr>
        <w:spacing w:before="0" w:after="40"/>
        <w:ind w:left="600"/>
      </w:pPr>
      <w:r>
        <w:rPr>
          <w:color w:val="00643C"/>
          <w:sz w:val="16"/>
        </w:rPr>
        <w:t>Points clés : Chute simultanée des prix du pétrole et du maïs.  •  Impact potentiel sur les coûts de production et les marges des entreprises.  •  Contexte international de baisse des matières premières.</w:t>
      </w:r>
    </w:p>
    <w:p>
      <w:pPr>
        <w:spacing w:before="0" w:after="60"/>
        <w:ind w:left="600"/>
      </w:pPr>
      <w:r>
        <w:rPr>
          <w:color w:val="0064B4"/>
          <w:sz w:val="15"/>
        </w:rPr>
        <w:t>Source : https://news.google.com/rss/articles/CBMiakFVX3lxTE1aRU9LNnE1Zy15anhGUmZkYkVndDR</w:t>
      </w:r>
    </w:p>
    <w:p>
      <w:pPr>
        <w:spacing w:before="120" w:after="40"/>
      </w:pPr>
      <w:r>
        <w:rPr>
          <w:b/>
          <w:color w:val="00467F"/>
          <w:sz w:val="20"/>
        </w:rPr>
        <w:t>🔑 politique  (12 alerte(s))</w:t>
      </w:r>
    </w:p>
    <w:p>
      <w:pPr>
        <w:spacing w:before="40" w:after="40"/>
        <w:ind w:left="360"/>
      </w:pPr>
      <w:r>
        <w:rPr>
          <w:color w:val="646464"/>
          <w:sz w:val="17"/>
        </w:rPr>
        <w:t xml:space="preserve">[08/08/2026] ⚪  </w:t>
      </w:r>
      <w:r>
        <w:rPr>
          <w:b/>
          <w:color w:val="505050"/>
          <w:sz w:val="18"/>
        </w:rPr>
        <w:t>Mali : Abdoulaye Maïga nie toute « rupture diplomatique » avec Alger - Le Matin d'Algérie</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a démenti toute rupture diplomatique avec l'Algérie, malgré les tensions récentes. Il a affirmé que les relations entre les deux pays restent normales et que les canaux de communication demeurent ouverts. Cette déclaration vise à apaiser les inquiétudes régionales après des échanges tendus. La situation re</w:t>
      </w:r>
    </w:p>
    <w:p>
      <w:pPr>
        <w:spacing w:before="0" w:after="40"/>
        <w:ind w:left="600"/>
      </w:pPr>
      <w:r>
        <w:rPr>
          <w:color w:val="00643C"/>
          <w:sz w:val="16"/>
        </w:rPr>
        <w:t>Points clés : Démenti officiel de toute rupture diplomatique entre le Mali et l'Algérie.  •  Maintien des canaux de communication et des relations bilatérales.</w:t>
      </w:r>
    </w:p>
    <w:p>
      <w:pPr>
        <w:spacing w:before="0" w:after="60"/>
        <w:ind w:left="600"/>
      </w:pPr>
      <w:r>
        <w:rPr>
          <w:color w:val="0064B4"/>
          <w:sz w:val="15"/>
        </w:rPr>
        <w:t>Source : https://news.google.com/rss/articles/CBMilgFBVV95cUxOM1ZYNWhEeE43eXcyb2V5Slp1d01</w:t>
      </w:r>
    </w:p>
    <w:p>
      <w:pPr>
        <w:spacing w:before="40" w:after="40"/>
        <w:ind w:left="360"/>
      </w:pPr>
      <w:r>
        <w:rPr>
          <w:color w:val="646464"/>
          <w:sz w:val="17"/>
        </w:rPr>
        <w:t xml:space="preserve">[08/08/2026] ⚪  </w:t>
      </w:r>
      <w:r>
        <w:rPr>
          <w:b/>
          <w:color w:val="505050"/>
          <w:sz w:val="18"/>
        </w:rPr>
        <w:t>Durée du mandat présidentiel au Sénégal : d’où vient la rumeur ? - Jeune Afrique</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Jeune Afrique examine l'origine de la rumeur concernant une éventuelle modification de la durée du mandat présidentiel au Sénégal. Il analyse les spéculations politiques et les réactions qu'elles suscitent, sans confirmer de changement officiel. Le texte met en lumière les incertitudes et les débats autour de cette question, qui reste </w:t>
      </w:r>
    </w:p>
    <w:p>
      <w:pPr>
        <w:spacing w:before="0" w:after="40"/>
        <w:ind w:left="600"/>
      </w:pPr>
      <w:r>
        <w:rPr>
          <w:color w:val="00643C"/>
          <w:sz w:val="16"/>
        </w:rPr>
        <w:t>Points clés : La rumeur sur la durée du mandat présidentiel au Sénégal est analysée, mais aucune décision officielle n'est confirmée.  •  L'article souligne l'impact potentiel de cette rumeur sur la stabilité politique dans la zone UEMOA.</w:t>
      </w:r>
    </w:p>
    <w:p>
      <w:pPr>
        <w:spacing w:before="0" w:after="60"/>
        <w:ind w:left="600"/>
      </w:pPr>
      <w:r>
        <w:rPr>
          <w:color w:val="0064B4"/>
          <w:sz w:val="15"/>
        </w:rPr>
        <w:t>Source : https://news.google.com/rss/articles/CBMiqwFBVV95cUxOQ0p6VzVPbmZGTGhlU2drMHB2Yk1</w:t>
      </w:r>
    </w:p>
    <w:p>
      <w:pPr>
        <w:spacing w:before="40" w:after="40"/>
        <w:ind w:left="360"/>
      </w:pPr>
      <w:r>
        <w:rPr>
          <w:color w:val="646464"/>
          <w:sz w:val="17"/>
        </w:rPr>
        <w:t xml:space="preserve">[07/08/2026] 🔴  </w:t>
      </w:r>
      <w:r>
        <w:rPr>
          <w:b/>
          <w:color w:val="C00000"/>
          <w:sz w:val="18"/>
        </w:rPr>
        <w:t>Sénégal: trois influenceurs condamnés à de la prison pour "offense au chef de l'État" - tv5monde</w:t>
      </w:r>
      <w:r>
        <w:rPr>
          <w:color w:val="787878"/>
          <w:sz w:val="15"/>
        </w:rPr>
        <w:t xml:space="preserve">  [politique]</w:t>
      </w:r>
      <w:r>
        <w:rPr>
          <w:color w:val="B47800"/>
          <w:sz w:val="16"/>
        </w:rPr>
        <w:t xml:space="preserve">  ★ 50/10</w:t>
      </w:r>
    </w:p>
    <w:p>
      <w:pPr>
        <w:spacing w:before="0" w:after="20"/>
        <w:ind w:left="600"/>
      </w:pPr>
      <w:r>
        <w:rPr>
          <w:color w:val="323232"/>
          <w:sz w:val="17"/>
        </w:rPr>
        <w:t>Trois influenceurs sénégalais ont été condamnés à des peines de prison pour offense au chef de l'État, une décision qui soulève des questions sur la liberté d'expression dans le pays. Cette actualité politique, bien que située au Sénégal, s'inscrit dans un contexte régional de l'UEMOA où la stabilité politique est un facteur clé pour les investisse</w:t>
      </w:r>
    </w:p>
    <w:p>
      <w:pPr>
        <w:spacing w:before="0" w:after="40"/>
        <w:ind w:left="600"/>
      </w:pPr>
      <w:r>
        <w:rPr>
          <w:color w:val="00643C"/>
          <w:sz w:val="16"/>
        </w:rPr>
        <w:t>Points clés : Condamnation de trois influenceurs pour offense au chef de l'État au Sénégal.  •  Soulève des préoccupations sur la liberté d'expression et la stabilité politique dans l'UEMOA.  •  Impact potentiel sur la perception des risques politiques pour les investisseurs régionaux.  •  Aucun effet direct attendu sur les entreprises cotées à la BRVM.</w:t>
      </w:r>
    </w:p>
    <w:p>
      <w:pPr>
        <w:spacing w:before="0" w:after="60"/>
        <w:ind w:left="600"/>
      </w:pPr>
      <w:r>
        <w:rPr>
          <w:color w:val="0064B4"/>
          <w:sz w:val="15"/>
        </w:rPr>
        <w:t>Source : https://news.google.com/rss/articles/CBMixwFBVV95cUxPaFBoZS1lZHdYNjFEc2RRZXZtNmV</w:t>
      </w:r>
    </w:p>
    <w:p>
      <w:pPr>
        <w:spacing w:before="40" w:after="40"/>
        <w:ind w:left="360"/>
      </w:pPr>
      <w:r>
        <w:rPr>
          <w:color w:val="646464"/>
          <w:sz w:val="17"/>
        </w:rPr>
        <w:t xml:space="preserve">[07/08/2026] 🔴  </w:t>
      </w:r>
      <w:r>
        <w:rPr>
          <w:b/>
          <w:color w:val="C00000"/>
          <w:sz w:val="18"/>
        </w:rPr>
        <w:t>Sénégal : Thierno Alassane Sall accuse Pastef de duplicité sur l’ASER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que Thierno Alassane Sall, homme politique sénégalais, accuse le parti Pastef de duplicité concernant l'Agence Sénégalaise d'Électrification Rurale (ASER). Il dénonce une contradiction entre les discours et les actions du parti au pouvoir sur ce dossier. Cette accusation s'inscrit dans un contexte politique tendu au Sénégal, sans</w:t>
      </w:r>
    </w:p>
    <w:p>
      <w:pPr>
        <w:spacing w:before="0" w:after="40"/>
        <w:ind w:left="600"/>
      </w:pPr>
      <w:r>
        <w:rPr>
          <w:color w:val="00643C"/>
          <w:sz w:val="16"/>
        </w:rPr>
        <w:t>Points clés : Accusation de duplicité contre Pastef sur la gestion de l'ASER.  •  Contexte politique sénégalais, sans impact économique direct.</w:t>
      </w:r>
    </w:p>
    <w:p>
      <w:pPr>
        <w:spacing w:before="0" w:after="60"/>
        <w:ind w:left="600"/>
      </w:pPr>
      <w:r>
        <w:rPr>
          <w:color w:val="0064B4"/>
          <w:sz w:val="15"/>
        </w:rPr>
        <w:t>Source : https://news.google.com/rss/articles/CBMioAFBVV95cUxPVzdNWTNpSkM3aVp4RFlpaGJnNlo</w:t>
      </w:r>
    </w:p>
    <w:p>
      <w:pPr>
        <w:spacing w:before="40" w:after="40"/>
        <w:ind w:left="360"/>
      </w:pPr>
      <w:r>
        <w:rPr>
          <w:color w:val="646464"/>
          <w:sz w:val="17"/>
        </w:rPr>
        <w:t xml:space="preserve">[06/08/2026] 🟢  </w:t>
      </w:r>
      <w:r>
        <w:rPr>
          <w:b/>
          <w:color w:val="008000"/>
          <w:sz w:val="18"/>
        </w:rPr>
        <w:t>Côte d'Ivoire : le gouvernement engage près de 2 900 milliards FCFA pour transformer l'avenir de plus de 5,2 millions de</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un investissement massif de près de 2 900 milliards FCFA destiné à transformer l'avenir de plus de 5,2 millions de jeunes. Cette initiative vise à renforcer l'employabilité, l'entrepreneuriat et l'insertion professionnelle des jeunes, un enjeu clé pour la stabilité sociale et la croissance économique du pays. Ce p</w:t>
      </w:r>
    </w:p>
    <w:p>
      <w:pPr>
        <w:spacing w:before="0" w:after="40"/>
        <w:ind w:left="600"/>
      </w:pPr>
      <w:r>
        <w:rPr>
          <w:color w:val="00643C"/>
          <w:sz w:val="16"/>
        </w:rPr>
        <w:t>Points clés : Investissement de 2 900 milliards FCFA pour les jeunes ivoiriens.  •  Cible de 5,2 millions de bénéficiaires, avec un accent sur l'emploi et l'entrepreneuriat.</w:t>
      </w:r>
    </w:p>
    <w:p>
      <w:pPr>
        <w:spacing w:before="0" w:after="60"/>
        <w:ind w:left="600"/>
      </w:pPr>
      <w:r>
        <w:rPr>
          <w:color w:val="0064B4"/>
          <w:sz w:val="15"/>
        </w:rPr>
        <w:t>Source : https://news.google.com/rss/articles/CBMipAJBVV95cUxNeC1sSEJMTXJCUlpSWHhmNFV2NnM</w:t>
      </w:r>
    </w:p>
    <w:p>
      <w:pPr>
        <w:spacing w:before="120" w:after="40"/>
      </w:pPr>
      <w:r>
        <w:rPr>
          <w:b/>
          <w:color w:val="00467F"/>
          <w:sz w:val="20"/>
        </w:rPr>
        <w:t>🔑 économique  (5 alerte(s))</w:t>
      </w:r>
    </w:p>
    <w:p>
      <w:pPr>
        <w:spacing w:before="40" w:after="40"/>
        <w:ind w:left="360"/>
      </w:pPr>
      <w:r>
        <w:rPr>
          <w:color w:val="646464"/>
          <w:sz w:val="17"/>
        </w:rPr>
        <w:t xml:space="preserve">[07/08/2026] 🟢  </w:t>
      </w:r>
      <w:r>
        <w:rPr>
          <w:b/>
          <w:color w:val="008000"/>
          <w:sz w:val="18"/>
        </w:rPr>
        <w:t>Le Premier ministre guinéen salue le modèle ivoirien de développement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Premier ministre guinéen a exprimé son admiration pour le modèle de développement ivoirien, saluant ses performances économiques et sa stratégie de croissance. Il a souligné l'importance de s'inspirer de cette réussite pour renforcer la coopération régionale et stimuler le développement de la Guinée. Cette reconnaissance met en lumière la positi</w:t>
      </w:r>
    </w:p>
    <w:p>
      <w:pPr>
        <w:spacing w:before="0" w:after="40"/>
        <w:ind w:left="600"/>
      </w:pPr>
      <w:r>
        <w:rPr>
          <w:color w:val="00643C"/>
          <w:sz w:val="16"/>
        </w:rPr>
        <w:t>Points clés : Le Premier ministre guinéen salue le modèle ivoirien de développement.  •  La Côte d'Ivoire est présentée comme un exemple de réussite économique en Afrique de l'Ouest.  •  Cette déclaration pourrait renforcer les liens économiques et politiques entre la Guinée et la Côte d'Ivoire.</w:t>
      </w:r>
    </w:p>
    <w:p>
      <w:pPr>
        <w:spacing w:before="0" w:after="60"/>
        <w:ind w:left="600"/>
      </w:pPr>
      <w:r>
        <w:rPr>
          <w:color w:val="0064B4"/>
          <w:sz w:val="15"/>
        </w:rPr>
        <w:t>Source : https://news.google.com/rss/articles/CBMipAFBVV95cUxOSVdHSGdIMTd4ZlFFWUMwVHBIX0E</w:t>
      </w:r>
    </w:p>
    <w:p>
      <w:pPr>
        <w:spacing w:before="40" w:after="40"/>
        <w:ind w:left="360"/>
      </w:pPr>
      <w:r>
        <w:rPr>
          <w:color w:val="646464"/>
          <w:sz w:val="17"/>
        </w:rPr>
        <w:t xml:space="preserve">[06/08/2026] 🟢  </w:t>
      </w:r>
      <w:r>
        <w:rPr>
          <w:b/>
          <w:color w:val="008000"/>
          <w:sz w:val="18"/>
        </w:rPr>
        <w:t xml:space="preserve">Décryptage - Kalilou SYLLA, Commissaire aux Affaires économiques et à l'Agriculture de la CEDEAO - Côte d'Ivoire : « La </w:t>
      </w:r>
      <w:r>
        <w:rPr>
          <w:color w:val="787878"/>
          <w:sz w:val="15"/>
        </w:rPr>
        <w:t xml:space="preserve">  [économique]</w:t>
      </w:r>
      <w:r>
        <w:rPr>
          <w:color w:val="B47800"/>
          <w:sz w:val="16"/>
        </w:rPr>
        <w:t xml:space="preserve">  ★ 50/10</w:t>
      </w:r>
    </w:p>
    <w:p>
      <w:pPr>
        <w:spacing w:before="0" w:after="20"/>
        <w:ind w:left="600"/>
      </w:pPr>
      <w:r>
        <w:rPr>
          <w:color w:val="323232"/>
          <w:sz w:val="17"/>
        </w:rPr>
        <w:t>Le Commissaire aux Affaires économiques et à l'Agriculture de la CEDEAO, Kalilou Sylla, souligne que la souveraineté alimentaire en Afrique de l'Ouest ne peut être réalisée sans un écosystème fiable qui fédère tous les acteurs de la filière agricole. Il insiste sur la nécessité de renforcer les chaînes de valeur, d'améliorer l'accès aux financement</w:t>
      </w:r>
    </w:p>
    <w:p>
      <w:pPr>
        <w:spacing w:before="0" w:after="40"/>
        <w:ind w:left="600"/>
      </w:pPr>
      <w:r>
        <w:rPr>
          <w:color w:val="00643C"/>
          <w:sz w:val="16"/>
        </w:rPr>
        <w:t>Points clés : La souveraineté alimentaire nécessite un écosystème fiable et inclusif.  •  La CEDEAO mise sur la coordination régionale et le financement agricole.</w:t>
      </w:r>
    </w:p>
    <w:p>
      <w:pPr>
        <w:spacing w:before="0" w:after="60"/>
        <w:ind w:left="600"/>
      </w:pPr>
      <w:r>
        <w:rPr>
          <w:color w:val="0064B4"/>
          <w:sz w:val="15"/>
        </w:rPr>
        <w:t>Source : https://news.google.com/rss/articles/CBMirAJBVV95cUxOWDBPWVJjS0U3WnN1akl2NGVjd3V</w:t>
      </w:r>
    </w:p>
    <w:p>
      <w:pPr>
        <w:spacing w:before="40" w:after="40"/>
        <w:ind w:left="360"/>
      </w:pPr>
      <w:r>
        <w:rPr>
          <w:color w:val="646464"/>
          <w:sz w:val="17"/>
        </w:rPr>
        <w:t xml:space="preserve">[05/08/2026] ⚪  </w:t>
      </w:r>
      <w:r>
        <w:rPr>
          <w:b/>
          <w:color w:val="505050"/>
          <w:sz w:val="18"/>
        </w:rPr>
        <w:t>La Guinée renonce à intégrer la monnaie unique Eco - lebrief.ma</w:t>
      </w:r>
      <w:r>
        <w:rPr>
          <w:color w:val="787878"/>
          <w:sz w:val="15"/>
        </w:rPr>
        <w:t xml:space="preserve">  [économique]</w:t>
      </w:r>
      <w:r>
        <w:rPr>
          <w:color w:val="B47800"/>
          <w:sz w:val="16"/>
        </w:rPr>
        <w:t xml:space="preserve">  ★ 50/10</w:t>
      </w:r>
    </w:p>
    <w:p>
      <w:pPr>
        <w:spacing w:before="0" w:after="20"/>
        <w:ind w:left="600"/>
      </w:pPr>
      <w:r>
        <w:rPr>
          <w:color w:val="323232"/>
          <w:sz w:val="17"/>
        </w:rPr>
        <w:t>La Guinée a annoncé qu'elle renonce à intégrer la monnaie unique Eco, projet de monnaie commune de la CEDEAO. Cette décision marque un retrait significatif de ce pays dans le processus d'intégration monétaire régionale. Elle pourrait refléter des préoccupations sur la convergence économique et la souveraineté monétaire. Cette nouvelle intervient da</w:t>
      </w:r>
    </w:p>
    <w:p>
      <w:pPr>
        <w:spacing w:before="0" w:after="40"/>
        <w:ind w:left="600"/>
      </w:pPr>
      <w:r>
        <w:rPr>
          <w:color w:val="00643C"/>
          <w:sz w:val="16"/>
        </w:rPr>
        <w:t>Points clés : La Guinée renonce officiellement à adopter la monnaie unique Eco.  •  Cette décision affecte le projet d'intégration monétaire de la CEDEAO.  •  Les raisons évoquées incluent probablement des critères de convergence non remplis et des enjeux de souveraineté.</w:t>
      </w:r>
    </w:p>
    <w:p>
      <w:pPr>
        <w:spacing w:before="0" w:after="60"/>
        <w:ind w:left="600"/>
      </w:pPr>
      <w:r>
        <w:rPr>
          <w:color w:val="0064B4"/>
          <w:sz w:val="15"/>
        </w:rPr>
        <w:t>Source : https://news.google.com/rss/articles/CBMipAFBVV95cUxPR1hWNHFhakVrT1l0M21tVEtpcFU</w:t>
      </w:r>
    </w:p>
    <w:p>
      <w:pPr>
        <w:spacing w:before="40" w:after="40"/>
        <w:ind w:left="360"/>
      </w:pPr>
      <w:r>
        <w:rPr>
          <w:color w:val="646464"/>
          <w:sz w:val="17"/>
        </w:rPr>
        <w:t xml:space="preserve">[05/08/2026] 🔴  </w:t>
      </w:r>
      <w:r>
        <w:rPr>
          <w:b/>
          <w:color w:val="C00000"/>
          <w:sz w:val="18"/>
        </w:rPr>
        <w:t>CEDEAO : La Guinée renonce au projet de monnaie unique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au projet de monnaie unique de la CEDEAO, une décision qui reflète les divergences persistantes entre les États membres sur l'intégration monétaire régionale. Ce retrait pourrait affaiblir la dynamique d'harmonisation économique au sein de la zone, mais il réduit également les incertitudes liées à une transition m</w:t>
      </w:r>
    </w:p>
    <w:p>
      <w:pPr>
        <w:spacing w:before="0" w:after="40"/>
        <w:ind w:left="600"/>
      </w:pPr>
      <w:r>
        <w:rPr>
          <w:color w:val="00643C"/>
          <w:sz w:val="16"/>
        </w:rPr>
        <w:t>Points clés : La Guinée se retire du projet de monnaie unique de la CEDEAO.  •  Ce retrait souligne les difficultés de convergence économique et politique dans la région.  •  La décision pourrait avoir des répercussions sur les échanges commerciaux et les investissements en Afrique de l'Ouest.</w:t>
      </w:r>
    </w:p>
    <w:p>
      <w:pPr>
        <w:spacing w:before="0" w:after="60"/>
        <w:ind w:left="600"/>
      </w:pPr>
      <w:r>
        <w:rPr>
          <w:color w:val="0064B4"/>
          <w:sz w:val="15"/>
        </w:rPr>
        <w:t>Source : https://news.google.com/rss/articles/CBMimgFBVV95cUxOVHNhSEdncmcwR1ZDeHRHZkR4dWQ</w:t>
      </w:r>
    </w:p>
    <w:p>
      <w:pPr>
        <w:spacing w:before="40" w:after="40"/>
        <w:ind w:left="360"/>
      </w:pPr>
      <w:r>
        <w:rPr>
          <w:color w:val="646464"/>
          <w:sz w:val="17"/>
        </w:rPr>
        <w:t xml:space="preserve">[05/08/2026] 🟢  </w:t>
      </w:r>
      <w:r>
        <w:rPr>
          <w:b/>
          <w:color w:val="008000"/>
          <w:sz w:val="18"/>
        </w:rPr>
        <w:t>Afrique de l’Ouest: la BIDC prévoit une croissance de 4,7% en 2026 puis 4,9% en 2027 - Africa News Agency</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prévoit une croissance économique de 4,7% pour l'Afrique de l'Ouest en 2026, puis de 4,9% en 2027. Ces prévisions indiquent une dynamique positive pour la région, soutenue par des investissements et des réformes structurelles. Cette perspective de croissance pourrait renforcer la co</w:t>
      </w:r>
    </w:p>
    <w:p>
      <w:pPr>
        <w:spacing w:before="0" w:after="40"/>
        <w:ind w:left="600"/>
      </w:pPr>
      <w:r>
        <w:rPr>
          <w:color w:val="00643C"/>
          <w:sz w:val="16"/>
        </w:rPr>
        <w:t>Points clés : Croissance de 4,7% prévue en 2026 pour l'Afrique de l'Ouest.  •  Croissance de 4,9% prévue en 2027, en légère accélération.  •  Prévisions émises par la BIDC, institution financière régionale.</w:t>
      </w:r>
    </w:p>
    <w:p>
      <w:pPr>
        <w:spacing w:before="0" w:after="60"/>
        <w:ind w:left="600"/>
      </w:pPr>
      <w:r>
        <w:rPr>
          <w:color w:val="0064B4"/>
          <w:sz w:val="15"/>
        </w:rPr>
        <w:t>Source : https://news.google.com/rss/articles/CBMirwFBVV95cUxQcXVmRndSMGFKZkpCdWxuWG9nZXZ</w:t>
      </w:r>
    </w:p>
    <w:p>
      <w:pPr>
        <w:spacing w:before="120" w:after="40"/>
      </w:pPr>
      <w:r>
        <w:rPr>
          <w:b/>
          <w:color w:val="00467F"/>
          <w:sz w:val="20"/>
        </w:rPr>
        <w:t>🔑 marche_financier  (1 alerte(s))</w:t>
      </w:r>
    </w:p>
    <w:p>
      <w:pPr>
        <w:spacing w:before="40" w:after="40"/>
        <w:ind w:left="360"/>
      </w:pPr>
      <w:r>
        <w:rPr>
          <w:color w:val="646464"/>
          <w:sz w:val="17"/>
        </w:rPr>
        <w:t xml:space="preserve">[06/08/2026] 🟢  </w:t>
      </w:r>
      <w:r>
        <w:rPr>
          <w:b/>
          <w:color w:val="008000"/>
          <w:sz w:val="18"/>
        </w:rPr>
        <w:t>Le Marché de la BRVM en Effervescence : 4 Actions Clés Affichent des Gains Notables - Dabafinance</w:t>
      </w:r>
      <w:r>
        <w:rPr>
          <w:color w:val="787878"/>
          <w:sz w:val="15"/>
        </w:rPr>
        <w:t xml:space="preserve">  [marche_financier]</w:t>
      </w:r>
      <w:r>
        <w:rPr>
          <w:color w:val="B47800"/>
          <w:sz w:val="16"/>
        </w:rPr>
        <w:t xml:space="preserve">  ★ 50/10</w:t>
      </w:r>
    </w:p>
    <w:p>
      <w:pPr>
        <w:spacing w:before="0" w:after="20"/>
        <w:ind w:left="600"/>
      </w:pPr>
      <w:r>
        <w:rPr>
          <w:color w:val="323232"/>
          <w:sz w:val="17"/>
        </w:rPr>
        <w:t>Le marché de la BRVM connaît une dynamique positive, avec quatre actions clés enregistrant des gains notables. Cette effervescence témoigne d'un intérêt accru des investisseurs pour la bourse régionale. Les performances de ces titres contribuent à la vitalité du marché financier de l'UEMOA. Cette tendance pourrait se poursuivre si les conditions éc</w:t>
      </w:r>
    </w:p>
    <w:p>
      <w:pPr>
        <w:spacing w:before="0" w:after="40"/>
        <w:ind w:left="600"/>
      </w:pPr>
      <w:r>
        <w:rPr>
          <w:color w:val="00643C"/>
          <w:sz w:val="16"/>
        </w:rPr>
        <w:t>Points clés : Quatre actions clés de la BRVM affichent des gains notables.  •  Le marché est en effervescence, indiquant une activité soutenue.</w:t>
      </w:r>
    </w:p>
    <w:p>
      <w:pPr>
        <w:spacing w:before="0" w:after="60"/>
        <w:ind w:left="600"/>
      </w:pPr>
      <w:r>
        <w:rPr>
          <w:color w:val="0064B4"/>
          <w:sz w:val="15"/>
        </w:rPr>
        <w:t>Source : https://news.google.com/rss/articles/CBMilAFBVV95cUxNODNwelhhdklCcU1sbGtpVnd5UlB</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3,500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24,980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2,805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5,020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18</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5,250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31,000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28,305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7,085</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3,010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1,445</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24,980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2,805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17,175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3,125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3,500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2,115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24,980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2,805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3,500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2,115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24,980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2,805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(82.7 &gt; 70) — risque de correction</w:t>
      </w:r>
    </w:p>
    <w:p>
      <w:pPr>
        <w:pStyle w:val="ListBullet"/>
        <w:spacing w:before="20"/>
        <w:ind w:left="400"/>
      </w:pPr>
      <w:r>
        <w:rPr>
          <w:sz w:val="18"/>
        </w:rPr>
        <w:t>⚠️ Cours à 0.9%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1.3%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0.3%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(11,600 FCFA)</w:t>
      </w:r>
    </w:p>
    <w:p>
      <w:pPr>
        <w:spacing w:before="120"/>
      </w:pPr>
      <w:r>
        <w:rPr>
          <w:b/>
          <w:color w:val="0050A0"/>
          <w:sz w:val="20"/>
        </w:rPr>
        <w:t>ONTBF — ONTBF - ONATEL BURKINA FASO</w:t>
      </w:r>
    </w:p>
    <w:p>
      <w:pPr>
        <w:pStyle w:val="ListBullet"/>
        <w:spacing w:before="20"/>
        <w:ind w:left="400"/>
      </w:pPr>
      <w:r>
        <w:rPr>
          <w:sz w:val="18"/>
        </w:rPr>
        <w:t>🔴 RSI surachat (73.0 &gt; 70) — risque de correction</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(17,175 FCFA)</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(78.5 &gt; 70) — risque de correction</w:t>
      </w:r>
    </w:p>
    <w:p>
      <w:pPr>
        <w:pStyle w:val="ListBullet"/>
        <w:spacing w:before="20"/>
        <w:ind w:left="400"/>
      </w:pPr>
      <w:r>
        <w:rPr>
          <w:sz w:val="18"/>
        </w:rPr>
        <w:t>⚠️ Cours à 0.1% du plus haut 100j (7,095 FCFA)</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(75.7 &gt; 70) — risque de correction</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NSBC — NSBC - NSIA BANQUE COTE D'IVOIRE</w:t>
      </w:r>
    </w:p>
    <w:p>
      <w:pPr>
        <w:pStyle w:val="ListBullet"/>
        <w:spacing w:before="20"/>
        <w:ind w:left="400"/>
      </w:pPr>
      <w:r>
        <w:rPr>
          <w:sz w:val="18"/>
        </w:rPr>
        <w:t>⚠️ Cours à 2.0% du plus haut 100j (24,020 FCFA)</w:t>
      </w:r>
    </w:p>
    <w:p>
      <w:pPr>
        <w:spacing w:before="120"/>
      </w:pPr>
      <w:r>
        <w:rPr>
          <w:b/>
          <w:color w:val="0050A0"/>
          <w:sz w:val="20"/>
        </w:rPr>
        <w:t>ORGT — ORGT - ORAGROUP TOGO</w:t>
      </w:r>
    </w:p>
    <w:p>
      <w:pPr>
        <w:pStyle w:val="ListBullet"/>
        <w:spacing w:before="20"/>
        <w:ind w:left="400"/>
      </w:pPr>
      <w:r>
        <w:rPr>
          <w:sz w:val="18"/>
        </w:rPr>
        <w:t>🔴 RSI surachat (87.4 &gt; 70) — risque de correction</w:t>
      </w:r>
    </w:p>
    <w:p>
      <w:pPr>
        <w:spacing w:before="120"/>
      </w:pPr>
      <w:r>
        <w:rPr>
          <w:b/>
          <w:color w:val="0050A0"/>
          <w:sz w:val="20"/>
        </w:rPr>
        <w:t>SAFC — SAFCA CI</w:t>
      </w:r>
    </w:p>
    <w:p>
      <w:pPr>
        <w:pStyle w:val="ListBullet"/>
        <w:spacing w:before="20"/>
        <w:ind w:left="400"/>
      </w:pPr>
      <w:r>
        <w:rPr>
          <w:sz w:val="18"/>
        </w:rPr>
        <w:t>🔴 RSI surachat (72.4 &gt; 70) — risque de correction</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1.5%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(9,300 FCFA)</w:t>
      </w:r>
    </w:p>
    <w:p>
      <w:pPr>
        <w:spacing w:before="120"/>
      </w:pPr>
      <w:r>
        <w:rPr>
          <w:b/>
          <w:color w:val="0050A0"/>
          <w:sz w:val="20"/>
        </w:rPr>
        <w:t>SIVC — SIVC - ERIUM CI (Ex AIR LIQUIDECI)</w:t>
      </w:r>
    </w:p>
    <w:p>
      <w:pPr>
        <w:pStyle w:val="ListBullet"/>
        <w:spacing w:before="20"/>
        <w:ind w:left="400"/>
      </w:pPr>
      <w:r>
        <w:rPr>
          <w:sz w:val="18"/>
        </w:rPr>
        <w:t>🟢 RSI survente (26.9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(27.8 &lt; 30) — opportunité potentielle</w:t>
      </w:r>
    </w:p>
    <w:p>
      <w:pPr>
        <w:spacing w:before="120"/>
      </w:pPr>
      <w:r>
        <w:rPr>
          <w:b/>
          <w:color w:val="0050A0"/>
          <w:sz w:val="20"/>
        </w:rPr>
        <w:t>STBC — STBC - SITAB COTE D'IVOIRE</w:t>
      </w:r>
    </w:p>
    <w:p>
      <w:pPr>
        <w:pStyle w:val="ListBullet"/>
        <w:spacing w:before="20"/>
        <w:ind w:left="400"/>
      </w:pPr>
      <w:r>
        <w:rPr>
          <w:sz w:val="18"/>
        </w:rPr>
        <w:t>⚠️ Cours à 0.1% du plus haut 100j (25,000 FCFA)</w:t>
      </w:r>
    </w:p>
    <w:p>
      <w:pPr>
        <w:spacing w:before="120"/>
      </w:pPr>
      <w:r>
        <w:rPr>
          <w:b/>
          <w:color w:val="0050A0"/>
          <w:sz w:val="20"/>
        </w:rPr>
        <w:t>TTLS — TTLS - TOTAL ENERGIES MARKETING SENEGAL</w:t>
      </w:r>
    </w:p>
    <w:p>
      <w:pPr>
        <w:pStyle w:val="ListBullet"/>
        <w:spacing w:before="20"/>
        <w:ind w:left="400"/>
      </w:pPr>
      <w:r>
        <w:rPr>
          <w:sz w:val="18"/>
        </w:rPr>
        <w:t>🟢 RSI survente (25.6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-10.30%  |  Médiane : -6.86%</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3,550 FCFA</w:t>
            </w:r>
          </w:p>
        </w:tc>
        <w:tc>
          <w:tcPr>
            <w:tcW w:type="dxa" w:w="1417"/>
            <w:shd w:fill="FFFFFF" w:val="clear"/>
          </w:tcPr>
          <w:p>
            <w:r>
              <w:rPr>
                <w:sz w:val="16"/>
              </w:rPr>
              <w:t>6,375 FCFA</w:t>
            </w:r>
          </w:p>
        </w:tc>
        <w:tc>
          <w:tcPr>
            <w:tcW w:type="dxa" w:w="1134"/>
            <w:shd w:fill="C6EFCE" w:val="clear"/>
          </w:tcPr>
          <w:p>
            <w:r>
              <w:rPr>
                <w:b/>
                <w:color w:val="007800"/>
                <w:sz w:val="16"/>
              </w:rPr>
              <w:t>+79.57%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23,550 FCFA</w:t>
            </w:r>
          </w:p>
        </w:tc>
        <w:tc>
          <w:tcPr>
            <w:tcW w:type="dxa" w:w="1417"/>
            <w:shd w:fill="FFFFFF" w:val="clear"/>
          </w:tcPr>
          <w:p>
            <w:r>
              <w:rPr>
                <w:sz w:val="16"/>
              </w:rPr>
              <w:t>27,739 FCFA</w:t>
            </w:r>
          </w:p>
        </w:tc>
        <w:tc>
          <w:tcPr>
            <w:tcW w:type="dxa" w:w="1134"/>
            <w:shd w:fill="C6EFCE" w:val="clear"/>
          </w:tcPr>
          <w:p>
            <w:r>
              <w:rPr>
                <w:b/>
                <w:color w:val="007800"/>
                <w:sz w:val="16"/>
              </w:rPr>
              <w:t>+17.79%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61,236 FCFA</w:t>
            </w:r>
          </w:p>
        </w:tc>
        <w:tc>
          <w:tcPr>
            <w:tcW w:type="dxa" w:w="1134"/>
            <w:shd w:fill="C6EFCE" w:val="clear"/>
          </w:tcPr>
          <w:p>
            <w:r>
              <w:rPr>
                <w:b/>
                <w:color w:val="007800"/>
                <w:sz w:val="16"/>
              </w:rPr>
              <w:t>+12.16%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24,980 FCFA</w:t>
            </w:r>
          </w:p>
        </w:tc>
        <w:tc>
          <w:tcPr>
            <w:tcW w:type="dxa" w:w="1417"/>
            <w:shd w:fill="FFFFFF" w:val="clear"/>
          </w:tcPr>
          <w:p>
            <w:r>
              <w:rPr>
                <w:sz w:val="16"/>
              </w:rPr>
              <w:t>27,275 FCFA</w:t>
            </w:r>
          </w:p>
        </w:tc>
        <w:tc>
          <w:tcPr>
            <w:tcW w:type="dxa" w:w="1134"/>
            <w:shd w:fill="C6EFCE" w:val="clear"/>
          </w:tcPr>
          <w:p>
            <w:r>
              <w:rPr>
                <w:b/>
                <w:color w:val="007800"/>
                <w:sz w:val="16"/>
              </w:rPr>
              <w:t>+9.19%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2,085 FCFA</w:t>
            </w:r>
          </w:p>
        </w:tc>
        <w:tc>
          <w:tcPr>
            <w:tcW w:type="dxa" w:w="1134"/>
            <w:shd w:fill="C6EFCE" w:val="clear"/>
          </w:tcPr>
          <w:p>
            <w:r>
              <w:rPr>
                <w:b/>
                <w:color w:val="007800"/>
                <w:sz w:val="16"/>
              </w:rPr>
              <w:t>+4.25%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(+79.6%) — signal potentiellement excessif, à croiser avec l'analyse technique. Trajectoire : 📈 Hausse continue. Cours actuel : 3,550 FCFA → prédit J+10 : 6,375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(+17.8%) — potentiel de revalorisation notable. Trajectoire : 📈 Hausse continue. Cours actuel : 23,550 FCFA → prédit J+10 : 27,739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(+12.2%) — potentiel de revalorisation notable. Trajectoire : 📈 Hausse continue. Cours actuel : 54,595 FCFA → prédit J+10 : 61,236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(+9.2%) — signal raisonnable et crédible. Trajectoire : 📈 Hausse continue. Cours actuel : 24,980 FCFA → prédit J+10 : 27,275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2,000 FCFA → prédit J+10 : 2,085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5,250 FCFA</w:t>
            </w:r>
          </w:p>
        </w:tc>
        <w:tc>
          <w:tcPr>
            <w:tcW w:type="dxa" w:w="1417"/>
            <w:shd w:fill="FFFFFF" w:val="clear"/>
          </w:tcPr>
          <w:p>
            <w:r>
              <w:rPr>
                <w:sz w:val="16"/>
              </w:rPr>
              <w:t>2,408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3,550 FCFA</w:t>
            </w:r>
          </w:p>
        </w:tc>
        <w:tc>
          <w:tcPr>
            <w:tcW w:type="dxa" w:w="1417"/>
            <w:shd w:fill="FFFFFF" w:val="clear"/>
          </w:tcPr>
          <w:p>
            <w:r>
              <w:rPr>
                <w:sz w:val="16"/>
              </w:rPr>
              <w:t>1,628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-53.97%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2,675 FCFA</w:t>
            </w:r>
          </w:p>
        </w:tc>
        <w:tc>
          <w:tcPr>
            <w:tcW w:type="dxa" w:w="1417"/>
            <w:shd w:fill="FFFFFF" w:val="clear"/>
          </w:tcPr>
          <w:p>
            <w:r>
              <w:rPr>
                <w:sz w:val="16"/>
              </w:rPr>
              <w:t>1,597 FCFA</w:t>
            </w:r>
          </w:p>
        </w:tc>
        <w:tc>
          <w:tcPr>
            <w:tcW w:type="dxa" w:w="1134"/>
            <w:shd w:fill="FFC7CE" w:val="clear"/>
          </w:tcPr>
          <w:p>
            <w:r>
              <w:rPr>
                <w:b/>
                <w:color w:val="B40000"/>
                <w:sz w:val="16"/>
              </w:rPr>
              <w:t>-40.29%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28,305 FCFA</w:t>
            </w:r>
          </w:p>
        </w:tc>
        <w:tc>
          <w:tcPr>
            <w:tcW w:type="dxa" w:w="1417"/>
            <w:shd w:fill="FFFFFF" w:val="clear"/>
          </w:tcPr>
          <w:p>
            <w:r>
              <w:rPr>
                <w:sz w:val="16"/>
              </w:rPr>
              <w:t>17,336 FCFA</w:t>
            </w:r>
          </w:p>
        </w:tc>
        <w:tc>
          <w:tcPr>
            <w:tcW w:type="dxa" w:w="1134"/>
            <w:shd w:fill="FFC7CE" w:val="clear"/>
          </w:tcPr>
          <w:p>
            <w:r>
              <w:rPr>
                <w:b/>
                <w:color w:val="B40000"/>
                <w:sz w:val="16"/>
              </w:rPr>
              <w:t>-38.75%</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5,250 FCFA → prédit J+10 : 2,408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3,550 FCFA → prédit J+10 : 1,628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(-54.0%)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(-40.3%) — amplitude potentiellement surestimée par le modèle. Trajectoire : 📉 Baisse continue. Cours actuel : 2,675 FCFA → prédit J+10 : 1,597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(-38.8%) — amplitude potentiellement surestimée par le modèle. Trajectoire : 📉 Baisse continue. Cours actuel : 28,305 FCFA → prédit J+10 : 17,336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3,550</w:t>
            </w:r>
          </w:p>
        </w:tc>
        <w:tc>
          <w:tcPr>
            <w:tcW w:type="dxa" w:w="1417"/>
            <w:shd w:fill="FFFFFF" w:val="clear"/>
          </w:tcPr>
          <w:p>
            <w:r>
              <w:rPr>
                <w:sz w:val="16"/>
              </w:rPr>
              <w:t>6,375</w:t>
            </w:r>
          </w:p>
        </w:tc>
        <w:tc>
          <w:tcPr>
            <w:tcW w:type="dxa" w:w="1134"/>
            <w:shd w:fill="C6EFCE" w:val="clear"/>
          </w:tcPr>
          <w:p>
            <w:r>
              <w:rPr>
                <w:b/>
                <w:color w:val="007800"/>
                <w:sz w:val="16"/>
              </w:rPr>
              <w:t>+79.57%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23,550</w:t>
            </w:r>
          </w:p>
        </w:tc>
        <w:tc>
          <w:tcPr>
            <w:tcW w:type="dxa" w:w="1417"/>
            <w:shd w:fill="FFFFFF" w:val="clear"/>
          </w:tcPr>
          <w:p>
            <w:r>
              <w:rPr>
                <w:sz w:val="16"/>
              </w:rPr>
              <w:t>27,739</w:t>
            </w:r>
          </w:p>
        </w:tc>
        <w:tc>
          <w:tcPr>
            <w:tcW w:type="dxa" w:w="1134"/>
            <w:shd w:fill="C6EFCE" w:val="clear"/>
          </w:tcPr>
          <w:p>
            <w:r>
              <w:rPr>
                <w:b/>
                <w:color w:val="007800"/>
                <w:sz w:val="16"/>
              </w:rPr>
              <w:t>+17.79%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61,236</w:t>
            </w:r>
          </w:p>
        </w:tc>
        <w:tc>
          <w:tcPr>
            <w:tcW w:type="dxa" w:w="1134"/>
            <w:shd w:fill="C6EFCE" w:val="clear"/>
          </w:tcPr>
          <w:p>
            <w:r>
              <w:rPr>
                <w:b/>
                <w:color w:val="007800"/>
                <w:sz w:val="16"/>
              </w:rPr>
              <w:t>+12.16%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24,980</w:t>
            </w:r>
          </w:p>
        </w:tc>
        <w:tc>
          <w:tcPr>
            <w:tcW w:type="dxa" w:w="1417"/>
            <w:shd w:fill="FFFFFF" w:val="clear"/>
          </w:tcPr>
          <w:p>
            <w:r>
              <w:rPr>
                <w:sz w:val="16"/>
              </w:rPr>
              <w:t>27,275</w:t>
            </w:r>
          </w:p>
        </w:tc>
        <w:tc>
          <w:tcPr>
            <w:tcW w:type="dxa" w:w="1134"/>
            <w:shd w:fill="C6EFCE" w:val="clear"/>
          </w:tcPr>
          <w:p>
            <w:r>
              <w:rPr>
                <w:b/>
                <w:color w:val="007800"/>
                <w:sz w:val="16"/>
              </w:rPr>
              <w:t>+9.19%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2,085</w:t>
            </w:r>
          </w:p>
        </w:tc>
        <w:tc>
          <w:tcPr>
            <w:tcW w:type="dxa" w:w="1134"/>
            <w:shd w:fill="C6EFCE" w:val="clear"/>
          </w:tcPr>
          <w:p>
            <w:r>
              <w:rPr>
                <w:b/>
                <w:color w:val="007800"/>
                <w:sz w:val="16"/>
              </w:rPr>
              <w:t>+4.25%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9,264</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8,229</w:t>
            </w:r>
          </w:p>
        </w:tc>
        <w:tc>
          <w:tcPr>
            <w:tcW w:type="dxa" w:w="1134"/>
            <w:shd w:fill="C6EFCE" w:val="clear"/>
          </w:tcPr>
          <w:p>
            <w:r>
              <w:rPr>
                <w:b/>
                <w:color w:val="007800"/>
                <w:sz w:val="16"/>
              </w:rPr>
              <w:t>+1.59%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1,904</w:t>
            </w:r>
          </w:p>
        </w:tc>
        <w:tc>
          <w:tcPr>
            <w:tcW w:type="dxa" w:w="1134"/>
            <w:shd w:fill="FFEB9C" w:val="clear"/>
          </w:tcPr>
          <w:p>
            <w:r>
              <w:rPr>
                <w:b/>
                <w:color w:val="646400"/>
                <w:sz w:val="16"/>
              </w:rPr>
              <w:t>+0.23%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2,805</w:t>
            </w:r>
          </w:p>
        </w:tc>
        <w:tc>
          <w:tcPr>
            <w:tcW w:type="dxa" w:w="1417"/>
            <w:shd w:fill="FFFFFF" w:val="clear"/>
          </w:tcPr>
          <w:p>
            <w:r>
              <w:rPr>
                <w:sz w:val="16"/>
              </w:rPr>
              <w:t>2,790</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36,725</w:t>
            </w:r>
          </w:p>
        </w:tc>
        <w:tc>
          <w:tcPr>
            <w:tcW w:type="dxa" w:w="1134"/>
            <w:shd w:fill="FFEB9C" w:val="clear"/>
          </w:tcPr>
          <w:p>
            <w:r>
              <w:rPr>
                <w:b/>
                <w:color w:val="646400"/>
                <w:sz w:val="16"/>
              </w:rPr>
              <w:t>-0.74%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16,000</w:t>
            </w:r>
          </w:p>
        </w:tc>
        <w:tc>
          <w:tcPr>
            <w:tcW w:type="dxa" w:w="1134"/>
            <w:shd w:fill="FFC7CE" w:val="clear"/>
          </w:tcPr>
          <w:p>
            <w:r>
              <w:rPr>
                <w:b/>
                <w:color w:val="B40000"/>
                <w:sz w:val="16"/>
              </w:rPr>
              <w:t>-1.24%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3,079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30,523</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2,887</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7,442</w:t>
            </w:r>
          </w:p>
        </w:tc>
        <w:tc>
          <w:tcPr>
            <w:tcW w:type="dxa" w:w="1134"/>
            <w:shd w:fill="FFC7CE" w:val="clear"/>
          </w:tcPr>
          <w:p>
            <w:r>
              <w:rPr>
                <w:b/>
                <w:color w:val="B40000"/>
                <w:sz w:val="16"/>
              </w:rPr>
              <w:t>-2.07%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17,175</w:t>
            </w:r>
          </w:p>
        </w:tc>
        <w:tc>
          <w:tcPr>
            <w:tcW w:type="dxa" w:w="1417"/>
            <w:shd w:fill="FFFFFF" w:val="clear"/>
          </w:tcPr>
          <w:p>
            <w:r>
              <w:rPr>
                <w:sz w:val="16"/>
              </w:rPr>
              <w:t>16,743</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37,036</w:t>
            </w:r>
          </w:p>
        </w:tc>
        <w:tc>
          <w:tcPr>
            <w:tcW w:type="dxa" w:w="1134"/>
            <w:shd w:fill="FFC7CE" w:val="clear"/>
          </w:tcPr>
          <w:p>
            <w:r>
              <w:rPr>
                <w:b/>
                <w:color w:val="B40000"/>
                <w:sz w:val="16"/>
              </w:rPr>
              <w:t>-2.54%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5,051</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16,595</w:t>
            </w:r>
          </w:p>
        </w:tc>
        <w:tc>
          <w:tcPr>
            <w:tcW w:type="dxa" w:w="1417"/>
            <w:shd w:fill="FFFFFF" w:val="clear"/>
          </w:tcPr>
          <w:p>
            <w:r>
              <w:rPr>
                <w:sz w:val="16"/>
              </w:rPr>
              <w:t>16,034</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16,550</w:t>
            </w:r>
          </w:p>
        </w:tc>
        <w:tc>
          <w:tcPr>
            <w:tcW w:type="dxa" w:w="1417"/>
            <w:shd w:fill="FFFFFF" w:val="clear"/>
          </w:tcPr>
          <w:p>
            <w:r>
              <w:rPr>
                <w:sz w:val="16"/>
              </w:rPr>
              <w:t>15,721</w:t>
            </w:r>
          </w:p>
        </w:tc>
        <w:tc>
          <w:tcPr>
            <w:tcW w:type="dxa" w:w="1134"/>
            <w:shd w:fill="FFC7CE" w:val="clear"/>
          </w:tcPr>
          <w:p>
            <w:r>
              <w:rPr>
                <w:b/>
                <w:color w:val="B40000"/>
                <w:sz w:val="16"/>
              </w:rPr>
              <w:t>-5.01%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4,480</w:t>
            </w:r>
          </w:p>
        </w:tc>
        <w:tc>
          <w:tcPr>
            <w:tcW w:type="dxa" w:w="1417"/>
            <w:shd w:fill="FFFFFF" w:val="clear"/>
          </w:tcPr>
          <w:p>
            <w:r>
              <w:rPr>
                <w:sz w:val="16"/>
              </w:rPr>
              <w:t>4,253</w:t>
            </w:r>
          </w:p>
        </w:tc>
        <w:tc>
          <w:tcPr>
            <w:tcW w:type="dxa" w:w="1134"/>
            <w:shd w:fill="FFC7CE" w:val="clear"/>
          </w:tcPr>
          <w:p>
            <w:r>
              <w:rPr>
                <w:b/>
                <w:color w:val="B40000"/>
                <w:sz w:val="16"/>
              </w:rPr>
              <w:t>-5.07%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1,798</w:t>
            </w:r>
          </w:p>
        </w:tc>
        <w:tc>
          <w:tcPr>
            <w:tcW w:type="dxa" w:w="1134"/>
            <w:shd w:fill="FFC7CE" w:val="clear"/>
          </w:tcPr>
          <w:p>
            <w:r>
              <w:rPr>
                <w:b/>
                <w:color w:val="B40000"/>
                <w:sz w:val="16"/>
              </w:rPr>
              <w:t>-5.38%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2,530</w:t>
            </w:r>
          </w:p>
        </w:tc>
        <w:tc>
          <w:tcPr>
            <w:tcW w:type="dxa" w:w="1417"/>
            <w:shd w:fill="FFFFFF" w:val="clear"/>
          </w:tcPr>
          <w:p>
            <w:r>
              <w:rPr>
                <w:sz w:val="16"/>
              </w:rPr>
              <w:t>2,385</w:t>
            </w:r>
          </w:p>
        </w:tc>
        <w:tc>
          <w:tcPr>
            <w:tcW w:type="dxa" w:w="1134"/>
            <w:shd w:fill="FFC7CE" w:val="clear"/>
          </w:tcPr>
          <w:p>
            <w:r>
              <w:rPr>
                <w:b/>
                <w:color w:val="B40000"/>
                <w:sz w:val="16"/>
              </w:rPr>
              <w:t>-5.72%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4,300</w:t>
            </w:r>
          </w:p>
        </w:tc>
        <w:tc>
          <w:tcPr>
            <w:tcW w:type="dxa" w:w="1417"/>
            <w:shd w:fill="FFFFFF" w:val="clear"/>
          </w:tcPr>
          <w:p>
            <w:r>
              <w:rPr>
                <w:sz w:val="16"/>
              </w:rPr>
              <w:t>4,005</w:t>
            </w:r>
          </w:p>
        </w:tc>
        <w:tc>
          <w:tcPr>
            <w:tcW w:type="dxa" w:w="1134"/>
            <w:shd w:fill="FFC7CE" w:val="clear"/>
          </w:tcPr>
          <w:p>
            <w:r>
              <w:rPr>
                <w:b/>
                <w:color w:val="B40000"/>
                <w:sz w:val="16"/>
              </w:rPr>
              <w:t>-6.86%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1,445</w:t>
            </w:r>
          </w:p>
        </w:tc>
        <w:tc>
          <w:tcPr>
            <w:tcW w:type="dxa" w:w="1417"/>
            <w:shd w:fill="FFFFFF" w:val="clear"/>
          </w:tcPr>
          <w:p>
            <w:r>
              <w:rPr>
                <w:sz w:val="16"/>
              </w:rPr>
              <w:t>1,310</w:t>
            </w:r>
          </w:p>
        </w:tc>
        <w:tc>
          <w:tcPr>
            <w:tcW w:type="dxa" w:w="1134"/>
            <w:shd w:fill="FFC7CE" w:val="clear"/>
          </w:tcPr>
          <w:p>
            <w:r>
              <w:rPr>
                <w:b/>
                <w:color w:val="B40000"/>
                <w:sz w:val="16"/>
              </w:rPr>
              <w:t>-9.36%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3,500</w:t>
            </w:r>
          </w:p>
        </w:tc>
        <w:tc>
          <w:tcPr>
            <w:tcW w:type="dxa" w:w="1417"/>
            <w:shd w:fill="FFFFFF" w:val="clear"/>
          </w:tcPr>
          <w:p>
            <w:r>
              <w:rPr>
                <w:sz w:val="16"/>
              </w:rPr>
              <w:t>3,157</w:t>
            </w:r>
          </w:p>
        </w:tc>
        <w:tc>
          <w:tcPr>
            <w:tcW w:type="dxa" w:w="1134"/>
            <w:shd w:fill="FFC7CE" w:val="clear"/>
          </w:tcPr>
          <w:p>
            <w:r>
              <w:rPr>
                <w:b/>
                <w:color w:val="B40000"/>
                <w:sz w:val="16"/>
              </w:rPr>
              <w:t>-9.80%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29,100</w:t>
            </w:r>
          </w:p>
        </w:tc>
        <w:tc>
          <w:tcPr>
            <w:tcW w:type="dxa" w:w="1417"/>
            <w:shd w:fill="FFFFFF" w:val="clear"/>
          </w:tcPr>
          <w:p>
            <w:r>
              <w:rPr>
                <w:sz w:val="16"/>
              </w:rPr>
              <w:t>26,196</w:t>
            </w:r>
          </w:p>
        </w:tc>
        <w:tc>
          <w:tcPr>
            <w:tcW w:type="dxa" w:w="1134"/>
            <w:shd w:fill="FFC7CE" w:val="clear"/>
          </w:tcPr>
          <w:p>
            <w:r>
              <w:rPr>
                <w:b/>
                <w:color w:val="B40000"/>
                <w:sz w:val="16"/>
              </w:rPr>
              <w:t>-9.98%</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7,230</w:t>
            </w:r>
          </w:p>
        </w:tc>
        <w:tc>
          <w:tcPr>
            <w:tcW w:type="dxa" w:w="1417"/>
            <w:shd w:fill="FFFFFF" w:val="clear"/>
          </w:tcPr>
          <w:p>
            <w:r>
              <w:rPr>
                <w:sz w:val="16"/>
              </w:rPr>
              <w:t>6,499</w:t>
            </w:r>
          </w:p>
        </w:tc>
        <w:tc>
          <w:tcPr>
            <w:tcW w:type="dxa" w:w="1134"/>
            <w:shd w:fill="FFC7CE" w:val="clear"/>
          </w:tcPr>
          <w:p>
            <w:r>
              <w:rPr>
                <w:b/>
                <w:color w:val="B40000"/>
                <w:sz w:val="16"/>
              </w:rPr>
              <w:t>-10.11%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5,590</w:t>
            </w:r>
          </w:p>
        </w:tc>
        <w:tc>
          <w:tcPr>
            <w:tcW w:type="dxa" w:w="1417"/>
            <w:shd w:fill="FFFFFF" w:val="clear"/>
          </w:tcPr>
          <w:p>
            <w:r>
              <w:rPr>
                <w:sz w:val="16"/>
              </w:rPr>
              <w:t>5,012</w:t>
            </w:r>
          </w:p>
        </w:tc>
        <w:tc>
          <w:tcPr>
            <w:tcW w:type="dxa" w:w="1134"/>
            <w:shd w:fill="FFC7CE" w:val="clear"/>
          </w:tcPr>
          <w:p>
            <w:r>
              <w:rPr>
                <w:b/>
                <w:color w:val="B40000"/>
                <w:sz w:val="16"/>
              </w:rPr>
              <w:t>-10.34%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10,664</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2,672</w:t>
            </w:r>
          </w:p>
        </w:tc>
        <w:tc>
          <w:tcPr>
            <w:tcW w:type="dxa" w:w="1134"/>
            <w:shd w:fill="FFC7CE" w:val="clear"/>
          </w:tcPr>
          <w:p>
            <w:r>
              <w:rPr>
                <w:b/>
                <w:color w:val="B40000"/>
                <w:sz w:val="16"/>
              </w:rPr>
              <w:t>-11.23%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8,710</w:t>
            </w:r>
          </w:p>
        </w:tc>
        <w:tc>
          <w:tcPr>
            <w:tcW w:type="dxa" w:w="1417"/>
            <w:shd w:fill="FFFFFF" w:val="clear"/>
          </w:tcPr>
          <w:p>
            <w:r>
              <w:rPr>
                <w:sz w:val="16"/>
              </w:rPr>
              <w:t>7,705</w:t>
            </w:r>
          </w:p>
        </w:tc>
        <w:tc>
          <w:tcPr>
            <w:tcW w:type="dxa" w:w="1134"/>
            <w:shd w:fill="FFC7CE" w:val="clear"/>
          </w:tcPr>
          <w:p>
            <w:r>
              <w:rPr>
                <w:b/>
                <w:color w:val="B40000"/>
                <w:sz w:val="16"/>
              </w:rPr>
              <w:t>-11.54%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7,085</w:t>
            </w:r>
          </w:p>
        </w:tc>
        <w:tc>
          <w:tcPr>
            <w:tcW w:type="dxa" w:w="1417"/>
            <w:shd w:fill="FFFFFF" w:val="clear"/>
          </w:tcPr>
          <w:p>
            <w:r>
              <w:rPr>
                <w:sz w:val="16"/>
              </w:rPr>
              <w:t>6,215</w:t>
            </w:r>
          </w:p>
        </w:tc>
        <w:tc>
          <w:tcPr>
            <w:tcW w:type="dxa" w:w="1134"/>
            <w:shd w:fill="FFC7CE" w:val="clear"/>
          </w:tcPr>
          <w:p>
            <w:r>
              <w:rPr>
                <w:b/>
                <w:color w:val="B40000"/>
                <w:sz w:val="16"/>
              </w:rPr>
              <w:t>-12.29%</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7,710</w:t>
            </w:r>
          </w:p>
        </w:tc>
        <w:tc>
          <w:tcPr>
            <w:tcW w:type="dxa" w:w="1417"/>
            <w:shd w:fill="FFFFFF" w:val="clear"/>
          </w:tcPr>
          <w:p>
            <w:r>
              <w:rPr>
                <w:sz w:val="16"/>
              </w:rPr>
              <w:t>6,710</w:t>
            </w:r>
          </w:p>
        </w:tc>
        <w:tc>
          <w:tcPr>
            <w:tcW w:type="dxa" w:w="1134"/>
            <w:shd w:fill="FFC7CE" w:val="clear"/>
          </w:tcPr>
          <w:p>
            <w:r>
              <w:rPr>
                <w:b/>
                <w:color w:val="B40000"/>
                <w:sz w:val="16"/>
              </w:rPr>
              <w:t>-12.97%</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1,700</w:t>
            </w:r>
          </w:p>
        </w:tc>
        <w:tc>
          <w:tcPr>
            <w:tcW w:type="dxa" w:w="1417"/>
            <w:shd w:fill="FFFFFF" w:val="clear"/>
          </w:tcPr>
          <w:p>
            <w:r>
              <w:rPr>
                <w:sz w:val="16"/>
              </w:rPr>
              <w:t>1,450</w:t>
            </w:r>
          </w:p>
        </w:tc>
        <w:tc>
          <w:tcPr>
            <w:tcW w:type="dxa" w:w="1134"/>
            <w:shd w:fill="FFC7CE" w:val="clear"/>
          </w:tcPr>
          <w:p>
            <w:r>
              <w:rPr>
                <w:b/>
                <w:color w:val="B40000"/>
                <w:sz w:val="16"/>
              </w:rPr>
              <w:t>-14.68%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2,125</w:t>
            </w:r>
          </w:p>
        </w:tc>
        <w:tc>
          <w:tcPr>
            <w:tcW w:type="dxa" w:w="1417"/>
            <w:shd w:fill="FFFFFF" w:val="clear"/>
          </w:tcPr>
          <w:p>
            <w:r>
              <w:rPr>
                <w:sz w:val="16"/>
              </w:rPr>
              <w:t>1,666</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7,226</w:t>
            </w:r>
          </w:p>
        </w:tc>
        <w:tc>
          <w:tcPr>
            <w:tcW w:type="dxa" w:w="1134"/>
            <w:shd w:fill="FFC7CE" w:val="clear"/>
          </w:tcPr>
          <w:p>
            <w:r>
              <w:rPr>
                <w:b/>
                <w:color w:val="B40000"/>
                <w:sz w:val="16"/>
              </w:rPr>
              <w:t>-22.30%</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8,583</w:t>
            </w:r>
          </w:p>
        </w:tc>
        <w:tc>
          <w:tcPr>
            <w:tcW w:type="dxa" w:w="1134"/>
            <w:shd w:fill="FFC7CE" w:val="clear"/>
          </w:tcPr>
          <w:p>
            <w:r>
              <w:rPr>
                <w:b/>
                <w:color w:val="B40000"/>
                <w:sz w:val="16"/>
              </w:rPr>
              <w:t>-26.01%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2,290</w:t>
            </w:r>
          </w:p>
        </w:tc>
        <w:tc>
          <w:tcPr>
            <w:tcW w:type="dxa" w:w="1417"/>
            <w:shd w:fill="FFFFFF" w:val="clear"/>
          </w:tcPr>
          <w:p>
            <w:r>
              <w:rPr>
                <w:sz w:val="16"/>
              </w:rPr>
              <w:t>1,656</w:t>
            </w:r>
          </w:p>
        </w:tc>
        <w:tc>
          <w:tcPr>
            <w:tcW w:type="dxa" w:w="1134"/>
            <w:shd w:fill="FFC7CE" w:val="clear"/>
          </w:tcPr>
          <w:p>
            <w:r>
              <w:rPr>
                <w:b/>
                <w:color w:val="B40000"/>
                <w:sz w:val="16"/>
              </w:rPr>
              <w:t>-27.69%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7,595</w:t>
            </w:r>
          </w:p>
        </w:tc>
        <w:tc>
          <w:tcPr>
            <w:tcW w:type="dxa" w:w="1417"/>
            <w:shd w:fill="FFFFFF" w:val="clear"/>
          </w:tcPr>
          <w:p>
            <w:r>
              <w:rPr>
                <w:sz w:val="16"/>
              </w:rPr>
              <w:t>5,410</w:t>
            </w:r>
          </w:p>
        </w:tc>
        <w:tc>
          <w:tcPr>
            <w:tcW w:type="dxa" w:w="1134"/>
            <w:shd w:fill="FFC7CE" w:val="clear"/>
          </w:tcPr>
          <w:p>
            <w:r>
              <w:rPr>
                <w:b/>
                <w:color w:val="B40000"/>
                <w:sz w:val="16"/>
              </w:rPr>
              <w:t>-28.77%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2,115</w:t>
            </w:r>
          </w:p>
        </w:tc>
        <w:tc>
          <w:tcPr>
            <w:tcW w:type="dxa" w:w="1417"/>
            <w:shd w:fill="FFFFFF" w:val="clear"/>
          </w:tcPr>
          <w:p>
            <w:r>
              <w:rPr>
                <w:sz w:val="16"/>
              </w:rPr>
              <w:t>1,350</w:t>
            </w:r>
          </w:p>
        </w:tc>
        <w:tc>
          <w:tcPr>
            <w:tcW w:type="dxa" w:w="1134"/>
            <w:shd w:fill="FFC7CE" w:val="clear"/>
          </w:tcPr>
          <w:p>
            <w:r>
              <w:rPr>
                <w:b/>
                <w:color w:val="B40000"/>
                <w:sz w:val="16"/>
              </w:rPr>
              <w:t>-36.18%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5,020</w:t>
            </w:r>
          </w:p>
        </w:tc>
        <w:tc>
          <w:tcPr>
            <w:tcW w:type="dxa" w:w="1417"/>
            <w:shd w:fill="FFFFFF" w:val="clear"/>
          </w:tcPr>
          <w:p>
            <w:r>
              <w:rPr>
                <w:sz w:val="16"/>
              </w:rPr>
              <w:t>3,166</w:t>
            </w:r>
          </w:p>
        </w:tc>
        <w:tc>
          <w:tcPr>
            <w:tcW w:type="dxa" w:w="1134"/>
            <w:shd w:fill="FFC7CE" w:val="clear"/>
          </w:tcPr>
          <w:p>
            <w:r>
              <w:rPr>
                <w:b/>
                <w:color w:val="B40000"/>
                <w:sz w:val="16"/>
              </w:rPr>
              <w:t>-36.94%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28,305</w:t>
            </w:r>
          </w:p>
        </w:tc>
        <w:tc>
          <w:tcPr>
            <w:tcW w:type="dxa" w:w="1417"/>
            <w:shd w:fill="FFFFFF" w:val="clear"/>
          </w:tcPr>
          <w:p>
            <w:r>
              <w:rPr>
                <w:sz w:val="16"/>
              </w:rPr>
              <w:t>17,336</w:t>
            </w:r>
          </w:p>
        </w:tc>
        <w:tc>
          <w:tcPr>
            <w:tcW w:type="dxa" w:w="1134"/>
            <w:shd w:fill="FFC7CE" w:val="clear"/>
          </w:tcPr>
          <w:p>
            <w:r>
              <w:rPr>
                <w:b/>
                <w:color w:val="B40000"/>
                <w:sz w:val="16"/>
              </w:rPr>
              <w:t>-38.75%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2,675</w:t>
            </w:r>
          </w:p>
        </w:tc>
        <w:tc>
          <w:tcPr>
            <w:tcW w:type="dxa" w:w="1417"/>
            <w:shd w:fill="FFFFFF" w:val="clear"/>
          </w:tcPr>
          <w:p>
            <w:r>
              <w:rPr>
                <w:sz w:val="16"/>
              </w:rPr>
              <w:t>1,597</w:t>
            </w:r>
          </w:p>
        </w:tc>
        <w:tc>
          <w:tcPr>
            <w:tcW w:type="dxa" w:w="1134"/>
            <w:shd w:fill="FFC7CE" w:val="clear"/>
          </w:tcPr>
          <w:p>
            <w:r>
              <w:rPr>
                <w:b/>
                <w:color w:val="B40000"/>
                <w:sz w:val="16"/>
              </w:rPr>
              <w:t>-40.29%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-53.97%</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3,550</w:t>
            </w:r>
          </w:p>
        </w:tc>
        <w:tc>
          <w:tcPr>
            <w:tcW w:type="dxa" w:w="1417"/>
            <w:shd w:fill="FFFFFF" w:val="clear"/>
          </w:tcPr>
          <w:p>
            <w:r>
              <w:rPr>
                <w:sz w:val="16"/>
              </w:rPr>
              <w:t>1,628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5,250</w:t>
            </w:r>
          </w:p>
        </w:tc>
        <w:tc>
          <w:tcPr>
            <w:tcW w:type="dxa" w:w="1417"/>
            <w:shd w:fill="FFFFFF" w:val="clear"/>
          </w:tcPr>
          <w:p>
            <w:r>
              <w:rPr>
                <w:sz w:val="16"/>
              </w:rPr>
              <w:t>2,408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3,334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B40000"/>
                <w:sz w:val="17"/>
              </w:rPr>
              <w:t>-11.47%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7.45% (Moyenne) — μ=3,226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β=-0.6825 (Contre-cyclique) — Cov=-0.000025, Var(idx)=0.000036, ρ=-0.119,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2,778</w:t>
            </w:r>
          </w:p>
        </w:tc>
        <w:tc>
          <w:tcPr>
            <w:tcW w:type="dxa" w:w="1440"/>
            <w:shd w:fill="FFDCE0" w:val="clear"/>
          </w:tcPr>
          <w:p>
            <w:r>
              <w:rPr>
                <w:b/>
                <w:sz w:val="17"/>
              </w:rPr>
              <w:t>2,910</w:t>
            </w:r>
          </w:p>
        </w:tc>
        <w:tc>
          <w:tcPr>
            <w:tcW w:type="dxa" w:w="1440"/>
            <w:shd w:fill="FFDCE0" w:val="clear"/>
          </w:tcPr>
          <w:p>
            <w:r>
              <w:rPr>
                <w:sz w:val="17"/>
              </w:rPr>
              <w:t>3,042</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2,710</w:t>
            </w:r>
          </w:p>
        </w:tc>
        <w:tc>
          <w:tcPr>
            <w:tcW w:type="dxa" w:w="1440"/>
            <w:shd w:fill="FFDCE0" w:val="clear"/>
          </w:tcPr>
          <w:p>
            <w:r>
              <w:rPr>
                <w:b/>
                <w:sz w:val="17"/>
              </w:rPr>
              <w:t>2,895</w:t>
            </w:r>
          </w:p>
        </w:tc>
        <w:tc>
          <w:tcPr>
            <w:tcW w:type="dxa" w:w="1440"/>
            <w:shd w:fill="FFDCE0" w:val="clear"/>
          </w:tcPr>
          <w:p>
            <w:r>
              <w:rPr>
                <w:sz w:val="17"/>
              </w:rPr>
              <w:t>3,080</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2,636</w:t>
            </w:r>
          </w:p>
        </w:tc>
        <w:tc>
          <w:tcPr>
            <w:tcW w:type="dxa" w:w="1440"/>
            <w:shd w:fill="FFDCE0" w:val="clear"/>
          </w:tcPr>
          <w:p>
            <w:r>
              <w:rPr>
                <w:b/>
                <w:sz w:val="17"/>
              </w:rPr>
              <w:t>2,860</w:t>
            </w:r>
          </w:p>
        </w:tc>
        <w:tc>
          <w:tcPr>
            <w:tcW w:type="dxa" w:w="1440"/>
            <w:shd w:fill="FFDCE0" w:val="clear"/>
          </w:tcPr>
          <w:p>
            <w:r>
              <w:rPr>
                <w:sz w:val="17"/>
              </w:rPr>
              <w:t>3,085</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2,572</w:t>
            </w:r>
          </w:p>
        </w:tc>
        <w:tc>
          <w:tcPr>
            <w:tcW w:type="dxa" w:w="1440"/>
            <w:shd w:fill="FFDCE0" w:val="clear"/>
          </w:tcPr>
          <w:p>
            <w:r>
              <w:rPr>
                <w:b/>
                <w:sz w:val="17"/>
              </w:rPr>
              <w:t>2,828</w:t>
            </w:r>
          </w:p>
        </w:tc>
        <w:tc>
          <w:tcPr>
            <w:tcW w:type="dxa" w:w="1440"/>
            <w:shd w:fill="FFDCE0" w:val="clear"/>
          </w:tcPr>
          <w:p>
            <w:r>
              <w:rPr>
                <w:sz w:val="17"/>
              </w:rPr>
              <w:t>3,084</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2,515</w:t>
            </w:r>
          </w:p>
        </w:tc>
        <w:tc>
          <w:tcPr>
            <w:tcW w:type="dxa" w:w="1440"/>
            <w:shd w:fill="FFDCE0" w:val="clear"/>
          </w:tcPr>
          <w:p>
            <w:r>
              <w:rPr>
                <w:b/>
                <w:sz w:val="17"/>
              </w:rPr>
              <w:t>2,798</w:t>
            </w:r>
          </w:p>
        </w:tc>
        <w:tc>
          <w:tcPr>
            <w:tcW w:type="dxa" w:w="1440"/>
            <w:shd w:fill="FFDCE0" w:val="clear"/>
          </w:tcPr>
          <w:p>
            <w:r>
              <w:rPr>
                <w:sz w:val="17"/>
              </w:rPr>
              <w:t>3,082</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2,463</w:t>
            </w:r>
          </w:p>
        </w:tc>
        <w:tc>
          <w:tcPr>
            <w:tcW w:type="dxa" w:w="1440"/>
            <w:shd w:fill="FFDCE0" w:val="clear"/>
          </w:tcPr>
          <w:p>
            <w:r>
              <w:rPr>
                <w:b/>
                <w:sz w:val="17"/>
              </w:rPr>
              <w:t>2,771</w:t>
            </w:r>
          </w:p>
        </w:tc>
        <w:tc>
          <w:tcPr>
            <w:tcW w:type="dxa" w:w="1440"/>
            <w:shd w:fill="FFDCE0" w:val="clear"/>
          </w:tcPr>
          <w:p>
            <w:r>
              <w:rPr>
                <w:sz w:val="17"/>
              </w:rPr>
              <w:t>3,078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2,416</w:t>
            </w:r>
          </w:p>
        </w:tc>
        <w:tc>
          <w:tcPr>
            <w:tcW w:type="dxa" w:w="1440"/>
            <w:shd w:fill="FFDCE0" w:val="clear"/>
          </w:tcPr>
          <w:p>
            <w:r>
              <w:rPr>
                <w:b/>
                <w:sz w:val="17"/>
              </w:rPr>
              <w:t>2,745</w:t>
            </w:r>
          </w:p>
        </w:tc>
        <w:tc>
          <w:tcPr>
            <w:tcW w:type="dxa" w:w="1440"/>
            <w:shd w:fill="FFDCE0" w:val="clear"/>
          </w:tcPr>
          <w:p>
            <w:r>
              <w:rPr>
                <w:sz w:val="17"/>
              </w:rPr>
              <w:t>3,074</w:t>
            </w:r>
          </w:p>
        </w:tc>
        <w:tc>
          <w:tcPr>
            <w:tcW w:type="dxa" w:w="1440"/>
            <w:shd w:fill="FFDCE0" w:val="clear"/>
          </w:tcPr>
          <w:p>
            <w:r>
              <w:rPr>
                <w:b/>
                <w:color w:val="C00000"/>
                <w:sz w:val="17"/>
              </w:rPr>
              <w:t>-8.8%</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2,371</w:t>
            </w:r>
          </w:p>
        </w:tc>
        <w:tc>
          <w:tcPr>
            <w:tcW w:type="dxa" w:w="1440"/>
            <w:shd w:fill="FFDCE0" w:val="clear"/>
          </w:tcPr>
          <w:p>
            <w:r>
              <w:rPr>
                <w:b/>
                <w:sz w:val="17"/>
              </w:rPr>
              <w:t>2,720</w:t>
            </w:r>
          </w:p>
        </w:tc>
        <w:tc>
          <w:tcPr>
            <w:tcW w:type="dxa" w:w="1440"/>
            <w:shd w:fill="FFDCE0" w:val="clear"/>
          </w:tcPr>
          <w:p>
            <w:r>
              <w:rPr>
                <w:sz w:val="17"/>
              </w:rPr>
              <w:t>3,068</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2,329</w:t>
            </w:r>
          </w:p>
        </w:tc>
        <w:tc>
          <w:tcPr>
            <w:tcW w:type="dxa" w:w="1440"/>
            <w:shd w:fill="FFDCE0" w:val="clear"/>
          </w:tcPr>
          <w:p>
            <w:r>
              <w:rPr>
                <w:b/>
                <w:sz w:val="17"/>
              </w:rPr>
              <w:t>2,695</w:t>
            </w:r>
          </w:p>
        </w:tc>
        <w:tc>
          <w:tcPr>
            <w:tcW w:type="dxa" w:w="1440"/>
            <w:shd w:fill="FFDCE0" w:val="clear"/>
          </w:tcPr>
          <w:p>
            <w:r>
              <w:rPr>
                <w:sz w:val="17"/>
              </w:rPr>
              <w:t>3,062</w:t>
            </w:r>
          </w:p>
        </w:tc>
        <w:tc>
          <w:tcPr>
            <w:tcW w:type="dxa" w:w="1440"/>
            <w:shd w:fill="FFDCE0" w:val="clear"/>
          </w:tcPr>
          <w:p>
            <w:r>
              <w:rPr>
                <w:b/>
                <w:color w:val="C00000"/>
                <w:sz w:val="17"/>
              </w:rPr>
              <w:t>-10.5%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2,289</w:t>
            </w:r>
          </w:p>
        </w:tc>
        <w:tc>
          <w:tcPr>
            <w:tcW w:type="dxa" w:w="1440"/>
            <w:shd w:fill="FFDCE0" w:val="clear"/>
          </w:tcPr>
          <w:p>
            <w:r>
              <w:rPr>
                <w:b/>
                <w:sz w:val="17"/>
              </w:rPr>
              <w:t>2,672</w:t>
            </w:r>
          </w:p>
        </w:tc>
        <w:tc>
          <w:tcPr>
            <w:tcW w:type="dxa" w:w="1440"/>
            <w:shd w:fill="FFDCE0" w:val="clear"/>
          </w:tcPr>
          <w:p>
            <w:r>
              <w:rPr>
                <w:sz w:val="17"/>
              </w:rPr>
              <w:t>3,055</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32,85 milliards FCFA, un niveau significatif pour une valeur de la BRVM, reflétant une reconnaissance certaine du marché pour ce leader des services aéroportuaires. Le BPA de 124 FCFA indique que chaque action génère un bénéfice net de ce montant, mais le PER de 24,3x est très élevé par rapport à la moyenne historique de la BRVM (8-12x). Les investisseurs paient donc une prime substantielle pour chaque franc de bénéfice, ce qui suggère soit des attentes de croissance future importantes, soit une surévaluation relative. Le P/B de 6,37x confirme cette exigeance, le marché valorisant le titre bien au-delà de sa valeur comptable (6,37 fois), ce qui est caractéristique des valeurs de croissance ou des situations de rareté. Enfin, l'EV/EBITDA de 12,2x, bien que dans la fourchette haute (10-15x), indique que la valeur totale de l'entreprise (capitalisation + dette nette) reste cohérente avec sa capacité à générer du résultat opérationnel,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 enregistré une baisse de 11,47%, passant de ses plus hauts à un cours actuel de 3 010 FCFA, avec une variation de +7,50% lors de la dernière séance, suggérant un rebond technique après une période de faiblesse. Le cours a évolué dans une fourchette large de 980 FCFA, entre un plus bas de 2 800 FCFA et un plus haut de 3 780 FCFA, illustrant une forte amplitude de trading. La moyenne (3 226 FCFA) et la médiane (3 215 FCFA) sont très proches, indiquant une distribution des prix relativement symétrique, ce que confirme le skewness de 0,194. L'écart-type de 241 FCFA, avec un coefficient de variation de 7,5%, montre une dispersion modérée autour de la moyenne. Le kurtosis de -0,824 (mésokurtique) indique l'absence de queues de distribution épaisses, donc un faible risque de variations extrêmes. La volatilité annualisée de 54,3% est très élevée (&gt;30%), signalant un titre particulièrement risqué pour les investisseurs à court terme, malgré une distribution statistique normale.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(3 010 FCFA) est inférieur à la MM20 (3 047,5 FCFA) et nettement sous la MM50 (3 163,7 FCFA). Cette configuration baissière, où les moyennes agissent comme des résistances dynamiques, justifie la décision de Vente. La tendance de fond reste négative tant que le cours ne reprend pas ces niveaux.</w:t>
      </w:r>
    </w:p>
    <w:p>
      <w:pPr>
        <w:spacing w:after="120" w:line="276" w:lineRule="auto"/>
      </w:pPr>
      <w:r>
        <w:t>**Bandes de Bollinger** : Le prix se situe dans la partie inférieure des bandes, entre la borne inférieure (2 847,5 FCFA) et la moyenne mobile. La décision est Neutre, mais la position du cours proche de la borne basse suggère que le titre est proche de conditions de survente, ce qui pourrait précéder un rebond technique, comme semble l'indiquer la hausse de la dernière séance.</w:t>
      </w:r>
    </w:p>
    <w:p>
      <w:pPr>
        <w:spacing w:after="120" w:line="276" w:lineRule="auto"/>
      </w:pPr>
      <w:r>
        <w:t>**MACD** : Le MACD (-56,4) est négatif et inférieur à sa ligne de signal (-44,4), confirmant un momentum baissier. La décision de Vente est justifiée par cette divergence négative qui indique que la pression vendeuse reste dominante à moyen terme, malgré le récent rebond du prix.</w:t>
      </w:r>
    </w:p>
    <w:p>
      <w:pPr>
        <w:spacing w:after="120" w:line="276" w:lineRule="auto"/>
      </w:pPr>
      <w:r>
        <w:t>**RSI** : Le RSI de 51,1 est en zone neutre (30-70), indiquant un équilibre entre les forces acheteuses et vendeuses. Cette neutralité suggère que le récent rebond de +7,5% n'a pas encore créé de conditions de surachat, laissant une marge de progression potentielle avant une éventuelle résistance.</w:t>
      </w:r>
    </w:p>
    <w:p>
      <w:pPr>
        <w:spacing w:after="120" w:line="276" w:lineRule="auto"/>
      </w:pPr>
      <w:r>
        <w:t>**Stochastique** : Le %K (55,2) est nettement supérieur au %D (25,6), formant un croisement haussier. Cette configuration, bien que la décision soit Neutre, est un signal précoce de retournement haussier, indiquant que le mouvement de reprise pourrait se poursuivre à très court terme.</w:t>
      </w:r>
    </w:p>
    <w:p>
      <w:pPr>
        <w:spacing w:after="120" w:line="276" w:lineRule="auto"/>
      </w:pPr>
      <w:r>
        <w:t>**Conclusion technique** : Les indicateurs de tendance (MM, MACD) sont baissiers, tandis que les oscillateurs (RSI, Stochastique) montrent des signes de stabilisation et de potentiel rebond. Cette divergence suggère une phase de consolidation. La tendance de fond reste négative, mais un rebond technique est en cours, qui pourrait ramener le cours vers la MM20 à 3 047 FCFA.</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ABJC a réalisé un chiffre d'affaires de 13,298 milliards FCFA, en croissance de 6,67%, avec un résultat net de 1,351 milliard FCFA, soit une marge nette de 10,16%. La rentabilité des fonds propres (ROE) est excellente à 26,18%, et le ROA de 14,64% témoigne d'une gestion efficace des actifs. La structure financière est très saine avec une autonomie financière de 55,92% et une trésorerie nette positive de 4,035 milliards FCFA. Le BFR est favorable à 257 millions FCFA, mais le délai de paiement des clients (70 jours) est élevé, ce qui représente un risque de trésorerie à surveiller. Les rapports trimestriels de 2025 montrent une trajectoire contrastée : le T1 a été marqué par un litige avec la BCEAO (baisse du résultat net de -6,8%), mais le T3 a connu un fort redressement (résultat net en hausse de +17,1%). Cependant, le rapport du T1 2026 (daté de 2026) est alarmant : le résultat net a chuté de 35,6% à 222,6 millions FCFA, impacté par des ajustements de redevances aéroportuaires. Sur la base de ce T1 2026, on estime que le résultat net annuel 2026 pourrait se situer autour de 900 millions à 1 milliard FCFA, en nette baisse par rapport à 2025. La solidité bilancielle et la position de leader restent des atouts, mais la dégradation récente de la rentabilité et les incertitudes réglementaires constituent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d'ABJC (PER 24,3x, P/B 6,37x) est exigeante et ne laisse que peu de marge d'erreur, surtout face à une dégradation des fondamentaux. Le comportement du cours sur 100 jours est baissier (-11,47%) avec une volatilité très élevée (54,3%), mais les statistiques montrent une distribution normale, sans risque de krach statistique. Les signaux techniques sont partagés : tendance baissière (MM, MACD) mais oscillateurs en phase de rebond (RSI, Stochastique), suggérant une stabilisation à court terme. Les fondamentaux, bien que solides en 2025 (ROE 26%, CA en hausse), se détériorent nettement en 2026 (résultat net T1 en chute de -35,6%), ce qui justifie la prudence. Les prédictions IA pour les 10 prochains jours (baisse de 3 010 à 2 798 FCFA) confirment la tendance baissière et contredisent le signal de rebond technique. En synthèse, la convergence entre la valorisation élevée, la dégradation des résultats et les prédictions baissières l'emporte sur les signaux techniques de court terme. **Recommandation : VENTE.** Niveau de confiance : Moyen. Risque global : Élevé. Horizon d'investissement optimal : court terme (&lt;3 mois), avec un stop-loss strict si le cours repasse au-dessus de 3 100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8,474 titres</w:t>
            </w:r>
          </w:p>
        </w:tc>
        <w:tc>
          <w:tcPr>
            <w:tcW w:type="dxa" w:w="2268"/>
            <w:shd w:fill="FFF2CC" w:val="clear"/>
          </w:tcPr>
          <w:p>
            <w:r>
              <w:rPr>
                <w:b/>
                <w:color w:val="503200"/>
                <w:sz w:val="16"/>
              </w:rPr>
              <w:t xml:space="preserve">Cours actuel : </w:t>
            </w:r>
            <w:r>
              <w:rPr>
                <w:color w:val="000000"/>
                <w:sz w:val="17"/>
              </w:rPr>
              <w:t>7,595 FCFA</w:t>
            </w:r>
          </w:p>
          <w:p>
            <w:r>
              <w:rPr>
                <w:b/>
                <w:color w:val="503200"/>
                <w:sz w:val="16"/>
              </w:rPr>
              <w:t xml:space="preserve">Var. 100 jours : </w:t>
            </w:r>
            <w:r>
              <w:rPr>
                <w:b/>
                <w:color w:val="007800"/>
                <w:sz w:val="17"/>
              </w:rPr>
              <w:t>+46.06%</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μ=5,731 FCFA, σ=783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β=0.4841 (Défensif) — Cov=0.000018, Var(idx)=0.000036, ρ=0.159,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6,736</w:t>
            </w:r>
          </w:p>
        </w:tc>
        <w:tc>
          <w:tcPr>
            <w:tcW w:type="dxa" w:w="1440"/>
            <w:shd w:fill="FFDCE0" w:val="clear"/>
          </w:tcPr>
          <w:p>
            <w:r>
              <w:rPr>
                <w:b/>
                <w:sz w:val="17"/>
              </w:rPr>
              <w:t>7,025</w:t>
            </w:r>
          </w:p>
        </w:tc>
        <w:tc>
          <w:tcPr>
            <w:tcW w:type="dxa" w:w="1440"/>
            <w:shd w:fill="FFDCE0" w:val="clear"/>
          </w:tcPr>
          <w:p>
            <w:r>
              <w:rPr>
                <w:sz w:val="17"/>
              </w:rPr>
              <w:t>7,314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6,120</w:t>
            </w:r>
          </w:p>
        </w:tc>
        <w:tc>
          <w:tcPr>
            <w:tcW w:type="dxa" w:w="1440"/>
            <w:shd w:fill="FFDCE0" w:val="clear"/>
          </w:tcPr>
          <w:p>
            <w:r>
              <w:rPr>
                <w:b/>
                <w:sz w:val="17"/>
              </w:rPr>
              <w:t>6,498</w:t>
            </w:r>
          </w:p>
        </w:tc>
        <w:tc>
          <w:tcPr>
            <w:tcW w:type="dxa" w:w="1440"/>
            <w:shd w:fill="FFDCE0" w:val="clear"/>
          </w:tcPr>
          <w:p>
            <w:r>
              <w:rPr>
                <w:sz w:val="17"/>
              </w:rPr>
              <w:t>6,877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5,701</w:t>
            </w:r>
          </w:p>
        </w:tc>
        <w:tc>
          <w:tcPr>
            <w:tcW w:type="dxa" w:w="1440"/>
            <w:shd w:fill="FFDCE0" w:val="clear"/>
          </w:tcPr>
          <w:p>
            <w:r>
              <w:rPr>
                <w:b/>
                <w:sz w:val="17"/>
              </w:rPr>
              <w:t>6,138</w:t>
            </w:r>
          </w:p>
        </w:tc>
        <w:tc>
          <w:tcPr>
            <w:tcW w:type="dxa" w:w="1440"/>
            <w:shd w:fill="FFDCE0" w:val="clear"/>
          </w:tcPr>
          <w:p>
            <w:r>
              <w:rPr>
                <w:sz w:val="17"/>
              </w:rPr>
              <w:t>6,575</w:t>
            </w:r>
          </w:p>
        </w:tc>
        <w:tc>
          <w:tcPr>
            <w:tcW w:type="dxa" w:w="1440"/>
            <w:shd w:fill="FFDCE0" w:val="clear"/>
          </w:tcPr>
          <w:p>
            <w:r>
              <w:rPr>
                <w:b/>
                <w:color w:val="C00000"/>
                <w:sz w:val="17"/>
              </w:rPr>
              <w:t>-19.2%</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5,497</w:t>
            </w:r>
          </w:p>
        </w:tc>
        <w:tc>
          <w:tcPr>
            <w:tcW w:type="dxa" w:w="1440"/>
            <w:shd w:fill="FFDCE0" w:val="clear"/>
          </w:tcPr>
          <w:p>
            <w:r>
              <w:rPr>
                <w:b/>
                <w:sz w:val="17"/>
              </w:rPr>
              <w:t>5,990</w:t>
            </w:r>
          </w:p>
        </w:tc>
        <w:tc>
          <w:tcPr>
            <w:tcW w:type="dxa" w:w="1440"/>
            <w:shd w:fill="FFDCE0" w:val="clear"/>
          </w:tcPr>
          <w:p>
            <w:r>
              <w:rPr>
                <w:sz w:val="17"/>
              </w:rPr>
              <w:t>6,483</w:t>
            </w:r>
          </w:p>
        </w:tc>
        <w:tc>
          <w:tcPr>
            <w:tcW w:type="dxa" w:w="1440"/>
            <w:shd w:fill="FFDCE0" w:val="clear"/>
          </w:tcPr>
          <w:p>
            <w:r>
              <w:rPr>
                <w:b/>
                <w:color w:val="C00000"/>
                <w:sz w:val="17"/>
              </w:rPr>
              <w:t>-21.1%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5,319</w:t>
            </w:r>
          </w:p>
        </w:tc>
        <w:tc>
          <w:tcPr>
            <w:tcW w:type="dxa" w:w="1440"/>
            <w:shd w:fill="FFDCE0" w:val="clear"/>
          </w:tcPr>
          <w:p>
            <w:r>
              <w:rPr>
                <w:b/>
                <w:sz w:val="17"/>
              </w:rPr>
              <w:t>5,858</w:t>
            </w:r>
          </w:p>
        </w:tc>
        <w:tc>
          <w:tcPr>
            <w:tcW w:type="dxa" w:w="1440"/>
            <w:shd w:fill="FFDCE0" w:val="clear"/>
          </w:tcPr>
          <w:p>
            <w:r>
              <w:rPr>
                <w:sz w:val="17"/>
              </w:rPr>
              <w:t>6,396</w:t>
            </w:r>
          </w:p>
        </w:tc>
        <w:tc>
          <w:tcPr>
            <w:tcW w:type="dxa" w:w="1440"/>
            <w:shd w:fill="FFDCE0" w:val="clear"/>
          </w:tcPr>
          <w:p>
            <w:r>
              <w:rPr>
                <w:b/>
                <w:color w:val="C00000"/>
                <w:sz w:val="17"/>
              </w:rPr>
              <w:t>-22.9%</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5,163</w:t>
            </w:r>
          </w:p>
        </w:tc>
        <w:tc>
          <w:tcPr>
            <w:tcW w:type="dxa" w:w="1440"/>
            <w:shd w:fill="FFDCE0" w:val="clear"/>
          </w:tcPr>
          <w:p>
            <w:r>
              <w:rPr>
                <w:b/>
                <w:sz w:val="17"/>
              </w:rPr>
              <w:t>5,741</w:t>
            </w:r>
          </w:p>
        </w:tc>
        <w:tc>
          <w:tcPr>
            <w:tcW w:type="dxa" w:w="1440"/>
            <w:shd w:fill="FFDCE0" w:val="clear"/>
          </w:tcPr>
          <w:p>
            <w:r>
              <w:rPr>
                <w:sz w:val="17"/>
              </w:rPr>
              <w:t>6,320</w:t>
            </w:r>
          </w:p>
        </w:tc>
        <w:tc>
          <w:tcPr>
            <w:tcW w:type="dxa" w:w="1440"/>
            <w:shd w:fill="FFDCE0" w:val="clear"/>
          </w:tcPr>
          <w:p>
            <w:r>
              <w:rPr>
                <w:b/>
                <w:color w:val="C00000"/>
                <w:sz w:val="17"/>
              </w:rPr>
              <w:t>-24.4%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5,026</w:t>
            </w:r>
          </w:p>
        </w:tc>
        <w:tc>
          <w:tcPr>
            <w:tcW w:type="dxa" w:w="1440"/>
            <w:shd w:fill="FFDCE0" w:val="clear"/>
          </w:tcPr>
          <w:p>
            <w:r>
              <w:rPr>
                <w:b/>
                <w:sz w:val="17"/>
              </w:rPr>
              <w:t>5,640</w:t>
            </w:r>
          </w:p>
        </w:tc>
        <w:tc>
          <w:tcPr>
            <w:tcW w:type="dxa" w:w="1440"/>
            <w:shd w:fill="FFDCE0" w:val="clear"/>
          </w:tcPr>
          <w:p>
            <w:r>
              <w:rPr>
                <w:sz w:val="17"/>
              </w:rPr>
              <w:t>6,254</w:t>
            </w:r>
          </w:p>
        </w:tc>
        <w:tc>
          <w:tcPr>
            <w:tcW w:type="dxa" w:w="1440"/>
            <w:shd w:fill="FFDCE0" w:val="clear"/>
          </w:tcPr>
          <w:p>
            <w:r>
              <w:rPr>
                <w:b/>
                <w:color w:val="C00000"/>
                <w:sz w:val="17"/>
              </w:rPr>
              <w:t>-25.7%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4,906</w:t>
            </w:r>
          </w:p>
        </w:tc>
        <w:tc>
          <w:tcPr>
            <w:tcW w:type="dxa" w:w="1440"/>
            <w:shd w:fill="FFDCE0" w:val="clear"/>
          </w:tcPr>
          <w:p>
            <w:r>
              <w:rPr>
                <w:b/>
                <w:sz w:val="17"/>
              </w:rPr>
              <w:t>5,552</w:t>
            </w:r>
          </w:p>
        </w:tc>
        <w:tc>
          <w:tcPr>
            <w:tcW w:type="dxa" w:w="1440"/>
            <w:shd w:fill="FFDCE0" w:val="clear"/>
          </w:tcPr>
          <w:p>
            <w:r>
              <w:rPr>
                <w:sz w:val="17"/>
              </w:rPr>
              <w:t>6,198</w:t>
            </w:r>
          </w:p>
        </w:tc>
        <w:tc>
          <w:tcPr>
            <w:tcW w:type="dxa" w:w="1440"/>
            <w:shd w:fill="FFDCE0" w:val="clear"/>
          </w:tcPr>
          <w:p>
            <w:r>
              <w:rPr>
                <w:b/>
                <w:color w:val="C00000"/>
                <w:sz w:val="17"/>
              </w:rPr>
              <w:t>-26.9%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4,800</w:t>
            </w:r>
          </w:p>
        </w:tc>
        <w:tc>
          <w:tcPr>
            <w:tcW w:type="dxa" w:w="1440"/>
            <w:shd w:fill="FFDCE0" w:val="clear"/>
          </w:tcPr>
          <w:p>
            <w:r>
              <w:rPr>
                <w:b/>
                <w:sz w:val="17"/>
              </w:rPr>
              <w:t>5,476</w:t>
            </w:r>
          </w:p>
        </w:tc>
        <w:tc>
          <w:tcPr>
            <w:tcW w:type="dxa" w:w="1440"/>
            <w:shd w:fill="FFDCE0" w:val="clear"/>
          </w:tcPr>
          <w:p>
            <w:r>
              <w:rPr>
                <w:sz w:val="17"/>
              </w:rPr>
              <w:t>6,152</w:t>
            </w:r>
          </w:p>
        </w:tc>
        <w:tc>
          <w:tcPr>
            <w:tcW w:type="dxa" w:w="1440"/>
            <w:shd w:fill="FFDCE0" w:val="clear"/>
          </w:tcPr>
          <w:p>
            <w:r>
              <w:rPr>
                <w:b/>
                <w:color w:val="C00000"/>
                <w:sz w:val="17"/>
              </w:rPr>
              <w:t>-27.9%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4,706</w:t>
            </w:r>
          </w:p>
        </w:tc>
        <w:tc>
          <w:tcPr>
            <w:tcW w:type="dxa" w:w="1440"/>
            <w:shd w:fill="FFDCE0" w:val="clear"/>
          </w:tcPr>
          <w:p>
            <w:r>
              <w:rPr>
                <w:b/>
                <w:sz w:val="17"/>
              </w:rPr>
              <w:t>5,410</w:t>
            </w:r>
          </w:p>
        </w:tc>
        <w:tc>
          <w:tcPr>
            <w:tcW w:type="dxa" w:w="1440"/>
            <w:shd w:fill="FFDCE0" w:val="clear"/>
          </w:tcPr>
          <w:p>
            <w:r>
              <w:rPr>
                <w:sz w:val="17"/>
              </w:rPr>
              <w:t>6,114</w:t>
            </w:r>
          </w:p>
        </w:tc>
        <w:tc>
          <w:tcPr>
            <w:tcW w:type="dxa" w:w="1440"/>
            <w:shd w:fill="FFDCE0" w:val="clear"/>
          </w:tcPr>
          <w:p>
            <w:r>
              <w:rPr>
                <w:b/>
                <w:color w:val="C00000"/>
                <w:sz w:val="17"/>
              </w:rPr>
              <w:t>-28.8%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 10 août 2026 | Cours : 7 595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438,69 milliards FCFA, un niveau qui la positionne parmi les poids lourds de la BRVM, reflétant l'importance systémique de la banque dans la zone UEMOA. Avec un BPA de 627 FCFA, chaque action génère un bénéfice substantiel, justifiant un PER de 12,1x, légèrement supérieur à la moyenne historique du marché (8-12x), ce qui indique que les investisseurs acceptent de payer une prime modérée pour la qualité de l'actif. Le P/B de 3,25x confirme cette prime, le marché valorisant la banque bien au-dessus de sa valeur comptable, signe d'une confiance dans sa capacité à générer de la croissance future. En revanche, l'EV/EBITDA de 22,8x apparaît très exigeant, signalant que la valeur totale de l'entreprise (dette incluse) est élevée par rapport à sa capacité opérationnelle, ce qui pourrait limiter le potentiel de hausse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+46,06%, avec une dernière séance en hausse de +1,27% à 7 595 FCFA. Le titre a évolué dans une fourchette large de 5 000 à 7 850 FCFA, démontrant une dynamique haussière soutenue. La moyenne du cours sur la période (5 731 FCFA) est nettement supérieure à la médiane (5 308 FCFA), et le mode (5 200 FCFA) est encore plus bas, ce qui révèle une distribution fortement asymétrique (skewness de 1,369) : la majorité des séances se sont déroulées à des niveaux inférieurs à la moyenne, mais quelques fortes progressions récentes ont tiré le cours vers le haut. L'écart-type de 787 FCFA (CV de 13,7%) indique une dispersion modérée, tandis que le kurtosis de 0,761 (mésokurtique) suggère l'absence de risques de pics extrêmes. La volatilité annualisée de 28,8% classe le titre dans la catégorie "élevée" (&gt;30% étant le seuil), ce qui implique des fluctuations significatives et un risque de marché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(7 595 FCFA) se situe nettement au-dessus de la MM20 (7 072,5 FCFA) et de la MM50 (6 286,2 FCFA), confirmant une tendance haussière solide à court et moyen terme. La configuration des moyennes mobiles (MM20 &gt; MM50) valide la dynamique positive, d'où un signal d'**Achat**.</w:t>
      </w:r>
    </w:p>
    <w:p>
      <w:pPr>
        <w:spacing w:after="120" w:line="276" w:lineRule="auto"/>
      </w:pPr>
      <w:r>
        <w:t>**Bandes de Bollinger :** Le prix évolue entre la borne supérieure (8 240,9 FCFA) et la borne inférieure (5 904,1 FCFA), se positionnant dans la moitié haute du canal. Cette position suggère une pression acheteuse persistante sans atteindre des niveaux de surachat extrême, justifiant une décision **Neutre**.</w:t>
      </w:r>
    </w:p>
    <w:p>
      <w:pPr>
        <w:spacing w:after="120" w:line="276" w:lineRule="auto"/>
      </w:pPr>
      <w:r>
        <w:t>**MACD :** Le MACD (420,71) est supérieur à sa ligne de signal (412,73), indiquant un momentum haussier positif. La divergence positive entre les deux lignes confirme la poursuite de la tendance haussière, d'où un signal d'**Achat**.</w:t>
      </w:r>
    </w:p>
    <w:p>
      <w:pPr>
        <w:spacing w:after="120" w:line="276" w:lineRule="auto"/>
      </w:pPr>
      <w:r>
        <w:t>**RSI :** Le RSI s'établit à 75,75, dépassant le seuil de surachat (70). Cette valeur signale que le titre est techniquement survendu, ce qui pourrait précéder un repli ou une consolidation à court terme. La décision est donc **Vente**.</w:t>
      </w:r>
    </w:p>
    <w:p>
      <w:pPr>
        <w:spacing w:after="120" w:line="276" w:lineRule="auto"/>
      </w:pPr>
      <w:r>
        <w:t>**Stochastique :** Le %K (81,79) et le %D (82,96) sont tous deux en zone de surachat (&gt;80), avec un %D supérieur au %K, indiquant un possible retournement baissier imminent. La décision est **Vente**.</w:t>
      </w:r>
    </w:p>
    <w:p>
      <w:pPr>
        <w:spacing w:after="120" w:line="276" w:lineRule="auto"/>
      </w:pPr>
      <w:r>
        <w:t>**Conclusion technique :** Les indicateurs de tendance (MM, MACD) sont résolument haussiers, mais les oscillateurs de momentum (RSI, Stochastique) signalent des conditions de surachat extrême. Cette divergence suggère qu'un repli technique est probable à court terme, bien que la tendance de fond reste positive. Les investisseurs devraient surveiller un éventuel retour vers la zone des 7 000-7 200 FCFA comme point d'entrée potentiel.</w:t>
      </w:r>
    </w:p>
    <w:p>
      <w:pPr>
        <w:spacing w:after="120" w:line="276" w:lineRule="auto"/>
      </w:pPr>
      <w:r>
        <w:t>---</w:t>
      </w:r>
    </w:p>
    <w:p>
      <w:pPr>
        <w:spacing w:after="120" w:line="276" w:lineRule="auto"/>
      </w:pPr>
      <w:r>
        <w:t>### PARTIE 3 : ANALYSE FONDAMENTALE (SECTION CRITIQUE)</w:t>
      </w:r>
    </w:p>
    <w:p>
      <w:pPr>
        <w:spacing w:after="120" w:line="276" w:lineRule="auto"/>
      </w:pPr>
      <w:r>
        <w:t>En 2025, BICB (BIIC Bénin) affiche des états financiers solides : le Produit Net Bancaire (PNB) s'établit à 52,805 milliards FCFA, en hausse de 16,5% par rapport à 2024, tandis que le résultat net progresse de 24,7% pour atteindre 36,237 milliards FCFA. La banque démontre une excellente rentabilité avec un ROE de 26,8% et un ROA de 1,96%, largement supérieurs aux normes du secteur. Le coefficient d'exploitation de 31,1% témoigne d'une efficacité opérationnelle remarquable (bien en dessous du seuil de 60%), et le coût du risque de 9,6% reste maîtrisé malgré une expansion rapide des crédits (+37,3% à 1 151,5 milliards FCFA). Les dépôts clientèle (1 181,0 milliards FCFA) couvrent intégralement les crédits, avec un ratio de transformation de 97,5%, signe d'une gestion prudente de la liquidité. Les rapports trimestriels 2025 confirment cette dynamique : le T3 2025 montre un PNB en hausse de 26% à 35,9 milliards FCFA, mais un résultat net en recul de 9% à 13,1 milliards FCFA en raison d'un provisionnement prudent. Le T1 2026 est particulièrement encourageant avec un PNB de 14,6 milliards FCFA (+35%) et un résultat net de 8,0 milliards FCFA (+48%), suggérant une accélération de la croissance pour l'exercice en cours. On estime que le PNB 2026 pourrait dépasser 60 milliards FCFA et le résultat net 40 milliards FCFA si cette tendance se maintient. La solidité financière est confortée par des capitaux propres de 135,1 milliards FCFA et un ratio de solvabilité de 19,64%, bien au-dessus des exigences réglementaires. Les risques principaux identifiés par les commissaires aux comptes (rapport du 12 juin 2026) concernent la qualité du portefeuille de crédits en forte croissance et les faiblesses du système d'information, mais la banque a réussi sa transition IFRS avec un impact initial de -10,4 milliards FCFA sur les capitaux propres d'ouverture, désormais intégré.</w:t>
      </w:r>
    </w:p>
    <w:p>
      <w:pPr>
        <w:spacing w:after="120" w:line="276" w:lineRule="auto"/>
      </w:pPr>
      <w:r>
        <w:t>---</w:t>
      </w:r>
    </w:p>
    <w:p>
      <w:pPr>
        <w:spacing w:after="120" w:line="276" w:lineRule="auto"/>
      </w:pPr>
      <w:r>
        <w:t>### PARTIE 4 : CONCLUSION D'INVESTISSEMENT</w:t>
      </w:r>
    </w:p>
    <w:p>
      <w:pPr>
        <w:spacing w:after="120" w:line="276" w:lineRule="auto"/>
      </w:pPr>
      <w:r>
        <w:t>La valorisation de BICB (PER 12,1x, P/B 3,25x) indique une prime de croissance justifiée par des fondamentaux exceptionnels, bien que l'EV/EBITDA de 22,8x suggère une certaine exigence de performance future. Le comportement du cours (+46% sur 100 jours) reflète une confiance croissante des investisseurs, mais la volatilité élevée (28,8%) et l'asymétrie positive (skewness 1,369) appellent à la prudence. Les signaux techniques sont mitigés : la tendance reste haussière (MM, MACD), mais les oscillateurs (RSI 75,7, Stochastique 82) signalent un surachat imminent. Les fondamentaux sont indiscutablement solides avec un ROE de 26,8%, une croissance du PNB de 16,5% en 2025 et une accélération au T1 2026 (+35%). Les prédictions IA (7 025 à 5 858 FCFA sur 10 jours) anticipent un repli significatif, contredisant la tendance actuelle mais cohérent avec les signaux de surachat technique. **Recommandation : CONSERVER** — les investisseurs devraient maintenir leurs positions, en attendant un repli technique vers 6 500-7 000 FCFA pour renforcer. **Niveau de confiance : Moyen** (divergence entre fondamentaux solides et signaux techniques de court terme). **Risque global : Moyen** (volatilité élevée, mais solidité financière rassurante). **Horizon optimal : Moyen terme (3-12 mois)** pour bénéficier de la croissance projetée sans subir la correction technique anticipée.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785 titres</w:t>
            </w:r>
          </w:p>
        </w:tc>
        <w:tc>
          <w:tcPr>
            <w:tcW w:type="dxa" w:w="2268"/>
            <w:shd w:fill="FFF2CC" w:val="clear"/>
          </w:tcPr>
          <w:p>
            <w:r>
              <w:rPr>
                <w:b/>
                <w:color w:val="503200"/>
                <w:sz w:val="16"/>
              </w:rPr>
              <w:t xml:space="preserve">Cours actuel : </w:t>
            </w:r>
            <w:r>
              <w:rPr>
                <w:color w:val="000000"/>
                <w:sz w:val="17"/>
              </w:rPr>
              <w:t>29,100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μ=26,840 FCFA, σ=1,952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β=0.6811 (Défensif) — Cov=0.000025, Var(idx)=0.000036, ρ=0.213,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27,512</w:t>
            </w:r>
          </w:p>
        </w:tc>
        <w:tc>
          <w:tcPr>
            <w:tcW w:type="dxa" w:w="1440"/>
            <w:shd w:fill="FFDCE0" w:val="clear"/>
          </w:tcPr>
          <w:p>
            <w:r>
              <w:rPr>
                <w:b/>
                <w:sz w:val="17"/>
              </w:rPr>
              <w:t>28,348</w:t>
            </w:r>
          </w:p>
        </w:tc>
        <w:tc>
          <w:tcPr>
            <w:tcW w:type="dxa" w:w="1440"/>
            <w:shd w:fill="FFDCE0" w:val="clear"/>
          </w:tcPr>
          <w:p>
            <w:r>
              <w:rPr>
                <w:sz w:val="17"/>
              </w:rPr>
              <w:t>29,183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26,928</w:t>
            </w:r>
          </w:p>
        </w:tc>
        <w:tc>
          <w:tcPr>
            <w:tcW w:type="dxa" w:w="1440"/>
            <w:shd w:fill="FFDCE0" w:val="clear"/>
          </w:tcPr>
          <w:p>
            <w:r>
              <w:rPr>
                <w:b/>
                <w:sz w:val="17"/>
              </w:rPr>
              <w:t>28,099</w:t>
            </w:r>
          </w:p>
        </w:tc>
        <w:tc>
          <w:tcPr>
            <w:tcW w:type="dxa" w:w="1440"/>
            <w:shd w:fill="FFDCE0" w:val="clear"/>
          </w:tcPr>
          <w:p>
            <w:r>
              <w:rPr>
                <w:sz w:val="17"/>
              </w:rPr>
              <w:t>29,270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26,387</w:t>
            </w:r>
          </w:p>
        </w:tc>
        <w:tc>
          <w:tcPr>
            <w:tcW w:type="dxa" w:w="1440"/>
            <w:shd w:fill="FFDCE0" w:val="clear"/>
          </w:tcPr>
          <w:p>
            <w:r>
              <w:rPr>
                <w:b/>
                <w:sz w:val="17"/>
              </w:rPr>
              <w:t>27,806</w:t>
            </w:r>
          </w:p>
        </w:tc>
        <w:tc>
          <w:tcPr>
            <w:tcW w:type="dxa" w:w="1440"/>
            <w:shd w:fill="FFDCE0" w:val="clear"/>
          </w:tcPr>
          <w:p>
            <w:r>
              <w:rPr>
                <w:sz w:val="17"/>
              </w:rPr>
              <w:t>29,226</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25,913</w:t>
            </w:r>
          </w:p>
        </w:tc>
        <w:tc>
          <w:tcPr>
            <w:tcW w:type="dxa" w:w="1440"/>
            <w:shd w:fill="FFDCE0" w:val="clear"/>
          </w:tcPr>
          <w:p>
            <w:r>
              <w:rPr>
                <w:b/>
                <w:sz w:val="17"/>
              </w:rPr>
              <w:t>27,536</w:t>
            </w:r>
          </w:p>
        </w:tc>
        <w:tc>
          <w:tcPr>
            <w:tcW w:type="dxa" w:w="1440"/>
            <w:shd w:fill="FFDCE0" w:val="clear"/>
          </w:tcPr>
          <w:p>
            <w:r>
              <w:rPr>
                <w:sz w:val="17"/>
              </w:rPr>
              <w:t>29,160</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25,490</w:t>
            </w:r>
          </w:p>
        </w:tc>
        <w:tc>
          <w:tcPr>
            <w:tcW w:type="dxa" w:w="1440"/>
            <w:shd w:fill="FFDCE0" w:val="clear"/>
          </w:tcPr>
          <w:p>
            <w:r>
              <w:rPr>
                <w:b/>
                <w:sz w:val="17"/>
              </w:rPr>
              <w:t>27,288</w:t>
            </w:r>
          </w:p>
        </w:tc>
        <w:tc>
          <w:tcPr>
            <w:tcW w:type="dxa" w:w="1440"/>
            <w:shd w:fill="FFDCE0" w:val="clear"/>
          </w:tcPr>
          <w:p>
            <w:r>
              <w:rPr>
                <w:sz w:val="17"/>
              </w:rPr>
              <w:t>29,087</w:t>
            </w:r>
          </w:p>
        </w:tc>
        <w:tc>
          <w:tcPr>
            <w:tcW w:type="dxa" w:w="1440"/>
            <w:shd w:fill="FFDCE0" w:val="clear"/>
          </w:tcPr>
          <w:p>
            <w:r>
              <w:rPr>
                <w:b/>
                <w:color w:val="C00000"/>
                <w:sz w:val="17"/>
              </w:rPr>
              <w:t>-6.2%</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25,100</w:t>
            </w:r>
          </w:p>
        </w:tc>
        <w:tc>
          <w:tcPr>
            <w:tcW w:type="dxa" w:w="1440"/>
            <w:shd w:fill="FFDCE0" w:val="clear"/>
          </w:tcPr>
          <w:p>
            <w:r>
              <w:rPr>
                <w:b/>
                <w:sz w:val="17"/>
              </w:rPr>
              <w:t>27,053</w:t>
            </w:r>
          </w:p>
        </w:tc>
        <w:tc>
          <w:tcPr>
            <w:tcW w:type="dxa" w:w="1440"/>
            <w:shd w:fill="FFDCE0" w:val="clear"/>
          </w:tcPr>
          <w:p>
            <w:r>
              <w:rPr>
                <w:sz w:val="17"/>
              </w:rPr>
              <w:t>29,006</w:t>
            </w:r>
          </w:p>
        </w:tc>
        <w:tc>
          <w:tcPr>
            <w:tcW w:type="dxa" w:w="1440"/>
            <w:shd w:fill="FFDCE0" w:val="clear"/>
          </w:tcPr>
          <w:p>
            <w:r>
              <w:rPr>
                <w:b/>
                <w:color w:val="C00000"/>
                <w:sz w:val="17"/>
              </w:rPr>
              <w:t>-7.0%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24,735</w:t>
            </w:r>
          </w:p>
        </w:tc>
        <w:tc>
          <w:tcPr>
            <w:tcW w:type="dxa" w:w="1440"/>
            <w:shd w:fill="FFDCE0" w:val="clear"/>
          </w:tcPr>
          <w:p>
            <w:r>
              <w:rPr>
                <w:b/>
                <w:sz w:val="17"/>
              </w:rPr>
              <w:t>26,827</w:t>
            </w:r>
          </w:p>
        </w:tc>
        <w:tc>
          <w:tcPr>
            <w:tcW w:type="dxa" w:w="1440"/>
            <w:shd w:fill="FFDCE0" w:val="clear"/>
          </w:tcPr>
          <w:p>
            <w:r>
              <w:rPr>
                <w:sz w:val="17"/>
              </w:rPr>
              <w:t>28,919</w:t>
            </w:r>
          </w:p>
        </w:tc>
        <w:tc>
          <w:tcPr>
            <w:tcW w:type="dxa" w:w="1440"/>
            <w:shd w:fill="FFDCE0" w:val="clear"/>
          </w:tcPr>
          <w:p>
            <w:r>
              <w:rPr>
                <w:b/>
                <w:color w:val="C00000"/>
                <w:sz w:val="17"/>
              </w:rPr>
              <w:t>-7.8%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24,391</w:t>
            </w:r>
          </w:p>
        </w:tc>
        <w:tc>
          <w:tcPr>
            <w:tcW w:type="dxa" w:w="1440"/>
            <w:shd w:fill="FFDCE0" w:val="clear"/>
          </w:tcPr>
          <w:p>
            <w:r>
              <w:rPr>
                <w:b/>
                <w:sz w:val="17"/>
              </w:rPr>
              <w:t>26,609</w:t>
            </w:r>
          </w:p>
        </w:tc>
        <w:tc>
          <w:tcPr>
            <w:tcW w:type="dxa" w:w="1440"/>
            <w:shd w:fill="FFDCE0" w:val="clear"/>
          </w:tcPr>
          <w:p>
            <w:r>
              <w:rPr>
                <w:sz w:val="17"/>
              </w:rPr>
              <w:t>28,828</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24,065</w:t>
            </w:r>
          </w:p>
        </w:tc>
        <w:tc>
          <w:tcPr>
            <w:tcW w:type="dxa" w:w="1440"/>
            <w:shd w:fill="FFDCE0" w:val="clear"/>
          </w:tcPr>
          <w:p>
            <w:r>
              <w:rPr>
                <w:b/>
                <w:sz w:val="17"/>
              </w:rPr>
              <w:t>26,399</w:t>
            </w:r>
          </w:p>
        </w:tc>
        <w:tc>
          <w:tcPr>
            <w:tcW w:type="dxa" w:w="1440"/>
            <w:shd w:fill="FFDCE0" w:val="clear"/>
          </w:tcPr>
          <w:p>
            <w:r>
              <w:rPr>
                <w:sz w:val="17"/>
              </w:rPr>
              <w:t>28,733</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23,755</w:t>
            </w:r>
          </w:p>
        </w:tc>
        <w:tc>
          <w:tcPr>
            <w:tcW w:type="dxa" w:w="1440"/>
            <w:shd w:fill="FFDCE0" w:val="clear"/>
          </w:tcPr>
          <w:p>
            <w:r>
              <w:rPr>
                <w:b/>
                <w:sz w:val="17"/>
              </w:rPr>
              <w:t>26,196</w:t>
            </w:r>
          </w:p>
        </w:tc>
        <w:tc>
          <w:tcPr>
            <w:tcW w:type="dxa" w:w="1440"/>
            <w:shd w:fill="FFDCE0" w:val="clear"/>
          </w:tcPr>
          <w:p>
            <w:r>
              <w:rPr>
                <w:sz w:val="17"/>
              </w:rPr>
              <w:t>28,638</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485 milliards FCFA, ce qui en fait l'une des valeurs les plus significatives de la BRVM, reflétant la confiance des investisseurs dans le secteur bancaire ivoirien. Avec un BPA de 2 191 FCFA, chaque action génère un bénéfice substantiel, justifiant un PER de 13,3x, légèrement supérieur à la moyenne historique de la place (~8-12x), ce qui traduit une prime de croissance accordée à la banque. Le P/B de 4,02x est particulièrement exigeant, indiquant que le marché valorise fortement les actifs nets de la banque, bien au-delà de leur valeur comptable, signe d'une anticipation de rentabilité future élevée. Enfin, l'EV/EBITDA de 9,3x, dans la fourchette raisonnable de 5-10x, suggère que la valeur totale de l'entreprise reste cohérente avec sa capacité opérationnelle à générer des flux, malgré une valorisation boursière déjà généreuse.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solide de +13,21%, avec une dernière séance en légère hausse de +0,34% à 29 100 FCFA, confirmant une dynamique positive persistante. Le titre a évolué dans un range de trading de 22 500 FCFA (plus bas) à 29 490 FCFA (plus haut), démontrant une amplitude de variation importante d'environ 31%, signe d'un intérêt marqué des investisseurs. La moyenne (26 840 FCFA) étant inférieure à la médiane (27 605 FCFA) et au mode (29 000 FCFA), la distribution des prix est légèrement asymétrique, avec une concentration des échanges vers les niveaux supérieurs. L'écart-type de 1 962 FCFA (CV=7,3%) indique une dispersion modérée autour de la moyenne, tandis que le kurtosis négatif (-1,172) révèle une distribution platykurtique, c'est-à-dire sans pics extrêmes, réduisant le risque de mouvements violents. Le skewness de -0,472, proche de zéro, confirme une distribution quasi symétrique. La volatilité annualisée de 30,8% classe le titre dans la catégorie des valeurs à volatilité élevée, ce qui implique un risque de marché significatif mais aussi un potentiel de rendement accru.</w:t>
      </w:r>
    </w:p>
    <w:p>
      <w:pPr>
        <w:spacing w:after="120" w:line="276" w:lineRule="auto" w:before="240"/>
      </w:pPr>
      <w:r>
        <w:rPr>
          <w:b/>
          <w:color w:val="003366"/>
          <w:sz w:val="24"/>
        </w:rPr>
        <w:t>**PARTIE 2 : ANALYSE TECHNIQUE DÉTAILLÉE**</w:t>
      </w:r>
    </w:p>
    <w:p>
      <w:pPr>
        <w:spacing w:after="120" w:line="276" w:lineRule="auto"/>
      </w:pPr>
      <w:r>
        <w:t>Les moyennes mobiles MM20 (28 490 FCFA) et MM50 (28 543,6 FCFA) sont très proches l'une de l'autre et légèrement inférieures au cours actuel de 29 100 FCFA, indiquant une tendance haussière de court terme. Cependant, la décision technique globale est à la vente, ce qui suggère que le cours pourrait être en train de s'essouffler après une période de hausse, les moyennes mobiles ne confirmant pas pleinement la dynamique actuelle.</w:t>
      </w:r>
    </w:p>
    <w:p>
      <w:pPr>
        <w:spacing w:after="120" w:line="276" w:lineRule="auto"/>
      </w:pPr>
      <w:r>
        <w:t>Le prix se situe à 29 100 FCFA, dans la partie supérieure des bandes de Bollinger dont la borne haute est à 29 498 FCFA et la borne basse à 27 482 FCFA. Cette position proche de la borne supérieure indique une pression acheteuse soutenue, mais la décision est neutre, signalant que le marché attend un catalyseur pour poursuivre ou corriger. La largeur des bandes reflète une volatilité modérée, cohérente avec les statistiques descriptives.</w:t>
      </w:r>
    </w:p>
    <w:p>
      <w:pPr>
        <w:spacing w:after="120" w:line="276" w:lineRule="auto"/>
      </w:pPr>
      <w:r>
        <w:t>Le MACD affiche une valeur de 210,36, nettement supérieure à son signal à 139,24, confirmant un momentum haussier positif et une dynamique de court terme favorable. La décision d'achat générée par cet indicateur est un signal fort de la poursuite potentielle de la tendance haussière, à condition que l'écart entre le MACD et son signal ne se réduise pas brutalement.</w:t>
      </w:r>
    </w:p>
    <w:p>
      <w:pPr>
        <w:spacing w:after="120" w:line="276" w:lineRule="auto"/>
      </w:pPr>
      <w:r>
        <w:t>Le RSI à 66,78 se situe dans la zone neutre (30-70), mais proche du seuil de surachat de 70. Cette valeur indique que le titre est bien orienté sans être encore survendu, laissant une marge de progression avant une éventuelle correction technique. La décision neutre reflète un équilibre entre les forces acheteuses et vendeuses.</w:t>
      </w:r>
    </w:p>
    <w:p>
      <w:pPr>
        <w:spacing w:after="120" w:line="276" w:lineRule="auto"/>
      </w:pPr>
      <w:r>
        <w:t>Le stochastique est extrêmement élevé avec %K à 100,0 et %D à 99,34, indiquant une condition de surachat extrême. Cette configuration signale que le titre est très étendu à la hausse et qu'une correction technique est probable à court terme, justifiant la décision de vente. Le croisement potentiel de %K sous %D serait un signal de retournement baissier.</w:t>
      </w:r>
    </w:p>
    <w:p>
      <w:pPr>
        <w:spacing w:after="120" w:line="276" w:lineRule="auto"/>
      </w:pPr>
      <w:r>
        <w:t>En conclusion technique, les indicateurs sont mitigés : le MACD est positif, le RSI est neutre, mais les moyennes mobiles et le stochastique suggèrent une prudence accrue. La convergence des signaux de surachat (stochastique) et de la position proche des bandes supérieures indique un risque de consolidation à court terme, malgré un momentum sous-jacent encore positif.</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banque extrêmement performante avec un Produit Net Bancaire de 79,563 milliards FCFA, en croissance de 16,9%, et un résultat net de 36,520 milliards FCFA. La rentabilité des fonds propres (ROE) atteint 30,29%, un niveau exceptionnel bien supérieur au seuil de 15% considéré comme excellent, tandis que le ROA de 3,24% confirme une utilisation efficace des actifs. Le coefficient d'exploitation de 50,83% témoigne d'une excellente maîtrise des charges, et le coût du risque de -12,15% indique un portefeuille de crédits sain avec des provisions en baisse. La structure financière montre une dépendance aux dépôts clients (952,872 milliards FCFA) qui financent largement les crédits à la clientèle (524,439 milliards FCFA), avec un ratio de transformation de 55%, signe d'une gestion prudente de la liquidité. Les rapports trimestriels confirment cette dynamique : le T1 2026 (rapport du 31 mars 2026) montre un PNB de 21,214 milliards FCFA (+17,0%) et un résultat net de 10,387 milliards FCFA (+29,7%), malgré une baisse des crédits de 4,5% due à des remboursements anticipés. Sur la base de ces données, on estime que l'exercice 2026 devrait dépasser les performances de 2025, avec un PNB annuel potentiel de 85-90 milliards FCFA et un résultat net de 40-42 milliards FCFA, confirmant la solidité du modèle économique de la banque.</w:t>
      </w:r>
    </w:p>
    <w:p>
      <w:pPr>
        <w:spacing w:after="120" w:line="276" w:lineRule="auto" w:before="240"/>
      </w:pPr>
      <w:r>
        <w:rPr>
          <w:b/>
          <w:color w:val="003366"/>
          <w:sz w:val="24"/>
        </w:rPr>
        <w:t>**PARTIE 4 : CONCLUSION D'INVESTISSEMENT**</w:t>
      </w:r>
    </w:p>
    <w:p>
      <w:pPr>
        <w:spacing w:after="120" w:line="276" w:lineRule="auto"/>
      </w:pPr>
      <w:r>
        <w:t>La valorisation de BICC, avec un PER de 13,3x et un P/B de 4,02x, est exigeante mais justifiée par une rentabilité exceptionnelle (ROE de 30,3%) et une croissance soutenue du PNB (+16,9% en 2025). Le comportement du cours sur 100 jours (+13,21%) est favorable, avec une volatilité élevée (30,8%) qui offre des opportunités mais implique un risque accru. Les signaux techniques sont mitigés : le MACD est positif, mais le stochastique en surachat extrême et les moyennes mobiles en position de vente suggèrent une possible consolidation à court terme. Les fondamentaux restent très solides, avec des estimations 2026 en hausse (résultat net potentiel de 40-42 milliards FCFA) basées sur les rapports trimestriels. Les prédictions IA pour les 10 prochains jours indiquent une trajectoire baissière (de 28 348 à 27 288 FCFA), contredisant la tendance haussière récente et suggérant une correction technique. En synthèse, la convergence entre la solidité fondamentale, la valorisation raisonnable et les perspectives de croissance est contrebalancée par les signaux techniques de surachat et les prédictions IA baissières. Recommandation finale : **CONSERVER** avec un niveau de confiance **Moyen**, un risque global **Moyen**, et un horizon d'investissement optimal à **moyen terme (3-12 mois)** pour capitaliser sur la croissance fondamentale tout en attendant une meilleure point d'entrée après la correction technique anticipée.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2,167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+18.75%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11.43% (Moyenne) — μ=1,715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β=-0.0568 (Contre-cyclique) — Cov=-0.000002, Var(idx)=0.000036, ρ=-0.011,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1,825</w:t>
            </w:r>
          </w:p>
        </w:tc>
        <w:tc>
          <w:tcPr>
            <w:tcW w:type="dxa" w:w="1440"/>
            <w:shd w:fill="FAFAFA" w:val="clear"/>
          </w:tcPr>
          <w:p>
            <w:r>
              <w:rPr>
                <w:b/>
                <w:sz w:val="17"/>
              </w:rPr>
              <w:t>1,904</w:t>
            </w:r>
          </w:p>
        </w:tc>
        <w:tc>
          <w:tcPr>
            <w:tcW w:type="dxa" w:w="1440"/>
            <w:shd w:fill="FAFAFA" w:val="clear"/>
          </w:tcPr>
          <w:p>
            <w:r>
              <w:rPr>
                <w:sz w:val="17"/>
              </w:rPr>
              <w:t>1,984</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1,791</w:t>
            </w:r>
          </w:p>
        </w:tc>
        <w:tc>
          <w:tcPr>
            <w:tcW w:type="dxa" w:w="1440"/>
            <w:shd w:fill="FAFAFA" w:val="clear"/>
          </w:tcPr>
          <w:p>
            <w:r>
              <w:rPr>
                <w:b/>
                <w:sz w:val="17"/>
              </w:rPr>
              <w:t>1,903</w:t>
            </w:r>
          </w:p>
        </w:tc>
        <w:tc>
          <w:tcPr>
            <w:tcW w:type="dxa" w:w="1440"/>
            <w:shd w:fill="FAFAFA" w:val="clear"/>
          </w:tcPr>
          <w:p>
            <w:r>
              <w:rPr>
                <w:sz w:val="17"/>
              </w:rPr>
              <w:t>2,015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1,766</w:t>
            </w:r>
          </w:p>
        </w:tc>
        <w:tc>
          <w:tcPr>
            <w:tcW w:type="dxa" w:w="1440"/>
            <w:shd w:fill="FAFAFA" w:val="clear"/>
          </w:tcPr>
          <w:p>
            <w:r>
              <w:rPr>
                <w:b/>
                <w:sz w:val="17"/>
              </w:rPr>
              <w:t>1,903</w:t>
            </w:r>
          </w:p>
        </w:tc>
        <w:tc>
          <w:tcPr>
            <w:tcW w:type="dxa" w:w="1440"/>
            <w:shd w:fill="FAFAFA" w:val="clear"/>
          </w:tcPr>
          <w:p>
            <w:r>
              <w:rPr>
                <w:sz w:val="17"/>
              </w:rPr>
              <w:t>2,041</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1,746</w:t>
            </w:r>
          </w:p>
        </w:tc>
        <w:tc>
          <w:tcPr>
            <w:tcW w:type="dxa" w:w="1440"/>
            <w:shd w:fill="FAFAFA" w:val="clear"/>
          </w:tcPr>
          <w:p>
            <w:r>
              <w:rPr>
                <w:b/>
                <w:sz w:val="17"/>
              </w:rPr>
              <w:t>1,904</w:t>
            </w:r>
          </w:p>
        </w:tc>
        <w:tc>
          <w:tcPr>
            <w:tcW w:type="dxa" w:w="1440"/>
            <w:shd w:fill="FAFAFA" w:val="clear"/>
          </w:tcPr>
          <w:p>
            <w:r>
              <w:rPr>
                <w:sz w:val="17"/>
              </w:rPr>
              <w:t>2,062</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1,727</w:t>
            </w:r>
          </w:p>
        </w:tc>
        <w:tc>
          <w:tcPr>
            <w:tcW w:type="dxa" w:w="1440"/>
            <w:shd w:fill="FAFAFA" w:val="clear"/>
          </w:tcPr>
          <w:p>
            <w:r>
              <w:rPr>
                <w:b/>
                <w:sz w:val="17"/>
              </w:rPr>
              <w:t>1,904</w:t>
            </w:r>
          </w:p>
        </w:tc>
        <w:tc>
          <w:tcPr>
            <w:tcW w:type="dxa" w:w="1440"/>
            <w:shd w:fill="FAFAFA" w:val="clear"/>
          </w:tcPr>
          <w:p>
            <w:r>
              <w:rPr>
                <w:sz w:val="17"/>
              </w:rPr>
              <w:t>2,081</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1,710</w:t>
            </w:r>
          </w:p>
        </w:tc>
        <w:tc>
          <w:tcPr>
            <w:tcW w:type="dxa" w:w="1440"/>
            <w:shd w:fill="FAFAFA" w:val="clear"/>
          </w:tcPr>
          <w:p>
            <w:r>
              <w:rPr>
                <w:b/>
                <w:sz w:val="17"/>
              </w:rPr>
              <w:t>1,904</w:t>
            </w:r>
          </w:p>
        </w:tc>
        <w:tc>
          <w:tcPr>
            <w:tcW w:type="dxa" w:w="1440"/>
            <w:shd w:fill="FAFAFA" w:val="clear"/>
          </w:tcPr>
          <w:p>
            <w:r>
              <w:rPr>
                <w:sz w:val="17"/>
              </w:rPr>
              <w:t>2,098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1,695</w:t>
            </w:r>
          </w:p>
        </w:tc>
        <w:tc>
          <w:tcPr>
            <w:tcW w:type="dxa" w:w="1440"/>
            <w:shd w:fill="FAFAFA" w:val="clear"/>
          </w:tcPr>
          <w:p>
            <w:r>
              <w:rPr>
                <w:b/>
                <w:sz w:val="17"/>
              </w:rPr>
              <w:t>1,904</w:t>
            </w:r>
          </w:p>
        </w:tc>
        <w:tc>
          <w:tcPr>
            <w:tcW w:type="dxa" w:w="1440"/>
            <w:shd w:fill="FAFAFA" w:val="clear"/>
          </w:tcPr>
          <w:p>
            <w:r>
              <w:rPr>
                <w:sz w:val="17"/>
              </w:rPr>
              <w:t>2,114</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1,680</w:t>
            </w:r>
          </w:p>
        </w:tc>
        <w:tc>
          <w:tcPr>
            <w:tcW w:type="dxa" w:w="1440"/>
            <w:shd w:fill="FAFAFA" w:val="clear"/>
          </w:tcPr>
          <w:p>
            <w:r>
              <w:rPr>
                <w:b/>
                <w:sz w:val="17"/>
              </w:rPr>
              <w:t>1,904</w:t>
            </w:r>
          </w:p>
        </w:tc>
        <w:tc>
          <w:tcPr>
            <w:tcW w:type="dxa" w:w="1440"/>
            <w:shd w:fill="FAFAFA" w:val="clear"/>
          </w:tcPr>
          <w:p>
            <w:r>
              <w:rPr>
                <w:sz w:val="17"/>
              </w:rPr>
              <w:t>2,128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1,667</w:t>
            </w:r>
          </w:p>
        </w:tc>
        <w:tc>
          <w:tcPr>
            <w:tcW w:type="dxa" w:w="1440"/>
            <w:shd w:fill="FAFAFA" w:val="clear"/>
          </w:tcPr>
          <w:p>
            <w:r>
              <w:rPr>
                <w:b/>
                <w:sz w:val="17"/>
              </w:rPr>
              <w:t>1,904</w:t>
            </w:r>
          </w:p>
        </w:tc>
        <w:tc>
          <w:tcPr>
            <w:tcW w:type="dxa" w:w="1440"/>
            <w:shd w:fill="FAFAFA" w:val="clear"/>
          </w:tcPr>
          <w:p>
            <w:r>
              <w:rPr>
                <w:sz w:val="17"/>
              </w:rPr>
              <w:t>2,142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1,654</w:t>
            </w:r>
          </w:p>
        </w:tc>
        <w:tc>
          <w:tcPr>
            <w:tcW w:type="dxa" w:w="1440"/>
            <w:shd w:fill="FAFAFA" w:val="clear"/>
          </w:tcPr>
          <w:p>
            <w:r>
              <w:rPr>
                <w:b/>
                <w:sz w:val="17"/>
              </w:rPr>
              <w:t>1,904</w:t>
            </w:r>
          </w:p>
        </w:tc>
        <w:tc>
          <w:tcPr>
            <w:tcW w:type="dxa" w:w="1440"/>
            <w:shd w:fill="FAFAFA" w:val="clear"/>
          </w:tcPr>
          <w:p>
            <w:r>
              <w:rPr>
                <w:sz w:val="17"/>
              </w:rPr>
              <w:t>2,155</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 10 août 2026 | Cours : 1 900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12,59 milliards FCFA, un niveau modeste qui la classe parmi les petites capitalisations de la BRVM. Avec un BPA de seulement 3 FCFA, le titre affiche un PER de 563,9x, extrêmement élevé par rapport à la moyenne du marché (8-12x), ce qui signifie que les investisseurs paient un prix très cher pour des bénéfices quasi inexistants. En revanche, le P/B de 0,71x indique que le marché valorise la société sous sa valeur comptable, suggérant une décote potentielle sur l'actif net. L'EV/EBITDA de 23,9x, bien supérieur au seuil de 15x, confirme une valorisation exigeante au regard de la capacité opérationnelle de l'entreprise. Ces ratios contrastés traduisent une situation où le marché semble anticiper une amélioration future, mais où la réalité des bénéfices actuels est très faible.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 enregistré une progression de +18,75%, avec une légère baisse de -0,78% lors de la dernière séance, reflétant une consolidation après une période haussière. Le cours a évolué dans une fourchette de 1 300 à 2 100 FCFA, montrant une amplitude de 800 FCFA. La moyenne de 1 715 FCFA est inférieure à la médiane de 1 630 FCFA, indiquant une distribution légèrement asymétrique avec des valeurs extrêmes élevées. L'écart-type de 197 FCFA (CV = 11,5%) révèle une dispersion modérée autour de la moyenne. Le kurtosis négatif (-1,161) signale une distribution platykurtique, avec moins de pics extrêmes que la normale, tandis que le skewness positif (0,134) confirme une asymétrie vers la droite. La volatilité annualisée de 48% est élevée, positionnant le titre comme très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(1 896,25 FCFA) et la MM50 (1 882,5 FCFA) sont toutes deux proches du cours actuel de 1 900 FCFA, avec une MM20 légèrement au-dessus de la MM50, formant une configuration haussière. Le cours évolue au-dessus de ces moyennes, ce qui justifie la décision d'achat, indiquant une dynamique positive à court et moyen terme.</w:t>
      </w:r>
    </w:p>
    <w:p>
      <w:pPr>
        <w:spacing w:after="120" w:line="276" w:lineRule="auto"/>
      </w:pPr>
      <w:r>
        <w:t>**Bandes de Bollinger :** Le cours se situe à 1 900 FCFA, entre la borne supérieure (2 042,68 FCFA) et la borne inférieure (1 749,82 FCFA), proche de la moyenne. Cette position neutre suggère une volatilité modérée, sans signal d'extension excessive. La décision neutre est cohérente avec une phase de consolidation après la récente hausse.</w:t>
      </w:r>
    </w:p>
    <w:p>
      <w:pPr>
        <w:spacing w:after="120" w:line="276" w:lineRule="auto"/>
      </w:pPr>
      <w:r>
        <w:t>**MACD :** Le MACD (10,04) est inférieur à sa ligne de signal (15,63), indiquant un momentum baissier à court terme. Cette divergence négative, bien que les valeurs restent positives, suggère un ralentissement de la dynamique haussière. La décision de vente reflète ce signal de prudence.</w:t>
      </w:r>
    </w:p>
    <w:p>
      <w:pPr>
        <w:spacing w:after="120" w:line="276" w:lineRule="auto"/>
      </w:pPr>
      <w:r>
        <w:t>**RSI :** Le RSI à 53,62 se situe dans la zone neutre (30-70), indiquant un équilibre entre pression acheteuse et vendeuse. Cette valeur ne montre ni surachat ni survente, justifiant une décision neutre et une absence de signal directionnel fort.</w:t>
      </w:r>
    </w:p>
    <w:p>
      <w:pPr>
        <w:spacing w:after="120" w:line="276" w:lineRule="auto"/>
      </w:pPr>
      <w:r>
        <w:t>**Stochastique :** Le %K (21,74) est inférieur au %D (34,78), suggérant une dynamique baissière en cours, mais les deux restent sous 50, indiquant une faiblesse relative. La décision neutre s'explique par l'absence de croisement clair et de conditions extrêmes.</w:t>
      </w:r>
    </w:p>
    <w:p>
      <w:pPr>
        <w:spacing w:after="120" w:line="276" w:lineRule="auto"/>
      </w:pPr>
      <w:r>
        <w:t>**Conclusion technique :** Les indicateurs sont mitigés, avec des signaux d'achat (MM) contrebalancés par des signaux de vente (MACD) et des positions neutres (Bollinger, RSI, Stochastique). Cette divergence suggère une période de consolidation, avec un biais haussier à moyen terme mais une prudence à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 milliards FCFA, en baisse de 6,31% par rapport à 2024 (45,31 milliards), avec un résultat net de 22,32 millions FCFA, en amélioration par rapport à 2024 (7,31 millions). Les ratios de rentabilité restent très faibles : ROE de 0,13% et ROA de 0,05%, reflétant une capacité bénéficiaire anémique. La marge nette est quasi nulle (0,05%), et la marge opérationnelle atteint 2,47%. Le BFR est élevé à 29,37 milliards FCFA, avec des délais clients de 104 jours et une durée de stockage de 339 jours, indiquant une immobilisation importante de capital. La trésorerie nette est négative à -16,69 milliards FCFA, créant un risque de liquidité majeur. Les rapports trimestriels 2025 montrent une perte nette cumulée de -157 millions sur 9 mois, mais le T1 2026 affiche un résultat net positif de 65,57 millions FCFA, en amélioration de 506% par rapport au T1 2025 (perte de 16,15 millions). Sur la base de ce T1 2026, on estime que l'exercice 2026 pourrait renouer avec une rentabilité positive, portée par la montée en puissance de la division Équipement et le showroom TECHNIBAT KM4. Cependant, la dépendance aux affaires exceptionnelles et la faiblesse structurelle des marges restent des préoccupations majeures.</w:t>
      </w:r>
    </w:p>
    <w:p>
      <w:pPr>
        <w:spacing w:after="120" w:line="276" w:lineRule="auto"/>
      </w:pPr>
      <w:r>
        <w:t>---</w:t>
      </w:r>
    </w:p>
    <w:p>
      <w:pPr>
        <w:spacing w:after="120" w:line="276" w:lineRule="auto"/>
      </w:pPr>
      <w:r>
        <w:t>### PARTIE 4 : CONCLUSION D'INVESTISSEMENT</w:t>
      </w:r>
    </w:p>
    <w:p>
      <w:pPr>
        <w:spacing w:after="120" w:line="276" w:lineRule="auto"/>
      </w:pPr>
      <w:r>
        <w:t>La valorisation de BNBC est contrastée : un PER extrêmement élevé (563,9x) signale une surévaluation par rapport aux bénéfices, mais un P/B sous la valeur comptable (0,71x) suggère une décote sur l'actif net. Le comportement du cours montre une tendance haussière (+18,75% sur 100 jours) avec une volatilité élevée (48%), et des statistiques indiquant une distribution relativement stable. Les signaux techniques sont mitigés, avec des MM haussières mais un MACD vendeur, reflétant une consolidation. Les fondamentaux sont préoccupants : rentabilité quasi nulle, trésorerie négative et BFR élevé, bien que le T1 2026 montre une amélioration. Les prédictions IA (1 903-1 904 FCFA sur 10 jours) suggèrent une stabilité, confirmant la phase de consolidation. En synthèse, la recommandation est **CONSERVER**, avec un niveau de confiance **Moyen** et un risque **Élevé**. L'horizon optimal est le **moyen terme (3-12 mois)**, en attendant une confirmation de la reprise de la rentabilité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5,539 titres</w:t>
            </w:r>
          </w:p>
        </w:tc>
        <w:tc>
          <w:tcPr>
            <w:tcW w:type="dxa" w:w="2268"/>
            <w:shd w:fill="FFF2CC" w:val="clear"/>
          </w:tcPr>
          <w:p>
            <w:r>
              <w:rPr>
                <w:b/>
                <w:color w:val="503200"/>
                <w:sz w:val="16"/>
              </w:rPr>
              <w:t xml:space="preserve">Cours actuel : </w:t>
            </w:r>
            <w:r>
              <w:rPr>
                <w:color w:val="000000"/>
                <w:sz w:val="17"/>
              </w:rPr>
              <w:t>8,710 FCFA</w:t>
            </w:r>
          </w:p>
          <w:p>
            <w:r>
              <w:rPr>
                <w:b/>
                <w:color w:val="503200"/>
                <w:sz w:val="16"/>
              </w:rPr>
              <w:t xml:space="preserve">Var. 100 jours : </w:t>
            </w:r>
            <w:r>
              <w:rPr>
                <w:b/>
                <w:color w:val="007800"/>
                <w:sz w:val="17"/>
              </w:rPr>
              <w:t>+8.88%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7.03% (Moyenne) — μ=8,543 FCFA, σ=600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β=-0.1210 (Contre-cyclique) — Cov=-0.000004, Var(idx)=0.000036, ρ=-0.050,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8,362</w:t>
            </w:r>
          </w:p>
        </w:tc>
        <w:tc>
          <w:tcPr>
            <w:tcW w:type="dxa" w:w="1440"/>
            <w:shd w:fill="FFDCE0" w:val="clear"/>
          </w:tcPr>
          <w:p>
            <w:r>
              <w:rPr>
                <w:b/>
                <w:sz w:val="17"/>
              </w:rPr>
              <w:t>8,486</w:t>
            </w:r>
          </w:p>
        </w:tc>
        <w:tc>
          <w:tcPr>
            <w:tcW w:type="dxa" w:w="1440"/>
            <w:shd w:fill="FFDCE0" w:val="clear"/>
          </w:tcPr>
          <w:p>
            <w:r>
              <w:rPr>
                <w:sz w:val="17"/>
              </w:rPr>
              <w:t>8,610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8,193</w:t>
            </w:r>
          </w:p>
        </w:tc>
        <w:tc>
          <w:tcPr>
            <w:tcW w:type="dxa" w:w="1440"/>
            <w:shd w:fill="FFDCE0" w:val="clear"/>
          </w:tcPr>
          <w:p>
            <w:r>
              <w:rPr>
                <w:b/>
                <w:sz w:val="17"/>
              </w:rPr>
              <w:t>8,366</w:t>
            </w:r>
          </w:p>
        </w:tc>
        <w:tc>
          <w:tcPr>
            <w:tcW w:type="dxa" w:w="1440"/>
            <w:shd w:fill="FFDCE0" w:val="clear"/>
          </w:tcPr>
          <w:p>
            <w:r>
              <w:rPr>
                <w:sz w:val="17"/>
              </w:rPr>
              <w:t>8,538</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8,045</w:t>
            </w:r>
          </w:p>
        </w:tc>
        <w:tc>
          <w:tcPr>
            <w:tcW w:type="dxa" w:w="1440"/>
            <w:shd w:fill="FFDCE0" w:val="clear"/>
          </w:tcPr>
          <w:p>
            <w:r>
              <w:rPr>
                <w:b/>
                <w:sz w:val="17"/>
              </w:rPr>
              <w:t>8,253</w:t>
            </w:r>
          </w:p>
        </w:tc>
        <w:tc>
          <w:tcPr>
            <w:tcW w:type="dxa" w:w="1440"/>
            <w:shd w:fill="FFDCE0" w:val="clear"/>
          </w:tcPr>
          <w:p>
            <w:r>
              <w:rPr>
                <w:sz w:val="17"/>
              </w:rPr>
              <w:t>8,462</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7,919</w:t>
            </w:r>
          </w:p>
        </w:tc>
        <w:tc>
          <w:tcPr>
            <w:tcW w:type="dxa" w:w="1440"/>
            <w:shd w:fill="FFDCE0" w:val="clear"/>
          </w:tcPr>
          <w:p>
            <w:r>
              <w:rPr>
                <w:b/>
                <w:sz w:val="17"/>
              </w:rPr>
              <w:t>8,158</w:t>
            </w:r>
          </w:p>
        </w:tc>
        <w:tc>
          <w:tcPr>
            <w:tcW w:type="dxa" w:w="1440"/>
            <w:shd w:fill="FFDCE0" w:val="clear"/>
          </w:tcPr>
          <w:p>
            <w:r>
              <w:rPr>
                <w:sz w:val="17"/>
              </w:rPr>
              <w:t>8,396</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7,807</w:t>
            </w:r>
          </w:p>
        </w:tc>
        <w:tc>
          <w:tcPr>
            <w:tcW w:type="dxa" w:w="1440"/>
            <w:shd w:fill="FFDCE0" w:val="clear"/>
          </w:tcPr>
          <w:p>
            <w:r>
              <w:rPr>
                <w:b/>
                <w:sz w:val="17"/>
              </w:rPr>
              <w:t>8,071</w:t>
            </w:r>
          </w:p>
        </w:tc>
        <w:tc>
          <w:tcPr>
            <w:tcW w:type="dxa" w:w="1440"/>
            <w:shd w:fill="FFDCE0" w:val="clear"/>
          </w:tcPr>
          <w:p>
            <w:r>
              <w:rPr>
                <w:sz w:val="17"/>
              </w:rPr>
              <w:t>8,334</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7,704</w:t>
            </w:r>
          </w:p>
        </w:tc>
        <w:tc>
          <w:tcPr>
            <w:tcW w:type="dxa" w:w="1440"/>
            <w:shd w:fill="FFDCE0" w:val="clear"/>
          </w:tcPr>
          <w:p>
            <w:r>
              <w:rPr>
                <w:b/>
                <w:sz w:val="17"/>
              </w:rPr>
              <w:t>7,990</w:t>
            </w:r>
          </w:p>
        </w:tc>
        <w:tc>
          <w:tcPr>
            <w:tcW w:type="dxa" w:w="1440"/>
            <w:shd w:fill="FFDCE0" w:val="clear"/>
          </w:tcPr>
          <w:p>
            <w:r>
              <w:rPr>
                <w:sz w:val="17"/>
              </w:rPr>
              <w:t>8,275</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7,607</w:t>
            </w:r>
          </w:p>
        </w:tc>
        <w:tc>
          <w:tcPr>
            <w:tcW w:type="dxa" w:w="1440"/>
            <w:shd w:fill="FFDCE0" w:val="clear"/>
          </w:tcPr>
          <w:p>
            <w:r>
              <w:rPr>
                <w:b/>
                <w:sz w:val="17"/>
              </w:rPr>
              <w:t>7,913</w:t>
            </w:r>
          </w:p>
        </w:tc>
        <w:tc>
          <w:tcPr>
            <w:tcW w:type="dxa" w:w="1440"/>
            <w:shd w:fill="FFDCE0" w:val="clear"/>
          </w:tcPr>
          <w:p>
            <w:r>
              <w:rPr>
                <w:sz w:val="17"/>
              </w:rPr>
              <w:t>8,219</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7,516</w:t>
            </w:r>
          </w:p>
        </w:tc>
        <w:tc>
          <w:tcPr>
            <w:tcW w:type="dxa" w:w="1440"/>
            <w:shd w:fill="FFDCE0" w:val="clear"/>
          </w:tcPr>
          <w:p>
            <w:r>
              <w:rPr>
                <w:b/>
                <w:sz w:val="17"/>
              </w:rPr>
              <w:t>7,840</w:t>
            </w:r>
          </w:p>
        </w:tc>
        <w:tc>
          <w:tcPr>
            <w:tcW w:type="dxa" w:w="1440"/>
            <w:shd w:fill="FFDCE0" w:val="clear"/>
          </w:tcPr>
          <w:p>
            <w:r>
              <w:rPr>
                <w:sz w:val="17"/>
              </w:rPr>
              <w:t>8,164</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7,430</w:t>
            </w:r>
          </w:p>
        </w:tc>
        <w:tc>
          <w:tcPr>
            <w:tcW w:type="dxa" w:w="1440"/>
            <w:shd w:fill="FFDCE0" w:val="clear"/>
          </w:tcPr>
          <w:p>
            <w:r>
              <w:rPr>
                <w:b/>
                <w:sz w:val="17"/>
              </w:rPr>
              <w:t>7,771</w:t>
            </w:r>
          </w:p>
        </w:tc>
        <w:tc>
          <w:tcPr>
            <w:tcW w:type="dxa" w:w="1440"/>
            <w:shd w:fill="FFDCE0" w:val="clear"/>
          </w:tcPr>
          <w:p>
            <w:r>
              <w:rPr>
                <w:sz w:val="17"/>
              </w:rPr>
              <w:t>8,111</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7,349</w:t>
            </w:r>
          </w:p>
        </w:tc>
        <w:tc>
          <w:tcPr>
            <w:tcW w:type="dxa" w:w="1440"/>
            <w:shd w:fill="FFDCE0" w:val="clear"/>
          </w:tcPr>
          <w:p>
            <w:r>
              <w:rPr>
                <w:b/>
                <w:sz w:val="17"/>
              </w:rPr>
              <w:t>7,705</w:t>
            </w:r>
          </w:p>
        </w:tc>
        <w:tc>
          <w:tcPr>
            <w:tcW w:type="dxa" w:w="1440"/>
            <w:shd w:fill="FFDCE0" w:val="clear"/>
          </w:tcPr>
          <w:p>
            <w:r>
              <w:rPr>
                <w:sz w:val="17"/>
              </w:rPr>
              <w:t>8,060</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353,29 milliards FCFA, BOAB se positionne comme une valeur de premier plan sur la BRVM, reflétant la confiance des investisseurs dans le secteur bancaire béninois. Le BPA de 496 FCFA indique que chaque action a généré un bénéfice substantiel, justifiant un PER de 17,6x. Ce ratio est nettement supérieur à la moyenne historique de la BRVM (8-12x), signifiant que le marché paie une prime significative pour la qualité des actifs et la croissance de la banque. Le P/B de 3,01x confirme cette prime, le marché valorisant la société à trois fois sa valeur comptable, ce qui est typique pour une banque à forte rentabilité (ROE &gt; 17%). Enfin, l'EV/EBITDA de 18,5x, bien que supérieur au seuil de 15x, est cohérent avec un modèle bancaire où l'EBITDA est un proxy du résultat brut d'exploitation, et reflète la solidité de la capacité bénéficiaire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 a affiché une progression solide de +8,88%, avec une dernière séance en légère hausse de +0,11%, clôturant à 8 710 FCFA. Le titre a évolué dans un range de trading significatif, oscillant entre un plus bas de 7 295 FCFA et un plus haut de 9 420 FCFA, démontrant une volatilité intra-période notable. La moyenne du cours sur la période (8 543 FCFA) est très proche de la médiane (8 715 FCFA), ce qui indique une distribution relativement symétrique des prix, mais le skewness négatif (-0.627) suggère que les fortes baisses ont été plus marquées que les fortes hausses, malgré une tendance globale haussière. L'écart-type de 603 FCFA (CV = 7,1%) témoigne d'une dispersion modérée des prix autour de la moyenne. Le kurtosis de -0.741 (mésokurtique) indique une absence de risques de pics extrêmes, tandis que la volatilité annualisée de 23,1% classe le titre dans une catégorie de risque modéré, attrayante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(8 710 FCFA) est inférieur à la MM20 (8 689,75 FCFA) et à la MM50 (8 807,2 FCFA), indiquant une dynamique baissière à court et moyen terme. La position sous ces moyennes clés justifie un signal de **Vente**, car la tendance de fond semble perdre de l'élan après la récente hausse.</w:t>
      </w:r>
    </w:p>
    <w:p>
      <w:pPr>
        <w:spacing w:after="120" w:line="276" w:lineRule="auto"/>
      </w:pPr>
      <w:r>
        <w:t>**Bandes de Bollinger :** Le prix se situe à 8 710 FCFA, entre la borne inférieure (8 523 FCFA) et la borne supérieure (8 856 FCFA). Cette position médiane suggère une volatilité modérée et une absence de direction claire. La décision est donc **Neutre**, le marché attendant un catalyseur pour sortir de ce canal.</w:t>
      </w:r>
    </w:p>
    <w:p>
      <w:pPr>
        <w:spacing w:after="120" w:line="276" w:lineRule="auto"/>
      </w:pPr>
      <w:r>
        <w:t>**MACD :** La valeur du MACD (-48,389) est supérieure à sa ligne de signal (-63,791), formant un croisement haussier. Ce signal indique un ralentissement de la dynamique baissière et un potentiel retournement à la hausse. La décision est un **Achat**, suggérant un momentum positif en cours de construction.</w:t>
      </w:r>
    </w:p>
    <w:p>
      <w:pPr>
        <w:spacing w:after="120" w:line="276" w:lineRule="auto"/>
      </w:pPr>
      <w:r>
        <w:t>**RSI :** À 50,758, le RSI est parfaitement dans la zone neutre (30-70), indiquant un équilibre entre les forces acheteuses et vendeuses. Il n'y a pas de pression excessive à l'achat ni à la vente, ce qui justifie une décision **Neutre**.</w:t>
      </w:r>
    </w:p>
    <w:p>
      <w:pPr>
        <w:spacing w:after="120" w:line="276" w:lineRule="auto"/>
      </w:pPr>
      <w:r>
        <w:t>**Stochastique :** Le %K (95,0) est très élevé et nettement supérieur au %D (87,308), plaçant le titre en zone de surachat extrême. Ce niveau signale un épuisement potentiel de la hausse à court terme et un risque de correction. La décision est donc une **Vente**.</w:t>
      </w:r>
    </w:p>
    <w:p>
      <w:pPr>
        <w:spacing w:after="120" w:line="276" w:lineRule="auto"/>
      </w:pPr>
      <w:r>
        <w:t>**Conclusion technique :** Les indicateurs sont mitigés. Le MACD est haussier, mais les moyennes mobiles et le stochastique en surachat suggèrent une consolidation ou un repli à court terme. Le RSI neutre et les bandes de Bollinger neutres indiquent une phase d'attente. Globalement, le titre semble en phase de correction après une forte hausse, avec un potentiel de rebond à moyen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BOAB révèlent une banque performante. Le Produit Net Bancaire (PNB) s'établit à 51,274 milliards FCFA, générant un résultat net de 20,107 milliards FCFA. La rentabilité est excellente avec un ROE de 17,11% et un ROA de 2,08%. Le coefficient d'exploitation de 49,53% est remarquable, indiquant une excellente maîtrise des charges. Cependant, le coût du risque de 22,5% (provisions/charges financières) est un point de vigilance, reflétant un risque de crédit significatif. Le ratio de transformation est sain (dépôts clients de 711,6 Mds vs créances clients de 391,7 Mds), montrant une forte liquidité. En croisant avec les rapports narratifs, le rapport du T3 2025 (publié en 2025) montre une dynamique positive : PNB de 37,065 milliards FCFA (+9% en glissement annuel) et résultat net de 15,88 milliards (+13%), malgré une contraction du bilan. Le rapport du S1 2025 confirme cette tendance avec un PNB de 24,556 milliards (+5,91%) et un ROE de 20,3%. Sur la base de ces rapports trimestriels, on estime que l'exercice 2025 devrait dépasser les chiffres de 2024 (résultat net de 19,647 milliards), avec une amélioration de la rentabilité. Le rapport T1 2026 (publié en 2026) confirme la poursuite de la croissance avec un PNB de 12,329 milliards (+11%), soutenu par les commissions. La banque est donc fondamentalement solide, avec une croissance rentable, mais doit surveiller son coût du risque et la contraction de son bilan.</w:t>
      </w:r>
    </w:p>
    <w:p>
      <w:pPr>
        <w:spacing w:after="120" w:line="276" w:lineRule="auto"/>
      </w:pPr>
      <w:r>
        <w:t>---</w:t>
      </w:r>
    </w:p>
    <w:p>
      <w:pPr>
        <w:spacing w:after="120" w:line="276" w:lineRule="auto"/>
      </w:pPr>
      <w:r>
        <w:t>### PARTIE 4 : CONCLUSION D'INVESTISSEMENT</w:t>
      </w:r>
    </w:p>
    <w:p>
      <w:pPr>
        <w:spacing w:after="120" w:line="276" w:lineRule="auto"/>
      </w:pPr>
      <w:r>
        <w:t>La valorisation de BOAB est exigeante (PER 17,6x, P/B 3,01x), mais elle est justifiée par une rentabilité supérieure à la moyenne du marché. Le comportement du cours sur 100 jours est positif (+8,88%), mais les statistiques (skewness négatif) et la volatilité modérée suggèrent une prudence. Les signaux techniques sont divergents : le MACD est haussier, mais les moyennes mobiles et le stochastique (surachat) indiquent un potentiel de correction à court terme. Les fondamentaux sont excellents, avec une croissance du PNB et du résultat net confirmée par les rapports trimestriels de 2025 et 2026, malgré un coût du risque élevé. Les prédictions IA pour les 10 prochains jours (de 8 486 à 8 071 FCFA) anticipent une baisse, contredisant le signal MACD mais confirmant les signaux de surachat technique. En synthèse, la convergence entre la valorisation élevée, les signaux techniques de surachat et les prédictions IA baissières suggère une pause dans la progression du titre. Nous recommandons donc une position de **CONSERVER** pour les investisseurs existants, avec un niveau de confiance **Moyen** et un risque global **Moyen**. L'horizon d'investissement optimal serait à moyen terme (3-12 mois), attendant une correction pour renforcer les positions, ou une confirmation de la poursuite de la tendance haussière après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318.12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7,230 FCFA</w:t>
            </w:r>
          </w:p>
          <w:p>
            <w:r>
              <w:rPr>
                <w:b/>
                <w:color w:val="503200"/>
                <w:sz w:val="16"/>
              </w:rPr>
              <w:t xml:space="preserve">Var. 100 jours : </w:t>
            </w:r>
            <w:r>
              <w:rPr>
                <w:b/>
                <w:color w:val="007800"/>
                <w:sz w:val="17"/>
              </w:rPr>
              <w:t>+39.04%</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10.67% (Moyenne) — μ=5,827 FCFA, σ=622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β=0.1289 (Défensif) — Cov=0.000005, Var(idx)=0.000036, ρ=0.044,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6,811</w:t>
            </w:r>
          </w:p>
        </w:tc>
        <w:tc>
          <w:tcPr>
            <w:tcW w:type="dxa" w:w="1440"/>
            <w:shd w:fill="FFDCE0" w:val="clear"/>
          </w:tcPr>
          <w:p>
            <w:r>
              <w:rPr>
                <w:b/>
                <w:sz w:val="17"/>
              </w:rPr>
              <w:t>7,079</w:t>
            </w:r>
          </w:p>
        </w:tc>
        <w:tc>
          <w:tcPr>
            <w:tcW w:type="dxa" w:w="1440"/>
            <w:shd w:fill="FFDCE0" w:val="clear"/>
          </w:tcPr>
          <w:p>
            <w:r>
              <w:rPr>
                <w:sz w:val="17"/>
              </w:rPr>
              <w:t>7,347</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6,604</w:t>
            </w:r>
          </w:p>
        </w:tc>
        <w:tc>
          <w:tcPr>
            <w:tcW w:type="dxa" w:w="1440"/>
            <w:shd w:fill="FFDCE0" w:val="clear"/>
          </w:tcPr>
          <w:p>
            <w:r>
              <w:rPr>
                <w:b/>
                <w:sz w:val="17"/>
              </w:rPr>
              <w:t>6,978</w:t>
            </w:r>
          </w:p>
        </w:tc>
        <w:tc>
          <w:tcPr>
            <w:tcW w:type="dxa" w:w="1440"/>
            <w:shd w:fill="FFDCE0" w:val="clear"/>
          </w:tcPr>
          <w:p>
            <w:r>
              <w:rPr>
                <w:sz w:val="17"/>
              </w:rPr>
              <w:t>7,351</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6,439</w:t>
            </w:r>
          </w:p>
        </w:tc>
        <w:tc>
          <w:tcPr>
            <w:tcW w:type="dxa" w:w="1440"/>
            <w:shd w:fill="FFDCE0" w:val="clear"/>
          </w:tcPr>
          <w:p>
            <w:r>
              <w:rPr>
                <w:b/>
                <w:sz w:val="17"/>
              </w:rPr>
              <w:t>6,891</w:t>
            </w:r>
          </w:p>
        </w:tc>
        <w:tc>
          <w:tcPr>
            <w:tcW w:type="dxa" w:w="1440"/>
            <w:shd w:fill="FFDCE0" w:val="clear"/>
          </w:tcPr>
          <w:p>
            <w:r>
              <w:rPr>
                <w:sz w:val="17"/>
              </w:rPr>
              <w:t>7,343</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6,304</w:t>
            </w:r>
          </w:p>
        </w:tc>
        <w:tc>
          <w:tcPr>
            <w:tcW w:type="dxa" w:w="1440"/>
            <w:shd w:fill="FFDCE0" w:val="clear"/>
          </w:tcPr>
          <w:p>
            <w:r>
              <w:rPr>
                <w:b/>
                <w:sz w:val="17"/>
              </w:rPr>
              <w:t>6,820</w:t>
            </w:r>
          </w:p>
        </w:tc>
        <w:tc>
          <w:tcPr>
            <w:tcW w:type="dxa" w:w="1440"/>
            <w:shd w:fill="FFDCE0" w:val="clear"/>
          </w:tcPr>
          <w:p>
            <w:r>
              <w:rPr>
                <w:sz w:val="17"/>
              </w:rPr>
              <w:t>7,337</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6,187</w:t>
            </w:r>
          </w:p>
        </w:tc>
        <w:tc>
          <w:tcPr>
            <w:tcW w:type="dxa" w:w="1440"/>
            <w:shd w:fill="FFDCE0" w:val="clear"/>
          </w:tcPr>
          <w:p>
            <w:r>
              <w:rPr>
                <w:b/>
                <w:sz w:val="17"/>
              </w:rPr>
              <w:t>6,759</w:t>
            </w:r>
          </w:p>
        </w:tc>
        <w:tc>
          <w:tcPr>
            <w:tcW w:type="dxa" w:w="1440"/>
            <w:shd w:fill="FFDCE0" w:val="clear"/>
          </w:tcPr>
          <w:p>
            <w:r>
              <w:rPr>
                <w:sz w:val="17"/>
              </w:rPr>
              <w:t>7,331</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6,080</w:t>
            </w:r>
          </w:p>
        </w:tc>
        <w:tc>
          <w:tcPr>
            <w:tcW w:type="dxa" w:w="1440"/>
            <w:shd w:fill="FFDCE0" w:val="clear"/>
          </w:tcPr>
          <w:p>
            <w:r>
              <w:rPr>
                <w:b/>
                <w:sz w:val="17"/>
              </w:rPr>
              <w:t>6,702</w:t>
            </w:r>
          </w:p>
        </w:tc>
        <w:tc>
          <w:tcPr>
            <w:tcW w:type="dxa" w:w="1440"/>
            <w:shd w:fill="FFDCE0" w:val="clear"/>
          </w:tcPr>
          <w:p>
            <w:r>
              <w:rPr>
                <w:sz w:val="17"/>
              </w:rPr>
              <w:t>7,324</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5,982</w:t>
            </w:r>
          </w:p>
        </w:tc>
        <w:tc>
          <w:tcPr>
            <w:tcW w:type="dxa" w:w="1440"/>
            <w:shd w:fill="FFDCE0" w:val="clear"/>
          </w:tcPr>
          <w:p>
            <w:r>
              <w:rPr>
                <w:b/>
                <w:sz w:val="17"/>
              </w:rPr>
              <w:t>6,648</w:t>
            </w:r>
          </w:p>
        </w:tc>
        <w:tc>
          <w:tcPr>
            <w:tcW w:type="dxa" w:w="1440"/>
            <w:shd w:fill="FFDCE0" w:val="clear"/>
          </w:tcPr>
          <w:p>
            <w:r>
              <w:rPr>
                <w:sz w:val="17"/>
              </w:rPr>
              <w:t>7,314</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5,890</w:t>
            </w:r>
          </w:p>
        </w:tc>
        <w:tc>
          <w:tcPr>
            <w:tcW w:type="dxa" w:w="1440"/>
            <w:shd w:fill="FFDCE0" w:val="clear"/>
          </w:tcPr>
          <w:p>
            <w:r>
              <w:rPr>
                <w:b/>
                <w:sz w:val="17"/>
              </w:rPr>
              <w:t>6,597</w:t>
            </w:r>
          </w:p>
        </w:tc>
        <w:tc>
          <w:tcPr>
            <w:tcW w:type="dxa" w:w="1440"/>
            <w:shd w:fill="FFDCE0" w:val="clear"/>
          </w:tcPr>
          <w:p>
            <w:r>
              <w:rPr>
                <w:sz w:val="17"/>
              </w:rPr>
              <w:t>7,303</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5,804</w:t>
            </w:r>
          </w:p>
        </w:tc>
        <w:tc>
          <w:tcPr>
            <w:tcW w:type="dxa" w:w="1440"/>
            <w:shd w:fill="FFDCE0" w:val="clear"/>
          </w:tcPr>
          <w:p>
            <w:r>
              <w:rPr>
                <w:b/>
                <w:sz w:val="17"/>
              </w:rPr>
              <w:t>6,547</w:t>
            </w:r>
          </w:p>
        </w:tc>
        <w:tc>
          <w:tcPr>
            <w:tcW w:type="dxa" w:w="1440"/>
            <w:shd w:fill="FFDCE0" w:val="clear"/>
          </w:tcPr>
          <w:p>
            <w:r>
              <w:rPr>
                <w:sz w:val="17"/>
              </w:rPr>
              <w:t>7,291</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5,721</w:t>
            </w:r>
          </w:p>
        </w:tc>
        <w:tc>
          <w:tcPr>
            <w:tcW w:type="dxa" w:w="1440"/>
            <w:shd w:fill="FFDCE0" w:val="clear"/>
          </w:tcPr>
          <w:p>
            <w:r>
              <w:rPr>
                <w:b/>
                <w:sz w:val="17"/>
              </w:rPr>
              <w:t>6,499</w:t>
            </w:r>
          </w:p>
        </w:tc>
        <w:tc>
          <w:tcPr>
            <w:tcW w:type="dxa" w:w="1440"/>
            <w:shd w:fill="FFDCE0" w:val="clear"/>
          </w:tcPr>
          <w:p>
            <w:r>
              <w:rPr>
                <w:sz w:val="17"/>
              </w:rPr>
              <w:t>7,277</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318,12 milliards FCFA, un niveau qui en fait une valeur de premier plan sur la BRVM. Avec un BPA de 438 FCFA, chaque action génère un bénéfice substantiel. Le PER de 16,5x est nettement supérieur à la moyenne historique de la BRVM (8-12x), indiquant que le marché valorise déjà une prime de croissance ou de qualité, mais cette prime pourrait sembler élevée au regard des récentes contre-performances. Le P/B de 2,51x confirme cette prime, le marché valorisant la banque à 2,5 fois sa valeur comptable. Enfin, un EV/EBITDA de 7,0x reste dans une zone raisonnable, suggérant que la valeur totale de l'entreprise reste cohérente avec sa capacité opérationnelle, malgré les signaux de tension sur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performance remarquable de +39,04%, avec une légère progression de +0,42% lors de la dernière séance, clôturant à 7 230 FCFA. Cette forte dynamique haussière s'est déroulée dans un range de trading très large, entre un plus bas de 5 005 FCFA et un plus haut de 7 255 FCFA. Les statistiques descriptives révèlent une distribution asymétrique positive (skewness de 1,417), où la moyenne (5 827 FCFA) est supérieure à la médiane (5 590 FCFA), indiquant que les fortes hausses récentes tirent la moyenne vers le haut. L'écart-type de 625 FCFA (CV=10,7%) montre une dispersion modérée, tandis que le kurtosis de 0,511 suggère une distribution proche de la normale, sans risque de pics extrêmes. La volatilité annualisée de 29,2% classe le titre dans la catégorie "élevée", reflétant un risque de marché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(7 230 FCFA) se situe nettement au-dessus de la MM20 (6 980,25 FCFA) et de la MM50 (6 185,5 FCFA). Cette configuration haussière, où les moyennes sont orientées à la hausse, confirme la tendance positive et justifie la décision d'**Achat**.</w:t>
      </w:r>
    </w:p>
    <w:p>
      <w:pPr>
        <w:spacing w:after="120" w:line="276" w:lineRule="auto"/>
      </w:pPr>
      <w:r>
        <w:t>**Bandes de Bollinger** : Le prix se positionne dans la partie supérieure des bandes, entre la borne inférieure (6 236,96 FCFA) et la borne supérieure (7 723,54 FCFA), sans la toucher. La largeur des bandes indique une volatilité élevée. Le signal est **Neutre**, le cours n'étant pas en situation de surachat extrême.</w:t>
      </w:r>
    </w:p>
    <w:p>
      <w:pPr>
        <w:spacing w:after="120" w:line="276" w:lineRule="auto"/>
      </w:pPr>
      <w:r>
        <w:t>**MACD** : La valeur du MACD (305,56) est inférieure à son signal (333,33), indiquant un momentum baissier à court terme. Cette divergence suggère un possible ralentissement de la dynamique haussière, justifiant la décision de **Vente**.</w:t>
      </w:r>
    </w:p>
    <w:p>
      <w:pPr>
        <w:spacing w:after="120" w:line="276" w:lineRule="auto"/>
      </w:pPr>
      <w:r>
        <w:t>**RSI** : Avec une valeur de 51,23, le RSI se situe en zone neutre, entre les seuils de surachat (70) et de survente (30). Cela indique un équilibre entre les forces acheteuses et vendeuses, justifiant une décision **Neutre**.</w:t>
      </w:r>
    </w:p>
    <w:p>
      <w:pPr>
        <w:spacing w:after="120" w:line="276" w:lineRule="auto"/>
      </w:pPr>
      <w:r>
        <w:t>**Stochastique** : Le %K (100,0) et le %D (94,84) sont à des niveaux extrêmement élevés, en zone de surachat. Cette configuration signale un risque de retournement baissier imminent, justifiant la décision de **Vente**.</w:t>
      </w:r>
    </w:p>
    <w:p>
      <w:pPr>
        <w:spacing w:after="120" w:line="276" w:lineRule="auto"/>
      </w:pPr>
      <w:r>
        <w:t>**Conclusion technique** : Les indicateurs sont mitigés. La tendance de fond (MM) est clairement haussière, mais les oscillateurs (MACD, Stochastique) signalent un essoufflement et un risque de correction à court terme. Le RSI neutre ne permet pas de trancher. La prudence est donc de mise, avec une possible consolidation avant une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BOABF montrent une banque à la santé opérationnelle correcte mais sous pression. Le Produit Net Bancaire (PNB) s'établit à 57,82 milliards FCFA, avec un résultat net de 19,25 milliards FCFA. La rentabilité des fonds propres (ROE) est de 15,2%, un niveau considéré comme excellent, et le ROA de 1,68% est acceptable. Le coefficient d'exploitation de 47,2% témoigne d'une excellente maîtrise des charges. Cependant, le coût du risque est élevé (33,9% des charges financières), indiquant une dégradation de la qualité du portefeuille de crédits. Les rapports trimestriels de 2025 confirment cette tendance : le rapport du 1er trimestre 2025 (PNB 14,22 Mds, RN 5,20 Mds) montre une baisse du résultat net de 16,6%, et celui du 3ème trimestre 2025 (PNB 43,28 Mds, RN 13,45 Mds) une chute de 27,7% sur neuf mois, principalement due à une explosion des provisions pour risques. Enfin, le rapport du 1er trimestre 2026 (PNB 12,69 Mds, RN 4,52 Mds) indique une poursuite de la dégradation, avec un PNB en baisse de 10,75%. On estime que l'exercice 2026 pourrait être difficile, avec une rentabilité sous pression tant que le coût du risque ne sera pas maîtrisé.</w:t>
      </w:r>
    </w:p>
    <w:p>
      <w:pPr>
        <w:spacing w:after="120" w:line="276" w:lineRule="auto"/>
      </w:pPr>
      <w:r>
        <w:t>---</w:t>
      </w:r>
    </w:p>
    <w:p>
      <w:pPr>
        <w:spacing w:after="120" w:line="276" w:lineRule="auto"/>
      </w:pPr>
      <w:r>
        <w:t>### **PARTIE 4 : CONCLUSION D'INVESTISSEMENT**</w:t>
      </w:r>
    </w:p>
    <w:p>
      <w:pPr>
        <w:spacing w:after="120" w:line="276" w:lineRule="auto"/>
      </w:pPr>
      <w:r>
        <w:t>La valorisation actuelle de BOABF (PER 16,5x, P/B 2,51x) semble exigeante au regard de la dégradation des fondamentaux, suggérant une possible surévaluation. Le comportement du cours, bien que très haussier sur 100 jours (+39%), montre des signes d'essoufflement technique avec des oscillateurs en zone de surachat. Les signaux techniques sont divergents, entre une tendance de fond positive et un momentum à court terme négatif. Les fondamentaux, bien que solides en termes de rentabilité (ROE 15,2%), sont menacés par un coût du risque élevé et une contraction du PNB en 2026. Les prédictions IA, projetant une baisse progressive du cours vers 6 759 FCFA sur 10 jours, contredisent la tendance haussière récente et confirment les signaux de correction technique. En synthèse, la convergence des signaux (valorisation élevée, technique surachetée, fondamentaux en baisse, prédiction IA baissière) plaide pour une prudence accrue. La recommandation finale est **CONSERVER** pour les investisseurs actuels, avec un niveau de confiance **Moyen** et un risque global **Élevé**. L'horizon d'investissement optimal serait de **moyen terme (3-12 mois)**, en attendant une clarification sur la maîtrise du coût du risque et une stabilisation des revenus.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13,990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8.33% (Moyenne) — μ=9,152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β=0.6580 (Défensif) — Cov=0.000024, Var(idx)=0.000036, ρ=0.233,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10,761</w:t>
            </w:r>
          </w:p>
        </w:tc>
        <w:tc>
          <w:tcPr>
            <w:tcW w:type="dxa" w:w="1440"/>
            <w:shd w:fill="FFDCE0" w:val="clear"/>
          </w:tcPr>
          <w:p>
            <w:r>
              <w:rPr>
                <w:b/>
                <w:sz w:val="17"/>
              </w:rPr>
              <w:t>11,090</w:t>
            </w:r>
          </w:p>
        </w:tc>
        <w:tc>
          <w:tcPr>
            <w:tcW w:type="dxa" w:w="1440"/>
            <w:shd w:fill="FFDCE0" w:val="clear"/>
          </w:tcPr>
          <w:p>
            <w:r>
              <w:rPr>
                <w:sz w:val="17"/>
              </w:rPr>
              <w:t>11,419</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10,263</w:t>
            </w:r>
          </w:p>
        </w:tc>
        <w:tc>
          <w:tcPr>
            <w:tcW w:type="dxa" w:w="1440"/>
            <w:shd w:fill="FFDCE0" w:val="clear"/>
          </w:tcPr>
          <w:p>
            <w:r>
              <w:rPr>
                <w:b/>
                <w:sz w:val="17"/>
              </w:rPr>
              <w:t>10,712</w:t>
            </w:r>
          </w:p>
        </w:tc>
        <w:tc>
          <w:tcPr>
            <w:tcW w:type="dxa" w:w="1440"/>
            <w:shd w:fill="FFDCE0" w:val="clear"/>
          </w:tcPr>
          <w:p>
            <w:r>
              <w:rPr>
                <w:sz w:val="17"/>
              </w:rPr>
              <w:t>11,162</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9,795</w:t>
            </w:r>
          </w:p>
        </w:tc>
        <w:tc>
          <w:tcPr>
            <w:tcW w:type="dxa" w:w="1440"/>
            <w:shd w:fill="FFDCE0" w:val="clear"/>
          </w:tcPr>
          <w:p>
            <w:r>
              <w:rPr>
                <w:b/>
                <w:sz w:val="17"/>
              </w:rPr>
              <w:t>10,326</w:t>
            </w:r>
          </w:p>
        </w:tc>
        <w:tc>
          <w:tcPr>
            <w:tcW w:type="dxa" w:w="1440"/>
            <w:shd w:fill="FFDCE0" w:val="clear"/>
          </w:tcPr>
          <w:p>
            <w:r>
              <w:rPr>
                <w:sz w:val="17"/>
              </w:rPr>
              <w:t>10,857</w:t>
            </w:r>
          </w:p>
        </w:tc>
        <w:tc>
          <w:tcPr>
            <w:tcW w:type="dxa" w:w="1440"/>
            <w:shd w:fill="FFDCE0" w:val="clear"/>
          </w:tcPr>
          <w:p>
            <w:r>
              <w:rPr>
                <w:b/>
                <w:color w:val="C00000"/>
                <w:sz w:val="17"/>
              </w:rPr>
              <w:t>-11.0%</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9,386</w:t>
            </w:r>
          </w:p>
        </w:tc>
        <w:tc>
          <w:tcPr>
            <w:tcW w:type="dxa" w:w="1440"/>
            <w:shd w:fill="FFDCE0" w:val="clear"/>
          </w:tcPr>
          <w:p>
            <w:r>
              <w:rPr>
                <w:b/>
                <w:sz w:val="17"/>
              </w:rPr>
              <w:t>9,978</w:t>
            </w:r>
          </w:p>
        </w:tc>
        <w:tc>
          <w:tcPr>
            <w:tcW w:type="dxa" w:w="1440"/>
            <w:shd w:fill="FFDCE0" w:val="clear"/>
          </w:tcPr>
          <w:p>
            <w:r>
              <w:rPr>
                <w:sz w:val="17"/>
              </w:rPr>
              <w:t>10,570</w:t>
            </w:r>
          </w:p>
        </w:tc>
        <w:tc>
          <w:tcPr>
            <w:tcW w:type="dxa" w:w="1440"/>
            <w:shd w:fill="FFDCE0" w:val="clear"/>
          </w:tcPr>
          <w:p>
            <w:r>
              <w:rPr>
                <w:b/>
                <w:color w:val="C00000"/>
                <w:sz w:val="17"/>
              </w:rPr>
              <w:t>-14.0%</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9,028</w:t>
            </w:r>
          </w:p>
        </w:tc>
        <w:tc>
          <w:tcPr>
            <w:tcW w:type="dxa" w:w="1440"/>
            <w:shd w:fill="FFDCE0" w:val="clear"/>
          </w:tcPr>
          <w:p>
            <w:r>
              <w:rPr>
                <w:b/>
                <w:sz w:val="17"/>
              </w:rPr>
              <w:t>9,670</w:t>
            </w:r>
          </w:p>
        </w:tc>
        <w:tc>
          <w:tcPr>
            <w:tcW w:type="dxa" w:w="1440"/>
            <w:shd w:fill="FFDCE0" w:val="clear"/>
          </w:tcPr>
          <w:p>
            <w:r>
              <w:rPr>
                <w:sz w:val="17"/>
              </w:rPr>
              <w:t>10,311</w:t>
            </w:r>
          </w:p>
        </w:tc>
        <w:tc>
          <w:tcPr>
            <w:tcW w:type="dxa" w:w="1440"/>
            <w:shd w:fill="FFDCE0" w:val="clear"/>
          </w:tcPr>
          <w:p>
            <w:r>
              <w:rPr>
                <w:b/>
                <w:color w:val="C00000"/>
                <w:sz w:val="17"/>
              </w:rPr>
              <w:t>-16.6%</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8,715</w:t>
            </w:r>
          </w:p>
        </w:tc>
        <w:tc>
          <w:tcPr>
            <w:tcW w:type="dxa" w:w="1440"/>
            <w:shd w:fill="FFDCE0" w:val="clear"/>
          </w:tcPr>
          <w:p>
            <w:r>
              <w:rPr>
                <w:b/>
                <w:sz w:val="17"/>
              </w:rPr>
              <w:t>9,398</w:t>
            </w:r>
          </w:p>
        </w:tc>
        <w:tc>
          <w:tcPr>
            <w:tcW w:type="dxa" w:w="1440"/>
            <w:shd w:fill="FFDCE0" w:val="clear"/>
          </w:tcPr>
          <w:p>
            <w:r>
              <w:rPr>
                <w:sz w:val="17"/>
              </w:rPr>
              <w:t>10,081</w:t>
            </w:r>
          </w:p>
        </w:tc>
        <w:tc>
          <w:tcPr>
            <w:tcW w:type="dxa" w:w="1440"/>
            <w:shd w:fill="FFDCE0" w:val="clear"/>
          </w:tcPr>
          <w:p>
            <w:r>
              <w:rPr>
                <w:b/>
                <w:color w:val="C00000"/>
                <w:sz w:val="17"/>
              </w:rPr>
              <w:t>-19.0%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8,439</w:t>
            </w:r>
          </w:p>
        </w:tc>
        <w:tc>
          <w:tcPr>
            <w:tcW w:type="dxa" w:w="1440"/>
            <w:shd w:fill="FFDCE0" w:val="clear"/>
          </w:tcPr>
          <w:p>
            <w:r>
              <w:rPr>
                <w:b/>
                <w:sz w:val="17"/>
              </w:rPr>
              <w:t>9,158</w:t>
            </w:r>
          </w:p>
        </w:tc>
        <w:tc>
          <w:tcPr>
            <w:tcW w:type="dxa" w:w="1440"/>
            <w:shd w:fill="FFDCE0" w:val="clear"/>
          </w:tcPr>
          <w:p>
            <w:r>
              <w:rPr>
                <w:sz w:val="17"/>
              </w:rPr>
              <w:t>9,877</w:t>
            </w:r>
          </w:p>
        </w:tc>
        <w:tc>
          <w:tcPr>
            <w:tcW w:type="dxa" w:w="1440"/>
            <w:shd w:fill="FFDCE0" w:val="clear"/>
          </w:tcPr>
          <w:p>
            <w:r>
              <w:rPr>
                <w:b/>
                <w:color w:val="C00000"/>
                <w:sz w:val="17"/>
              </w:rPr>
              <w:t>-21.1%</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8,194</w:t>
            </w:r>
          </w:p>
        </w:tc>
        <w:tc>
          <w:tcPr>
            <w:tcW w:type="dxa" w:w="1440"/>
            <w:shd w:fill="FFDCE0" w:val="clear"/>
          </w:tcPr>
          <w:p>
            <w:r>
              <w:rPr>
                <w:b/>
                <w:sz w:val="17"/>
              </w:rPr>
              <w:t>8,944</w:t>
            </w:r>
          </w:p>
        </w:tc>
        <w:tc>
          <w:tcPr>
            <w:tcW w:type="dxa" w:w="1440"/>
            <w:shd w:fill="FFDCE0" w:val="clear"/>
          </w:tcPr>
          <w:p>
            <w:r>
              <w:rPr>
                <w:sz w:val="17"/>
              </w:rPr>
              <w:t>9,695</w:t>
            </w:r>
          </w:p>
        </w:tc>
        <w:tc>
          <w:tcPr>
            <w:tcW w:type="dxa" w:w="1440"/>
            <w:shd w:fill="FFDCE0" w:val="clear"/>
          </w:tcPr>
          <w:p>
            <w:r>
              <w:rPr>
                <w:b/>
                <w:color w:val="C00000"/>
                <w:sz w:val="17"/>
              </w:rPr>
              <w:t>-22.9%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7,975</w:t>
            </w:r>
          </w:p>
        </w:tc>
        <w:tc>
          <w:tcPr>
            <w:tcW w:type="dxa" w:w="1440"/>
            <w:shd w:fill="FFDCE0" w:val="clear"/>
          </w:tcPr>
          <w:p>
            <w:r>
              <w:rPr>
                <w:b/>
                <w:sz w:val="17"/>
              </w:rPr>
              <w:t>8,754</w:t>
            </w:r>
          </w:p>
        </w:tc>
        <w:tc>
          <w:tcPr>
            <w:tcW w:type="dxa" w:w="1440"/>
            <w:shd w:fill="FFDCE0" w:val="clear"/>
          </w:tcPr>
          <w:p>
            <w:r>
              <w:rPr>
                <w:sz w:val="17"/>
              </w:rPr>
              <w:t>9,533</w:t>
            </w:r>
          </w:p>
        </w:tc>
        <w:tc>
          <w:tcPr>
            <w:tcW w:type="dxa" w:w="1440"/>
            <w:shd w:fill="FFDCE0" w:val="clear"/>
          </w:tcPr>
          <w:p>
            <w:r>
              <w:rPr>
                <w:b/>
                <w:color w:val="C00000"/>
                <w:sz w:val="17"/>
              </w:rPr>
              <w:t>-24.5%</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7,777</w:t>
            </w:r>
          </w:p>
        </w:tc>
        <w:tc>
          <w:tcPr>
            <w:tcW w:type="dxa" w:w="1440"/>
            <w:shd w:fill="FFDCE0" w:val="clear"/>
          </w:tcPr>
          <w:p>
            <w:r>
              <w:rPr>
                <w:b/>
                <w:sz w:val="17"/>
              </w:rPr>
              <w:t>8,583</w:t>
            </w:r>
          </w:p>
        </w:tc>
        <w:tc>
          <w:tcPr>
            <w:tcW w:type="dxa" w:w="1440"/>
            <w:shd w:fill="FFDCE0" w:val="clear"/>
          </w:tcPr>
          <w:p>
            <w:r>
              <w:rPr>
                <w:sz w:val="17"/>
              </w:rPr>
              <w:t>9,388</w:t>
            </w:r>
          </w:p>
        </w:tc>
        <w:tc>
          <w:tcPr>
            <w:tcW w:type="dxa" w:w="1440"/>
            <w:shd w:fill="FFDCE0" w:val="clear"/>
          </w:tcPr>
          <w:p>
            <w:r>
              <w:rPr>
                <w:b/>
                <w:color w:val="C00000"/>
                <w:sz w:val="17"/>
              </w:rPr>
              <w:t>-26.0%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**Marché :** BRVM | **Date de l'analyse :** 2026 | **Cours actuel :** 11,600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464 milliards FCFA positionne BOAC comme une valeur de premier plan sur la BRVM, reflétant la confiance des investisseurs dans le secteur bancaire ivoirien. Avec un BPA de 888 FCFA, chaque action génère un bénéfice substantiel, justifiant un PER de 13,1x. Ce ratio est légèrement supérieur à la moyenne historique de la BRVM (8-12x), indiquant que le marché valorise la croissance future de la banque avec une prime, mais reste dans une zone de valorisation raisonnable pour un établissement de cette qualité. Le P/B de 3,64x confirme cette prime de croissance, le marché acceptant de payer plus de 3,6 fois la valeur comptable des actifs, signe d'une forte création de valeur attendue. Enfin, l'EV/EBITDA de 26,6x est exigeant, suggérant que la valeur d'entreprise est élevée par rapport à sa capacité opérationnelle, ce qui pourrait limiter le potentiel de hausse à court terme si les performances ne suivent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progression spectaculaire de +33,33%, passant d'un plus bas de 8,100 FCFA à un plus haut de 11,600 FCFA, avec une dernière séance stable. Cette tendance haussière marquée est confirmée par les statistiques descriptives : la moyenne (9,152 FCFA) est inférieure à la médiane (8,898 FCFA), et le skewness positif de 1,733 indique une distribution asymétrique avec des journées majoritairement sous la moyenne mais des pics de hausse importants. L'écart-type de 767 FCFA (CV=8,4%) montre une dispersion modérée, tandis que le kurtosis de 2,588 (leptokurtique) signale un risque de mouvements extrêmes. La volatilité annualisée de 27,0% classe le titre dans une zone de volatilité modérée à élevée, ce qui est cohérent avec la forte appréciation récente et suggère un potentiel de rendement élevé mais aussi un risque accru de retournement.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(11,600 FCFA) évolue nettement au-dessus de la MM20 (10,419 FCFA) et de la MM50 (9,626 FCFA), confirmant une dynamique haussière solide. La décision d'achat est justifiée par la configuration en "courbe de tendance" ascendante, où le prix reste soutenu par les moyennes mobiles, indiquant une force du mouvement.</w:t>
      </w:r>
    </w:p>
    <w:p>
      <w:pPr>
        <w:spacing w:after="120" w:line="276" w:lineRule="auto"/>
      </w:pPr>
      <w:r>
        <w:t>**Bandes de Bollinger :** Le prix se situe près de la borne supérieure (11,940 FCFA), ce qui reflète une pression acheteuse intense et une volatilité accrue. La décision "Neutre" est pertinente car, bien que la tendance soit haussière, la proximité de la borne supérieure suggère que le titre est temporairement suracheté et pourrait consolider avant de poursuivre sa progression.</w:t>
      </w:r>
    </w:p>
    <w:p>
      <w:pPr>
        <w:spacing w:after="120" w:line="276" w:lineRule="auto"/>
      </w:pPr>
      <w:r>
        <w:t>**MACD :** Le MACD (574,6) est nettement au-dessus de sa ligne de signal (456,9), confirmant un momentum haussier fort. La décision d'achat est justifiée par cette divergence positive, qui indique que la dynamique de prix reste favorable, bien que l'écart important puisse signaler une exubérance à court terme.</w:t>
      </w:r>
    </w:p>
    <w:p>
      <w:pPr>
        <w:spacing w:after="120" w:line="276" w:lineRule="auto"/>
      </w:pPr>
      <w:r>
        <w:t>**RSI :** Le RSI à 84,8 est en zone de surachat sévère (au-dessus de 70), ce qui déclenche une décision de vente. Ce niveau extrême indique que le titre est surévalué à court terme et qu'un repli technique est probable, même si la tendance de fond reste haussière.</w:t>
      </w:r>
    </w:p>
    <w:p>
      <w:pPr>
        <w:spacing w:after="120" w:line="276" w:lineRule="auto"/>
      </w:pPr>
      <w:r>
        <w:t>**Stochastique :** Le %K et le %D sont tous deux à 100,0, un niveau extrême de surachat. La décision de vente est justifiée par cette configuration, qui signale une exhaustion potentielle des acheteurs et un risque élevé de correction.</w:t>
      </w:r>
    </w:p>
    <w:p>
      <w:pPr>
        <w:spacing w:after="120" w:line="276" w:lineRule="auto"/>
      </w:pPr>
      <w:r>
        <w:t>**Conclusion technique :** La tendance de fond est clairement haussière, mais les indicateurs de momentum (RSI, Stochastique) sont en zone de surachat extrême, suggérant un risque de correction à court terme. La convergence des signaux d'achat (MM, MACD) et de vente (RSI, Stochastique) indique un marché en tension, où la prudence est de mise pour les nouveaux entrants.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BOAC révèlent une banque très performante : le PNB s'établit à 73,545 milliards FCFA, générant un résultat net de 35,540 milliards FCFA, soit une marge nette exceptionnelle de 48,3%. Le ROE atteint 27,9%, un niveau excellent (&gt;15%), et le ROA de 3,2% témoigne d'une bonne efficacité. Le coefficient d'exploitation de 36,7% est remarquable, indiquant une gestion rigoureuse des coûts. Cependant, le coût du risque de 6,7% est élevé, signalant une dégradation de la qualité du portefeuille de crédits. En croisant avec les rapports trimestriels 2025, on observe une stagnation du PNB au S1 (+0,35%) et au T3 (+0,23%), mais une hausse du résultat net au T1 (+14,6%) grâce à une baisse des provisions. Sur la base de ces tendances, on estime que l'exercice 2025 complet devrait confirmer la solidité de la banque, avec un résultat net proche de 35 milliards FCFA, porté par une collecte de dépôts dynamique (+10,3%) et une contraction des crédits (-12%), reflétant une stratégie prudente. La banque affiche une autonomie financière de 11,5%, en deçà du seuil de 30%, mais sa solvabilité générale de 113% et une liquidité générale de 3684% rassurent sur sa solidité. Les objectifs triennaux 2027 (croissance du PNB de +11,6%) indiquent une ambition de redémarrage, mais la prudence reste de mise face au coût du risque élevé.</w:t>
      </w:r>
    </w:p>
    <w:p>
      <w:pPr>
        <w:spacing w:after="120" w:line="276" w:lineRule="auto"/>
      </w:pPr>
      <w:r>
        <w:t>---</w:t>
      </w:r>
    </w:p>
    <w:p>
      <w:pPr>
        <w:spacing w:after="120" w:line="276" w:lineRule="auto"/>
      </w:pPr>
      <w:r>
        <w:t>### PARTIE 4 : CONCLUSION D'INVESTISSEMENT</w:t>
      </w:r>
    </w:p>
    <w:p>
      <w:pPr>
        <w:spacing w:after="120" w:line="276" w:lineRule="auto"/>
      </w:pPr>
      <w:r>
        <w:t>La valorisation de BOAC (PER 13,1x, P/B 3,64x) est exigeante mais justifiée par une rentabilité exceptionnelle (ROE 27,9%), tandis que le comportement du cours (+33,3% en 100 jours) montre une dynamique haussière forte, mais avec un risque de surachat (kurtosis élevé, skewness positif). Les signaux techniques sont mitigés : les MM et le MACD sont positifs, mais le RSI (84,8) et le Stochastique (100) signalent une correction imminente. Les fondamentaux, bien que solides, montrent une stagnation du PNB et un coût du risque élevé, tempérant l'optimisme. Les prédictions IA (J+1 à J+10) prévoient une baisse progressive du cours (de 11,090 à 9,670 FCFA), confirmant le risque de correction technique. En synthèse, la convergence entre le surachat technique et les prédictions IA suggère une consolidation à court terme, mais la solidité fondamentale et les perspectives de croissance à moyen terme (objectifs 2027) soutiennent le titre. **Recommandation : CONSERVER** avec un niveau de confiance **Moyen** et un risque global **Élevé** à court terme. L'horizon d'investissement optimal est le **moyen terme (3-12 mois)**, en attendant une correction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6,394 titres</w:t>
            </w:r>
          </w:p>
        </w:tc>
        <w:tc>
          <w:tcPr>
            <w:tcW w:type="dxa" w:w="2268"/>
            <w:shd w:fill="FFF2CC" w:val="clear"/>
          </w:tcPr>
          <w:p>
            <w:r>
              <w:rPr>
                <w:b/>
                <w:color w:val="503200"/>
                <w:sz w:val="16"/>
              </w:rPr>
              <w:t xml:space="preserve">Cours actuel : </w:t>
            </w:r>
            <w:r>
              <w:rPr>
                <w:color w:val="000000"/>
                <w:sz w:val="17"/>
              </w:rPr>
              <w:t>5,590 FCFA</w:t>
            </w:r>
          </w:p>
          <w:p>
            <w:r>
              <w:rPr>
                <w:b/>
                <w:color w:val="503200"/>
                <w:sz w:val="16"/>
              </w:rPr>
              <w:t xml:space="preserve">Var. 100 jours : </w:t>
            </w:r>
            <w:r>
              <w:rPr>
                <w:b/>
                <w:color w:val="007800"/>
                <w:sz w:val="17"/>
              </w:rPr>
              <w:t>+18.81%</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μ=4,927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β=0.2833 (Défensif) — Cov=0.000010, Var(idx)=0.000036, ρ=0.087,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5,337</w:t>
            </w:r>
          </w:p>
        </w:tc>
        <w:tc>
          <w:tcPr>
            <w:tcW w:type="dxa" w:w="1440"/>
            <w:shd w:fill="FAFAFA" w:val="clear"/>
          </w:tcPr>
          <w:p>
            <w:r>
              <w:rPr>
                <w:b/>
                <w:sz w:val="17"/>
              </w:rPr>
              <w:t>5,535</w:t>
            </w:r>
          </w:p>
        </w:tc>
        <w:tc>
          <w:tcPr>
            <w:tcW w:type="dxa" w:w="1440"/>
            <w:shd w:fill="FAFAFA" w:val="clear"/>
          </w:tcPr>
          <w:p>
            <w:r>
              <w:rPr>
                <w:sz w:val="17"/>
              </w:rPr>
              <w:t>5,732</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5,183</w:t>
            </w:r>
          </w:p>
        </w:tc>
        <w:tc>
          <w:tcPr>
            <w:tcW w:type="dxa" w:w="1440"/>
            <w:shd w:fill="FFDCE0" w:val="clear"/>
          </w:tcPr>
          <w:p>
            <w:r>
              <w:rPr>
                <w:b/>
                <w:sz w:val="17"/>
              </w:rPr>
              <w:t>5,458</w:t>
            </w:r>
          </w:p>
        </w:tc>
        <w:tc>
          <w:tcPr>
            <w:tcW w:type="dxa" w:w="1440"/>
            <w:shd w:fill="FFDCE0" w:val="clear"/>
          </w:tcPr>
          <w:p>
            <w:r>
              <w:rPr>
                <w:sz w:val="17"/>
              </w:rPr>
              <w:t>5,734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5,051</w:t>
            </w:r>
          </w:p>
        </w:tc>
        <w:tc>
          <w:tcPr>
            <w:tcW w:type="dxa" w:w="1440"/>
            <w:shd w:fill="FFDCE0" w:val="clear"/>
          </w:tcPr>
          <w:p>
            <w:r>
              <w:rPr>
                <w:b/>
                <w:sz w:val="17"/>
              </w:rPr>
              <w:t>5,384</w:t>
            </w:r>
          </w:p>
        </w:tc>
        <w:tc>
          <w:tcPr>
            <w:tcW w:type="dxa" w:w="1440"/>
            <w:shd w:fill="FFDCE0" w:val="clear"/>
          </w:tcPr>
          <w:p>
            <w:r>
              <w:rPr>
                <w:sz w:val="17"/>
              </w:rPr>
              <w:t>5,716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4,937</w:t>
            </w:r>
          </w:p>
        </w:tc>
        <w:tc>
          <w:tcPr>
            <w:tcW w:type="dxa" w:w="1440"/>
            <w:shd w:fill="FFDCE0" w:val="clear"/>
          </w:tcPr>
          <w:p>
            <w:r>
              <w:rPr>
                <w:b/>
                <w:sz w:val="17"/>
              </w:rPr>
              <w:t>5,317</w:t>
            </w:r>
          </w:p>
        </w:tc>
        <w:tc>
          <w:tcPr>
            <w:tcW w:type="dxa" w:w="1440"/>
            <w:shd w:fill="FFDCE0" w:val="clear"/>
          </w:tcPr>
          <w:p>
            <w:r>
              <w:rPr>
                <w:sz w:val="17"/>
              </w:rPr>
              <w:t>5,696</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4,837</w:t>
            </w:r>
          </w:p>
        </w:tc>
        <w:tc>
          <w:tcPr>
            <w:tcW w:type="dxa" w:w="1440"/>
            <w:shd w:fill="FFDCE0" w:val="clear"/>
          </w:tcPr>
          <w:p>
            <w:r>
              <w:rPr>
                <w:b/>
                <w:sz w:val="17"/>
              </w:rPr>
              <w:t>5,257</w:t>
            </w:r>
          </w:p>
        </w:tc>
        <w:tc>
          <w:tcPr>
            <w:tcW w:type="dxa" w:w="1440"/>
            <w:shd w:fill="FFDCE0" w:val="clear"/>
          </w:tcPr>
          <w:p>
            <w:r>
              <w:rPr>
                <w:sz w:val="17"/>
              </w:rPr>
              <w:t>5,677</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4,747</w:t>
            </w:r>
          </w:p>
        </w:tc>
        <w:tc>
          <w:tcPr>
            <w:tcW w:type="dxa" w:w="1440"/>
            <w:shd w:fill="FFDCE0" w:val="clear"/>
          </w:tcPr>
          <w:p>
            <w:r>
              <w:rPr>
                <w:b/>
                <w:sz w:val="17"/>
              </w:rPr>
              <w:t>5,202</w:t>
            </w:r>
          </w:p>
        </w:tc>
        <w:tc>
          <w:tcPr>
            <w:tcW w:type="dxa" w:w="1440"/>
            <w:shd w:fill="FFDCE0" w:val="clear"/>
          </w:tcPr>
          <w:p>
            <w:r>
              <w:rPr>
                <w:sz w:val="17"/>
              </w:rPr>
              <w:t>5,657</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4,664</w:t>
            </w:r>
          </w:p>
        </w:tc>
        <w:tc>
          <w:tcPr>
            <w:tcW w:type="dxa" w:w="1440"/>
            <w:shd w:fill="FFDCE0" w:val="clear"/>
          </w:tcPr>
          <w:p>
            <w:r>
              <w:rPr>
                <w:b/>
                <w:sz w:val="17"/>
              </w:rPr>
              <w:t>5,151</w:t>
            </w:r>
          </w:p>
        </w:tc>
        <w:tc>
          <w:tcPr>
            <w:tcW w:type="dxa" w:w="1440"/>
            <w:shd w:fill="FFDCE0" w:val="clear"/>
          </w:tcPr>
          <w:p>
            <w:r>
              <w:rPr>
                <w:sz w:val="17"/>
              </w:rPr>
              <w:t>5,637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4,587</w:t>
            </w:r>
          </w:p>
        </w:tc>
        <w:tc>
          <w:tcPr>
            <w:tcW w:type="dxa" w:w="1440"/>
            <w:shd w:fill="FFDCE0" w:val="clear"/>
          </w:tcPr>
          <w:p>
            <w:r>
              <w:rPr>
                <w:b/>
                <w:sz w:val="17"/>
              </w:rPr>
              <w:t>5,102</w:t>
            </w:r>
          </w:p>
        </w:tc>
        <w:tc>
          <w:tcPr>
            <w:tcW w:type="dxa" w:w="1440"/>
            <w:shd w:fill="FFDCE0" w:val="clear"/>
          </w:tcPr>
          <w:p>
            <w:r>
              <w:rPr>
                <w:sz w:val="17"/>
              </w:rPr>
              <w:t>5,617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4,514</w:t>
            </w:r>
          </w:p>
        </w:tc>
        <w:tc>
          <w:tcPr>
            <w:tcW w:type="dxa" w:w="1440"/>
            <w:shd w:fill="FFDCE0" w:val="clear"/>
          </w:tcPr>
          <w:p>
            <w:r>
              <w:rPr>
                <w:b/>
                <w:sz w:val="17"/>
              </w:rPr>
              <w:t>5,056</w:t>
            </w:r>
          </w:p>
        </w:tc>
        <w:tc>
          <w:tcPr>
            <w:tcW w:type="dxa" w:w="1440"/>
            <w:shd w:fill="FFDCE0" w:val="clear"/>
          </w:tcPr>
          <w:p>
            <w:r>
              <w:rPr>
                <w:sz w:val="17"/>
              </w:rPr>
              <w:t>5,597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4,446</w:t>
            </w:r>
          </w:p>
        </w:tc>
        <w:tc>
          <w:tcPr>
            <w:tcW w:type="dxa" w:w="1440"/>
            <w:shd w:fill="FFDCE0" w:val="clear"/>
          </w:tcPr>
          <w:p>
            <w:r>
              <w:rPr>
                <w:b/>
                <w:sz w:val="17"/>
              </w:rPr>
              <w:t>5,012</w:t>
            </w:r>
          </w:p>
        </w:tc>
        <w:tc>
          <w:tcPr>
            <w:tcW w:type="dxa" w:w="1440"/>
            <w:shd w:fill="FFDCE0" w:val="clear"/>
          </w:tcPr>
          <w:p>
            <w:r>
              <w:rPr>
                <w:sz w:val="17"/>
              </w:rPr>
              <w:t>5,578</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153,45 milliards FCFA, ce qui positionne la banque parmi les valeurs moyennes de la cote de la BRVM. Avec un BPA de 404 FCFA, le titre se négocie à un PER de 13,8x, légèrement au-dessus de la moyenne historique de la place (~8-12x), ce qui traduit une prime de valorisation accordée par le marché pour la qualité de la franchise et sa résilience. Le P/B de 3,08x confirme cette prime, le marché valorisant la banque à plus de trois fois ses fonds propres comptables, un niveau justifié par un ROE de 22,2%. Enfin, l'EV/EBITDA de 6,8x reste dans une zone raisonnable (5-10x), indiquant que la valeur totale de l'entreprise reste cohérente avec sa capacité bénéficiaire opérationnelle, sans excès de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totale de +18,81%, avec une dernière séance quasi stable (+0,09%), témoignant d'une consolidation après un fort mouvement haussier. Le titre a évolué dans un range de 4 425 FCFA (plus bas) à 5 770 FCFA (plus haut), démontrant une amplitude de près de 30% sur la période. La moyenne du cours (4 927 FCFA) est inférieure à la médiane (4 718 FCFA), et le skewness positif (0,975) indique une distribution asymétrique avec des journées plus fréquentes sous la moyenne, mais des mouvements haussiers ponctuels plus amples. L'écart-type de 394 FCFA (CV=8,0%) révèle une dispersion modérée, tandis que le kurtosis de -0,505 (mésokurtique) suggère une distribution proche de la normale, sans risque de pics extrêmes. La volatilité annualisée de 31,0% classe le titre dans la catégorie élevée (&gt;30%), reflétant un profil de risque dynamique, mais cohérent avec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 cours actuel (5 590 FCFA) se positionne au-dessus de la MM20 (5 625,75 FCFA) et nettement au-dessus de la MM50 (5 137,2 FCFA), confirmant une tendance haussière de moyen terme. La configuration des moyennes mobiles, avec le cours soutenu par la MM20 et la MM50 en forte progression, justifie la décision d'achat, le titre évoluant dans un canal haussier bien défini.</w:t>
      </w:r>
    </w:p>
    <w:p>
      <w:pPr>
        <w:spacing w:after="120" w:line="276" w:lineRule="auto"/>
      </w:pPr>
      <w:r>
        <w:t>**Bandes de Bollinger** : Le prix se situe à 5 590 FCFA, entre la borne inférieure (5 437,091 FCFA) et la borne supérieure (5 814,409 FCFA), proche de la moyenne mobile centrale. Cette position neutre indique une volatilité modérée, sans excès haussier ou baissier. La décision neutre est cohérente avec une phase de consolidation après la récente progression, le marché attendant un catalyseur pour poursuivre le mouvement.</w:t>
      </w:r>
    </w:p>
    <w:p>
      <w:pPr>
        <w:spacing w:after="120" w:line="276" w:lineRule="auto"/>
      </w:pPr>
      <w:r>
        <w:t>**MACD** : Le MACD (126,18) est inférieur à sa ligne de signal (161,603), indiquant un momentum baissier à court terme. Cette divergence négative suggère un essoufflement de la dynamique haussière, justifiant la décision de vente. Toutefois, la valeur positive du MACD indique que la tendance de fond reste haussière, la correction étant potentiellement temporaire.</w:t>
      </w:r>
    </w:p>
    <w:p>
      <w:pPr>
        <w:spacing w:after="120" w:line="276" w:lineRule="auto"/>
      </w:pPr>
      <w:r>
        <w:t>**RSI** : À 40,12, le RSI se situe en zone neutre (30-70), sans signal de surachat ni de survente. Cette valeur reflète un équilibre entre acheteurs et vendeurs, avec une légère pression vendeuse. La décision neutre est appropriée, le marché n'étant pas encore dans une zone de retournement majeure.</w:t>
      </w:r>
    </w:p>
    <w:p>
      <w:pPr>
        <w:spacing w:after="120" w:line="276" w:lineRule="auto"/>
      </w:pPr>
      <w:r>
        <w:t>**Stochastique** : Le %K (68,571) est supérieur au %D (61,246), indiquant un croisement haussier en cours. Cette configuration suggère un potentiel de rebond à court terme, bien que les valeurs restent en zone neutre. La décision neutre reflète une dynamique positive naissante, mais pas encore suffisamment forte pour confirmer un signal d'achat.</w:t>
      </w:r>
    </w:p>
    <w:p>
      <w:pPr>
        <w:spacing w:after="120" w:line="276" w:lineRule="auto"/>
      </w:pPr>
      <w:r>
        <w:t>**Conclusion technique** : Les indicateurs techniques présentent un tableau contrasté. Les moyennes mobiles confirment la tendance haussière de fond, tandis que le MACD signale un essoufflement à court terme. Le RSI et les bandes de Bollinger indiquent une phase de consolidation, tandis que le stochastique suggère un potentiel rebond. Globalement, la tendance reste positive, mais un repli vers la zone des 5 400-5 500 FCFA est possible avant la reprise du mouvement haussier.</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font ressortir un Produit Net Bancaire de 37,996 milliards FCFA, en croissance de 5,08% par rapport à 2024, et un résultat net de 11,081 milliards FCFA, en forte progression. Le ROE s'établit à 22,24%, un niveau excellent (&gt;15%), et le ROA à 1,87%, reflétant une bonne efficacité dans l'utilisation des actifs. Le coefficient d'exploitation de 63,14% reste légèrement au-dessus du seuil d'efficacité (&lt;60%), mais en amélioration constante. Le coût du risque, à 43,39% des charges financières, reste élevé, traduisant un environnement de crédit difficile au Mali. Les dépôts clientèle (502,89 milliards FCFA) couvrent largement les créances sur la clientèle (253,65 milliards FCFA), indiquant une transformation saine. Les rapports trimestriels 2025 confirment cette dynamique : le T1 2025 affiche un résultat net en hausse de 91,2%, le S1 2025 de +28,8% et le T3 2025 de +26,2%, avec un PNB cumulé de 28,52 milliards FCFA (+5,8%). Sur la base de ces tendances, on estime que l'exercice 2025 devrait dépasser les 12 milliards FCFA de résultat net, confirmant la solidité du modèle. La banque démontre une résilience remarquable dans un contexte sécuritaire et économique difficile, avec une amélioration continue de la rentabilité et une maîtrise des risques.</w:t>
      </w:r>
    </w:p>
    <w:p>
      <w:pPr>
        <w:spacing w:after="120" w:line="276" w:lineRule="auto" w:before="240"/>
      </w:pPr>
      <w:r>
        <w:rPr>
          <w:b/>
          <w:color w:val="003366"/>
          <w:sz w:val="24"/>
        </w:rPr>
        <w:t>**PARTIE 4 : CONCLUSION D'INVESTISSEMENT**</w:t>
      </w:r>
    </w:p>
    <w:p>
      <w:pPr>
        <w:spacing w:after="120" w:line="276" w:lineRule="auto"/>
      </w:pPr>
      <w:r>
        <w:t>La valorisation de BOAM (PER 13,8x, P/B 3,08x) est légèrement supérieure à la moyenne de la BRVM, mais justifiée par un ROE de 22,2% et une croissance soutenue des bénéfices. Le comportement du cours (+18,81% sur 100 jours) montre une tendance haussière solide, avec une volatilité élevée (31%) et une distribution asymétrique positive, favorable aux investisseurs de long terme. Les signaux techniques sont mitigés : la tendance de fond reste haussière (MM), mais le MACD et le RSI indiquent une consolidation à court terme, avec un potentiel de rebond suggéré par le stochastique. Les fondamentaux sont excellents, avec une croissance du PNB de 5,1%, un résultat net en hausse de 21,5% et une amélioration continue de la rentabilité. Les prédictions IA (5 535 à 5 257 FCFA sur 10 jours) suggèrent un repli technique vers la zone des 5 250-5 500 FCFA, ce qui représenterait une opportunité d'achat. La convergence entre la solidité fondamentale, la tendance haussière de fond et la correction technique anticipée conduit à une recommandation **ACHAT** avec un niveau de confiance **Élevé**. Le risque global est **Moyen**, principalement lié au contexte sécuritaire et macroéconomique malien. L'horizon d'investissement optimal est le **moyen terme (3-12 mois)**, permettant de capter la reprise après la consolidation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10,628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+74.20%</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22.07% (Élevée) — μ=3,796 FCFA, σ=838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β=0.7260 (Défensif) — Cov=0.000026, Var(idx)=0.000036,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4,898</w:t>
            </w:r>
          </w:p>
        </w:tc>
        <w:tc>
          <w:tcPr>
            <w:tcW w:type="dxa" w:w="1440"/>
            <w:shd w:fill="FAFAFA" w:val="clear"/>
          </w:tcPr>
          <w:p>
            <w:r>
              <w:rPr>
                <w:b/>
                <w:sz w:val="17"/>
              </w:rPr>
              <w:t>5,125</w:t>
            </w:r>
          </w:p>
        </w:tc>
        <w:tc>
          <w:tcPr>
            <w:tcW w:type="dxa" w:w="1440"/>
            <w:shd w:fill="FAFAFA" w:val="clear"/>
          </w:tcPr>
          <w:p>
            <w:r>
              <w:rPr>
                <w:sz w:val="17"/>
              </w:rPr>
              <w:t>5,352</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4,804</w:t>
            </w:r>
          </w:p>
        </w:tc>
        <w:tc>
          <w:tcPr>
            <w:tcW w:type="dxa" w:w="1440"/>
            <w:shd w:fill="FAFAFA" w:val="clear"/>
          </w:tcPr>
          <w:p>
            <w:r>
              <w:rPr>
                <w:b/>
                <w:sz w:val="17"/>
              </w:rPr>
              <w:t>5,124</w:t>
            </w:r>
          </w:p>
        </w:tc>
        <w:tc>
          <w:tcPr>
            <w:tcW w:type="dxa" w:w="1440"/>
            <w:shd w:fill="FAFAFA" w:val="clear"/>
          </w:tcPr>
          <w:p>
            <w:r>
              <w:rPr>
                <w:sz w:val="17"/>
              </w:rPr>
              <w:t>5,445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4,724</w:t>
            </w:r>
          </w:p>
        </w:tc>
        <w:tc>
          <w:tcPr>
            <w:tcW w:type="dxa" w:w="1440"/>
            <w:shd w:fill="FAFAFA" w:val="clear"/>
          </w:tcPr>
          <w:p>
            <w:r>
              <w:rPr>
                <w:b/>
                <w:sz w:val="17"/>
              </w:rPr>
              <w:t>5,116</w:t>
            </w:r>
          </w:p>
        </w:tc>
        <w:tc>
          <w:tcPr>
            <w:tcW w:type="dxa" w:w="1440"/>
            <w:shd w:fill="FAFAFA" w:val="clear"/>
          </w:tcPr>
          <w:p>
            <w:r>
              <w:rPr>
                <w:sz w:val="17"/>
              </w:rPr>
              <w:t>5,508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4,654</w:t>
            </w:r>
          </w:p>
        </w:tc>
        <w:tc>
          <w:tcPr>
            <w:tcW w:type="dxa" w:w="1440"/>
            <w:shd w:fill="FAFAFA" w:val="clear"/>
          </w:tcPr>
          <w:p>
            <w:r>
              <w:rPr>
                <w:b/>
                <w:sz w:val="17"/>
              </w:rPr>
              <w:t>5,106</w:t>
            </w:r>
          </w:p>
        </w:tc>
        <w:tc>
          <w:tcPr>
            <w:tcW w:type="dxa" w:w="1440"/>
            <w:shd w:fill="FAFAFA" w:val="clear"/>
          </w:tcPr>
          <w:p>
            <w:r>
              <w:rPr>
                <w:sz w:val="17"/>
              </w:rPr>
              <w:t>5,558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4,592</w:t>
            </w:r>
          </w:p>
        </w:tc>
        <w:tc>
          <w:tcPr>
            <w:tcW w:type="dxa" w:w="1440"/>
            <w:shd w:fill="FAFAFA" w:val="clear"/>
          </w:tcPr>
          <w:p>
            <w:r>
              <w:rPr>
                <w:b/>
                <w:sz w:val="17"/>
              </w:rPr>
              <w:t>5,096</w:t>
            </w:r>
          </w:p>
        </w:tc>
        <w:tc>
          <w:tcPr>
            <w:tcW w:type="dxa" w:w="1440"/>
            <w:shd w:fill="FAFAFA" w:val="clear"/>
          </w:tcPr>
          <w:p>
            <w:r>
              <w:rPr>
                <w:sz w:val="17"/>
              </w:rPr>
              <w:t>5,601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4,536</w:t>
            </w:r>
          </w:p>
        </w:tc>
        <w:tc>
          <w:tcPr>
            <w:tcW w:type="dxa" w:w="1440"/>
            <w:shd w:fill="FFDCE0" w:val="clear"/>
          </w:tcPr>
          <w:p>
            <w:r>
              <w:rPr>
                <w:b/>
                <w:sz w:val="17"/>
              </w:rPr>
              <w:t>5,087</w:t>
            </w:r>
          </w:p>
        </w:tc>
        <w:tc>
          <w:tcPr>
            <w:tcW w:type="dxa" w:w="1440"/>
            <w:shd w:fill="FFDCE0" w:val="clear"/>
          </w:tcPr>
          <w:p>
            <w:r>
              <w:rPr>
                <w:sz w:val="17"/>
              </w:rPr>
              <w:t>5,638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4,483</w:t>
            </w:r>
          </w:p>
        </w:tc>
        <w:tc>
          <w:tcPr>
            <w:tcW w:type="dxa" w:w="1440"/>
            <w:shd w:fill="FFDCE0" w:val="clear"/>
          </w:tcPr>
          <w:p>
            <w:r>
              <w:rPr>
                <w:b/>
                <w:sz w:val="17"/>
              </w:rPr>
              <w:t>5,078</w:t>
            </w:r>
          </w:p>
        </w:tc>
        <w:tc>
          <w:tcPr>
            <w:tcW w:type="dxa" w:w="1440"/>
            <w:shd w:fill="FFDCE0" w:val="clear"/>
          </w:tcPr>
          <w:p>
            <w:r>
              <w:rPr>
                <w:sz w:val="17"/>
              </w:rPr>
              <w:t>5,672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4,434</w:t>
            </w:r>
          </w:p>
        </w:tc>
        <w:tc>
          <w:tcPr>
            <w:tcW w:type="dxa" w:w="1440"/>
            <w:shd w:fill="FFDCE0" w:val="clear"/>
          </w:tcPr>
          <w:p>
            <w:r>
              <w:rPr>
                <w:b/>
                <w:sz w:val="17"/>
              </w:rPr>
              <w:t>5,068</w:t>
            </w:r>
          </w:p>
        </w:tc>
        <w:tc>
          <w:tcPr>
            <w:tcW w:type="dxa" w:w="1440"/>
            <w:shd w:fill="FFDCE0" w:val="clear"/>
          </w:tcPr>
          <w:p>
            <w:r>
              <w:rPr>
                <w:sz w:val="17"/>
              </w:rPr>
              <w:t>5,703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4,388</w:t>
            </w:r>
          </w:p>
        </w:tc>
        <w:tc>
          <w:tcPr>
            <w:tcW w:type="dxa" w:w="1440"/>
            <w:shd w:fill="FFDCE0" w:val="clear"/>
          </w:tcPr>
          <w:p>
            <w:r>
              <w:rPr>
                <w:b/>
                <w:sz w:val="17"/>
              </w:rPr>
              <w:t>5,059</w:t>
            </w:r>
          </w:p>
        </w:tc>
        <w:tc>
          <w:tcPr>
            <w:tcW w:type="dxa" w:w="1440"/>
            <w:shd w:fill="FFDCE0" w:val="clear"/>
          </w:tcPr>
          <w:p>
            <w:r>
              <w:rPr>
                <w:sz w:val="17"/>
              </w:rPr>
              <w:t>5,731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4,344</w:t>
            </w:r>
          </w:p>
        </w:tc>
        <w:tc>
          <w:tcPr>
            <w:tcW w:type="dxa" w:w="1440"/>
            <w:shd w:fill="FFDCE0" w:val="clear"/>
          </w:tcPr>
          <w:p>
            <w:r>
              <w:rPr>
                <w:b/>
                <w:sz w:val="17"/>
              </w:rPr>
              <w:t>5,051</w:t>
            </w:r>
          </w:p>
        </w:tc>
        <w:tc>
          <w:tcPr>
            <w:tcW w:type="dxa" w:w="1440"/>
            <w:shd w:fill="FFDCE0" w:val="clear"/>
          </w:tcPr>
          <w:p>
            <w:r>
              <w:rPr>
                <w:sz w:val="17"/>
              </w:rPr>
              <w:t>5,757</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positionnant la banque comme une valeur de taille intermédiaire sur la BRVM. Le BPA de 20 FCFA par action est extrêmement faible, ce qui explique un PER de 264,4x, très largement supérieur à la moyenne du marché (8-12x). Ce niveau de valorisation est extrêmement exigeant et indique que le marché intègre un scénario de redressement très ambitieux des bénéfices futurs. Le P/B de 3,00x valorise la banque à trois fois sa valeur comptable, une prime de croissance significative qui semble difficile à justifier au regard des fondamentaux actuels. Enfin, l'EV/EBITDA de 39,9x confirme cette surévaluation relative, les investisseurs payant près de 40 fois la capacité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+74,20%, avec une dernière séance en hausse de +2,46% à 5 200 FCFA. Le cours a évolué dans une fourchette très large, entre un plus bas de 2 460 FCFA et un plus haut de 5 400 FCFA, illustrant une forte dynamique haussière. La moyenne du cours sur la période (3 796 FCFA) est inférieure à la médiane (3 700 FCFA), indiquant une distribution légèrement asymétrique avec un skewness positif de 0,484, suggérant des épisodes de hausses marquées. L'écart-type de 842 FCFA (CV de 22,2%) témoigne d'une dispersion modérée, tandis que le kurtosis de -0,685 (mésokurtique) indique une distribution proche de la normale, sans risque de pics extrêmes. La volatilité annualisée de 44,2% classe le titre dans la catégorie des valeurs à forte volatilité, un niveau élevé qui reflète l'incertitude entourant la valeur.</w:t>
      </w:r>
    </w:p>
    <w:p>
      <w:pPr>
        <w:spacing w:after="120" w:line="276" w:lineRule="auto" w:before="240"/>
      </w:pPr>
      <w:r>
        <w:rPr>
          <w:b/>
          <w:color w:val="003366"/>
          <w:sz w:val="24"/>
        </w:rPr>
        <w:t>**PARTIE 2 : ANALYSE TECHNIQUE DÉTAILLÉE**</w:t>
      </w:r>
    </w:p>
    <w:p>
      <w:pPr>
        <w:spacing w:after="120" w:line="276" w:lineRule="auto"/>
      </w:pPr>
      <w:r>
        <w:t>**Moyennes Mobiles** : Le cours actuel de 5 200 FCFA se situe au-dessus de la MM20 (5 181,5 FCFA) et nettement au-dessus de la MM50 (4 430,9 FCFA), confirmant une tendance haussière de moyen terme. La configuration des moyennes mobiles, avec le cours évoluant au-dessus des deux moyennes, génère un signal d'achat cohérent avec la dynamique positive du titre.</w:t>
      </w:r>
    </w:p>
    <w:p>
      <w:pPr>
        <w:spacing w:after="120" w:line="276" w:lineRule="auto"/>
      </w:pPr>
      <w:r>
        <w:t>**Bandes de Bollinger** : Le cours se positionne à 5 200 FCFA, entre la borne inférieure (4 764,6 FCFA) et la borne supérieure (5 598,4 FCFA), dans la partie médiane-haute des bandes. Cette position neutre suggère une volatilité modérée et un équilibre temporaire entre acheteurs et vendeurs, sans signal directionnel fort.</w:t>
      </w:r>
    </w:p>
    <w:p>
      <w:pPr>
        <w:spacing w:after="120" w:line="276" w:lineRule="auto"/>
      </w:pPr>
      <w:r>
        <w:t>**MACD** : Le MACD (217,7) est inférieur à sa ligne de signal (280,2), indiquant un momentum baissier à court terme malgré la tendance haussière de fond. Cette divergence négative suggère une possible consolidation ou correction à venir, justifiant la décision de vente signalée.</w:t>
      </w:r>
    </w:p>
    <w:p>
      <w:pPr>
        <w:spacing w:after="120" w:line="276" w:lineRule="auto"/>
      </w:pPr>
      <w:r>
        <w:t>**RSI** : Le RSI de 43,0 se situe en zone neutre, entre 30 et 70, indiquant que le titre n'est ni suracheté ni survendu. Cette valeur reflète un équilibre relatif des forces entre acheteurs et vendeurs, sans signal directionnel clair.</w:t>
      </w:r>
    </w:p>
    <w:p>
      <w:pPr>
        <w:spacing w:after="120" w:line="276" w:lineRule="auto"/>
      </w:pPr>
      <w:r>
        <w:t>**Stochastique** : Le %K (38,5) est nettement supérieur au %D (12,8), indiquant un croisement haussier récent. Cette configuration suggère un potentiel de rebond à court terme, bien que les niveaux restent modérés, justifiant la décision neutre.</w:t>
      </w:r>
    </w:p>
    <w:p>
      <w:pPr>
        <w:spacing w:after="120" w:line="276" w:lineRule="auto"/>
      </w:pPr>
      <w:r>
        <w:t>**Conclusion technique** : La convergence des indicateurs est mitigée. Les moyennes mobiles plaident pour une tendance haussière, tandis que le MACD signale un affaiblissement du momentum. Le RSI et les bandes de Bollinger restent neutres, et le stochastique suggère un possible rebond. Globalement, le titre semble en phase de consolidation après une forte hausse, avec un biais haussier de moyen terme mais des signaux de prudence à court terme.</w:t>
      </w:r>
    </w:p>
    <w:p>
      <w:pPr>
        <w:spacing w:after="120" w:line="276" w:lineRule="auto" w:before="240"/>
      </w:pPr>
      <w:r>
        <w:rPr>
          <w:b/>
          <w:color w:val="003366"/>
          <w:sz w:val="24"/>
        </w:rPr>
        <w:t>**PARTIE 3 : ANALYSE FONDAMENTALE (SECTION CRITIQUE)**</w:t>
      </w:r>
    </w:p>
    <w:p>
      <w:pPr>
        <w:spacing w:after="120" w:line="276" w:lineRule="auto"/>
      </w:pPr>
      <w:r>
        <w:t>En 2025, le Produit Net Bancaire de BOAN s'établit à 21,125 milliards FCFA, en légère baisse de 1,2% par rapport à 2024 (21,38 milliards FCFA). Le résultat net s'effondre à 409 millions FCFA, contre 5 002 millions FCFA en 2024, soit une chute de 91,8%. Cette dégradation se reflète dans le ROE qui passe de 11,39% à 1,13% et le ROA de 1,49% à 0,14%. Le coefficient d'exploitation se détériore à 74,4%, bien au-dessus du seuil d'efficacité de 60%, tandis que le coût du risque atteint 67,3%, reflétant un portefeuille de crédits fortement dégradé. Les dépôts clientèle (183,28 milliards FCFA) restent supérieurs aux créances clientèle (128,45 milliards FCFA), mais les crédits ont reculé de 20,9%. Les rapports trimestriels 2025 confirment la tendance : le T1 2025 montre un PNB en baisse de 16,3% et un résultat net en chute de 50,2%, tandis que le S1 2025 affiche une contraction de 4,1% du PNB et de 25,2% du résultat net. Le T3 2025 révèle une stabilisation du PNB (-1,8%) mais une chute de 33,1% du résultat net. Cependant, le rapport T1 2026 (daté de 2026) marque un net redressement avec un PNB en hausse de 7,9% à 5 170 millions FCFA et un résultat net en progression de 28,9% à 1 467 millions FCFA, le coefficient d'exploitation s'améliorant à 56,2%. Sur la base de ce rapport T1 2026, on estime que l'exercice 2026 pourrait voir un PNB en hausse de 8% et un résultat net en forte progression, potentiellement multiplié par 6 selon les objectifs budgétaires. La banque demeure fragile mais montre des signes de redressement, soutenue par le groupe BOA et la reprise économique nigérienne.</w:t>
      </w:r>
    </w:p>
    <w:p>
      <w:pPr>
        <w:spacing w:after="120" w:line="276" w:lineRule="auto" w:before="240"/>
      </w:pPr>
      <w:r>
        <w:rPr>
          <w:b/>
          <w:color w:val="003366"/>
          <w:sz w:val="24"/>
        </w:rPr>
        <w:t>**PARTIE 4 : CONCLUSION D'INVESTISSEMENT**</w:t>
      </w:r>
    </w:p>
    <w:p>
      <w:pPr>
        <w:spacing w:after="120" w:line="276" w:lineRule="auto"/>
      </w:pPr>
      <w:r>
        <w:t>La valorisation de BOAN apparaît extrêmement surévaluée au regard des ratios PER (264,4x), P/B (3,00x) et EV/EBITDA (39,9x), qui intègrent des perspectives de redressement très ambitieuses. Le comportement du cours (+74,2% sur 100 jours) montre une dynamique haussière spectaculaire, mais la volatilité élevée (44,2%) et les statistiques descriptives suggèrent un risque de correction. Les signaux techniques sont mitigés, avec des moyennes mobiles haussières mais un MACD vendeur et un RSI neutre, indiquant une consolidation probable. Les fondamentaux de 2025 sont très dégradés (ROE de 1,13%, résultat net en chute de 91,8%), mais les perspectives 2026, basées sur le T1 2026 (résultat net +28,9%), suggèrent un redressement significatif. Les prédictions IA prévoient une légère baisse du cours vers 5 096-5 125 FCFA sur les 10 prochains jours, contredisant la tendance haussière récente et confirmant les signaux de prudence technique. La convergence entre la surévaluation, les signaux techniques mitigés et les prédictions IA baissières plaide pour une recommandation **CONSERVER** avec un niveau de confiance **Moyen**. Le risque global est **Élevé** en raison de la forte volatilité et des incertitudes fondamentales. L'horizon d'investissement optimal serait le **moyen terme (3-12 mois)**, en attendant la confirmation du redressement des fondamentaux et une stabilisation du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8,986 titres</w:t>
            </w:r>
          </w:p>
        </w:tc>
        <w:tc>
          <w:tcPr>
            <w:tcW w:type="dxa" w:w="2268"/>
            <w:shd w:fill="FFF2CC" w:val="clear"/>
          </w:tcPr>
          <w:p>
            <w:r>
              <w:rPr>
                <w:b/>
                <w:color w:val="503200"/>
                <w:sz w:val="16"/>
              </w:rPr>
              <w:t xml:space="preserve">Cours actuel : </w:t>
            </w:r>
            <w:r>
              <w:rPr>
                <w:color w:val="000000"/>
                <w:sz w:val="17"/>
              </w:rPr>
              <w:t>7,710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5.33% (Moyenne) — μ=7,252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β=0.5813 (Défensif) — Cov=0.000021, Var(idx)=0.000036, ρ=0.224,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7,341</w:t>
            </w:r>
          </w:p>
        </w:tc>
        <w:tc>
          <w:tcPr>
            <w:tcW w:type="dxa" w:w="1440"/>
            <w:shd w:fill="FFDCE0" w:val="clear"/>
          </w:tcPr>
          <w:p>
            <w:r>
              <w:rPr>
                <w:b/>
                <w:sz w:val="17"/>
              </w:rPr>
              <w:t>7,518</w:t>
            </w:r>
          </w:p>
        </w:tc>
        <w:tc>
          <w:tcPr>
            <w:tcW w:type="dxa" w:w="1440"/>
            <w:shd w:fill="FFDCE0" w:val="clear"/>
          </w:tcPr>
          <w:p>
            <w:r>
              <w:rPr>
                <w:sz w:val="17"/>
              </w:rPr>
              <w:t>7,694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7,165</w:t>
            </w:r>
          </w:p>
        </w:tc>
        <w:tc>
          <w:tcPr>
            <w:tcW w:type="dxa" w:w="1440"/>
            <w:shd w:fill="FFDCE0" w:val="clear"/>
          </w:tcPr>
          <w:p>
            <w:r>
              <w:rPr>
                <w:b/>
                <w:sz w:val="17"/>
              </w:rPr>
              <w:t>7,411</w:t>
            </w:r>
          </w:p>
        </w:tc>
        <w:tc>
          <w:tcPr>
            <w:tcW w:type="dxa" w:w="1440"/>
            <w:shd w:fill="FFDCE0" w:val="clear"/>
          </w:tcPr>
          <w:p>
            <w:r>
              <w:rPr>
                <w:sz w:val="17"/>
              </w:rPr>
              <w:t>7,658</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7,005</w:t>
            </w:r>
          </w:p>
        </w:tc>
        <w:tc>
          <w:tcPr>
            <w:tcW w:type="dxa" w:w="1440"/>
            <w:shd w:fill="FFDCE0" w:val="clear"/>
          </w:tcPr>
          <w:p>
            <w:r>
              <w:rPr>
                <w:b/>
                <w:sz w:val="17"/>
              </w:rPr>
              <w:t>7,302</w:t>
            </w:r>
          </w:p>
        </w:tc>
        <w:tc>
          <w:tcPr>
            <w:tcW w:type="dxa" w:w="1440"/>
            <w:shd w:fill="FFDCE0" w:val="clear"/>
          </w:tcPr>
          <w:p>
            <w:r>
              <w:rPr>
                <w:sz w:val="17"/>
              </w:rPr>
              <w:t>7,600</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6,864</w:t>
            </w:r>
          </w:p>
        </w:tc>
        <w:tc>
          <w:tcPr>
            <w:tcW w:type="dxa" w:w="1440"/>
            <w:shd w:fill="FFDCE0" w:val="clear"/>
          </w:tcPr>
          <w:p>
            <w:r>
              <w:rPr>
                <w:b/>
                <w:sz w:val="17"/>
              </w:rPr>
              <w:t>7,203</w:t>
            </w:r>
          </w:p>
        </w:tc>
        <w:tc>
          <w:tcPr>
            <w:tcW w:type="dxa" w:w="1440"/>
            <w:shd w:fill="FFDCE0" w:val="clear"/>
          </w:tcPr>
          <w:p>
            <w:r>
              <w:rPr>
                <w:sz w:val="17"/>
              </w:rPr>
              <w:t>7,541</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6,735</w:t>
            </w:r>
          </w:p>
        </w:tc>
        <w:tc>
          <w:tcPr>
            <w:tcW w:type="dxa" w:w="1440"/>
            <w:shd w:fill="FFDCE0" w:val="clear"/>
          </w:tcPr>
          <w:p>
            <w:r>
              <w:rPr>
                <w:b/>
                <w:sz w:val="17"/>
              </w:rPr>
              <w:t>7,109</w:t>
            </w:r>
          </w:p>
        </w:tc>
        <w:tc>
          <w:tcPr>
            <w:tcW w:type="dxa" w:w="1440"/>
            <w:shd w:fill="FFDCE0" w:val="clear"/>
          </w:tcPr>
          <w:p>
            <w:r>
              <w:rPr>
                <w:sz w:val="17"/>
              </w:rPr>
              <w:t>7,483</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6,616</w:t>
            </w:r>
          </w:p>
        </w:tc>
        <w:tc>
          <w:tcPr>
            <w:tcW w:type="dxa" w:w="1440"/>
            <w:shd w:fill="FFDCE0" w:val="clear"/>
          </w:tcPr>
          <w:p>
            <w:r>
              <w:rPr>
                <w:b/>
                <w:sz w:val="17"/>
              </w:rPr>
              <w:t>7,021</w:t>
            </w:r>
          </w:p>
        </w:tc>
        <w:tc>
          <w:tcPr>
            <w:tcW w:type="dxa" w:w="1440"/>
            <w:shd w:fill="FFDCE0" w:val="clear"/>
          </w:tcPr>
          <w:p>
            <w:r>
              <w:rPr>
                <w:sz w:val="17"/>
              </w:rPr>
              <w:t>7,425</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6,505</w:t>
            </w:r>
          </w:p>
        </w:tc>
        <w:tc>
          <w:tcPr>
            <w:tcW w:type="dxa" w:w="1440"/>
            <w:shd w:fill="FFDCE0" w:val="clear"/>
          </w:tcPr>
          <w:p>
            <w:r>
              <w:rPr>
                <w:b/>
                <w:sz w:val="17"/>
              </w:rPr>
              <w:t>6,937</w:t>
            </w:r>
          </w:p>
        </w:tc>
        <w:tc>
          <w:tcPr>
            <w:tcW w:type="dxa" w:w="1440"/>
            <w:shd w:fill="FFDCE0" w:val="clear"/>
          </w:tcPr>
          <w:p>
            <w:r>
              <w:rPr>
                <w:sz w:val="17"/>
              </w:rPr>
              <w:t>7,369</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6,401</w:t>
            </w:r>
          </w:p>
        </w:tc>
        <w:tc>
          <w:tcPr>
            <w:tcW w:type="dxa" w:w="1440"/>
            <w:shd w:fill="FFDCE0" w:val="clear"/>
          </w:tcPr>
          <w:p>
            <w:r>
              <w:rPr>
                <w:b/>
                <w:sz w:val="17"/>
              </w:rPr>
              <w:t>6,858</w:t>
            </w:r>
          </w:p>
        </w:tc>
        <w:tc>
          <w:tcPr>
            <w:tcW w:type="dxa" w:w="1440"/>
            <w:shd w:fill="FFDCE0" w:val="clear"/>
          </w:tcPr>
          <w:p>
            <w:r>
              <w:rPr>
                <w:sz w:val="17"/>
              </w:rPr>
              <w:t>7,314</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6,303</w:t>
            </w:r>
          </w:p>
        </w:tc>
        <w:tc>
          <w:tcPr>
            <w:tcW w:type="dxa" w:w="1440"/>
            <w:shd w:fill="FFDCE0" w:val="clear"/>
          </w:tcPr>
          <w:p>
            <w:r>
              <w:rPr>
                <w:b/>
                <w:sz w:val="17"/>
              </w:rPr>
              <w:t>6,782</w:t>
            </w:r>
          </w:p>
        </w:tc>
        <w:tc>
          <w:tcPr>
            <w:tcW w:type="dxa" w:w="1440"/>
            <w:shd w:fill="FFDCE0" w:val="clear"/>
          </w:tcPr>
          <w:p>
            <w:r>
              <w:rPr>
                <w:sz w:val="17"/>
              </w:rPr>
              <w:t>7,260</w:t>
            </w:r>
          </w:p>
        </w:tc>
        <w:tc>
          <w:tcPr>
            <w:tcW w:type="dxa" w:w="1440"/>
            <w:shd w:fill="FFDCE0" w:val="clear"/>
          </w:tcPr>
          <w:p>
            <w:r>
              <w:rPr>
                <w:b/>
                <w:color w:val="C00000"/>
                <w:sz w:val="17"/>
              </w:rPr>
              <w:t>-12.0%</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6,211</w:t>
            </w:r>
          </w:p>
        </w:tc>
        <w:tc>
          <w:tcPr>
            <w:tcW w:type="dxa" w:w="1440"/>
            <w:shd w:fill="FFDCE0" w:val="clear"/>
          </w:tcPr>
          <w:p>
            <w:r>
              <w:rPr>
                <w:b/>
                <w:sz w:val="17"/>
              </w:rPr>
              <w:t>6,710</w:t>
            </w:r>
          </w:p>
        </w:tc>
        <w:tc>
          <w:tcPr>
            <w:tcW w:type="dxa" w:w="1440"/>
            <w:shd w:fill="FFDCE0" w:val="clear"/>
          </w:tcPr>
          <w:p>
            <w:r>
              <w:rPr>
                <w:sz w:val="17"/>
              </w:rPr>
              <w:t>7,209</w:t>
            </w:r>
          </w:p>
        </w:tc>
        <w:tc>
          <w:tcPr>
            <w:tcW w:type="dxa" w:w="1440"/>
            <w:shd w:fill="FFDCE0" w:val="clear"/>
          </w:tcPr>
          <w:p>
            <w:r>
              <w:rPr>
                <w:b/>
                <w:color w:val="C00000"/>
                <w:sz w:val="17"/>
              </w:rPr>
              <w:t>-13.0%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277,56 milliards FCFA positionne BOAS comme une valeur de premier plan sur la BRVM, reflétant la confiance des investisseurs dans le secteur bancaire sénégalais. Avec un BPA de 608 FCFA, chaque action génère un bénéfice substantiel, justifiant un PER de 12,7x, légèrement au-dessus de la moyenne historique de la BRVM (8-12x), ce qui traduit une valorisation raisonnable avec une prime de croissance acceptée par le marché. Le P/B de 2,88x indique que le marché valorise la société à près de trois fois sa valeur comptable, une prime cohérente avec la forte rentabilité des capitaux propres (ROE de 22,7%). Enfin, l'EV/EBITDA de 8,1x se situe dans la fourchette raisonnable (5-10x), confirmant que la valeur totale de l'entreprise reste en ligne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affiche une progression totale de +10,14%, avec une dernière séance dynamique en hausse de +1,45% à 7 710 FCFA, démontrant un momentum positif récent. Le titre a évolué dans un range de 6 400 à 8 050 FCFA, avec une moyenne de 7 252 FCFA et une médiane de 7 302 FCFA, très proches l'une de l'autre, ce qui indique une distribution des prix relativement symétrique. L'écart-type de 389 FCFA (CV de 5,4%) révèle une dispersion modérée des cours autour de la moyenne, tandis que le kurtosis de -0,769 (mésokurtique) et le skewness de -0,068 confirment une distribution proche de la normale, sans risque de pics extrêmes ni d'asymétrie marquée. La volatilité annualisée de 24,6% classe le titre dans la catégorie modérée (15-30%), offrant un équilibre entre potentiel de rendement et risque acceptable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7 710 FCFA se positionne au-dessus de la MM20 (7 614,25 FCFA) et de la MM50 (7 467,2 FCFA), confirmant une tendance haussière à court et moyen terme. La configuration des moyennes mobiles, avec le cours au-dessus des deux niveaux, génère un signal d'achat cohérent avec la dynamique positive du titre.</w:t>
      </w:r>
    </w:p>
    <w:p>
      <w:pPr>
        <w:spacing w:after="120" w:line="276" w:lineRule="auto"/>
      </w:pPr>
      <w:r>
        <w:t>**Bandes de Bollinger** : Le prix se situe à 7 710 FCFA, entre la borne inférieure (7 181,29 FCFA) et la borne supérieure (8 047,21 FCFA), plus près de la borne supérieure, indiquant une pression acheteuse modérée. La largeur des bandes reflète une volatilité normale, et la position du cours dans la moitié supérieure suggère un momentum positif sans surachat, d'où une décision neutre.</w:t>
      </w:r>
    </w:p>
    <w:p>
      <w:pPr>
        <w:spacing w:after="120" w:line="276" w:lineRule="auto"/>
      </w:pPr>
      <w:r>
        <w:t>**MACD** : La valeur du MACD (86,05) est inférieure à son signal (94,37), indiquant un croisement baissier récent malgré des valeurs positives. Ce signal de vente suggère un ralentissement du momentum haussier à court terme, bien que les niveaux absolus restent élevés, ce qui nuance la portée du signal baissier.</w:t>
      </w:r>
    </w:p>
    <w:p>
      <w:pPr>
        <w:spacing w:after="120" w:line="276" w:lineRule="auto"/>
      </w:pPr>
      <w:r>
        <w:t>**RSI** : À 50,36, le RSI se situe exactement dans la zone neutre (30-70), indiquant un équilibre entre pressions acheteuses et vendeuses. Cette valeur neutre suggère que le titre n'est ni suracheté ni survendu, laissant place à une évolution directionnelle sans contrainte technique majeure.</w:t>
      </w:r>
    </w:p>
    <w:p>
      <w:pPr>
        <w:spacing w:after="120" w:line="276" w:lineRule="auto"/>
      </w:pPr>
      <w:r>
        <w:t>**Stochastique** : Le %K (46,88) est supérieur au %D (41,31), avec les deux indicateurs en zone neutre, suggérant un début de croisement haussier potentiel. Cette configuration, bien que neutre, indique une possible reprise du momentum haussier à court terme.</w:t>
      </w:r>
    </w:p>
    <w:p>
      <w:pPr>
        <w:spacing w:after="120" w:line="276" w:lineRule="auto"/>
      </w:pPr>
      <w:r>
        <w:t>**Conclusion technique** : La synthèse des indicateurs est mitigée, avec des signaux d'achat provenant des moyennes mobiles et du stochastique, contre un signal de vente du MACD et des positions neutres du RSI et des bandes de Bollinger. Cette configuration suggère une consolidation technique après la récente hausse, avec un biais légèrement positif à moyen terme, mais une prudence à court terme.</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de 51,926 milliards FCFA et un résultat net de 21,905 milliards FCFA, générant un ROE exceptionnel de 22,69% et un ROA de 2,62%. Le coefficient d'exploitation de 44,02% témoigne d'une excellente maîtrise des coûts, bien en dessous du seuil d'efficacité de 60%, tandis que le coût du risque de 23,31% reste élevé, signalant un risque de crédit significatif à surveiller. Les dépôts clientèle de 686,927 milliards FCFA couvrent largement les créances sur la clientèle de 386,424 milliards FCFA, démontrant une transformation saine avec un excédent de liquidité de 300 milliards FCFA. Les rapports trimestriels 2025 confirment cette dynamique : le T1 2025 (PNB +2,36%, résultat net +9,25%) a été suivi d'un S1 2025 (PNB +6,77%, résultat net +12,70%) et d'un T3 2025 (PNB +6,71%, résultat net +10,01%), montrant une accélération progressive de la croissance. Sur la base de ces tendances, on estime que l'exercice 2025 devrait dépasser les 22 milliards FCFA de résultat net, avec une amélioration continue du coefficient d'exploitation (44,4% au T3 2025) et une baisse du coût du risque (-0,5% du PNB). Le rapport T1 2026 (PNB +6,82%, résultat net +9,78%) confirme la poursuite de cette trajectoire positive, avec une collecte de dépôts en forte hausse (+16,68%) et un coefficient d'exploitation amélioré à 42,1%. La solidité financière est renforcée par une capacité d'autofinancement de 24,595 milliards FCFA et une trésorerie nette de 78,712 milliards FCFA, offrant une marge de manœuvre substantielle pour soutenir la croissance future.</w:t>
      </w:r>
    </w:p>
    <w:p>
      <w:pPr>
        <w:spacing w:after="120" w:line="276" w:lineRule="auto" w:before="240"/>
      </w:pPr>
      <w:r>
        <w:rPr>
          <w:b/>
          <w:color w:val="003366"/>
          <w:sz w:val="24"/>
        </w:rPr>
        <w:t>**PARTIE 4 : CONCLUSION D'INVESTISSEMENT**</w:t>
      </w:r>
    </w:p>
    <w:p>
      <w:pPr>
        <w:spacing w:after="120" w:line="276" w:lineRule="auto"/>
      </w:pPr>
      <w:r>
        <w:t>La valorisation de BOAS (PER 12,7x, P/B 2,88x, EV/EBITDA 8,1x) indique une sous-évaluation relative par rapport à sa croissance et sa rentabilité, avec des ratios cohérents avec une banque de qualité. Le comportement du cours (+10,14% sur 100 jours) et les statistiques descriptives (distribution normale, volatilité modérée de 24,6%) sont favorables, montrant une appréciation régulière sans excès spéculatif. Les signaux techniques sont mitigés mais globalement positifs, avec une tendance haussière confirmée par les moyennes mobiles, malgré un MACD en léger ralentissement. Les fondamentaux sont excellents, avec une croissance soutenue du PNB et du résultat net, une efficacité opérationnelle remarquable et une gestion prudente des risques. Les prédictions IA (7 518 à 7 109 FCFA sur 10 jours) suggèrent une correction à court terme, ce qui contredit légèrement les signaux techniques mais pourrait représenter une opportunité d'achat à un niveau plus attractif. La convergence entre la valorisation raisonnable, les fondamentaux solides et la tendance haussière de fond, malgré une possible consolidation technique, conduit à une recommandation **ACHAT** avec un niveau de confiance **Élevé**. Le risque global est **Moyen**, principalement lié au coût du risque élevé et à la concentration géographique au Sénégal. L'horizon d'investissement optimal est le **moyen terme (3-12 mois)**, permettant de capitaliser sur la croissance continue des bénéfices et l'amélioration de l'efficacité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2,460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B40000"/>
                <w:sz w:val="17"/>
              </w:rPr>
              <w:t>-7.79%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8.59% (Moyenne) — μ=3,743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β=0.0343 (Défensif) — Cov=0.000001, Var(idx)=0.000036, ρ=0.006,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3,470</w:t>
            </w:r>
          </w:p>
        </w:tc>
        <w:tc>
          <w:tcPr>
            <w:tcW w:type="dxa" w:w="1440"/>
            <w:shd w:fill="C6EFCE" w:val="clear"/>
          </w:tcPr>
          <w:p>
            <w:r>
              <w:rPr>
                <w:b/>
                <w:sz w:val="17"/>
              </w:rPr>
              <w:t>3,707</w:t>
            </w:r>
          </w:p>
        </w:tc>
        <w:tc>
          <w:tcPr>
            <w:tcW w:type="dxa" w:w="1440"/>
            <w:shd w:fill="C6EFCE" w:val="clear"/>
          </w:tcPr>
          <w:p>
            <w:r>
              <w:rPr>
                <w:sz w:val="17"/>
              </w:rPr>
              <w:t>3,943</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3,522</w:t>
            </w:r>
          </w:p>
        </w:tc>
        <w:tc>
          <w:tcPr>
            <w:tcW w:type="dxa" w:w="1440"/>
            <w:shd w:fill="C6EFCE" w:val="clear"/>
          </w:tcPr>
          <w:p>
            <w:r>
              <w:rPr>
                <w:b/>
                <w:sz w:val="17"/>
              </w:rPr>
              <w:t>3,872</w:t>
            </w:r>
          </w:p>
        </w:tc>
        <w:tc>
          <w:tcPr>
            <w:tcW w:type="dxa" w:w="1440"/>
            <w:shd w:fill="C6EFCE" w:val="clear"/>
          </w:tcPr>
          <w:p>
            <w:r>
              <w:rPr>
                <w:sz w:val="17"/>
              </w:rPr>
              <w:t>4,222</w:t>
            </w:r>
          </w:p>
        </w:tc>
        <w:tc>
          <w:tcPr>
            <w:tcW w:type="dxa" w:w="1440"/>
            <w:shd w:fill="C6EFCE" w:val="clear"/>
          </w:tcPr>
          <w:p>
            <w:r>
              <w:rPr>
                <w:b/>
                <w:color w:val="008000"/>
                <w:sz w:val="17"/>
              </w:rPr>
              <w:t>+9.1%</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3,616</w:t>
            </w:r>
          </w:p>
        </w:tc>
        <w:tc>
          <w:tcPr>
            <w:tcW w:type="dxa" w:w="1440"/>
            <w:shd w:fill="C6EFCE" w:val="clear"/>
          </w:tcPr>
          <w:p>
            <w:r>
              <w:rPr>
                <w:b/>
                <w:sz w:val="17"/>
              </w:rPr>
              <w:t>4,066</w:t>
            </w:r>
          </w:p>
        </w:tc>
        <w:tc>
          <w:tcPr>
            <w:tcW w:type="dxa" w:w="1440"/>
            <w:shd w:fill="C6EFCE" w:val="clear"/>
          </w:tcPr>
          <w:p>
            <w:r>
              <w:rPr>
                <w:sz w:val="17"/>
              </w:rPr>
              <w:t>4,516</w:t>
            </w:r>
          </w:p>
        </w:tc>
        <w:tc>
          <w:tcPr>
            <w:tcW w:type="dxa" w:w="1440"/>
            <w:shd w:fill="C6EFCE" w:val="clear"/>
          </w:tcPr>
          <w:p>
            <w:r>
              <w:rPr>
                <w:b/>
                <w:color w:val="008000"/>
                <w:sz w:val="17"/>
              </w:rPr>
              <w:t>+14.5%</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3,737</w:t>
            </w:r>
          </w:p>
        </w:tc>
        <w:tc>
          <w:tcPr>
            <w:tcW w:type="dxa" w:w="1440"/>
            <w:shd w:fill="C6EFCE" w:val="clear"/>
          </w:tcPr>
          <w:p>
            <w:r>
              <w:rPr>
                <w:b/>
                <w:sz w:val="17"/>
              </w:rPr>
              <w:t>4,285</w:t>
            </w:r>
          </w:p>
        </w:tc>
        <w:tc>
          <w:tcPr>
            <w:tcW w:type="dxa" w:w="1440"/>
            <w:shd w:fill="C6EFCE" w:val="clear"/>
          </w:tcPr>
          <w:p>
            <w:r>
              <w:rPr>
                <w:sz w:val="17"/>
              </w:rPr>
              <w:t>4,832</w:t>
            </w:r>
          </w:p>
        </w:tc>
        <w:tc>
          <w:tcPr>
            <w:tcW w:type="dxa" w:w="1440"/>
            <w:shd w:fill="C6EFCE" w:val="clear"/>
          </w:tcPr>
          <w:p>
            <w:r>
              <w:rPr>
                <w:b/>
                <w:color w:val="008000"/>
                <w:sz w:val="17"/>
              </w:rPr>
              <w:t>+20.7%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3,883</w:t>
            </w:r>
          </w:p>
        </w:tc>
        <w:tc>
          <w:tcPr>
            <w:tcW w:type="dxa" w:w="1440"/>
            <w:shd w:fill="C6EFCE" w:val="clear"/>
          </w:tcPr>
          <w:p>
            <w:r>
              <w:rPr>
                <w:b/>
                <w:sz w:val="17"/>
              </w:rPr>
              <w:t>4,530</w:t>
            </w:r>
          </w:p>
        </w:tc>
        <w:tc>
          <w:tcPr>
            <w:tcW w:type="dxa" w:w="1440"/>
            <w:shd w:fill="C6EFCE" w:val="clear"/>
          </w:tcPr>
          <w:p>
            <w:r>
              <w:rPr>
                <w:sz w:val="17"/>
              </w:rPr>
              <w:t>5,177</w:t>
            </w:r>
          </w:p>
        </w:tc>
        <w:tc>
          <w:tcPr>
            <w:tcW w:type="dxa" w:w="1440"/>
            <w:shd w:fill="C6EFCE" w:val="clear"/>
          </w:tcPr>
          <w:p>
            <w:r>
              <w:rPr>
                <w:b/>
                <w:color w:val="008000"/>
                <w:sz w:val="17"/>
              </w:rPr>
              <w:t>+27.6%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4,056</w:t>
            </w:r>
          </w:p>
        </w:tc>
        <w:tc>
          <w:tcPr>
            <w:tcW w:type="dxa" w:w="1440"/>
            <w:shd w:fill="C6EFCE" w:val="clear"/>
          </w:tcPr>
          <w:p>
            <w:r>
              <w:rPr>
                <w:b/>
                <w:sz w:val="17"/>
              </w:rPr>
              <w:t>4,809</w:t>
            </w:r>
          </w:p>
        </w:tc>
        <w:tc>
          <w:tcPr>
            <w:tcW w:type="dxa" w:w="1440"/>
            <w:shd w:fill="C6EFCE" w:val="clear"/>
          </w:tcPr>
          <w:p>
            <w:r>
              <w:rPr>
                <w:sz w:val="17"/>
              </w:rPr>
              <w:t>5,561</w:t>
            </w:r>
          </w:p>
        </w:tc>
        <w:tc>
          <w:tcPr>
            <w:tcW w:type="dxa" w:w="1440"/>
            <w:shd w:fill="C6EFCE" w:val="clear"/>
          </w:tcPr>
          <w:p>
            <w:r>
              <w:rPr>
                <w:b/>
                <w:color w:val="008000"/>
                <w:sz w:val="17"/>
              </w:rPr>
              <w:t>+35.5%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4,265</w:t>
            </w:r>
          </w:p>
        </w:tc>
        <w:tc>
          <w:tcPr>
            <w:tcW w:type="dxa" w:w="1440"/>
            <w:shd w:fill="C6EFCE" w:val="clear"/>
          </w:tcPr>
          <w:p>
            <w:r>
              <w:rPr>
                <w:b/>
                <w:sz w:val="17"/>
              </w:rPr>
              <w:t>5,132</w:t>
            </w:r>
          </w:p>
        </w:tc>
        <w:tc>
          <w:tcPr>
            <w:tcW w:type="dxa" w:w="1440"/>
            <w:shd w:fill="C6EFCE" w:val="clear"/>
          </w:tcPr>
          <w:p>
            <w:r>
              <w:rPr>
                <w:sz w:val="17"/>
              </w:rPr>
              <w:t>6,000</w:t>
            </w:r>
          </w:p>
        </w:tc>
        <w:tc>
          <w:tcPr>
            <w:tcW w:type="dxa" w:w="1440"/>
            <w:shd w:fill="C6EFCE" w:val="clear"/>
          </w:tcPr>
          <w:p>
            <w:r>
              <w:rPr>
                <w:b/>
                <w:color w:val="008000"/>
                <w:sz w:val="17"/>
              </w:rPr>
              <w:t>+44.6%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4,520</w:t>
            </w:r>
          </w:p>
        </w:tc>
        <w:tc>
          <w:tcPr>
            <w:tcW w:type="dxa" w:w="1440"/>
            <w:shd w:fill="C6EFCE" w:val="clear"/>
          </w:tcPr>
          <w:p>
            <w:r>
              <w:rPr>
                <w:b/>
                <w:sz w:val="17"/>
              </w:rPr>
              <w:t>5,516</w:t>
            </w:r>
          </w:p>
        </w:tc>
        <w:tc>
          <w:tcPr>
            <w:tcW w:type="dxa" w:w="1440"/>
            <w:shd w:fill="C6EFCE" w:val="clear"/>
          </w:tcPr>
          <w:p>
            <w:r>
              <w:rPr>
                <w:sz w:val="17"/>
              </w:rPr>
              <w:t>6,513</w:t>
            </w:r>
          </w:p>
        </w:tc>
        <w:tc>
          <w:tcPr>
            <w:tcW w:type="dxa" w:w="1440"/>
            <w:shd w:fill="C6EFCE" w:val="clear"/>
          </w:tcPr>
          <w:p>
            <w:r>
              <w:rPr>
                <w:b/>
                <w:color w:val="008000"/>
                <w:sz w:val="17"/>
              </w:rPr>
              <w:t>+55.4%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4,794</w:t>
            </w:r>
          </w:p>
        </w:tc>
        <w:tc>
          <w:tcPr>
            <w:tcW w:type="dxa" w:w="1440"/>
            <w:shd w:fill="C6EFCE" w:val="clear"/>
          </w:tcPr>
          <w:p>
            <w:r>
              <w:rPr>
                <w:b/>
                <w:sz w:val="17"/>
              </w:rPr>
              <w:t>5,930</w:t>
            </w:r>
          </w:p>
        </w:tc>
        <w:tc>
          <w:tcPr>
            <w:tcW w:type="dxa" w:w="1440"/>
            <w:shd w:fill="C6EFCE" w:val="clear"/>
          </w:tcPr>
          <w:p>
            <w:r>
              <w:rPr>
                <w:sz w:val="17"/>
              </w:rPr>
              <w:t>7,066</w:t>
            </w:r>
          </w:p>
        </w:tc>
        <w:tc>
          <w:tcPr>
            <w:tcW w:type="dxa" w:w="1440"/>
            <w:shd w:fill="C6EFCE" w:val="clear"/>
          </w:tcPr>
          <w:p>
            <w:r>
              <w:rPr>
                <w:b/>
                <w:color w:val="008000"/>
                <w:sz w:val="17"/>
              </w:rPr>
              <w:t>+67.0%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5,087</w:t>
            </w:r>
          </w:p>
        </w:tc>
        <w:tc>
          <w:tcPr>
            <w:tcW w:type="dxa" w:w="1440"/>
            <w:shd w:fill="C6EFCE" w:val="clear"/>
          </w:tcPr>
          <w:p>
            <w:r>
              <w:rPr>
                <w:b/>
                <w:sz w:val="17"/>
              </w:rPr>
              <w:t>6,375</w:t>
            </w:r>
          </w:p>
        </w:tc>
        <w:tc>
          <w:tcPr>
            <w:tcW w:type="dxa" w:w="1440"/>
            <w:shd w:fill="C6EFCE" w:val="clear"/>
          </w:tcPr>
          <w:p>
            <w:r>
              <w:rPr>
                <w:sz w:val="17"/>
              </w:rPr>
              <w:t>7,662</w:t>
            </w:r>
          </w:p>
        </w:tc>
        <w:tc>
          <w:tcPr>
            <w:tcW w:type="dxa" w:w="1440"/>
            <w:shd w:fill="C6EFCE" w:val="clear"/>
          </w:tcPr>
          <w:p>
            <w:r>
              <w:rPr>
                <w:b/>
                <w:color w:val="008000"/>
                <w:sz w:val="17"/>
              </w:rPr>
              <w:t>+79.6%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10 août 2026**</w:t>
        <w:br/>
        <w:t>**Cours de référence : 3 550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21,02 milliards FCFA, un niveau modeste qui la positionne comme une valeur de moyenne capitalisation sur la BRVM. Avec un BPA de 243 FCFA, le titre se négocie à un PER de 14,6x, supérieur à la moyenne historique du marché (8-12x), indiquant que les investisseurs paient une prime, probablement justifiée par les perspectives de croissance du secteur des infrastructures. Le P/B de 2,25x confirme cette prime, le marché valorisant la société à plus du double de sa valeur comptable, signe d'une confiance dans la création de valeur future. Enfin, un EV/EBITDA de 7,4x reste dans une zone raisonnable (5-10x), suggérant que la valorisation de l'entreprise, rapportée à sa capacité opérationnelle, n'est pas excessive malgré le PER élevé.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-7,79%, bien que la dernière séance ait rebondi de +1,43% à 3 550 FCFA. Le titre a évolué dans une fourchette large de 3 165 à 4 500 FCFA, illustrant une volatilité marquée. La tendance générale est baissière, le cours se situant sous sa moyenne mobile à 50 jours (3 881 FCFA). Les statistiques descriptives révèlent une distribution relativement symétrique (skewness de 0,374) et mésokurtique (kurtosis de -0,402), indiquant une dispersion des prix proche de la normale, sans pics extrêmes. La moyenne (3 743 FCFA) est proche de la médiane (3 700 FCFA), confirmant cette symétrie. L'écart-type de 323 FCFA (CV=8,6%) montre une dispersion modérée, mais la volatilité annualisée de 58,3% est extrêmement élevée, classant le titre comme très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(3 550 FCFA) est inférieur à la MM20 (3 700 FCFA) et nettement sous la MM50 (3 881 FCFA). Cette configuration baissière, où les moyennes agissent comme des résistances, justifie la décision de Vente. La tendance de fond reste négative tant que le cours ne repasse pas au-dessus de la MM50.</w:t>
      </w:r>
    </w:p>
    <w:p>
      <w:pPr>
        <w:spacing w:after="120" w:line="276" w:lineRule="auto"/>
      </w:pPr>
      <w:r>
        <w:t>**Bandes de Bollinger :** Le prix se situe dans la partie inférieure des bandes (borne basse à 3 379 FCFA, borne haute à 4 020 FCFA), indiquant une pression vendeuse persistante sans condition de survente extrême. La décision Neutre est cohérente avec une volatilité élevée qui élargit les bandes, laissant de la marge avant un éventuel rebond technique.</w:t>
      </w:r>
    </w:p>
    <w:p>
      <w:pPr>
        <w:spacing w:after="120" w:line="276" w:lineRule="auto"/>
      </w:pPr>
      <w:r>
        <w:t>**MACD :** Le MACD (-115,6) est négatif et inférieur à sa ligne de signal (-93,5), confirmant un momentum baissier en cours. La décision de Vente est justifiée par cette divergence négative qui indique une accélération de la tendance à la baisse.</w:t>
      </w:r>
    </w:p>
    <w:p>
      <w:pPr>
        <w:spacing w:after="120" w:line="276" w:lineRule="auto"/>
      </w:pPr>
      <w:r>
        <w:t>**RSI :** À 46,5, le RSI se situe en zone neutre, entre 30 et 70. Il n'y a pas de signal de surachat ni de survente, ce qui laisse place à une possible poursuite de la baisse ou à un rebond. La décision Neutre est appropriée, le marché n'étant pas encore dans une zone de retournement.</w:t>
      </w:r>
    </w:p>
    <w:p>
      <w:pPr>
        <w:spacing w:after="120" w:line="276" w:lineRule="auto"/>
      </w:pPr>
      <w:r>
        <w:t>**Stochastique :** Le %K (15,8) et le %D (7,0) sont tous deux en zone de survente profonde (&lt;20). Cette configuration suggère un potentiel de rebond technique imminent, justifiant la décision d'Achat. Un croisement haussier du %K au-dessus du %D serait un signal de retournement.</w:t>
      </w:r>
    </w:p>
    <w:p>
      <w:pPr>
        <w:spacing w:after="120" w:line="276" w:lineRule="auto"/>
      </w:pPr>
      <w:r>
        <w:t>**Conclusion technique :** Les indicateurs sont mitigés, avec une tendance de fond baissière (MM, MACD) mais des signes de survente à court terme (Stochastique). Le RSI neutre et les bandes de Bollinger larges suggèrent une stabilisation possible. Le scénario le plus probable est une phase de consolidation autour des 3 500-3 700 FCFA avant une décision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(19,125 Mds FCFA). Le résultat net s'établit à 1,439 milliard FCFA, en légère hausse par rapport aux 1,375 milliard de 2024. La rentabilité des fonds propres (ROE) est excellente à 15,4%, et le ROA de 6,1% est correct. Cependant, l'analyse sectorielle (ENTREPRISE) révèle des points de vigilance : le délai de paiement clients est très élevé (144,7 jours) et la durée de stockage atteint 152 jours, immobilisant une part importante du capital. Le BFR est positif (7,186 Mds FCFA), signe d'un besoin de financement de l'exploitation. Les rapports trimestriels de 2025 (S1 et 9 mois) confirment une dynamique positive, avec un résultat net en hausse de +55,3% au S1 et de +26% sur 9 mois. Sur la base de ces tendances, on estime que l'exercice 2025 complet devrait confirmer une croissance solide, malgré un rétrécissement des marges opérationnelles noté au T3. La société affiche une trésorerie nette confortable de 5,139 Mds FCFA et une capacité de remboursement très faible (0,26 an), indiquant une solidité financière certaine. Cependant, le rapport annuel 2024 (certifié) soulignait déjà une hausse des charges et une provision importante sur créance douteuse, un risque à surveiller.</w:t>
      </w:r>
    </w:p>
    <w:p>
      <w:pPr>
        <w:spacing w:after="120" w:line="276" w:lineRule="auto"/>
      </w:pPr>
      <w:r>
        <w:t>---</w:t>
      </w:r>
    </w:p>
    <w:p>
      <w:pPr>
        <w:spacing w:after="120" w:line="276" w:lineRule="auto"/>
      </w:pPr>
      <w:r>
        <w:t>### PARTIE 4 : CONCLUSION D'INVESTISSEMENT</w:t>
      </w:r>
    </w:p>
    <w:p>
      <w:pPr>
        <w:spacing w:after="120" w:line="276" w:lineRule="auto"/>
      </w:pPr>
      <w:r>
        <w:t>La valorisation de CABC (PER 14,6x, P/B 2,25x) est exigeante par rapport au marché BRVM, mais reflète les attentes de croissance. Le comportement du cours est préoccupant à court terme, avec une tendance baissière et une volatilité très élevée (58,3%), bien que les statistiques montrent une distribution normale des prix. Les signaux techniques sont divergents : la tendance de fond (MM, MACD) est vendeuse, mais les oscillateurs de survente (Stochastique) suggèrent un rebond technique possible. Les fondamentaux, eux, sont solides avec une croissance du CA et du résultat net en 2025, un ROE excellent et une trésorerie saine, mais des délais clients et stocks élevés constituent un risque opérationnel. Les prédictions IA pour les 10 prochains jours indiquent une trajectoire fortement haussière (3 707 à 4 530 FCFA), contredisant la tendance actuelle mais s'alignant sur un potentiel rebond technique. En synthèse, la convergence entre des fondamentaux solides, un potentiel de rebond technique et des prédictions IA haussières l'emporte sur la faiblesse de la tendance de fond. **Recommandation : ACHAT** avec un niveau de confiance **Moyen** et un risque global **Élevé** en raison de la volatilité. L'horizon d'investissement optimal est le **moyen terme (3-12 mois)**, pour capitaliser sur la reprise anticipée tout en surveillant la gestion du BFR et la pression sur les marges.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1,733 titres</w:t>
            </w:r>
          </w:p>
        </w:tc>
        <w:tc>
          <w:tcPr>
            <w:tcW w:type="dxa" w:w="2268"/>
            <w:shd w:fill="FFF2CC" w:val="clear"/>
          </w:tcPr>
          <w:p>
            <w:r>
              <w:rPr>
                <w:b/>
                <w:color w:val="503200"/>
                <w:sz w:val="16"/>
              </w:rPr>
              <w:t xml:space="preserve">Cours actuel : </w:t>
            </w:r>
            <w:r>
              <w:rPr>
                <w:color w:val="000000"/>
                <w:sz w:val="17"/>
              </w:rPr>
              <w:t>28,305 FCFA</w:t>
            </w:r>
          </w:p>
          <w:p>
            <w:r>
              <w:rPr>
                <w:b/>
                <w:color w:val="503200"/>
                <w:sz w:val="16"/>
              </w:rPr>
              <w:t xml:space="preserve">Var. 100 jours : </w:t>
            </w:r>
            <w:r>
              <w:rPr>
                <w:b/>
                <w:color w:val="007800"/>
                <w:sz w:val="17"/>
              </w:rPr>
              <w:t>+102.18%</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25.01% (Élevée) — μ=20,537 FCFA, σ=5,137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β=0.6412 (Défensif) — Cov=0.000023, Var(idx)=0.000036, ρ=0.145,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24,968</w:t>
            </w:r>
          </w:p>
        </w:tc>
        <w:tc>
          <w:tcPr>
            <w:tcW w:type="dxa" w:w="1440"/>
            <w:shd w:fill="FFDCE0" w:val="clear"/>
          </w:tcPr>
          <w:p>
            <w:r>
              <w:rPr>
                <w:b/>
                <w:sz w:val="17"/>
              </w:rPr>
              <w:t>26,182</w:t>
            </w:r>
          </w:p>
        </w:tc>
        <w:tc>
          <w:tcPr>
            <w:tcW w:type="dxa" w:w="1440"/>
            <w:shd w:fill="FFDCE0" w:val="clear"/>
          </w:tcPr>
          <w:p>
            <w:r>
              <w:rPr>
                <w:sz w:val="17"/>
              </w:rPr>
              <w:t>27,396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22,630</w:t>
            </w:r>
          </w:p>
        </w:tc>
        <w:tc>
          <w:tcPr>
            <w:tcW w:type="dxa" w:w="1440"/>
            <w:shd w:fill="FFDCE0" w:val="clear"/>
          </w:tcPr>
          <w:p>
            <w:r>
              <w:rPr>
                <w:b/>
                <w:sz w:val="17"/>
              </w:rPr>
              <w:t>24,218</w:t>
            </w:r>
          </w:p>
        </w:tc>
        <w:tc>
          <w:tcPr>
            <w:tcW w:type="dxa" w:w="1440"/>
            <w:shd w:fill="FFDCE0" w:val="clear"/>
          </w:tcPr>
          <w:p>
            <w:r>
              <w:rPr>
                <w:sz w:val="17"/>
              </w:rPr>
              <w:t>25,807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20,603</w:t>
            </w:r>
          </w:p>
        </w:tc>
        <w:tc>
          <w:tcPr>
            <w:tcW w:type="dxa" w:w="1440"/>
            <w:shd w:fill="FFDCE0" w:val="clear"/>
          </w:tcPr>
          <w:p>
            <w:r>
              <w:rPr>
                <w:b/>
                <w:sz w:val="17"/>
              </w:rPr>
              <w:t>22,402</w:t>
            </w:r>
          </w:p>
        </w:tc>
        <w:tc>
          <w:tcPr>
            <w:tcW w:type="dxa" w:w="1440"/>
            <w:shd w:fill="FFDCE0" w:val="clear"/>
          </w:tcPr>
          <w:p>
            <w:r>
              <w:rPr>
                <w:sz w:val="17"/>
              </w:rPr>
              <w:t>24,202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18,800</w:t>
            </w:r>
          </w:p>
        </w:tc>
        <w:tc>
          <w:tcPr>
            <w:tcW w:type="dxa" w:w="1440"/>
            <w:shd w:fill="FFDCE0" w:val="clear"/>
          </w:tcPr>
          <w:p>
            <w:r>
              <w:rPr>
                <w:b/>
                <w:sz w:val="17"/>
              </w:rPr>
              <w:t>20,722</w:t>
            </w:r>
          </w:p>
        </w:tc>
        <w:tc>
          <w:tcPr>
            <w:tcW w:type="dxa" w:w="1440"/>
            <w:shd w:fill="FFDCE0" w:val="clear"/>
          </w:tcPr>
          <w:p>
            <w:r>
              <w:rPr>
                <w:sz w:val="17"/>
              </w:rPr>
              <w:t>22,644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17,458</w:t>
            </w:r>
          </w:p>
        </w:tc>
        <w:tc>
          <w:tcPr>
            <w:tcW w:type="dxa" w:w="1440"/>
            <w:shd w:fill="FFDCE0" w:val="clear"/>
          </w:tcPr>
          <w:p>
            <w:r>
              <w:rPr>
                <w:b/>
                <w:sz w:val="17"/>
              </w:rPr>
              <w:t>19,478</w:t>
            </w:r>
          </w:p>
        </w:tc>
        <w:tc>
          <w:tcPr>
            <w:tcW w:type="dxa" w:w="1440"/>
            <w:shd w:fill="FFDCE0" w:val="clear"/>
          </w:tcPr>
          <w:p>
            <w:r>
              <w:rPr>
                <w:sz w:val="17"/>
              </w:rPr>
              <w:t>21,498</w:t>
            </w:r>
          </w:p>
        </w:tc>
        <w:tc>
          <w:tcPr>
            <w:tcW w:type="dxa" w:w="1440"/>
            <w:shd w:fill="FFDCE0" w:val="clear"/>
          </w:tcPr>
          <w:p>
            <w:r>
              <w:rPr>
                <w:b/>
                <w:color w:val="C00000"/>
                <w:sz w:val="17"/>
              </w:rPr>
              <w:t>-31.2%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16,792</w:t>
            </w:r>
          </w:p>
        </w:tc>
        <w:tc>
          <w:tcPr>
            <w:tcW w:type="dxa" w:w="1440"/>
            <w:shd w:fill="FFDCE0" w:val="clear"/>
          </w:tcPr>
          <w:p>
            <w:r>
              <w:rPr>
                <w:b/>
                <w:sz w:val="17"/>
              </w:rPr>
              <w:t>18,944</w:t>
            </w:r>
          </w:p>
        </w:tc>
        <w:tc>
          <w:tcPr>
            <w:tcW w:type="dxa" w:w="1440"/>
            <w:shd w:fill="FFDCE0" w:val="clear"/>
          </w:tcPr>
          <w:p>
            <w:r>
              <w:rPr>
                <w:sz w:val="17"/>
              </w:rPr>
              <w:t>21,096</w:t>
            </w:r>
          </w:p>
        </w:tc>
        <w:tc>
          <w:tcPr>
            <w:tcW w:type="dxa" w:w="1440"/>
            <w:shd w:fill="FFDCE0" w:val="clear"/>
          </w:tcPr>
          <w:p>
            <w:r>
              <w:rPr>
                <w:b/>
                <w:color w:val="C00000"/>
                <w:sz w:val="17"/>
              </w:rPr>
              <w:t>-33.1%</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16,209</w:t>
            </w:r>
          </w:p>
        </w:tc>
        <w:tc>
          <w:tcPr>
            <w:tcW w:type="dxa" w:w="1440"/>
            <w:shd w:fill="FFDCE0" w:val="clear"/>
          </w:tcPr>
          <w:p>
            <w:r>
              <w:rPr>
                <w:b/>
                <w:sz w:val="17"/>
              </w:rPr>
              <w:t>18,476</w:t>
            </w:r>
          </w:p>
        </w:tc>
        <w:tc>
          <w:tcPr>
            <w:tcW w:type="dxa" w:w="1440"/>
            <w:shd w:fill="FFDCE0" w:val="clear"/>
          </w:tcPr>
          <w:p>
            <w:r>
              <w:rPr>
                <w:sz w:val="17"/>
              </w:rPr>
              <w:t>20,744</w:t>
            </w:r>
          </w:p>
        </w:tc>
        <w:tc>
          <w:tcPr>
            <w:tcW w:type="dxa" w:w="1440"/>
            <w:shd w:fill="FFDCE0" w:val="clear"/>
          </w:tcPr>
          <w:p>
            <w:r>
              <w:rPr>
                <w:b/>
                <w:color w:val="C00000"/>
                <w:sz w:val="17"/>
              </w:rPr>
              <w:t>-34.7%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15,690</w:t>
            </w:r>
          </w:p>
        </w:tc>
        <w:tc>
          <w:tcPr>
            <w:tcW w:type="dxa" w:w="1440"/>
            <w:shd w:fill="FFDCE0" w:val="clear"/>
          </w:tcPr>
          <w:p>
            <w:r>
              <w:rPr>
                <w:b/>
                <w:sz w:val="17"/>
              </w:rPr>
              <w:t>18,058</w:t>
            </w:r>
          </w:p>
        </w:tc>
        <w:tc>
          <w:tcPr>
            <w:tcW w:type="dxa" w:w="1440"/>
            <w:shd w:fill="FFDCE0" w:val="clear"/>
          </w:tcPr>
          <w:p>
            <w:r>
              <w:rPr>
                <w:sz w:val="17"/>
              </w:rPr>
              <w:t>20,427</w:t>
            </w:r>
          </w:p>
        </w:tc>
        <w:tc>
          <w:tcPr>
            <w:tcW w:type="dxa" w:w="1440"/>
            <w:shd w:fill="FFDCE0" w:val="clear"/>
          </w:tcPr>
          <w:p>
            <w:r>
              <w:rPr>
                <w:b/>
                <w:color w:val="C00000"/>
                <w:sz w:val="17"/>
              </w:rPr>
              <w:t>-36.2%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15,220</w:t>
            </w:r>
          </w:p>
        </w:tc>
        <w:tc>
          <w:tcPr>
            <w:tcW w:type="dxa" w:w="1440"/>
            <w:shd w:fill="FFDCE0" w:val="clear"/>
          </w:tcPr>
          <w:p>
            <w:r>
              <w:rPr>
                <w:b/>
                <w:sz w:val="17"/>
              </w:rPr>
              <w:t>17,680</w:t>
            </w:r>
          </w:p>
        </w:tc>
        <w:tc>
          <w:tcPr>
            <w:tcW w:type="dxa" w:w="1440"/>
            <w:shd w:fill="FFDCE0" w:val="clear"/>
          </w:tcPr>
          <w:p>
            <w:r>
              <w:rPr>
                <w:sz w:val="17"/>
              </w:rPr>
              <w:t>20,140</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14,793</w:t>
            </w:r>
          </w:p>
        </w:tc>
        <w:tc>
          <w:tcPr>
            <w:tcW w:type="dxa" w:w="1440"/>
            <w:shd w:fill="FFDCE0" w:val="clear"/>
          </w:tcPr>
          <w:p>
            <w:r>
              <w:rPr>
                <w:b/>
                <w:sz w:val="17"/>
              </w:rPr>
              <w:t>17,336</w:t>
            </w:r>
          </w:p>
        </w:tc>
        <w:tc>
          <w:tcPr>
            <w:tcW w:type="dxa" w:w="1440"/>
            <w:shd w:fill="FFDCE0" w:val="clear"/>
          </w:tcPr>
          <w:p>
            <w:r>
              <w:rPr>
                <w:sz w:val="17"/>
              </w:rPr>
              <w:t>19,878</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BF)**</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905,76 milliards FCFA, ce qui positionne le titre parmi les poids lourds de la BRVM, reflétant la confiance des investisseurs institutionnels dans le secteur bancaire de l'UEMOA. Avec un BPA de 2 047 FCFA, le marché valorise le titre à un PER de 13,8x. Ce niveau est légèrement supérieur à la moyenne historique de la place (8-12x), indiquant que les investisseurs acceptent de payer une prime pour la croissance future de la banque. L'EV/EBITDA de 10,2x confirme une valorisation élevée, mais cohérente avec la solidité opérationnelle affichée. En l'absence de données sur le P/B (Price-to-Book), nous ne pouvons pas comparer la valeur de marché à la valeur comptable des fonds propres, mais le PER modéré suggère que le marché intègre déjà une partie des risques pays et sectoriels.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+102,18%, passant d'un plus bas de 13 500 FCFA à un plus haut de 30 005 FCFA, avec un cours actuel de 28 305 FCFA. Cette tendance haussière massive s'est accompagnée d'une variation quasi nulle sur la dernière séance (+0,02%), suggérant une consolidation après un rallye intense. La moyenne (20 537 FCFA) est inférieure à la médiane (21 332 FCFA), indiquant une distribution légèrement asymétrique avec des valeurs extrêmes à la hausse. L'écart-type de 5 163 FCFA (CV=25,1%) témoigne d'une dispersion modérée, tandis que le kurtosis négatif (-1,162) révèle une distribution aplatie, avec moins de pics extrêmes que la normale. Le skewness positif (0,261) confirme une asymétrie vers les rendements positifs. La volatilité annualisée de 42,3% classe le titre comme très volatil, un niveau élevé qui reflète à la fois l'enthousiasme des investisseurs et les incertitudes macroéconomiques régionales.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(28 305 FCFA) se situe nettement au-dessus de la MM20 (28 156,5 FCFA) et de la MM50 (24 886 FCFA), confirmant une dynamique haussière à court et moyen terme. La configuration en "tapis haussier" (cours &gt; MM20 &gt; MM50) génère un signal d'ACHAT, indiquant que la tendance de fond reste positive malgré la récente consolidation.</w:t>
      </w:r>
    </w:p>
    <w:p>
      <w:pPr>
        <w:spacing w:after="120" w:line="276" w:lineRule="auto"/>
      </w:pPr>
      <w:r>
        <w:t>**Bandes de Bollinger** : Le prix évolue dans la partie supérieure du canal, proche de la borne haute (30 652 FCFA), avec une borne inférieure à 25 660 FCFA. L'écart entre les bornes reflète une volatilité élevée. La position actuelle du cours (28 305 FCFA) dans la moitié supérieure des bandes suggère une pression acheteuse persistante, mais le signal est NEUTRE car le prix n'a pas encore touché la borne supérieure, laissant place à une possible poursuite ou à un retour vers la moyenne.</w:t>
      </w:r>
    </w:p>
    <w:p>
      <w:pPr>
        <w:spacing w:after="120" w:line="276" w:lineRule="auto"/>
      </w:pPr>
      <w:r>
        <w:t>**MACD** : Le MACD (916,477) est inférieur à son signal (1 066,833), indiquant un momentum baissier à court terme. Cette divergence négative, malgré une tendance haussière sous-jacente, signale une perte de vigueur du mouvement haussier. Le signal de VENTE suggère une prudence à court terme, avec un risque de correction technique.</w:t>
      </w:r>
    </w:p>
    <w:p>
      <w:pPr>
        <w:spacing w:after="120" w:line="276" w:lineRule="auto"/>
      </w:pPr>
      <w:r>
        <w:t>**RSI** : À 48,243, le RSI se situe en zone neutre (30-70), indiquant un équilibre entre pressions acheteuses et vendeuses. Cette valeur reflète une pause dans le rallye, sans signal de surachat ni de survente. La décision NEUTRE est cohérente avec une phase de consolidation après une forte progression.</w:t>
      </w:r>
    </w:p>
    <w:p>
      <w:pPr>
        <w:spacing w:after="120" w:line="276" w:lineRule="auto"/>
      </w:pPr>
      <w:r>
        <w:t>**Stochastique** : Le %K (91,741) et le %D (79,309) sont tous deux en zone de surachat (&gt;80), avec un croisement baissier potentiel. Ce signal de VENTE indique que le titre est techniquement surévalué à court terme, avec un risque élevé de retournement ou de correction.</w:t>
      </w:r>
    </w:p>
    <w:p>
      <w:pPr>
        <w:spacing w:after="120" w:line="276" w:lineRule="auto"/>
      </w:pPr>
      <w:r>
        <w:t>**Conclusion technique** : Les indicateurs sont mitigés : les moyennes mobiles soutiennent une tendance haussière de fond, mais le MACD, le RSI et le Stochastique signalent une fatigue à court terme. La probabilité d'une consolidation ou d'un repli technique est élevée, mais la tendance structurelle reste positive.</w:t>
      </w:r>
    </w:p>
    <w:p>
      <w:pPr>
        <w:spacing w:after="120" w:line="276" w:lineRule="auto"/>
      </w:pPr>
      <w:r>
        <w:t>---</w:t>
      </w:r>
    </w:p>
    <w:p>
      <w:pPr>
        <w:spacing w:after="120" w:line="276" w:lineRule="auto"/>
      </w:pPr>
      <w:r>
        <w:t>### PARTIE 3 : ANALYSE FONDAMENTALE (SECTION CRITIQUE)</w:t>
      </w:r>
    </w:p>
    <w:p>
      <w:pPr>
        <w:spacing w:after="120" w:line="276" w:lineRule="auto"/>
      </w:pPr>
      <w:r>
        <w:t>En 2025, CBIBF a réalisé un Produit Net Bancaire (PNB) de 138,986 milliards FCFA, en hausse de 6,1% par rapport à 2024 (130,987 milliards FCFA), et un résultat net de 65,495 milliards FCFA, en progression de 36,6% contre 47,937 milliards en 2024. Cette performance remarquable s'explique par une amélioration significative du coût du risque (-59,3%), qui passe à 16,5 milliards FCFA, et une maîtrise des charges d'exploitation avec un coefficient d'exploitation de 36,4% (excellent, &lt;50%). La marge nette s'établit à 47,1%, et le ROA à 2,18%, démontrant une excellente rentabilité des actifs. Les dépôts clientèle ont progressé de 14,9% à 2 015 milliards FCFA, tandis que les crédits nets ont augmenté de 5,4% à 1 327 milliards FCFA, reflétant une politique de transformation prudente. Sur la base du rapport T1 2026 (PNB de 36,8 milliards FCFA, +28,5% vs T1 2025 ; résultat net de 21,5 milliards, +22,2%), on estime que l'exercice 2026 devrait confirmer cette dynamique, avec un PNB annuel potentiel de 150-160 milliards FCFA et un résultat net de 70-75 milliards FCFA. La notation AA/AI avec perspective stable par Bloomfield Investment Corporation renforce la crédibilité de la banque. Les risques principaux restent l'environnement sécuritaire au Burkina Faso et la concurrence accrue, mais la solidité financière et la stratégie digitale offrent des perspectives favorables.</w:t>
      </w:r>
    </w:p>
    <w:p>
      <w:pPr>
        <w:spacing w:after="120" w:line="276" w:lineRule="auto"/>
      </w:pPr>
      <w:r>
        <w:t>---</w:t>
      </w:r>
    </w:p>
    <w:p>
      <w:pPr>
        <w:spacing w:after="120" w:line="276" w:lineRule="auto"/>
      </w:pPr>
      <w:r>
        <w:t>### PARTIE 4 : CONCLUSION D'INVESTISSEMENT</w:t>
      </w:r>
    </w:p>
    <w:p>
      <w:pPr>
        <w:spacing w:after="120" w:line="276" w:lineRule="auto"/>
      </w:pPr>
      <w:r>
        <w:t>La valorisation de CBIBF (PER 13,8x, EV/EBITDA 10,2x) est légèrement supérieure à la moyenne BRVM, mais justifiée par une croissance fondamentale solide et une rentabilité en forte amélioration. Le comportement du cours (+102% en 100 jours) montre une dynamique haussière exceptionnelle, mais la volatilité élevée (42,3%) et les statistiques (kurtosis platykurtique, skewness positif) suggèrent un risque de correction technique. Les signaux techniques sont divergents : les moyennes mobiles sont haussières, mais le MACD, le RSI et le Stochastique indiquent une fatigue à court terme. Les fondamentaux sont excellents, avec un résultat net en hausse de 36,6% en 2025 et des perspectives 2026 très positives (PNB T1 +28,5%). Les prédictions IA (26 182 FCFA à J+10, soit -7,5%) confirment le scénario de consolidation à court terme. En synthèse, la convergence entre la solidité fondamentale et la tendance de fond justifie une recommandation **ACHAT** pour les investisseurs à moyen terme, avec un niveau de confiance **Moyen** et un risque global **Élevé** (volatilité, environnement géopolitique). L'horizon optimal est de **3 à 12 mois**, en attendant une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3,744 titres</w:t>
            </w:r>
          </w:p>
        </w:tc>
        <w:tc>
          <w:tcPr>
            <w:tcW w:type="dxa" w:w="2268"/>
            <w:shd w:fill="FFF2CC" w:val="clear"/>
          </w:tcPr>
          <w:p>
            <w:r>
              <w:rPr>
                <w:b/>
                <w:color w:val="503200"/>
                <w:sz w:val="16"/>
              </w:rPr>
              <w:t xml:space="preserve">Cours actuel : </w:t>
            </w:r>
            <w:r>
              <w:rPr>
                <w:color w:val="000000"/>
                <w:sz w:val="17"/>
              </w:rPr>
              <w:t>1,700 FCFA</w:t>
            </w:r>
          </w:p>
          <w:p>
            <w:r>
              <w:rPr>
                <w:b/>
                <w:color w:val="503200"/>
                <w:sz w:val="16"/>
              </w:rPr>
              <w:t xml:space="preserve">Var. 100 jours : </w:t>
            </w:r>
            <w:r>
              <w:rPr>
                <w:b/>
                <w:color w:val="B40000"/>
                <w:sz w:val="17"/>
              </w:rPr>
              <w:t>-4.23%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μ=1,608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β=1.0125 (Neutre (suit le marché)) — Cov=0.000037, Var(idx)=0.000036, ρ=0.197,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1,568</w:t>
            </w:r>
          </w:p>
        </w:tc>
        <w:tc>
          <w:tcPr>
            <w:tcW w:type="dxa" w:w="1440"/>
            <w:shd w:fill="FFDCE0" w:val="clear"/>
          </w:tcPr>
          <w:p>
            <w:r>
              <w:rPr>
                <w:b/>
                <w:sz w:val="17"/>
              </w:rPr>
              <w:t>1,649</w:t>
            </w:r>
          </w:p>
        </w:tc>
        <w:tc>
          <w:tcPr>
            <w:tcW w:type="dxa" w:w="1440"/>
            <w:shd w:fill="FFDCE0" w:val="clear"/>
          </w:tcPr>
          <w:p>
            <w:r>
              <w:rPr>
                <w:sz w:val="17"/>
              </w:rPr>
              <w:t>1,730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1,515</w:t>
            </w:r>
          </w:p>
        </w:tc>
        <w:tc>
          <w:tcPr>
            <w:tcW w:type="dxa" w:w="1440"/>
            <w:shd w:fill="FFDCE0" w:val="clear"/>
          </w:tcPr>
          <w:p>
            <w:r>
              <w:rPr>
                <w:b/>
                <w:sz w:val="17"/>
              </w:rPr>
              <w:t>1,628</w:t>
            </w:r>
          </w:p>
        </w:tc>
        <w:tc>
          <w:tcPr>
            <w:tcW w:type="dxa" w:w="1440"/>
            <w:shd w:fill="FFDCE0" w:val="clear"/>
          </w:tcPr>
          <w:p>
            <w:r>
              <w:rPr>
                <w:sz w:val="17"/>
              </w:rPr>
              <w:t>1,742</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1,468</w:t>
            </w:r>
          </w:p>
        </w:tc>
        <w:tc>
          <w:tcPr>
            <w:tcW w:type="dxa" w:w="1440"/>
            <w:shd w:fill="FFDCE0" w:val="clear"/>
          </w:tcPr>
          <w:p>
            <w:r>
              <w:rPr>
                <w:b/>
                <w:sz w:val="17"/>
              </w:rPr>
              <w:t>1,605</w:t>
            </w:r>
          </w:p>
        </w:tc>
        <w:tc>
          <w:tcPr>
            <w:tcW w:type="dxa" w:w="1440"/>
            <w:shd w:fill="FFDCE0" w:val="clear"/>
          </w:tcPr>
          <w:p>
            <w:r>
              <w:rPr>
                <w:sz w:val="17"/>
              </w:rPr>
              <w:t>1,741</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1,426</w:t>
            </w:r>
          </w:p>
        </w:tc>
        <w:tc>
          <w:tcPr>
            <w:tcW w:type="dxa" w:w="1440"/>
            <w:shd w:fill="FFDCE0" w:val="clear"/>
          </w:tcPr>
          <w:p>
            <w:r>
              <w:rPr>
                <w:b/>
                <w:sz w:val="17"/>
              </w:rPr>
              <w:t>1,581</w:t>
            </w:r>
          </w:p>
        </w:tc>
        <w:tc>
          <w:tcPr>
            <w:tcW w:type="dxa" w:w="1440"/>
            <w:shd w:fill="FFDCE0" w:val="clear"/>
          </w:tcPr>
          <w:p>
            <w:r>
              <w:rPr>
                <w:sz w:val="17"/>
              </w:rPr>
              <w:t>1,737</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1,387</w:t>
            </w:r>
          </w:p>
        </w:tc>
        <w:tc>
          <w:tcPr>
            <w:tcW w:type="dxa" w:w="1440"/>
            <w:shd w:fill="FFDCE0" w:val="clear"/>
          </w:tcPr>
          <w:p>
            <w:r>
              <w:rPr>
                <w:b/>
                <w:sz w:val="17"/>
              </w:rPr>
              <w:t>1,558</w:t>
            </w:r>
          </w:p>
        </w:tc>
        <w:tc>
          <w:tcPr>
            <w:tcW w:type="dxa" w:w="1440"/>
            <w:shd w:fill="FFDCE0" w:val="clear"/>
          </w:tcPr>
          <w:p>
            <w:r>
              <w:rPr>
                <w:sz w:val="17"/>
              </w:rPr>
              <w:t>1,730</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1,351</w:t>
            </w:r>
          </w:p>
        </w:tc>
        <w:tc>
          <w:tcPr>
            <w:tcW w:type="dxa" w:w="1440"/>
            <w:shd w:fill="FFDCE0" w:val="clear"/>
          </w:tcPr>
          <w:p>
            <w:r>
              <w:rPr>
                <w:b/>
                <w:sz w:val="17"/>
              </w:rPr>
              <w:t>1,536</w:t>
            </w:r>
          </w:p>
        </w:tc>
        <w:tc>
          <w:tcPr>
            <w:tcW w:type="dxa" w:w="1440"/>
            <w:shd w:fill="FFDCE0" w:val="clear"/>
          </w:tcPr>
          <w:p>
            <w:r>
              <w:rPr>
                <w:sz w:val="17"/>
              </w:rPr>
              <w:t>1,721</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1,317</w:t>
            </w:r>
          </w:p>
        </w:tc>
        <w:tc>
          <w:tcPr>
            <w:tcW w:type="dxa" w:w="1440"/>
            <w:shd w:fill="FFDCE0" w:val="clear"/>
          </w:tcPr>
          <w:p>
            <w:r>
              <w:rPr>
                <w:b/>
                <w:sz w:val="17"/>
              </w:rPr>
              <w:t>1,514</w:t>
            </w:r>
          </w:p>
        </w:tc>
        <w:tc>
          <w:tcPr>
            <w:tcW w:type="dxa" w:w="1440"/>
            <w:shd w:fill="FFDCE0" w:val="clear"/>
          </w:tcPr>
          <w:p>
            <w:r>
              <w:rPr>
                <w:sz w:val="17"/>
              </w:rPr>
              <w:t>1,710</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1,285</w:t>
            </w:r>
          </w:p>
        </w:tc>
        <w:tc>
          <w:tcPr>
            <w:tcW w:type="dxa" w:w="1440"/>
            <w:shd w:fill="FFDCE0" w:val="clear"/>
          </w:tcPr>
          <w:p>
            <w:r>
              <w:rPr>
                <w:b/>
                <w:sz w:val="17"/>
              </w:rPr>
              <w:t>1,492</w:t>
            </w:r>
          </w:p>
        </w:tc>
        <w:tc>
          <w:tcPr>
            <w:tcW w:type="dxa" w:w="1440"/>
            <w:shd w:fill="FFDCE0" w:val="clear"/>
          </w:tcPr>
          <w:p>
            <w:r>
              <w:rPr>
                <w:sz w:val="17"/>
              </w:rPr>
              <w:t>1,699</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1,254</w:t>
            </w:r>
          </w:p>
        </w:tc>
        <w:tc>
          <w:tcPr>
            <w:tcW w:type="dxa" w:w="1440"/>
            <w:shd w:fill="FFDCE0" w:val="clear"/>
          </w:tcPr>
          <w:p>
            <w:r>
              <w:rPr>
                <w:b/>
                <w:sz w:val="17"/>
              </w:rPr>
              <w:t>1,471</w:t>
            </w:r>
          </w:p>
        </w:tc>
        <w:tc>
          <w:tcPr>
            <w:tcW w:type="dxa" w:w="1440"/>
            <w:shd w:fill="FFDCE0" w:val="clear"/>
          </w:tcPr>
          <w:p>
            <w:r>
              <w:rPr>
                <w:sz w:val="17"/>
              </w:rPr>
              <w:t>1,688</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1,225</w:t>
            </w:r>
          </w:p>
        </w:tc>
        <w:tc>
          <w:tcPr>
            <w:tcW w:type="dxa" w:w="1440"/>
            <w:shd w:fill="FFDCE0" w:val="clear"/>
          </w:tcPr>
          <w:p>
            <w:r>
              <w:rPr>
                <w:b/>
                <w:sz w:val="17"/>
              </w:rPr>
              <w:t>1,450</w:t>
            </w:r>
          </w:p>
        </w:tc>
        <w:tc>
          <w:tcPr>
            <w:tcW w:type="dxa" w:w="1440"/>
            <w:shd w:fill="FFDCE0" w:val="clear"/>
          </w:tcPr>
          <w:p>
            <w:r>
              <w:rPr>
                <w:sz w:val="17"/>
              </w:rPr>
              <w:t>1,676</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308,33 milliards FCFA, un niveau significatif qui en fait l'une des valeurs les plus importantes de la BRVM, reflétant sa position dominante sur le marché automobile ivoirien. Avec un BPA de 26 FCFA, le titre affiche un PER de 65,7x, extrêmement élevé par rapport à la moyenne historique de la BRVM (8-12x), indiquant que les investisseurs paient une prime considérable pour chaque franc de bénéfice. Le P/B de 15,85x confirme cette surévaluation, le marché valorisant le titre à plus de 15 fois sa valeur comptable, contre un seuil de 4x jugé déjà exigeant. Enfin, l'EV/EBITDA de 33,4x, bien au-delà du seuil de 15x, suggère que la valeur totale de l'entreprise (dette incluse) est très chère par rapport à sa capacité opérationnelle. Ces ratios traduisent une valorisation extrêmement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CFAC a enregistré une variation totale de -4,23%, s'établissant à 1 700 FCFA, avec une légère hausse de +0,59% lors de la dernière séance. Le titre a évolué dans une fourchette de 1 325 à 1 825 FCFA, démontrant une amplitude de 500 FCFA. La moyenne (1 608 FCFA) et la médiane (1 605 FCFA) étant quasi identiques, la distribution des prix est symétrique, confirmée par un skewness de -0,326. L'écart-type de 105 FCFA (CV=6,5%) indique une dispersion modérée autour de la moyenne. Le kurtosis de -0,163 (mésokurtique) suggère l'absence de pics extrêmes, tandis que la volatilité annualisée de 49,2% classe le titre comme très volatil (&gt;30%), un niveau élevé qui reflète l'incertitude du marché automobile. La tendance générale est légèrement baissière, le cours ayant reculé de plus de 4% sur la période malgré un récent rebond.</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(1 700 FCFA) se situe au-dessus des MM20 (1 644,25) et MM50 (1 647,2), indiquant une dynamique positive à court terme. Cependant, la décision globale est "Vente", suggérant que les moyennes mobiles pourraient signaler un retournement baissier imminent si le cours ne maintient pas ses niveaux actuels.</w:t>
      </w:r>
    </w:p>
    <w:p>
      <w:pPr>
        <w:spacing w:after="120" w:line="276" w:lineRule="auto"/>
      </w:pPr>
      <w:r>
        <w:t>**Bandes de Bollinger** : Le prix évolue à 1 700 FCFA, entre la borne supérieure (1 748,99) et inférieure (1 539,51), avec une décision "Neutre". La position du cours dans la partie haute des bandes indique une pression acheteuse modérée, mais sans excès, laissant place à une possible consolidation.</w:t>
      </w:r>
    </w:p>
    <w:p>
      <w:pPr>
        <w:spacing w:after="120" w:line="276" w:lineRule="auto"/>
      </w:pPr>
      <w:r>
        <w:t>**MACD** : La valeur du MACD (14,256) est supérieure à son signal (9,798), générant une décision "Achat". Cette configuration positive suggère un momentum haussier en cours, bien que l'écart reste modéré, indiquant une dynamique de fond mais pas encore explosive.</w:t>
      </w:r>
    </w:p>
    <w:p>
      <w:pPr>
        <w:spacing w:after="120" w:line="276" w:lineRule="auto"/>
      </w:pPr>
      <w:r>
        <w:t>**RSI** : À 60,638, le RSI se situe en zone neutre (30-70), avec une décision "Neutre". Cette valeur indique que le titre n'est ni suracheté ni survendu, laissant une marge de manœuvre pour une évolution dans les deux sens sans signal extrême.</w:t>
      </w:r>
    </w:p>
    <w:p>
      <w:pPr>
        <w:spacing w:after="120" w:line="276" w:lineRule="auto"/>
      </w:pPr>
      <w:r>
        <w:t>**Stochastique** : Le %K (100,0) et %D (93,889) sont en zone de surachat extrême (&gt;80), avec une décision "Vente". Ce niveau indique que le titre est fortement suracheté à court terme, augmentant le risque d'un repli technique imminent.</w:t>
      </w:r>
    </w:p>
    <w:p>
      <w:pPr>
        <w:spacing w:after="120" w:line="276" w:lineRule="auto"/>
      </w:pPr>
      <w:r>
        <w:t>**Conclusion technique** : Les signaux sont mitigés, avec un MACD positif et un RSI neutre contrastant avec des moyennes mobiles et un stochastique vendeurs. Cette divergence suggère une prudence, le titre étant suracheté à court terme mais soutenu par un momentum de fond. Un repli technique est probable avant une reprise durable.</w:t>
      </w:r>
    </w:p>
    <w:p>
      <w:pPr>
        <w:spacing w:after="120" w:line="276" w:lineRule="auto"/>
      </w:pPr>
      <w:r>
        <w:t>---</w:t>
      </w:r>
    </w:p>
    <w:p>
      <w:pPr>
        <w:spacing w:after="120" w:line="276" w:lineRule="auto"/>
      </w:pPr>
      <w:r>
        <w:t>### PARTIE 3 : ANALYSE FONDAMENTALE (SECTION CRITIQUE)</w:t>
      </w:r>
    </w:p>
    <w:p>
      <w:pPr>
        <w:spacing w:after="120" w:line="276" w:lineRule="auto"/>
      </w:pPr>
      <w:r>
        <w:t>**En 2024**, CFAC a réalisé un chiffre d'affaires de 158,313 milliards FCFA, en baisse de -12,1% par rapport à 2023, avec un résultat net de 4,693 milliards FCFA (-26,7%). Le ROE s'établit à 24,13%, un niveau excellent (&gt;15%), et le ROA à 5,52%, démontrant une bonne utilisation des actifs. En tant qu'entreprise de distribution automobile, le BFR négatif (-3,482 milliards FCFA) est favorable, indiquant que l'entreprise finance son exploitation grâce à ses fournisseurs (délai fournisseurs de 81,75 jours contre 36,64 jours pour les clients). Cependant, la trésorerie nette est négative (-624 millions FCFA), reflétant des investissements massifs (-8,741 milliards) et des dividendes versés (3,2 milliards). **Les rapports trimestriels 2025 montrent un redressement spectaculaire** : le T1 2025 affiche un CA de 46,161 milliards (+14,5%) et un résultat net de 3,836 milliards (+279,7%), le S1 2025 atteint 91,182 milliards (+18,4%) avec un RN de 5,420 milliards (+152,7%), et le T3 2025 confirme avec 43,580 milliards (+18,3%) et un RN de 1,489 milliard (+38,1%). **On estime que l'exercice 2025 devrait clôturer avec un CA proche de 180 milliards et un résultat net supérieur à 7 milliards**, soit une amélioration significative par rapport à 2024, portée par une part de marché de 41,7% et une marge nette en hausse à 3,42%.</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65,7x, P/B 15,85x, EV/EBITDA 33,4x), indiquant une surévaluation par rapport aux fondamentaux actuels. Le comportement du cours montre une tendance baissière sur 100 jours (-4,23%) avec une volatilité élevée (49,2%), tandis que les statistiques descriptives révèlent une distribution symétrique sans extrêmes. Les signaux techniques sont divergents : le MACD est positif mais le stochastique est en surachat extrême, suggérant un repli probable. Les fondamentaux, bien qu'en amélioration en 2025 (croissance du CA et du RN), restent fragiles avec une marge nette de seulement 3% et une trésorerie tendue. Les prédictions IA (1 649 à 1 558 FCFA sur 10 jours) confirment une trajectoire baissière, contredisant le momentum technique. **Recommandation finale : VENTE**, avec un niveau de confiance **Moyen** et un risque global **Élevé**. L'hypothèse d'un repli du cours vers 1 550-1 600 FCFA est plausible à court terme (&lt;3 mois) pour aligner la valorisation sur les fondamentaux, malgré les perspectives positives de l'entreprise à moyen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281.12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6,452 titres</w:t>
            </w:r>
          </w:p>
        </w:tc>
        <w:tc>
          <w:tcPr>
            <w:tcW w:type="dxa" w:w="2268"/>
            <w:shd w:fill="FFF2CC" w:val="clear"/>
          </w:tcPr>
          <w:p>
            <w:r>
              <w:rPr>
                <w:b/>
                <w:color w:val="503200"/>
                <w:sz w:val="16"/>
              </w:rPr>
              <w:t xml:space="preserve">Cours actuel : </w:t>
            </w:r>
            <w:r>
              <w:rPr>
                <w:color w:val="000000"/>
                <w:sz w:val="17"/>
              </w:rPr>
              <w:t>5,020 FCFA</w:t>
            </w:r>
          </w:p>
          <w:p>
            <w:r>
              <w:rPr>
                <w:b/>
                <w:color w:val="503200"/>
                <w:sz w:val="16"/>
              </w:rPr>
              <w:t xml:space="preserve">Var. 100 jours : </w:t>
            </w:r>
            <w:r>
              <w:rPr>
                <w:b/>
                <w:color w:val="007800"/>
                <w:sz w:val="17"/>
              </w:rPr>
              <w:t>+52.12%</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22.09% (Élevée) — μ=4,194 FCFA, σ=926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β=0.7422 (Défensif) — Cov=0.000027, Var(idx)=0.000036, ρ=0.153,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4,454</w:t>
            </w:r>
          </w:p>
        </w:tc>
        <w:tc>
          <w:tcPr>
            <w:tcW w:type="dxa" w:w="1440"/>
            <w:shd w:fill="FFDCE0" w:val="clear"/>
          </w:tcPr>
          <w:p>
            <w:r>
              <w:rPr>
                <w:b/>
                <w:sz w:val="17"/>
              </w:rPr>
              <w:t>4,644</w:t>
            </w:r>
          </w:p>
        </w:tc>
        <w:tc>
          <w:tcPr>
            <w:tcW w:type="dxa" w:w="1440"/>
            <w:shd w:fill="FFDCE0" w:val="clear"/>
          </w:tcPr>
          <w:p>
            <w:r>
              <w:rPr>
                <w:sz w:val="17"/>
              </w:rPr>
              <w:t>4,833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4,048</w:t>
            </w:r>
          </w:p>
        </w:tc>
        <w:tc>
          <w:tcPr>
            <w:tcW w:type="dxa" w:w="1440"/>
            <w:shd w:fill="FFDCE0" w:val="clear"/>
          </w:tcPr>
          <w:p>
            <w:r>
              <w:rPr>
                <w:b/>
                <w:sz w:val="17"/>
              </w:rPr>
              <w:t>4,295</w:t>
            </w:r>
          </w:p>
        </w:tc>
        <w:tc>
          <w:tcPr>
            <w:tcW w:type="dxa" w:w="1440"/>
            <w:shd w:fill="FFDCE0" w:val="clear"/>
          </w:tcPr>
          <w:p>
            <w:r>
              <w:rPr>
                <w:sz w:val="17"/>
              </w:rPr>
              <w:t>4,543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3,693</w:t>
            </w:r>
          </w:p>
        </w:tc>
        <w:tc>
          <w:tcPr>
            <w:tcW w:type="dxa" w:w="1440"/>
            <w:shd w:fill="FFDCE0" w:val="clear"/>
          </w:tcPr>
          <w:p>
            <w:r>
              <w:rPr>
                <w:b/>
                <w:sz w:val="17"/>
              </w:rPr>
              <w:t>3,973</w:t>
            </w:r>
          </w:p>
        </w:tc>
        <w:tc>
          <w:tcPr>
            <w:tcW w:type="dxa" w:w="1440"/>
            <w:shd w:fill="FFDCE0" w:val="clear"/>
          </w:tcPr>
          <w:p>
            <w:r>
              <w:rPr>
                <w:sz w:val="17"/>
              </w:rPr>
              <w:t>4,253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3,376</w:t>
            </w:r>
          </w:p>
        </w:tc>
        <w:tc>
          <w:tcPr>
            <w:tcW w:type="dxa" w:w="1440"/>
            <w:shd w:fill="FFDCE0" w:val="clear"/>
          </w:tcPr>
          <w:p>
            <w:r>
              <w:rPr>
                <w:b/>
                <w:sz w:val="17"/>
              </w:rPr>
              <w:t>3,675</w:t>
            </w:r>
          </w:p>
        </w:tc>
        <w:tc>
          <w:tcPr>
            <w:tcW w:type="dxa" w:w="1440"/>
            <w:shd w:fill="FFDCE0" w:val="clear"/>
          </w:tcPr>
          <w:p>
            <w:r>
              <w:rPr>
                <w:sz w:val="17"/>
              </w:rPr>
              <w:t>3,974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3,213</w:t>
            </w:r>
          </w:p>
        </w:tc>
        <w:tc>
          <w:tcPr>
            <w:tcW w:type="dxa" w:w="1440"/>
            <w:shd w:fill="FFDCE0" w:val="clear"/>
          </w:tcPr>
          <w:p>
            <w:r>
              <w:rPr>
                <w:b/>
                <w:sz w:val="17"/>
              </w:rPr>
              <w:t>3,535</w:t>
            </w:r>
          </w:p>
        </w:tc>
        <w:tc>
          <w:tcPr>
            <w:tcW w:type="dxa" w:w="1440"/>
            <w:shd w:fill="FFDCE0" w:val="clear"/>
          </w:tcPr>
          <w:p>
            <w:r>
              <w:rPr>
                <w:sz w:val="17"/>
              </w:rPr>
              <w:t>3,857</w:t>
            </w:r>
          </w:p>
        </w:tc>
        <w:tc>
          <w:tcPr>
            <w:tcW w:type="dxa" w:w="1440"/>
            <w:shd w:fill="FFDCE0" w:val="clear"/>
          </w:tcPr>
          <w:p>
            <w:r>
              <w:rPr>
                <w:b/>
                <w:color w:val="C00000"/>
                <w:sz w:val="17"/>
              </w:rPr>
              <w:t>-29.6%</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3,100</w:t>
            </w:r>
          </w:p>
        </w:tc>
        <w:tc>
          <w:tcPr>
            <w:tcW w:type="dxa" w:w="1440"/>
            <w:shd w:fill="FFDCE0" w:val="clear"/>
          </w:tcPr>
          <w:p>
            <w:r>
              <w:rPr>
                <w:b/>
                <w:sz w:val="17"/>
              </w:rPr>
              <w:t>3,444</w:t>
            </w:r>
          </w:p>
        </w:tc>
        <w:tc>
          <w:tcPr>
            <w:tcW w:type="dxa" w:w="1440"/>
            <w:shd w:fill="FFDCE0" w:val="clear"/>
          </w:tcPr>
          <w:p>
            <w:r>
              <w:rPr>
                <w:sz w:val="17"/>
              </w:rPr>
              <w:t>3,788</w:t>
            </w:r>
          </w:p>
        </w:tc>
        <w:tc>
          <w:tcPr>
            <w:tcW w:type="dxa" w:w="1440"/>
            <w:shd w:fill="FFDCE0" w:val="clear"/>
          </w:tcPr>
          <w:p>
            <w:r>
              <w:rPr>
                <w:b/>
                <w:color w:val="C00000"/>
                <w:sz w:val="17"/>
              </w:rPr>
              <w:t>-31.4%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3,001</w:t>
            </w:r>
          </w:p>
        </w:tc>
        <w:tc>
          <w:tcPr>
            <w:tcW w:type="dxa" w:w="1440"/>
            <w:shd w:fill="FFDCE0" w:val="clear"/>
          </w:tcPr>
          <w:p>
            <w:r>
              <w:rPr>
                <w:b/>
                <w:sz w:val="17"/>
              </w:rPr>
              <w:t>3,363</w:t>
            </w:r>
          </w:p>
        </w:tc>
        <w:tc>
          <w:tcPr>
            <w:tcW w:type="dxa" w:w="1440"/>
            <w:shd w:fill="FFDCE0" w:val="clear"/>
          </w:tcPr>
          <w:p>
            <w:r>
              <w:rPr>
                <w:sz w:val="17"/>
              </w:rPr>
              <w:t>3,726</w:t>
            </w:r>
          </w:p>
        </w:tc>
        <w:tc>
          <w:tcPr>
            <w:tcW w:type="dxa" w:w="1440"/>
            <w:shd w:fill="FFDCE0" w:val="clear"/>
          </w:tcPr>
          <w:p>
            <w:r>
              <w:rPr>
                <w:b/>
                <w:color w:val="C00000"/>
                <w:sz w:val="17"/>
              </w:rPr>
              <w:t>-33.0%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2,911</w:t>
            </w:r>
          </w:p>
        </w:tc>
        <w:tc>
          <w:tcPr>
            <w:tcW w:type="dxa" w:w="1440"/>
            <w:shd w:fill="FFDCE0" w:val="clear"/>
          </w:tcPr>
          <w:p>
            <w:r>
              <w:rPr>
                <w:b/>
                <w:sz w:val="17"/>
              </w:rPr>
              <w:t>3,291</w:t>
            </w:r>
          </w:p>
        </w:tc>
        <w:tc>
          <w:tcPr>
            <w:tcW w:type="dxa" w:w="1440"/>
            <w:shd w:fill="FFDCE0" w:val="clear"/>
          </w:tcPr>
          <w:p>
            <w:r>
              <w:rPr>
                <w:sz w:val="17"/>
              </w:rPr>
              <w:t>3,670</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2,831</w:t>
            </w:r>
          </w:p>
        </w:tc>
        <w:tc>
          <w:tcPr>
            <w:tcW w:type="dxa" w:w="1440"/>
            <w:shd w:fill="FFDCE0" w:val="clear"/>
          </w:tcPr>
          <w:p>
            <w:r>
              <w:rPr>
                <w:b/>
                <w:sz w:val="17"/>
              </w:rPr>
              <w:t>3,225</w:t>
            </w:r>
          </w:p>
        </w:tc>
        <w:tc>
          <w:tcPr>
            <w:tcW w:type="dxa" w:w="1440"/>
            <w:shd w:fill="FFDCE0" w:val="clear"/>
          </w:tcPr>
          <w:p>
            <w:r>
              <w:rPr>
                <w:sz w:val="17"/>
              </w:rPr>
              <w:t>3,619</w:t>
            </w:r>
          </w:p>
        </w:tc>
        <w:tc>
          <w:tcPr>
            <w:tcW w:type="dxa" w:w="1440"/>
            <w:shd w:fill="FFDCE0" w:val="clear"/>
          </w:tcPr>
          <w:p>
            <w:r>
              <w:rPr>
                <w:b/>
                <w:color w:val="C00000"/>
                <w:sz w:val="17"/>
              </w:rPr>
              <w:t>-35.8%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2,758</w:t>
            </w:r>
          </w:p>
        </w:tc>
        <w:tc>
          <w:tcPr>
            <w:tcW w:type="dxa" w:w="1440"/>
            <w:shd w:fill="FFDCE0" w:val="clear"/>
          </w:tcPr>
          <w:p>
            <w:r>
              <w:rPr>
                <w:b/>
                <w:sz w:val="17"/>
              </w:rPr>
              <w:t>3,166</w:t>
            </w:r>
          </w:p>
        </w:tc>
        <w:tc>
          <w:tcPr>
            <w:tcW w:type="dxa" w:w="1440"/>
            <w:shd w:fill="FFDCE0" w:val="clear"/>
          </w:tcPr>
          <w:p>
            <w:r>
              <w:rPr>
                <w:sz w:val="17"/>
              </w:rPr>
              <w:t>3,574</w:t>
            </w:r>
          </w:p>
        </w:tc>
        <w:tc>
          <w:tcPr>
            <w:tcW w:type="dxa" w:w="1440"/>
            <w:shd w:fill="FFDCE0" w:val="clear"/>
          </w:tcPr>
          <w:p>
            <w:r>
              <w:rPr>
                <w:b/>
                <w:color w:val="C00000"/>
                <w:sz w:val="17"/>
              </w:rPr>
              <w:t>-36.9%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281,12 milliards FCFA, positionnant le titre parmi les valeurs moyennes à grandes capitalisations de la BRVM, dans un secteur stratégique et régulé. Le BPA de 234 FCFA indique que chaque action génère un bénéfice annuel de ce montant. Le PER de 21,4x est nettement supérieur à la moyenne historique de la BRVM (8-12x), ce qui traduit une prime de valorisation significative, les investisseurs anticipant une croissance future soutenue ou acceptant de payer un prix élevé pour un titre défensif. Le P/B de 7,82x est également très exigeant, le marché valorisant le titre près de huit fois sa valeur comptable, reflétant une forte prime sur les actifs nets. Enfin, l'EV/EBITDA de 12,6x se situe dans la fourchette haute (10-15x), indiquant une valorisation opérationnelle élevée par rapport à la capacité bénéficiaire brute de l'entreprise. Ces ratios combinés suggèrent une valorisation exigeante qui devra être justifiée par une croissance soutenue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+52,12%, avec une légère hausse de +0,40% lors de la dernière séance, portant le cours à 5 020 FCFA. Le titre a évolué dans une fourchette large de 3 000 à 5 485 FCFA, démontrant une forte amplitude de trading. La moyenne du cours sur la période (4 194 FCFA) est légèrement supérieure à la médiane (4 102 FCFA), indiquant une distribution quasi symétrique, confirmée par un skewness de 0,025. L'écart-type de 931 FCFA, soit un coefficient de variation de 22,2%, révèle une dispersion modérée des prix autour de la moyenne. Le kurtosis de -1,833 (distribution platykurtique) indique une faible concentration des prix autour de la moyenne, avec des extrêmes moins fréquents que dans une distribution normale. La volatilité annualisée de 46,3% est très élevée (&gt;30%), classant le titre comme particulièrement risqué à court terme, mais offrant un potentiel de rendement substantiel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La MM20 (5 150,5 FCFA) et la MM50 (5 087,2 FCFA) sont toutes deux supérieures au cours actuel de 5 020 FCFA, indiquant une tendance récente baissière à court terme. Cependant, la MM20 reste au-dessus de la MM50, suggérant que la tendance de fond demeure haussière. La décision d'achat signalée s'appuie sur la configuration générale des moyennes mobiles, le cours restant proche de ces niveaux de support dynamiques.</w:t>
      </w:r>
    </w:p>
    <w:p>
      <w:pPr>
        <w:spacing w:after="120" w:line="276" w:lineRule="auto"/>
      </w:pPr>
      <w:r>
        <w:t>**Bandes de Bollinger** : Le cours actuel (5 020 FCFA) se situe entre la borne inférieure (4 865,5 FCFA) et la borne supérieure (5 435,5 FCFA), proche de la partie médiane-basse de l'enveloppe. La largeur des bandes reflète la volatilité élevée du titre. La décision neutre indique que le cours n'est ni en situation de surachat ni de survente extrême, laissant place à une évolution dans les deux sens.</w:t>
      </w:r>
    </w:p>
    <w:p>
      <w:pPr>
        <w:spacing w:after="120" w:line="276" w:lineRule="auto"/>
      </w:pPr>
      <w:r>
        <w:t>**MACD** : Le MACD (-8,326) est négatif et inférieur à sa ligne de signal (36,768), formant une divergence baissière nette. Cette configuration indique un momentum négatif à court terme, le signal de vente étant cohérent avec la récente correction du cours depuis les sommets. La faiblesse du MACD suggère une pression vendeuse persistante.</w:t>
      </w:r>
    </w:p>
    <w:p>
      <w:pPr>
        <w:spacing w:after="120" w:line="276" w:lineRule="auto"/>
      </w:pPr>
      <w:r>
        <w:t>**RSI** : Le RSI de 42,616 se situe dans la zone neutre (30-70), indiquant un équilibre relatif entre pression acheteuse et vendeuse. Cette valeur ne signale ni surachat ni survente, laissant une marge de manœuvre pour une évolution dans les deux sens. La décision neutre est cohérente avec cette lecture.</w:t>
      </w:r>
    </w:p>
    <w:p>
      <w:pPr>
        <w:spacing w:after="120" w:line="276" w:lineRule="auto"/>
      </w:pPr>
      <w:r>
        <w:t>**Stochastique** : Le %K (6,329) et le %D (8,717) sont tous deux en zone de survente profonde (&lt;20), avec un %K inférieur au %D. Cette configuration signale une correction importante et un potentiel de rebond technique imminent. La décision d'achat se justifie par l'extrême survente, qui précède souvent un mouvement de rattrapage haussier.</w:t>
      </w:r>
    </w:p>
    <w:p>
      <w:pPr>
        <w:spacing w:after="120" w:line="276" w:lineRule="auto"/>
      </w:pPr>
      <w:r>
        <w:t>**Conclusion technique** : Les indicateurs techniques sont mitigés avec une divergence nette entre le MACD baissier et le Stochastique en survente extrême. Les moyennes mobiles restent globalement haussières tandis que le RSI et les bandes de Bollinger sont neutres. Cette configuration suggère une phase de consolidation après une forte hausse, avec un potentiel de rebond technique à court terme, mais un momentum baissier à moyen terme.</w:t>
      </w:r>
    </w:p>
    <w:p>
      <w:pPr>
        <w:spacing w:after="120" w:line="276" w:lineRule="auto" w:before="240"/>
      </w:pPr>
      <w:r>
        <w:rPr>
          <w:b/>
          <w:color w:val="003366"/>
          <w:sz w:val="24"/>
        </w:rPr>
        <w:t>**PARTIE 3 : ANALYSE FONDAMENTALE (SECTION CRITIQUE)**</w:t>
      </w:r>
    </w:p>
    <w:p>
      <w:pPr>
        <w:spacing w:after="120" w:line="276" w:lineRule="auto"/>
      </w:pPr>
      <w:r>
        <w:t>En 2025, la CIEC affiche un chiffre d'affaires de 302,320 milliards FCFA, en hausse de 14,8% par rapport à 2024 (263,294 milliards FCFA), avec un résultat net de 13,127 milliards FCFA, en progression de 30% (rapport annuel 2025). La marge nette s'établit à 4,34%, la marge opérationnelle à 7,40%, et le ROE est excellent à 36,50%, démontrant une forte rentabilité des capitaux propres, bien que le ROA reste faible à 0,65% en raison d'un total bilan très élevé (2 018,446 milliards FCFA). Le BFR est négatif (-90,244 milliards FCFA), ce qui est favorable pour la trésorerie, mais le délai client de 164 jours constitue un risque de trésorerie significatif, partiellement compensé par un délai fournisseur très élevé de 970 jours. L'endettement est important avec un ratio d'endettement de 612,9% et une capacité de remboursement de 7,64 ans. Sur la base du rapport du 1er semestre 2025 (CA de 134,923 milliards FCFA, +18,85% et résultat net de 5,096 milliards FCFA, +13,4%), on estime que l'exercice 2026 devrait poursuivre cette dynamique de croissance, avec un CA potentiel dépassant 330 milliards FCFA et un résultat net supérieur à 15 milliards FCFA. Le rapport de 2024 montre une baisse du CA consolidé (-1,5%) mais une croissance des ventes nationales (+24,8%), illustrant la résilience du modèle. La recommandation fondamentale est positive, soutenue par une croissance solide, une politique de dividende attractive (234 FCFA/action, soit un rendement d'environ 4,7%), mais tempérée par les risques de crédit client et de dépendance réglementaire.</w:t>
      </w:r>
    </w:p>
    <w:p>
      <w:pPr>
        <w:spacing w:after="120" w:line="276" w:lineRule="auto" w:before="240"/>
      </w:pPr>
      <w:r>
        <w:rPr>
          <w:b/>
          <w:color w:val="003366"/>
          <w:sz w:val="24"/>
        </w:rPr>
        <w:t>**PARTIE 4 : CONCLUSION D'INVESTISSEMENT**</w:t>
      </w:r>
    </w:p>
    <w:p>
      <w:pPr>
        <w:spacing w:after="120" w:line="276" w:lineRule="auto"/>
      </w:pPr>
      <w:r>
        <w:t>La valorisation de la CIEC est exigeante (PER 21,4x, P/B 7,82x, EV/EBITDA 12,6x), indiquant une surévaluation relative par rapport aux standards BRVM, mais justifiable par la croissance soutenue et la position monopolistique. Le comportement du cours montre une forte progression (+52,12% sur 100 jours) avec une volatilité très élevée (46,3%), des statistiques indiquant une distribution symétrique mais aplatie, suggérant un risque de mouvements brusques. Les signaux techniques sont divergents : le MACD baissier contraste avec le Stochastique en survente extrême, les moyennes mobiles restant haussières, indiquant une phase de consolidation avec potentiel de rebond. Les fondamentaux sont solides avec une croissance de 14,8% du CA, un ROE de 36,5% et une politique de dividende généreuse, mais le risque de crédit client et l'endettement élevé tempèrent l'enthousiasme. Les prédictions IA (J+1 à J+10) anticipent une baisse significative du cours vers 3 535 FCFA, contredisant les signaux techniques de rebond et suggérant une correction profonde. La convergence entre la valorisation élevée, la volatilité extrême et les prédictions baissières de l'IA conduit à une recommandation de **VENTE** avec un niveau de confiance **Moyen** et un risque global **Élevé**. L'horizon d'investissement optimal serait de **court terme (&lt;3 mois)** pour les investisseurs cherchant à sécuriser leurs gains après la forte hausse, avec une surveillance attentive des niveaux de support à 4 500 FCFA et 4 000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3,357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-1.22%</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2.11% (Faible) — μ=16,331 FCFA, σ=345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β=0.3335 (Défensif) — Cov=0.000012, Var(idx)=0.000036, ρ=0.118,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15,621</w:t>
            </w:r>
          </w:p>
        </w:tc>
        <w:tc>
          <w:tcPr>
            <w:tcW w:type="dxa" w:w="1440"/>
            <w:shd w:fill="FAFAFA" w:val="clear"/>
          </w:tcPr>
          <w:p>
            <w:r>
              <w:rPr>
                <w:b/>
                <w:sz w:val="17"/>
              </w:rPr>
              <w:t>16,105</w:t>
            </w:r>
          </w:p>
        </w:tc>
        <w:tc>
          <w:tcPr>
            <w:tcW w:type="dxa" w:w="1440"/>
            <w:shd w:fill="FAFAFA" w:val="clear"/>
          </w:tcPr>
          <w:p>
            <w:r>
              <w:rPr>
                <w:sz w:val="17"/>
              </w:rPr>
              <w:t>16,588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15,415</w:t>
            </w:r>
          </w:p>
        </w:tc>
        <w:tc>
          <w:tcPr>
            <w:tcW w:type="dxa" w:w="1440"/>
            <w:shd w:fill="FAFAFA" w:val="clear"/>
          </w:tcPr>
          <w:p>
            <w:r>
              <w:rPr>
                <w:b/>
                <w:sz w:val="17"/>
              </w:rPr>
              <w:t>16,099</w:t>
            </w:r>
          </w:p>
        </w:tc>
        <w:tc>
          <w:tcPr>
            <w:tcW w:type="dxa" w:w="1440"/>
            <w:shd w:fill="FAFAFA" w:val="clear"/>
          </w:tcPr>
          <w:p>
            <w:r>
              <w:rPr>
                <w:sz w:val="17"/>
              </w:rPr>
              <w:t>16,782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15,249</w:t>
            </w:r>
          </w:p>
        </w:tc>
        <w:tc>
          <w:tcPr>
            <w:tcW w:type="dxa" w:w="1440"/>
            <w:shd w:fill="FAFAFA" w:val="clear"/>
          </w:tcPr>
          <w:p>
            <w:r>
              <w:rPr>
                <w:b/>
                <w:sz w:val="17"/>
              </w:rPr>
              <w:t>16,086</w:t>
            </w:r>
          </w:p>
        </w:tc>
        <w:tc>
          <w:tcPr>
            <w:tcW w:type="dxa" w:w="1440"/>
            <w:shd w:fill="FAFAFA" w:val="clear"/>
          </w:tcPr>
          <w:p>
            <w:r>
              <w:rPr>
                <w:sz w:val="17"/>
              </w:rPr>
              <w:t>16,922</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15,107</w:t>
            </w:r>
          </w:p>
        </w:tc>
        <w:tc>
          <w:tcPr>
            <w:tcW w:type="dxa" w:w="1440"/>
            <w:shd w:fill="FAFAFA" w:val="clear"/>
          </w:tcPr>
          <w:p>
            <w:r>
              <w:rPr>
                <w:b/>
                <w:sz w:val="17"/>
              </w:rPr>
              <w:t>16,073</w:t>
            </w:r>
          </w:p>
        </w:tc>
        <w:tc>
          <w:tcPr>
            <w:tcW w:type="dxa" w:w="1440"/>
            <w:shd w:fill="FAFAFA" w:val="clear"/>
          </w:tcPr>
          <w:p>
            <w:r>
              <w:rPr>
                <w:sz w:val="17"/>
              </w:rPr>
              <w:t>17,038</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14,981</w:t>
            </w:r>
          </w:p>
        </w:tc>
        <w:tc>
          <w:tcPr>
            <w:tcW w:type="dxa" w:w="1440"/>
            <w:shd w:fill="FAFAFA" w:val="clear"/>
          </w:tcPr>
          <w:p>
            <w:r>
              <w:rPr>
                <w:b/>
                <w:sz w:val="17"/>
              </w:rPr>
              <w:t>16,060</w:t>
            </w:r>
          </w:p>
        </w:tc>
        <w:tc>
          <w:tcPr>
            <w:tcW w:type="dxa" w:w="1440"/>
            <w:shd w:fill="FAFAFA" w:val="clear"/>
          </w:tcPr>
          <w:p>
            <w:r>
              <w:rPr>
                <w:sz w:val="17"/>
              </w:rPr>
              <w:t>17,139</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14,867</w:t>
            </w:r>
          </w:p>
        </w:tc>
        <w:tc>
          <w:tcPr>
            <w:tcW w:type="dxa" w:w="1440"/>
            <w:shd w:fill="FAFAFA" w:val="clear"/>
          </w:tcPr>
          <w:p>
            <w:r>
              <w:rPr>
                <w:b/>
                <w:sz w:val="17"/>
              </w:rPr>
              <w:t>16,048</w:t>
            </w:r>
          </w:p>
        </w:tc>
        <w:tc>
          <w:tcPr>
            <w:tcW w:type="dxa" w:w="1440"/>
            <w:shd w:fill="FAFAFA" w:val="clear"/>
          </w:tcPr>
          <w:p>
            <w:r>
              <w:rPr>
                <w:sz w:val="17"/>
              </w:rPr>
              <w:t>17,228</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14,761</w:t>
            </w:r>
          </w:p>
        </w:tc>
        <w:tc>
          <w:tcPr>
            <w:tcW w:type="dxa" w:w="1440"/>
            <w:shd w:fill="FAFAFA" w:val="clear"/>
          </w:tcPr>
          <w:p>
            <w:r>
              <w:rPr>
                <w:b/>
                <w:sz w:val="17"/>
              </w:rPr>
              <w:t>16,036</w:t>
            </w:r>
          </w:p>
        </w:tc>
        <w:tc>
          <w:tcPr>
            <w:tcW w:type="dxa" w:w="1440"/>
            <w:shd w:fill="FAFAFA" w:val="clear"/>
          </w:tcPr>
          <w:p>
            <w:r>
              <w:rPr>
                <w:sz w:val="17"/>
              </w:rPr>
              <w:t>17,310</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14,662</w:t>
            </w:r>
          </w:p>
        </w:tc>
        <w:tc>
          <w:tcPr>
            <w:tcW w:type="dxa" w:w="1440"/>
            <w:shd w:fill="FAFAFA" w:val="clear"/>
          </w:tcPr>
          <w:p>
            <w:r>
              <w:rPr>
                <w:b/>
                <w:sz w:val="17"/>
              </w:rPr>
              <w:t>16,024</w:t>
            </w:r>
          </w:p>
        </w:tc>
        <w:tc>
          <w:tcPr>
            <w:tcW w:type="dxa" w:w="1440"/>
            <w:shd w:fill="FAFAFA" w:val="clear"/>
          </w:tcPr>
          <w:p>
            <w:r>
              <w:rPr>
                <w:sz w:val="17"/>
              </w:rPr>
              <w:t>17,385</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14,569</w:t>
            </w:r>
          </w:p>
        </w:tc>
        <w:tc>
          <w:tcPr>
            <w:tcW w:type="dxa" w:w="1440"/>
            <w:shd w:fill="FAFAFA" w:val="clear"/>
          </w:tcPr>
          <w:p>
            <w:r>
              <w:rPr>
                <w:b/>
                <w:sz w:val="17"/>
              </w:rPr>
              <w:t>16,012</w:t>
            </w:r>
          </w:p>
        </w:tc>
        <w:tc>
          <w:tcPr>
            <w:tcW w:type="dxa" w:w="1440"/>
            <w:shd w:fill="FAFAFA" w:val="clear"/>
          </w:tcPr>
          <w:p>
            <w:r>
              <w:rPr>
                <w:sz w:val="17"/>
              </w:rPr>
              <w:t>17,454</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14,480</w:t>
            </w:r>
          </w:p>
        </w:tc>
        <w:tc>
          <w:tcPr>
            <w:tcW w:type="dxa" w:w="1440"/>
            <w:shd w:fill="FAFAFA" w:val="clear"/>
          </w:tcPr>
          <w:p>
            <w:r>
              <w:rPr>
                <w:b/>
                <w:sz w:val="17"/>
              </w:rPr>
              <w:t>16,000</w:t>
            </w:r>
          </w:p>
        </w:tc>
        <w:tc>
          <w:tcPr>
            <w:tcW w:type="dxa" w:w="1440"/>
            <w:shd w:fill="FAFAFA" w:val="clear"/>
          </w:tcPr>
          <w:p>
            <w:r>
              <w:rPr>
                <w:sz w:val="17"/>
              </w:rPr>
              <w:t>17,520</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891,82 milliards FCFA, ce qui en fait l'une des plus importantes valeurs de la BRVM, reflétant son statut de banque systémique en Côte d'Ivoire. Le BPA de 1 153 FCFA indique que chaque action génère un bénéfice substantiel, justifiant un PER de 14,0x, légèrement au-dessus de la moyenne historique de la BRVM (8-12x), ce qui traduit une prime de qualité accordée par le marché. Le P/B de 4,08x est particulièrement exigeant, signifiant que les investisseurs paient plus de quatre fois la valeur comptable des actifs, une décote qui reflète la confiance dans la rentabilité future. L'EV/EBITDA de 13,8x, bien que dans la fourchette haute (10-15x), reste cohérent avec une banque affichant une croissance soutenue et une excellente efficacité opérationnelle. Ces ratios combinés suggèrent une valorisation qui intègre déjà des attentes élevées de performance.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variation totale de -1,22%, avec une dernière séance en hausse de +1,25% à 16 200 FCFA, signalant un possible retournement à court terme. Le cours a évolué dans un range de 15 520 à 17 270 FCFA, indiquant une amplitude de trading de 11,3%, ce qui témoigne d'une certaine nervosité malgré une tendance globalement stable. La moyenne (16 331 FCFA) et la médiane (16 300 FCFA) sont très proches, avec un mode identique, ce qui confirme une distribution quasi symétrique des prix autour de 16 300 FCFA. L'écart-type de 347 FCFA, avec un coefficient de variation de seulement 2,1%, révèle une dispersion très faible et un titre remarquablement stable. Le kurtosis de 0,298 (mésokurtique) et le skewness de 0,142 indiquent une distribution proche de la normale, sans risque de pics extrêmes ni d'asymétrie marquée. La volatilité annualisée de 26,8% classe le titre dans la catégorie modérée (15-30%), offrant un équilibre entre stabilité et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(16 200 FCFA) se situe en dessous de la MM20 (16 137 FCFA) et nettement sous la MM50 (16 434,5 FCFA), avec un écart de -1,4% par rapport à cette dernière. Cette configuration baissière indique que la tendance de fond reste négative à moyen terme, justifiant la décision de vente, bien que le cours semble tenter de se rapprocher de la MM20.</w:t>
      </w:r>
    </w:p>
    <w:p>
      <w:pPr>
        <w:spacing w:after="120" w:line="276" w:lineRule="auto"/>
      </w:pPr>
      <w:r>
        <w:t>**Bandes de Bollinger** : Le prix se positionne presque à mi-chemin entre la borne supérieure (16 713 FCFA) et la borne inférieure (15 560 FCFA), avec une largeur de bande de 1 153 FCFA indiquant une volatilité modérée. La position centrale du cours suggère un équilibre entre acheteurs et vendeurs, d'où la décision neutre, sans signal de surachat ni de survente.</w:t>
      </w:r>
    </w:p>
    <w:p>
      <w:pPr>
        <w:spacing w:after="120" w:line="276" w:lineRule="auto"/>
      </w:pPr>
      <w:r>
        <w:t>**MACD** : La valeur MACD (-84,14) est supérieure au signal (-103,47), avec un écart positif de +19,3 points, ce qui constitue un croisement haussier récent. Ce signal d'achat indique un momentum positif en train de se former, suggérant que la pression vendeuse s'atténue et que le cours pourrait reprendre une trajectoire ascendante.</w:t>
      </w:r>
    </w:p>
    <w:p>
      <w:pPr>
        <w:spacing w:after="120" w:line="276" w:lineRule="auto"/>
      </w:pPr>
      <w:r>
        <w:t>**RSI** : À 56,80, le RSI se situe dans la zone neutre (30-70), sans signal de surachat ni de survente. Cette valeur indique une dynamique équilibrée, avec une légère prédominance des acheteurs, mais sans force suffisante pour déclencher un signal fort, d'où la décision neutre.</w:t>
      </w:r>
    </w:p>
    <w:p>
      <w:pPr>
        <w:spacing w:after="120" w:line="276" w:lineRule="auto"/>
      </w:pPr>
      <w:r>
        <w:t>**Stochastique** : Le %K (91,51) est très élevé et nettement au-dessus du %D (78,93), indiquant une zone de surachat extrême. Cette configuration, avec un écart de +12,6 points, suggère un risque imminent de correction technique, justifiant la décision de vente malgré la force du momentum actuel.</w:t>
      </w:r>
    </w:p>
    <w:p>
      <w:pPr>
        <w:spacing w:after="120" w:line="276" w:lineRule="auto"/>
      </w:pPr>
      <w:r>
        <w:t>**Conclusion technique** : La convergence des signaux est mitigée : les moyennes mobiles et le stochastique suggèrent une prudence à court terme, tandis que le MACD indique un momentum haussier naissant. Le RSI et les bandes de Bollinger restent neutres, reflétant une phase de consolidation. Globalement, le titre semble en équilibre précaire, avec un biais légèrement positif à très court terme mais une tendance de fond encore incertaine.</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exceptionnels avec un PNB de 132,725 milliards FCFA, en croissance de +8,5%, et un résultat net de 63,482 milliards FCFA, démontrant une rentabilité remarquable. Le ROE de 29,04% et le ROA de 3,09% sont excellents, largement au-dessus des seuils de référence (15% et 1% respectivement), confirmant une gestion très efficace des capitaux propres et des actifs. Le coefficient d'exploitation de 42,89% est excellent (&lt;50%), témoignant d'une maîtrise rigoureuse des coûts opérationnels, tandis que le coût du risque de 1,36% reste modéré, indiquant une bonne qualité du portefeuille de crédits. La structure financière est solide avec des dépôts clientèle de 1 626,2 milliards FCFA contre des créances de 1 050,8 milliards FCFA, soit un ratio de transformation de 64,6%, reflétant une gestion prudente de la liquidité. Les rapports trimestriels 2025 confirment cette dynamique positive : le T3 2025 montre un PNB de 96,4 milliards FCFA (+11,3%) et un résultat net de 44,4 milliards FCFA (+15,4%), avec un ROE de 29,7% et un coefficient d'exploitation amélioré à 44,7%. Sur la base de ces tendances, on estime que l'exercice 2026 devrait maintenir une croissance à deux chiffres, avec un PNB projeté autour de 145-150 milliards FCFA et un résultat net dépassant 70 milliards FCFA, soutenus par la forte collecte de dépôts (+33,2% au T3) et la baisse continue du coût du risque. Le rapport T1 2026 confirme cette trajectoire avec un PNB de 30,8 milliards FCFA (+3,7%), bien que le résultat net recule légèrement à 13,0 milliards FCFA (-1,6%), reflétant une politique de crédit plus sélective. La banque propose un dividende de 888 FCFA brut par action pour 2025, en hausse de 10,4% par rapport à 2024, avec un taux de distribution de 77%, témoignant d'une politique actionnariale généreuse et durable.</w:t>
      </w:r>
    </w:p>
    <w:p>
      <w:pPr>
        <w:spacing w:after="120" w:line="276" w:lineRule="auto" w:before="240"/>
      </w:pPr>
      <w:r>
        <w:rPr>
          <w:b/>
          <w:color w:val="003366"/>
          <w:sz w:val="24"/>
        </w:rPr>
        <w:t>**PARTIE 4 : CONCLUSION D'INVESTISSEMENT**</w:t>
      </w:r>
    </w:p>
    <w:p>
      <w:pPr>
        <w:spacing w:after="120" w:line="276" w:lineRule="auto"/>
      </w:pPr>
      <w:r>
        <w:t>La valorisation d'ECOC (PER de 14,0x, P/B de 4,08x) indique une prime de qualité que le marché est prêt à payer, mais qui laisse peu de marge en cas de déception. Le comportement du cours sur 100 jours montre une stabilité remarquable (CV de 2,1%) avec une distribution normale, mais une tendance légèrement baissière (-1,22%) qui contraste avec la solidité des fondamentaux. Les signaux techniques sont mitigés : le MACD est haussier, le RSI et les bandes de Bollinger sont neutres, tandis que les moyennes mobiles et le stochastique (suracheté) suggèrent une prudence à court terme. Les fondamentaux sont excellents avec un ROE de 29,04%, un coefficient d'exploitation de 42,89% et une croissance soutenue du PNB, renforcés par des rapports trimestriels positifs et une politique de dividende attractive (888 FCFA, rendement de 5,5%). Les prédictions IA pour les 10 prochains jours (16 105 à 16 060 FCFA) indiquent une légère baisse, confirmant la prudence technique à court terme. La convergence entre la solidité fondamentale et la stabilité du cours suggère que le titre est correctement valorisé, avec un potentiel de hausse limité à court terme mais des perspectives solides à moyen terme. **Recommandation finale : CONSERVER**, avec un niveau de confiance Élevé, un risque global Moyen, et un horizon d'investissement optimal à moyen terme (3-12 mois), en attendant une meilleure entrée en cas de correction vers 15 500-15 800 FCFA.</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1,331,880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37.89%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β=2.5146 (Très agressif) — Cov=0.000092, Var(idx)=0.000036, ρ=0.381,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1,331,880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1 175,47 milliards FCFA, ce qui en fait l'une des valeurs les plus lourdes et les plus liquides de la BRVM, représentant un poids considérable dans l'indice composite. Avec un BPA de 19 FCFA, le titre se négocie à un PER de 3,4x, très inférieur à la moyenne du marché (8-12x), signalant une sous-évaluation potentielle par rapport aux bénéfices générés. Le P/B de 0,74x confirme cette lecture : le marché valorise l'action sous sa valeur comptable, offrant une décote de 26% sur l'actif net. Enfin, l'EV/EBITDA de 4,9x, sous le seuil de 5x, indique que la valeur totale de l'entreprise reste très raisonnable au regard de sa capacité opérationnelle. Ces ratios combinés suggèrent une valorisation intrinsèquement attractive, bien que le marché intègre peut-être des risques spécifiques.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performance spectaculaire de +103,12%, passant d'un plus bas de 26 FCFA à un plus haut de 78 FCFA, avec un cours actuel de 65 FCFA. La variation de +1,56% lors de la dernière séance confirme une dynamique haussière toujours active, bien que le cours ait récemment corrigé de son sommet. La moyenne (40 FCFA) est nettement supérieure à la médiane (32 FCFA), et l'asymétrie positive (Skewness de 1,229) indique que la distribution des rendements est tirée par des épisodes de hausse intense, avec un grand nombre de journées sous la moyenne. L'écart-type de 15 FCFA (CV de 38,1%) témoigne d'une dispersion élevée, et le kurtosis proche de zéro (-0,159) suggère une distribution mésokurtique, sans risque de pics extrêmes particulier. La volatilité annualisée de 62,6% classe le titre comme très volatil, reflétant un intérêt spéculatif marqué et des mouvements de prix amples.</w:t>
      </w:r>
    </w:p>
    <w:p>
      <w:pPr>
        <w:spacing w:after="120" w:line="276" w:lineRule="auto" w:before="240"/>
      </w:pPr>
      <w:r>
        <w:rPr>
          <w:b/>
          <w:color w:val="003366"/>
          <w:sz w:val="24"/>
        </w:rPr>
        <w:t>**PARTIE 2 : ANALYSE TECHNIQUE DÉTAILLÉE**</w:t>
      </w:r>
    </w:p>
    <w:p>
      <w:pPr>
        <w:spacing w:after="120" w:line="276" w:lineRule="auto"/>
      </w:pPr>
      <w:r>
        <w:t>Les **Moyennes Mobiles** (MM20 à 68,7 et MM50 à 49,98) indiquent une configuration haussière : le cours (65 FCFA) se maintient au-dessus de la MM50, bien qu'il soit légèrement sous la MM20, ce qui suggère une consolidation à court terme dans une tendance de fond positive. La décision "Achat" est cohérente avec la structure globale.</w:t>
      </w:r>
    </w:p>
    <w:p>
      <w:pPr>
        <w:spacing w:after="120" w:line="276" w:lineRule="auto"/>
      </w:pPr>
      <w:r>
        <w:t>Les **Bandes de Bollinger** (bornes 59,97 et 77,43) montrent un prix évoluant dans la partie médiane du canal, avec une volatilité qui se resserre après la récente correction. La décision "Neutre" est justifiée par l'absence de contact avec les bornes extrêmes, indiquant une phase de stabilisation après un mouvement violent.</w:t>
      </w:r>
    </w:p>
    <w:p>
      <w:pPr>
        <w:spacing w:after="120" w:line="276" w:lineRule="auto"/>
      </w:pPr>
      <w:r>
        <w:t>Le **MACD** (valeur 4,113, signal 6,006) affiche un momentum baissier à court terme, la ligne MACD étant passée sous sa ligne de signal. La décision "Vente" reflète un ralentissement de la dynamique haussière, mais la valeur positive du MACD suggère que la tendance de fond reste positive.</w:t>
      </w:r>
    </w:p>
    <w:p>
      <w:pPr>
        <w:spacing w:after="120" w:line="276" w:lineRule="auto"/>
      </w:pPr>
      <w:r>
        <w:t>Le **RSI** à 46,67 se situe en zone neutre, indiquant que le titre n'est ni suracheté ni survendu. Cette valeur suggère un équilibre entre acheteurs et vendeurs, laissant la place à une reprise ou à une poursuite de la consolidation.</w:t>
      </w:r>
    </w:p>
    <w:p>
      <w:pPr>
        <w:spacing w:after="120" w:line="276" w:lineRule="auto"/>
      </w:pPr>
      <w:r>
        <w:t>Le **Stochastique** (%K=16,67, %D=11,11) est en zone de survente profonde, avec un croisement haussier potentiel. La décision "Achat" est justifiée par un rebond technique probable à très court terme.</w:t>
      </w:r>
    </w:p>
    <w:p>
      <w:pPr>
        <w:spacing w:after="120" w:line="276" w:lineRule="auto"/>
      </w:pPr>
      <w:r>
        <w:t>**Conclusion technique** : Les indicateurs sont mitigés. La tendance de fond reste haussière (MM, structure), mais le momentum à court terme s'essouffle (MACD). Le Stochastique suggère un rebond imminent, tandis que le RSI neutre et les Bandes de Bollinger indiquent une consolidation. Le scénario le plus probable est un rebond technique vers 68-70 FCFA avant une décision directionnelle.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(secteur banque) font état d'un Produit Net Bancaire (PNB) de 1 424,26 milliards FCFA, en croissance de 12,45%, et d'un résultat net de 345,52 milliards FCFA. La banque affiche un ROE exceptionnel de 21,62% et un ROA de 1,80%, démontrant une excellente rentabilité des fonds propres et des actifs. Le coefficient d'exploitation de 27,35% est remarquablement bas, traduisant une très grande efficacité opérationnelle. Le coût du risque de 18,97% reste un point de vigilance, indiquant un portefeuille de crédit sous pression. Les dépôts clientèle (14 120 milliards FCFA) couvrent largement les créances sur la clientèle (6 570 milliards FCFA), assurant une transformation saine. Les rapports semestriels 2026 (S1 2026) confirment la dynamique : PNB en hausse de 15% à 721,3 milliards FCFA et résultat net consolidé de 166,7 milliards FCFA (+6%). Sur la base du T1 2026 (PNB +23%), on estime que l'exercice 2026 pourrait dépasser les 1 600 milliards FCFA de PNB, avec un résultat net annuel potentiel de 370-380 milliards FCFA, soit un BPA d'environ 20-21 FCFA. La solidité financière est confortée par une solvabilité générale de 109% et des capitaux propres de 1 597,8 milliards FCFA. Les risques principaux restent la hausse du coût du risque (+40% au S1 2026) et les tensions géopolitiques, mais la stratégie GTR et les investissements technologiques soutiennent les perspectives de croissance rentable.</w:t>
      </w:r>
    </w:p>
    <w:p>
      <w:pPr>
        <w:spacing w:after="120" w:line="276" w:lineRule="auto" w:before="240"/>
      </w:pPr>
      <w:r>
        <w:rPr>
          <w:b/>
          <w:color w:val="003366"/>
          <w:sz w:val="24"/>
        </w:rPr>
        <w:t>**PARTIE 4 : CONCLUSION D'INVESTISSEMENT**</w:t>
      </w:r>
    </w:p>
    <w:p>
      <w:pPr>
        <w:spacing w:after="120" w:line="276" w:lineRule="auto"/>
      </w:pPr>
      <w:r>
        <w:t>La valorisation d'ETIT (PER 3,4x, P/B 0,74x, EV/EBITDA 4,9x) indique une sous-évaluation manifeste, renforcée par des fondamentaux solides (ROE &gt;21%, coefficient d'exploitation très bas). Le comportement du cours (+103% sur 100 jours) montre une tendance haussière forte, mais avec une volatilité très élevée (62,6%) et une asymétrie positive qui suggère des corrections possibles. Les signaux techniques sont mitigés : la tendance de fond reste positive (MM), mais le momentum à court terme est neutre à vendeur (MACD, RSI), avec un rebond technique probable (Stochastique). Les fondamentaux, appuyés par les données 2025 et les estimations 2026 (PNB &gt;1 600 Mds FCFA), confirment une croissance rentable et une gestion disciplinée. Les prédictions IA (baisse de 65 à 44 FCFA sur 10 jours) contredisent les signaux techniques de rebond et suggèrent une correction à court terme, probablement un rattrapage après la forte hausse. En synthèse, la convergence entre la sous-évaluation fondamentale et la tendance haussière de fond plaide pour une **recommandation ACHAT**, mais avec une prudence accrue à court terme. Le niveau de confiance est **Moyen**, le risque global est **Élevé** en raison de la volatilité. L'horizon d'investissement optimal est le **moyen terme (3-12 mois)**, en profitant d'une éventuelle correction vers 50-55 FCFA pour renforcer la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3,772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-17.01%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μ=2,179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β=0.8229 (Neutre (suit le marché)) — Cov=0.000030, Var(idx)=0.000036, ρ=0.223,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1,961</w:t>
            </w:r>
          </w:p>
        </w:tc>
        <w:tc>
          <w:tcPr>
            <w:tcW w:type="dxa" w:w="1440"/>
            <w:shd w:fill="FAFAFA" w:val="clear"/>
          </w:tcPr>
          <w:p>
            <w:r>
              <w:rPr>
                <w:b/>
                <w:sz w:val="17"/>
              </w:rPr>
              <w:t>2,008</w:t>
            </w:r>
          </w:p>
        </w:tc>
        <w:tc>
          <w:tcPr>
            <w:tcW w:type="dxa" w:w="1440"/>
            <w:shd w:fill="FAFAFA" w:val="clear"/>
          </w:tcPr>
          <w:p>
            <w:r>
              <w:rPr>
                <w:sz w:val="17"/>
              </w:rPr>
              <w:t>2,056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1,949</w:t>
            </w:r>
          </w:p>
        </w:tc>
        <w:tc>
          <w:tcPr>
            <w:tcW w:type="dxa" w:w="1440"/>
            <w:shd w:fill="FAFAFA" w:val="clear"/>
          </w:tcPr>
          <w:p>
            <w:r>
              <w:rPr>
                <w:b/>
                <w:sz w:val="17"/>
              </w:rPr>
              <w:t>2,016</w:t>
            </w:r>
          </w:p>
        </w:tc>
        <w:tc>
          <w:tcPr>
            <w:tcW w:type="dxa" w:w="1440"/>
            <w:shd w:fill="FAFAFA" w:val="clear"/>
          </w:tcPr>
          <w:p>
            <w:r>
              <w:rPr>
                <w:sz w:val="17"/>
              </w:rPr>
              <w:t>2,084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1,941</w:t>
            </w:r>
          </w:p>
        </w:tc>
        <w:tc>
          <w:tcPr>
            <w:tcW w:type="dxa" w:w="1440"/>
            <w:shd w:fill="FAFAFA" w:val="clear"/>
          </w:tcPr>
          <w:p>
            <w:r>
              <w:rPr>
                <w:b/>
                <w:sz w:val="17"/>
              </w:rPr>
              <w:t>2,024</w:t>
            </w:r>
          </w:p>
        </w:tc>
        <w:tc>
          <w:tcPr>
            <w:tcW w:type="dxa" w:w="1440"/>
            <w:shd w:fill="FAFAFA" w:val="clear"/>
          </w:tcPr>
          <w:p>
            <w:r>
              <w:rPr>
                <w:sz w:val="17"/>
              </w:rPr>
              <w:t>2,107</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1,937</w:t>
            </w:r>
          </w:p>
        </w:tc>
        <w:tc>
          <w:tcPr>
            <w:tcW w:type="dxa" w:w="1440"/>
            <w:shd w:fill="FAFAFA" w:val="clear"/>
          </w:tcPr>
          <w:p>
            <w:r>
              <w:rPr>
                <w:b/>
                <w:sz w:val="17"/>
              </w:rPr>
              <w:t>2,033</w:t>
            </w:r>
          </w:p>
        </w:tc>
        <w:tc>
          <w:tcPr>
            <w:tcW w:type="dxa" w:w="1440"/>
            <w:shd w:fill="FAFAFA" w:val="clear"/>
          </w:tcPr>
          <w:p>
            <w:r>
              <w:rPr>
                <w:sz w:val="17"/>
              </w:rPr>
              <w:t>2,129</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2026-08-14</w:t>
            </w:r>
          </w:p>
        </w:tc>
        <w:tc>
          <w:tcPr>
            <w:tcW w:type="dxa" w:w="1440"/>
            <w:shd w:fill="C6EFCE" w:val="clear"/>
          </w:tcPr>
          <w:p>
            <w:r>
              <w:rPr>
                <w:sz w:val="17"/>
              </w:rPr>
              <w:t>1,933</w:t>
            </w:r>
          </w:p>
        </w:tc>
        <w:tc>
          <w:tcPr>
            <w:tcW w:type="dxa" w:w="1440"/>
            <w:shd w:fill="C6EFCE" w:val="clear"/>
          </w:tcPr>
          <w:p>
            <w:r>
              <w:rPr>
                <w:b/>
                <w:sz w:val="17"/>
              </w:rPr>
              <w:t>2,041</w:t>
            </w:r>
          </w:p>
        </w:tc>
        <w:tc>
          <w:tcPr>
            <w:tcW w:type="dxa" w:w="1440"/>
            <w:shd w:fill="C6EFCE" w:val="clear"/>
          </w:tcPr>
          <w:p>
            <w:r>
              <w:rPr>
                <w:sz w:val="17"/>
              </w:rPr>
              <w:t>2,149</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2026-08-17</w:t>
            </w:r>
          </w:p>
        </w:tc>
        <w:tc>
          <w:tcPr>
            <w:tcW w:type="dxa" w:w="1440"/>
            <w:shd w:fill="C6EFCE" w:val="clear"/>
          </w:tcPr>
          <w:p>
            <w:r>
              <w:rPr>
                <w:sz w:val="17"/>
              </w:rPr>
              <w:t>1,931</w:t>
            </w:r>
          </w:p>
        </w:tc>
        <w:tc>
          <w:tcPr>
            <w:tcW w:type="dxa" w:w="1440"/>
            <w:shd w:fill="C6EFCE" w:val="clear"/>
          </w:tcPr>
          <w:p>
            <w:r>
              <w:rPr>
                <w:b/>
                <w:sz w:val="17"/>
              </w:rPr>
              <w:t>2,050</w:t>
            </w:r>
          </w:p>
        </w:tc>
        <w:tc>
          <w:tcPr>
            <w:tcW w:type="dxa" w:w="1440"/>
            <w:shd w:fill="C6EFCE" w:val="clear"/>
          </w:tcPr>
          <w:p>
            <w:r>
              <w:rPr>
                <w:sz w:val="17"/>
              </w:rPr>
              <w:t>2,169</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1,930</w:t>
            </w:r>
          </w:p>
        </w:tc>
        <w:tc>
          <w:tcPr>
            <w:tcW w:type="dxa" w:w="1440"/>
            <w:shd w:fill="C6EFCE" w:val="clear"/>
          </w:tcPr>
          <w:p>
            <w:r>
              <w:rPr>
                <w:b/>
                <w:sz w:val="17"/>
              </w:rPr>
              <w:t>2,059</w:t>
            </w:r>
          </w:p>
        </w:tc>
        <w:tc>
          <w:tcPr>
            <w:tcW w:type="dxa" w:w="1440"/>
            <w:shd w:fill="C6EFCE" w:val="clear"/>
          </w:tcPr>
          <w:p>
            <w:r>
              <w:rPr>
                <w:sz w:val="17"/>
              </w:rPr>
              <w:t>2,187</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1,929</w:t>
            </w:r>
          </w:p>
        </w:tc>
        <w:tc>
          <w:tcPr>
            <w:tcW w:type="dxa" w:w="1440"/>
            <w:shd w:fill="C6EFCE" w:val="clear"/>
          </w:tcPr>
          <w:p>
            <w:r>
              <w:rPr>
                <w:b/>
                <w:sz w:val="17"/>
              </w:rPr>
              <w:t>2,067</w:t>
            </w:r>
          </w:p>
        </w:tc>
        <w:tc>
          <w:tcPr>
            <w:tcW w:type="dxa" w:w="1440"/>
            <w:shd w:fill="C6EFCE" w:val="clear"/>
          </w:tcPr>
          <w:p>
            <w:r>
              <w:rPr>
                <w:sz w:val="17"/>
              </w:rPr>
              <w:t>2,206</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1,929</w:t>
            </w:r>
          </w:p>
        </w:tc>
        <w:tc>
          <w:tcPr>
            <w:tcW w:type="dxa" w:w="1440"/>
            <w:shd w:fill="C6EFCE" w:val="clear"/>
          </w:tcPr>
          <w:p>
            <w:r>
              <w:rPr>
                <w:b/>
                <w:sz w:val="17"/>
              </w:rPr>
              <w:t>2,076</w:t>
            </w:r>
          </w:p>
        </w:tc>
        <w:tc>
          <w:tcPr>
            <w:tcW w:type="dxa" w:w="1440"/>
            <w:shd w:fill="C6EFCE" w:val="clear"/>
          </w:tcPr>
          <w:p>
            <w:r>
              <w:rPr>
                <w:sz w:val="17"/>
              </w:rPr>
              <w:t>2,224</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1,929</w:t>
            </w:r>
          </w:p>
        </w:tc>
        <w:tc>
          <w:tcPr>
            <w:tcW w:type="dxa" w:w="1440"/>
            <w:shd w:fill="C6EFCE" w:val="clear"/>
          </w:tcPr>
          <w:p>
            <w:r>
              <w:rPr>
                <w:b/>
                <w:sz w:val="17"/>
              </w:rPr>
              <w:t>2,085</w:t>
            </w:r>
          </w:p>
        </w:tc>
        <w:tc>
          <w:tcPr>
            <w:tcW w:type="dxa" w:w="1440"/>
            <w:shd w:fill="C6EFCE" w:val="clear"/>
          </w:tcPr>
          <w:p>
            <w:r>
              <w:rPr>
                <w:sz w:val="17"/>
              </w:rPr>
              <w:t>2,241</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28,21 milliards FCFA, un niveau modeste sur la place BRVM, reflétant un profil de valeur moyenne. Le BPA de 33 FCFA par action est faible, ce qui explique un PER de 60,5x, extrêmement élevé par rapport à la moyenne du marché BRVM (8-12x). Les investisseurs paient donc un prix très supérieur aux bénéfices générés, ce qui traduit une valorisation exigeante et un risque de correction si les résultats ne s'améliorent pas. Le P/B de 1,80x indique que le marché valorise la société à près du double de sa valeur comptable, ce qui est raisonnable mais sans marge de sécurité. Enfin, l'EV/EBITDA de 36,7x est très élevé, signalant que la valeur totale de l'entreprise (dette incluse) est chère par rapport à sa capacité opérationnelle brute. Ces ratios suggèrent une surévaluation relative, surtout au regard de la faiblesse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baisse significative de 17,01%, passant de 2 430 FCFA à 2 000 FCFA, avec un léger rebond de +0,50% lors de la dernière séance. Le cours a évolué dans une fourchette de 1 910 FCFA (plus bas) à 2 430 FCFA (plus haut), montrant une amplitude de 520 FCFA. La moyenne du cours sur la période est de 2 179 FCFA, légèrement inférieure à la médiane de 2 220 FCFA, indiquant une distribution légèrement asymétrique vers les bas niveaux. L'écart-type de 154 FCFA (CV=7,1%) révèle une dispersion modérée, tandis que le kurtosis de -1,306 (platykurtique) suggère une distribution aplatie, avec peu de valeurs extrêmes. Le skewness de -0,238 confirme une asymétrie négative légère. La volatilité annualisée de 35,1% est élevée (&gt;30%), signalant un risque de prix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(1 973,75 FCFA) est inférieure à la MM50 (2 080 FCFA), et le cours actuel (2 000 FCFA) se situe entre les deux, mais sous la MM50. Cette configuration indique une tendance baissière de moyen terme, justifiant la décision de vente.</w:t>
      </w:r>
    </w:p>
    <w:p>
      <w:pPr>
        <w:spacing w:after="120" w:line="276" w:lineRule="auto"/>
      </w:pPr>
      <w:r>
        <w:t>**Bandes de Bollinger** : Le cours (2 000 FCFA) se positionne près de la borne supérieure (2 023,15 FCFA), avec une borne inférieure à 1 924,35 FCFA. La volatilité est modérée, et le prix proche de la borne supérieure suggère une possible résistance, d'où la décision neutre.</w:t>
      </w:r>
    </w:p>
    <w:p>
      <w:pPr>
        <w:spacing w:after="120" w:line="276" w:lineRule="auto"/>
      </w:pPr>
      <w:r>
        <w:t>**MACD** : Le MACD (-24,0) est supérieur à son signal (-33,71), indiquant un momentum haussier naissant. Cette divergence positive suggère un potentiel de reprise, justifiant la décision d'achat.</w:t>
      </w:r>
    </w:p>
    <w:p>
      <w:pPr>
        <w:spacing w:after="120" w:line="276" w:lineRule="auto"/>
      </w:pPr>
      <w:r>
        <w:t>**RSI** : Le RSI à 51,35 est en zone neutre (30-70), indiquant un équilibre entre acheteurs et vendeurs. Aucun signal de surachat ou de survente, d'où la décision neutre.</w:t>
      </w:r>
    </w:p>
    <w:p>
      <w:pPr>
        <w:spacing w:after="120" w:line="276" w:lineRule="auto"/>
      </w:pPr>
      <w:r>
        <w:t>**Stochastique** : Le %K (100,0) est très supérieur au %D (90,20), indiquant une condition de surachat extrême. Cela suggère un risque de retournement baissier, justifiant la décision de vente.</w:t>
      </w:r>
    </w:p>
    <w:p>
      <w:pPr>
        <w:spacing w:after="120" w:line="276" w:lineRule="auto"/>
      </w:pPr>
      <w:r>
        <w:t>**Conclusion technique** : Les signaux sont mitigés, avec une tendance baissière dominante (MM), mais un momentum haussier (MACD) et un RSI neutre. Le stochastique en surachat appelle à la prudence. Globalement, le titre est dans une phase de consolidation, avec un biais baissier à court terme.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5% par rapport à 2024 (30,695 milliards FCFA). Cependant, le résultat net a chuté de manière spectaculaire à 465,98 millions FCFA contre 18,595 milliards FCFA en 2024, en raison de l'absence de produits exceptionnels liés à la cession de filiales. La marge nette s'effondre à 1,45%, et le ROE n'est que de 2,97%, très en dessous du seuil de 15% jugé excellent. Le ROA est également faible à 1,19%. La trésorerie nette est fortement négative à -11,528 milliards FCFA, suite au versement de dividendes massifs en 2024. Les capitaux propres se sont réduits à 15,703 milliards FCFA. Les délais clients (213,72 jours) et de stockage (214,65 jours) sont élevés, indiquant un risque de trésorerie. Le BFR est positif à 11,529 milliards FCFA, ce qui est défavorable. Sur la base des rapports trimestriels 2025 (T1, S1, T3), le CA est en croissance modérée, mais le résultat d'exploitation reste déficitaire, avec une amélioration progressive. Les perspectives 2026 dépendent de la campagne cacaoyère, principal risque opérationnel. La recommandation fondamentale est de vendre, en raison de la dégradation de la rentabilité et de la liquidité.</w:t>
      </w:r>
    </w:p>
    <w:p>
      <w:pPr>
        <w:spacing w:after="120" w:line="276" w:lineRule="auto"/>
      </w:pPr>
      <w:r>
        <w:t>---</w:t>
      </w:r>
    </w:p>
    <w:p>
      <w:pPr>
        <w:spacing w:after="120" w:line="276" w:lineRule="auto"/>
      </w:pPr>
      <w:r>
        <w:t>### PARTIE 4 : CONCLUSION D'INVESTISSEMENT</w:t>
      </w:r>
    </w:p>
    <w:p>
      <w:pPr>
        <w:spacing w:after="120" w:line="276" w:lineRule="auto"/>
      </w:pPr>
      <w:r>
        <w:t>La valorisation de FTSC est clairement surévaluée (PER 60,5x, EV/EBITDA 36,7x), malgré un P/B acceptable. Le comportement du cours montre une tendance baissière de 17% sur 100 jours, avec une volatilité élevée (35,1%) et une distribution platykurtique, indiquant un risque de mouvements brusques. Les signaux techniques sont mitigés, avec une tendance baissière (MM) mais un momentum haussier (MACD), et un stochastique en surachat. Les fondamentaux sont préoccupants : résultat net en chute, trésorerie négative, et ROE faible. Les prédictions IA (J+1 à J+10) prévoient une légère hausse vers 2 041 FCFA, mais cela ne compense pas les risques fondamentaux. La convergence des signaux (valorisation, technique, fondamental) est défavorable, malgré une légère amélioration technique à court terme. **Recommandation finale : VENTE**, avec un niveau de confiance **Moyen**, un risque global **Élevé**, et un horizon d'investissement optimal à **court terme** (&lt;3 mois) pour les traders, mais déconseillé pour le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86.00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2,702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+10.26%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μ=4,018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β=0.3315 (Défensif) — Cov=0.000012, Var(idx)=0.000036, ρ=0.090,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3,967</w:t>
            </w:r>
          </w:p>
        </w:tc>
        <w:tc>
          <w:tcPr>
            <w:tcW w:type="dxa" w:w="1440"/>
            <w:shd w:fill="FFDCE0" w:val="clear"/>
          </w:tcPr>
          <w:p>
            <w:r>
              <w:rPr>
                <w:b/>
                <w:sz w:val="17"/>
              </w:rPr>
              <w:t>4,195</w:t>
            </w:r>
          </w:p>
        </w:tc>
        <w:tc>
          <w:tcPr>
            <w:tcW w:type="dxa" w:w="1440"/>
            <w:shd w:fill="FFDCE0" w:val="clear"/>
          </w:tcPr>
          <w:p>
            <w:r>
              <w:rPr>
                <w:sz w:val="17"/>
              </w:rPr>
              <w:t>4,423</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3,857</w:t>
            </w:r>
          </w:p>
        </w:tc>
        <w:tc>
          <w:tcPr>
            <w:tcW w:type="dxa" w:w="1440"/>
            <w:shd w:fill="FFDCE0" w:val="clear"/>
          </w:tcPr>
          <w:p>
            <w:r>
              <w:rPr>
                <w:b/>
                <w:sz w:val="17"/>
              </w:rPr>
              <w:t>4,177</w:t>
            </w:r>
          </w:p>
        </w:tc>
        <w:tc>
          <w:tcPr>
            <w:tcW w:type="dxa" w:w="1440"/>
            <w:shd w:fill="FFDCE0" w:val="clear"/>
          </w:tcPr>
          <w:p>
            <w:r>
              <w:rPr>
                <w:sz w:val="17"/>
              </w:rPr>
              <w:t>4,498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3,765</w:t>
            </w:r>
          </w:p>
        </w:tc>
        <w:tc>
          <w:tcPr>
            <w:tcW w:type="dxa" w:w="1440"/>
            <w:shd w:fill="FFDCE0" w:val="clear"/>
          </w:tcPr>
          <w:p>
            <w:r>
              <w:rPr>
                <w:b/>
                <w:sz w:val="17"/>
              </w:rPr>
              <w:t>4,156</w:t>
            </w:r>
          </w:p>
        </w:tc>
        <w:tc>
          <w:tcPr>
            <w:tcW w:type="dxa" w:w="1440"/>
            <w:shd w:fill="FFDCE0" w:val="clear"/>
          </w:tcPr>
          <w:p>
            <w:r>
              <w:rPr>
                <w:sz w:val="17"/>
              </w:rPr>
              <w:t>4,547</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3,687</w:t>
            </w:r>
          </w:p>
        </w:tc>
        <w:tc>
          <w:tcPr>
            <w:tcW w:type="dxa" w:w="1440"/>
            <w:shd w:fill="FFDCE0" w:val="clear"/>
          </w:tcPr>
          <w:p>
            <w:r>
              <w:rPr>
                <w:b/>
                <w:sz w:val="17"/>
              </w:rPr>
              <w:t>4,136</w:t>
            </w:r>
          </w:p>
        </w:tc>
        <w:tc>
          <w:tcPr>
            <w:tcW w:type="dxa" w:w="1440"/>
            <w:shd w:fill="FFDCE0" w:val="clear"/>
          </w:tcPr>
          <w:p>
            <w:r>
              <w:rPr>
                <w:sz w:val="17"/>
              </w:rPr>
              <w:t>4,585</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3,618</w:t>
            </w:r>
          </w:p>
        </w:tc>
        <w:tc>
          <w:tcPr>
            <w:tcW w:type="dxa" w:w="1440"/>
            <w:shd w:fill="FFDCE0" w:val="clear"/>
          </w:tcPr>
          <w:p>
            <w:r>
              <w:rPr>
                <w:b/>
                <w:sz w:val="17"/>
              </w:rPr>
              <w:t>4,118</w:t>
            </w:r>
          </w:p>
        </w:tc>
        <w:tc>
          <w:tcPr>
            <w:tcW w:type="dxa" w:w="1440"/>
            <w:shd w:fill="FFDCE0" w:val="clear"/>
          </w:tcPr>
          <w:p>
            <w:r>
              <w:rPr>
                <w:sz w:val="17"/>
              </w:rPr>
              <w:t>4,618</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3,547</w:t>
            </w:r>
          </w:p>
        </w:tc>
        <w:tc>
          <w:tcPr>
            <w:tcW w:type="dxa" w:w="1440"/>
            <w:shd w:fill="FFDCE0" w:val="clear"/>
          </w:tcPr>
          <w:p>
            <w:r>
              <w:rPr>
                <w:b/>
                <w:sz w:val="17"/>
              </w:rPr>
              <w:t>4,091</w:t>
            </w:r>
          </w:p>
        </w:tc>
        <w:tc>
          <w:tcPr>
            <w:tcW w:type="dxa" w:w="1440"/>
            <w:shd w:fill="FFDCE0" w:val="clear"/>
          </w:tcPr>
          <w:p>
            <w:r>
              <w:rPr>
                <w:sz w:val="17"/>
              </w:rPr>
              <w:t>4,635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3,480</w:t>
            </w:r>
          </w:p>
        </w:tc>
        <w:tc>
          <w:tcPr>
            <w:tcW w:type="dxa" w:w="1440"/>
            <w:shd w:fill="FFDCE0" w:val="clear"/>
          </w:tcPr>
          <w:p>
            <w:r>
              <w:rPr>
                <w:b/>
                <w:sz w:val="17"/>
              </w:rPr>
              <w:t>4,064</w:t>
            </w:r>
          </w:p>
        </w:tc>
        <w:tc>
          <w:tcPr>
            <w:tcW w:type="dxa" w:w="1440"/>
            <w:shd w:fill="FFDCE0" w:val="clear"/>
          </w:tcPr>
          <w:p>
            <w:r>
              <w:rPr>
                <w:sz w:val="17"/>
              </w:rPr>
              <w:t>4,648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3,426</w:t>
            </w:r>
          </w:p>
        </w:tc>
        <w:tc>
          <w:tcPr>
            <w:tcW w:type="dxa" w:w="1440"/>
            <w:shd w:fill="FFDCE0" w:val="clear"/>
          </w:tcPr>
          <w:p>
            <w:r>
              <w:rPr>
                <w:b/>
                <w:sz w:val="17"/>
              </w:rPr>
              <w:t>4,048</w:t>
            </w:r>
          </w:p>
        </w:tc>
        <w:tc>
          <w:tcPr>
            <w:tcW w:type="dxa" w:w="1440"/>
            <w:shd w:fill="FFDCE0" w:val="clear"/>
          </w:tcPr>
          <w:p>
            <w:r>
              <w:rPr>
                <w:sz w:val="17"/>
              </w:rPr>
              <w:t>4,669</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3,375</w:t>
            </w:r>
          </w:p>
        </w:tc>
        <w:tc>
          <w:tcPr>
            <w:tcW w:type="dxa" w:w="1440"/>
            <w:shd w:fill="FFDCE0" w:val="clear"/>
          </w:tcPr>
          <w:p>
            <w:r>
              <w:rPr>
                <w:b/>
                <w:sz w:val="17"/>
              </w:rPr>
              <w:t>4,032</w:t>
            </w:r>
          </w:p>
        </w:tc>
        <w:tc>
          <w:tcPr>
            <w:tcW w:type="dxa" w:w="1440"/>
            <w:shd w:fill="FFDCE0" w:val="clear"/>
          </w:tcPr>
          <w:p>
            <w:r>
              <w:rPr>
                <w:sz w:val="17"/>
              </w:rPr>
              <w:t>4,689</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3,318</w:t>
            </w:r>
          </w:p>
        </w:tc>
        <w:tc>
          <w:tcPr>
            <w:tcW w:type="dxa" w:w="1440"/>
            <w:shd w:fill="FFDCE0" w:val="clear"/>
          </w:tcPr>
          <w:p>
            <w:r>
              <w:rPr>
                <w:b/>
                <w:sz w:val="17"/>
              </w:rPr>
              <w:t>4,005</w:t>
            </w:r>
          </w:p>
        </w:tc>
        <w:tc>
          <w:tcPr>
            <w:tcW w:type="dxa" w:w="1440"/>
            <w:shd w:fill="FFDCE0" w:val="clear"/>
          </w:tcPr>
          <w:p>
            <w:r>
              <w:rPr>
                <w:sz w:val="17"/>
              </w:rPr>
              <w:t>4,693</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86 milliards FCFA, un niveau significatif sur la BRVM qui positionne la société parmi les valeurs moyennes à grandes capitalisations, lui conférant une liquidité théorique appréciable. Le BPA de 231 FCFA indique que chaque action génère un bénéfice net de ce montant, ce qui, rapporté au cours de 4 300 FCFA, donne un PER de 18,6x. Ce ratio est nettement supérieur à la moyenne historique de la BRVM (8-12x), signifiant que les investisseurs paient une prime substantielle pour accéder aux bénéfices de la société. Le P/B de 3,92x confirme cette lecture : le marché valorise l'action près de quatre fois sa valeur comptable, traduisant une forte prime de croissance accordée par les investisseurs. Enfin, l'EV/EBITDA de 11,0x, bien que dans la fourchette haute des standards de la place, reste dans une zone jugée raisonnable pour une entreprise en phase de transformation digitale,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 enregistré une progression totale de +10,26%, avec une dernière séance stable (0,00%), témoignant d'un mouvement haussier soutenu sur la période. Le cours a évolué dans un range de 795 FCFA, oscillant entre un plus bas de 3 765 FCFA et un plus haut de 4 560 FCFA, démontrant une amplitude de trading non négligeable. La moyenne du cours sur la période (4 018 FCFA) est inférieure à la médiane (3 912 FCFA), et le skewness positif de 0,909 indique une asymétrie positive avec davantage de journées sous la moyenne, mais des mouvements de hausse plus prononcés. L'écart-type de 209 FCFA, avec un coefficient de variation de 5,2%, révèle une dispersion modérée du cours autour de sa moyenne. Le kurtosis de -0,631, proche d'une distribution normale, suggère l'absence de risques extrêmes de pics ou de krachs soudains. La volatilité annualisée de 35,0% classe le titre dans la catégorie des valeurs à forte volatilité, ce qui implique un risque de variation significatif à court terme, mais aussi un potentiel de rendement accru.</w:t>
      </w:r>
    </w:p>
    <w:p>
      <w:pPr>
        <w:spacing w:after="120" w:line="276" w:lineRule="auto" w:before="240"/>
      </w:pPr>
      <w:r>
        <w:rPr>
          <w:b/>
          <w:color w:val="003366"/>
          <w:sz w:val="24"/>
        </w:rPr>
        <w:t>**PARTIE 2 : ANALYSE TECHNIQUE DÉTAILLÉE**</w:t>
      </w:r>
    </w:p>
    <w:p>
      <w:pPr>
        <w:spacing w:after="120" w:line="276" w:lineRule="auto"/>
      </w:pPr>
      <w:r>
        <w:t>**Moyennes Mobiles** : La MM20 à 4 317 FCFA et la MM50 à 4 150,1 FCFA sont toutes deux inférieures au cours actuel de 4 300 FCFA, ce qui indique une configuration haussière. Le cours évolue au-dessus de ses moyennes mobiles, confirmant une tendance positive à court et moyen terme. Le signal d'Achat est justifié par cette dynamique, le titre ayant réussi à se maintenir au-dessus de ces niveaux de support dynamiques, suggérant une poursuite possible du mouvement haussier.</w:t>
      </w:r>
    </w:p>
    <w:p>
      <w:pPr>
        <w:spacing w:after="120" w:line="276" w:lineRule="auto"/>
      </w:pPr>
      <w:r>
        <w:t>**Bandes de Bollinger** : Le cours à 4 300 FCFA se positionne entre la borne supérieure à 4 539,105 FCFA et la borne inférieure à 4 094,895 FCFA, proche de la moyenne. Cette position centrale indique une volatilité modérée et une absence de tension excessive sur le titre. La décision Neutre est cohérente avec cette configuration, le prix n'étant ni en zone de surachat ni en zone de survente, laissant place à une évolution dans les deux sens sans signal directionnel fort.</w:t>
      </w:r>
    </w:p>
    <w:p>
      <w:pPr>
        <w:spacing w:after="120" w:line="276" w:lineRule="auto"/>
      </w:pPr>
      <w:r>
        <w:t>**MACD** : La valeur du MACD à 53,608 est inférieure à son signal à 59,291, indiquant un momentum baissier à court terme. Cette configuration, bien que les deux indicateurs restent en territoire positif, suggère un ralentissement de la dynamique haussière. La décision de Vente se justifie par ce croisement baissier, qui peut précéder une phase de consolidation ou de correction du cours.</w:t>
      </w:r>
    </w:p>
    <w:p>
      <w:pPr>
        <w:spacing w:after="120" w:line="276" w:lineRule="auto"/>
      </w:pPr>
      <w:r>
        <w:t>**RSI** : Le RSI à 50,0 se situe exactement à la zone neutre, ni en surachat (au-dessus de 70) ni en survente (en dessous de 30). Cette valeur indique un équilibre entre les forces acheteuses et vendeuses, sans pression directionnelle particulière. La décision Neutre est appropriée, le titre disposant d'une marge de manœuvre dans les deux sens sans signal de retournement imminent.</w:t>
      </w:r>
    </w:p>
    <w:p>
      <w:pPr>
        <w:spacing w:after="120" w:line="276" w:lineRule="auto"/>
      </w:pPr>
      <w:r>
        <w:t>**Stochastique** : Le %K à 43,478 est inférieur au %D à 50,725, indiquant une dynamique baissière à court terme. Ce croisement négatif suggère que les vendeurs prennent le contrôle sur les acheteurs dans les dernières séances. La décision Neutre reflète toutefois une situation non extrême, les valeurs restant dans une zone médiane, laissant place à une possible stabilisation ou inversion de tendance.</w:t>
      </w:r>
    </w:p>
    <w:p>
      <w:pPr>
        <w:spacing w:after="120" w:line="276" w:lineRule="auto"/>
      </w:pPr>
      <w:r>
        <w:t>**Conclusion technique** : La configuration technique de LNBB est globalement mitigée. Les moyennes mobiles soutiennent une tendance haussière, mais le MACD et le Stochastique montrent des signes de ralentissement du momentum. Le RSI et les Bandes de Bollinger indiquent une neutralité, suggérant une phase de consolidation après le récent mouvement haussier. Les signaux contradictoires appellent à la prudence, avec une possible poursuite de la tendance si le cours se maintient au-dessus des moyennes mobiles, ou une correction si les indicateurs baissiers se confirment.</w:t>
      </w:r>
    </w:p>
    <w:p>
      <w:pPr>
        <w:spacing w:after="120" w:line="276" w:lineRule="auto" w:before="240"/>
      </w:pPr>
      <w:r>
        <w:rPr>
          <w:b/>
          <w:color w:val="003366"/>
          <w:sz w:val="24"/>
        </w:rPr>
        <w:t>**PARTIE 3 : ANALYSE FONDAMENTALE (SECTION CRITIQUE)**</w:t>
      </w:r>
    </w:p>
    <w:p>
      <w:pPr>
        <w:spacing w:after="120" w:line="276" w:lineRule="auto"/>
      </w:pPr>
      <w:r>
        <w:t>En 2025, la Loterie Nationale du Bénin affiche un chiffre d'affaires de 98,598 milliards FCFA, en recul de -3,85% par rapport à 2024, et un résultat net de 4,622 milliards FCFA, en baisse de 36% sur un an. La rentabilité des fonds propres (ROE) s'établit à 21,05%, un niveau excellent, tandis que le ROA atteint 14,17%, démontrant une utilisation efficace des actifs. La structure financière est très saine avec une autonomie financière de 67,32%, un ratio d'endettement de seulement 2,57% et une trésorerie nette positive de 7,979 milliards FCFA. Les délais clients (4,82 jours) et fournisseurs (20,41 jours) sont très courts, avec un BFR négatif de 217 millions FCFA, favorable à la trésorerie. Le rapport annuel 2025 (analysé en mai 2026) explique cette baisse par la concurrence déloyale des opérateurs illégaux, mais souligne une hausse de 22% de la valeur ajoutée et de 34% de l'EBE, démontrant une excellente maîtrise des charges. Le rapport S1 2026 (analysé en juillet 2026) montre un redressement du CA (+4% à 49,937 milliards FCFA) et surtout un bond de +60% du résultat net, grâce aux partenariats et à la maîtrise des coûts. Sur la base du T1 2026 (résultat net de 848 millions FCFA, en baisse de 46% due au mix produit), on estime que l'exercice 2026 devrait confirmer la reprise amorcée au S1, avec une amélioration progressive de la rentabilité portée par le digital et les nouveaux produits. La politique de dividende reste attractive avec un taux de distribution d'environ 80% du résultat net, confirmant l'engagement de la société envers ses actionnaires.</w:t>
      </w:r>
    </w:p>
    <w:p>
      <w:pPr>
        <w:spacing w:after="120" w:line="276" w:lineRule="auto" w:before="240"/>
      </w:pPr>
      <w:r>
        <w:rPr>
          <w:b/>
          <w:color w:val="003366"/>
          <w:sz w:val="24"/>
        </w:rPr>
        <w:t>**PARTIE 4 : CONCLUSION D'INVESTISSEMENT**</w:t>
      </w:r>
    </w:p>
    <w:p>
      <w:pPr>
        <w:spacing w:after="120" w:line="276" w:lineRule="auto"/>
      </w:pPr>
      <w:r>
        <w:t>La valorisation de LNBB apparaît exigeante avec un PER de 18,6x et un P/B de 3,92x, nettement supérieurs aux moyennes de la BRVM, ce qui intègre des attentes de croissance importantes. Le comportement du cours sur 100 jours est positif (+10,26%) avec une volatilité élevée (35%), mais les statistiques montrent une distribution relativement normale sans risque extrême. Les signaux techniques sont mitigés : les moyennes mobiles sont haussières, mais le MACD et le Stochastique indiquent un essoufflement du momentum, tandis que le RSI reste neutre. Les fondamentaux sont solides avec un ROE de 21%, une structure financière robuste et une reprise confirmée au S1 2026 (+60% du résultat net), malgré une pression concurrentielle persistante. Les prédictions IA sur 10 jours (4 195 à 4 118 FCFA) suggèrent une correction à court terme, contredisant la tendance haussière récente. Cette divergence entre la valorisation élevée, les signaux techniques mitigés et la prédiction baissière, contre des fondamentaux solides, conduit à une recommandation de **CONSERVER**. Le niveau de confiance est **Moyen**, le risque global est **Moyen**, et l'horizon d'investissement optimal est le **moyen terme (3-12 mois)**, en attendant la confirmation de la reprise de la rentabilité sur l'ensemble de l'exercice 2026.</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5,400 titres</w:t>
            </w:r>
          </w:p>
        </w:tc>
        <w:tc>
          <w:tcPr>
            <w:tcW w:type="dxa" w:w="2268"/>
            <w:shd w:fill="FFF2CC" w:val="clear"/>
          </w:tcPr>
          <w:p>
            <w:r>
              <w:rPr>
                <w:b/>
                <w:color w:val="503200"/>
                <w:sz w:val="16"/>
              </w:rPr>
              <w:t xml:space="preserve">Cours actuel : </w:t>
            </w:r>
            <w:r>
              <w:rPr>
                <w:color w:val="000000"/>
                <w:sz w:val="17"/>
              </w:rPr>
              <w:t>2,115 FCFA</w:t>
            </w:r>
          </w:p>
          <w:p>
            <w:r>
              <w:rPr>
                <w:b/>
                <w:color w:val="503200"/>
                <w:sz w:val="16"/>
              </w:rPr>
              <w:t xml:space="preserve">Var. 100 jours : </w:t>
            </w:r>
            <w:r>
              <w:rPr>
                <w:b/>
                <w:color w:val="007800"/>
                <w:sz w:val="17"/>
              </w:rPr>
              <w:t>+48.42%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19.02% (Élevée) — μ=1,893 FCFA, σ=360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β=-0.0959 (Contre-cyclique) — Cov=-0.000003, Var(idx)=0.000036, ρ=-0.019,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1,859</w:t>
            </w:r>
          </w:p>
        </w:tc>
        <w:tc>
          <w:tcPr>
            <w:tcW w:type="dxa" w:w="1440"/>
            <w:shd w:fill="FFDCE0" w:val="clear"/>
          </w:tcPr>
          <w:p>
            <w:r>
              <w:rPr>
                <w:b/>
                <w:sz w:val="17"/>
              </w:rPr>
              <w:t>1,971</w:t>
            </w:r>
          </w:p>
        </w:tc>
        <w:tc>
          <w:tcPr>
            <w:tcW w:type="dxa" w:w="1440"/>
            <w:shd w:fill="FFDCE0" w:val="clear"/>
          </w:tcPr>
          <w:p>
            <w:r>
              <w:rPr>
                <w:sz w:val="17"/>
              </w:rPr>
              <w:t>2,083</w:t>
            </w:r>
          </w:p>
        </w:tc>
        <w:tc>
          <w:tcPr>
            <w:tcW w:type="dxa" w:w="1440"/>
            <w:shd w:fill="FFDCE0" w:val="clear"/>
          </w:tcPr>
          <w:p>
            <w:r>
              <w:rPr>
                <w:b/>
                <w:color w:val="C00000"/>
                <w:sz w:val="17"/>
              </w:rPr>
              <w:t>-6.8%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1,700</w:t>
            </w:r>
          </w:p>
        </w:tc>
        <w:tc>
          <w:tcPr>
            <w:tcW w:type="dxa" w:w="1440"/>
            <w:shd w:fill="FFDCE0" w:val="clear"/>
          </w:tcPr>
          <w:p>
            <w:r>
              <w:rPr>
                <w:b/>
                <w:sz w:val="17"/>
              </w:rPr>
              <w:t>1,849</w:t>
            </w:r>
          </w:p>
        </w:tc>
        <w:tc>
          <w:tcPr>
            <w:tcW w:type="dxa" w:w="1440"/>
            <w:shd w:fill="FFDCE0" w:val="clear"/>
          </w:tcPr>
          <w:p>
            <w:r>
              <w:rPr>
                <w:sz w:val="17"/>
              </w:rPr>
              <w:t>1,998</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1,576</w:t>
            </w:r>
          </w:p>
        </w:tc>
        <w:tc>
          <w:tcPr>
            <w:tcW w:type="dxa" w:w="1440"/>
            <w:shd w:fill="FFDCE0" w:val="clear"/>
          </w:tcPr>
          <w:p>
            <w:r>
              <w:rPr>
                <w:b/>
                <w:sz w:val="17"/>
              </w:rPr>
              <w:t>1,748</w:t>
            </w:r>
          </w:p>
        </w:tc>
        <w:tc>
          <w:tcPr>
            <w:tcW w:type="dxa" w:w="1440"/>
            <w:shd w:fill="FFDCE0" w:val="clear"/>
          </w:tcPr>
          <w:p>
            <w:r>
              <w:rPr>
                <w:sz w:val="17"/>
              </w:rPr>
              <w:t>1,920</w:t>
            </w:r>
          </w:p>
        </w:tc>
        <w:tc>
          <w:tcPr>
            <w:tcW w:type="dxa" w:w="1440"/>
            <w:shd w:fill="FFDCE0" w:val="clear"/>
          </w:tcPr>
          <w:p>
            <w:r>
              <w:rPr>
                <w:b/>
                <w:color w:val="C00000"/>
                <w:sz w:val="17"/>
              </w:rPr>
              <w:t>-17.4%</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1,476</w:t>
            </w:r>
          </w:p>
        </w:tc>
        <w:tc>
          <w:tcPr>
            <w:tcW w:type="dxa" w:w="1440"/>
            <w:shd w:fill="FFDCE0" w:val="clear"/>
          </w:tcPr>
          <w:p>
            <w:r>
              <w:rPr>
                <w:b/>
                <w:sz w:val="17"/>
              </w:rPr>
              <w:t>1,665</w:t>
            </w:r>
          </w:p>
        </w:tc>
        <w:tc>
          <w:tcPr>
            <w:tcW w:type="dxa" w:w="1440"/>
            <w:shd w:fill="FFDCE0" w:val="clear"/>
          </w:tcPr>
          <w:p>
            <w:r>
              <w:rPr>
                <w:sz w:val="17"/>
              </w:rPr>
              <w:t>1,855</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1,393</w:t>
            </w:r>
          </w:p>
        </w:tc>
        <w:tc>
          <w:tcPr>
            <w:tcW w:type="dxa" w:w="1440"/>
            <w:shd w:fill="FFDCE0" w:val="clear"/>
          </w:tcPr>
          <w:p>
            <w:r>
              <w:rPr>
                <w:b/>
                <w:sz w:val="17"/>
              </w:rPr>
              <w:t>1,596</w:t>
            </w:r>
          </w:p>
        </w:tc>
        <w:tc>
          <w:tcPr>
            <w:tcW w:type="dxa" w:w="1440"/>
            <w:shd w:fill="FFDCE0" w:val="clear"/>
          </w:tcPr>
          <w:p>
            <w:r>
              <w:rPr>
                <w:sz w:val="17"/>
              </w:rPr>
              <w:t>1,799</w:t>
            </w:r>
          </w:p>
        </w:tc>
        <w:tc>
          <w:tcPr>
            <w:tcW w:type="dxa" w:w="1440"/>
            <w:shd w:fill="FFDCE0" w:val="clear"/>
          </w:tcPr>
          <w:p>
            <w:r>
              <w:rPr>
                <w:b/>
                <w:color w:val="C00000"/>
                <w:sz w:val="17"/>
              </w:rPr>
              <w:t>-24.5%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1,321</w:t>
            </w:r>
          </w:p>
        </w:tc>
        <w:tc>
          <w:tcPr>
            <w:tcW w:type="dxa" w:w="1440"/>
            <w:shd w:fill="FFDCE0" w:val="clear"/>
          </w:tcPr>
          <w:p>
            <w:r>
              <w:rPr>
                <w:b/>
                <w:sz w:val="17"/>
              </w:rPr>
              <w:t>1,535</w:t>
            </w:r>
          </w:p>
        </w:tc>
        <w:tc>
          <w:tcPr>
            <w:tcW w:type="dxa" w:w="1440"/>
            <w:shd w:fill="FFDCE0" w:val="clear"/>
          </w:tcPr>
          <w:p>
            <w:r>
              <w:rPr>
                <w:sz w:val="17"/>
              </w:rPr>
              <w:t>1,749</w:t>
            </w:r>
          </w:p>
        </w:tc>
        <w:tc>
          <w:tcPr>
            <w:tcW w:type="dxa" w:w="1440"/>
            <w:shd w:fill="FFDCE0" w:val="clear"/>
          </w:tcPr>
          <w:p>
            <w:r>
              <w:rPr>
                <w:b/>
                <w:color w:val="C00000"/>
                <w:sz w:val="17"/>
              </w:rPr>
              <w:t>-27.4%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1,259</w:t>
            </w:r>
          </w:p>
        </w:tc>
        <w:tc>
          <w:tcPr>
            <w:tcW w:type="dxa" w:w="1440"/>
            <w:shd w:fill="FFDCE0" w:val="clear"/>
          </w:tcPr>
          <w:p>
            <w:r>
              <w:rPr>
                <w:b/>
                <w:sz w:val="17"/>
              </w:rPr>
              <w:t>1,482</w:t>
            </w:r>
          </w:p>
        </w:tc>
        <w:tc>
          <w:tcPr>
            <w:tcW w:type="dxa" w:w="1440"/>
            <w:shd w:fill="FFDCE0" w:val="clear"/>
          </w:tcPr>
          <w:p>
            <w:r>
              <w:rPr>
                <w:sz w:val="17"/>
              </w:rPr>
              <w:t>1,705</w:t>
            </w:r>
          </w:p>
        </w:tc>
        <w:tc>
          <w:tcPr>
            <w:tcW w:type="dxa" w:w="1440"/>
            <w:shd w:fill="FFDCE0" w:val="clear"/>
          </w:tcPr>
          <w:p>
            <w:r>
              <w:rPr>
                <w:b/>
                <w:color w:val="C00000"/>
                <w:sz w:val="17"/>
              </w:rPr>
              <w:t>-29.9%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1,203</w:t>
            </w:r>
          </w:p>
        </w:tc>
        <w:tc>
          <w:tcPr>
            <w:tcW w:type="dxa" w:w="1440"/>
            <w:shd w:fill="FFDCE0" w:val="clear"/>
          </w:tcPr>
          <w:p>
            <w:r>
              <w:rPr>
                <w:b/>
                <w:sz w:val="17"/>
              </w:rPr>
              <w:t>1,434</w:t>
            </w:r>
          </w:p>
        </w:tc>
        <w:tc>
          <w:tcPr>
            <w:tcW w:type="dxa" w:w="1440"/>
            <w:shd w:fill="FFDCE0" w:val="clear"/>
          </w:tcPr>
          <w:p>
            <w:r>
              <w:rPr>
                <w:sz w:val="17"/>
              </w:rPr>
              <w:t>1,664</w:t>
            </w:r>
          </w:p>
        </w:tc>
        <w:tc>
          <w:tcPr>
            <w:tcW w:type="dxa" w:w="1440"/>
            <w:shd w:fill="FFDCE0" w:val="clear"/>
          </w:tcPr>
          <w:p>
            <w:r>
              <w:rPr>
                <w:b/>
                <w:color w:val="C00000"/>
                <w:sz w:val="17"/>
              </w:rPr>
              <w:t>-32.2%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1,153</w:t>
            </w:r>
          </w:p>
        </w:tc>
        <w:tc>
          <w:tcPr>
            <w:tcW w:type="dxa" w:w="1440"/>
            <w:shd w:fill="FFDCE0" w:val="clear"/>
          </w:tcPr>
          <w:p>
            <w:r>
              <w:rPr>
                <w:b/>
                <w:sz w:val="17"/>
              </w:rPr>
              <w:t>1,390</w:t>
            </w:r>
          </w:p>
        </w:tc>
        <w:tc>
          <w:tcPr>
            <w:tcW w:type="dxa" w:w="1440"/>
            <w:shd w:fill="FFDCE0" w:val="clear"/>
          </w:tcPr>
          <w:p>
            <w:r>
              <w:rPr>
                <w:sz w:val="17"/>
              </w:rPr>
              <w:t>1,627</w:t>
            </w:r>
          </w:p>
        </w:tc>
        <w:tc>
          <w:tcPr>
            <w:tcW w:type="dxa" w:w="1440"/>
            <w:shd w:fill="FFDCE0" w:val="clear"/>
          </w:tcPr>
          <w:p>
            <w:r>
              <w:rPr>
                <w:b/>
                <w:color w:val="C00000"/>
                <w:sz w:val="17"/>
              </w:rPr>
              <w:t>-34.3%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1,107</w:t>
            </w:r>
          </w:p>
        </w:tc>
        <w:tc>
          <w:tcPr>
            <w:tcW w:type="dxa" w:w="1440"/>
            <w:shd w:fill="FFDCE0" w:val="clear"/>
          </w:tcPr>
          <w:p>
            <w:r>
              <w:rPr>
                <w:b/>
                <w:sz w:val="17"/>
              </w:rPr>
              <w:t>1,350</w:t>
            </w:r>
          </w:p>
        </w:tc>
        <w:tc>
          <w:tcPr>
            <w:tcW w:type="dxa" w:w="1440"/>
            <w:shd w:fill="FFDCE0" w:val="clear"/>
          </w:tcPr>
          <w:p>
            <w:r>
              <w:rPr>
                <w:sz w:val="17"/>
              </w:rPr>
              <w:t>1,593</w:t>
            </w:r>
          </w:p>
        </w:tc>
        <w:tc>
          <w:tcPr>
            <w:tcW w:type="dxa" w:w="1440"/>
            <w:shd w:fill="FFDCE0" w:val="clear"/>
          </w:tcPr>
          <w:p>
            <w:r>
              <w:rPr>
                <w:b/>
                <w:color w:val="C00000"/>
                <w:sz w:val="17"/>
              </w:rPr>
              <w:t>-36.2%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27 milliards FCFA, un niveau significatif pour une entreprise de taille moyenne sur la BRVM. Avec un BPA de 160 FCFA, le titre se négocie à un PER de 13,3x, légèrement au-dessus de la moyenne historique du marché (8-12x), ce qui indique que les investisseurs paient une prime modérée pour les bénéfices de la société. Cependant, le P/B de 4,69x et l'EV/EBITDA de 19,5x révèlent une valorisation beaucoup plus exigeante : le marché valorise fortement les actifs nets et la capacité opérationnelle de l'entreprise. Cette configuration suggère que le marché intègre déjà des anticipations de croissance future, rendant le titre sensible à toute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progression spectaculaire de +48,42%, passant d'un plus bas de 1 350 FCFA à un plus haut de 2 400 FCFA, avant de clôturer à 2 115 FCFA. La dernière séance montre un repli marqué de -6,42%, suggérant une prise de bénéfices après une forte ascension. La moyenne (1 893 FCFA) est inférieure à la médiane (1 975 FCFA), indiquant une distribution légèrement asymétrique avec des valeurs extrêmes à la baisse en début de période. L'écart-type de 362 FCFA (CV=19,1%) témoigne d'une dispersion modérée, tandis que le kurtosis négatif (-1,413) révèle une distribution aplatie, sans pics de volatilité extrême. Le skewness de -0,305 confirme une asymétrie négative légère. La volatilité annualisée de 49,2%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(2 115 FCFA) se situe sous les MM20 (2 229,5 FCFA) et MM50 (2 199,3 FCFA), indiquant une faiblesse à court terme. Cependant, la décision globale reste "Achat", car la tendance de fond demeure positive avec des moyennes mobiles orientées à la hausse sur la période.</w:t>
      </w:r>
    </w:p>
    <w:p>
      <w:pPr>
        <w:spacing w:after="120" w:line="276" w:lineRule="auto"/>
      </w:pPr>
      <w:r>
        <w:t>**Bandes de Bollinger** : Le prix évolue dans la partie inférieure de l'enveloppe, entre la borne basse (2 069,47 FCFA) et la moyenne mobile. La décision "Neutre" reflète une volatilité en contraction, le titre testant le support inférieur après un mouvement haussier marqué.</w:t>
      </w:r>
    </w:p>
    <w:p>
      <w:pPr>
        <w:spacing w:after="120" w:line="276" w:lineRule="auto"/>
      </w:pPr>
      <w:r>
        <w:t>**MACD** : La divergence négative entre la ligne MACD (11,348) et sa ligne de signal (22,547) indique un momentum baissier à court terme. La décision "Vente" suggère que la pression vendeuse domine actuellement, malgré la tendance haussière de fond.</w:t>
      </w:r>
    </w:p>
    <w:p>
      <w:pPr>
        <w:spacing w:after="120" w:line="276" w:lineRule="auto"/>
      </w:pPr>
      <w:r>
        <w:t>**RSI** : À 28,571, le RSI entre en zone de survente (&lt;30), signalant une possible correction excessive. La décision "Achat" suggère qu'un rebond technique est probable à ces niveaux, les vendeurs semblant épuisés.</w:t>
      </w:r>
    </w:p>
    <w:p>
      <w:pPr>
        <w:spacing w:after="120" w:line="276" w:lineRule="auto"/>
      </w:pPr>
      <w:r>
        <w:t>**Stochastique** : Le %K à 0,0 et le %D à 45,657 montrent un croisement baissier extrême, le %K étant en territoire de survente profonde. La décision "Achat" indique que le marché pourrait être proche d'un point de retournement.</w:t>
      </w:r>
    </w:p>
    <w:p>
      <w:pPr>
        <w:spacing w:after="120" w:line="276" w:lineRule="auto"/>
      </w:pPr>
      <w:r>
        <w:t>**Conclusion technique** : Les indicateurs sont partagés entre signaux de vente à court terme (MACD) et signaux d'achat en survente (RSI, Stochastique). La configuration suggère une phase de consolidation après un rallye important, avec un potentiel de rebond technique imminent, mais une prudence s'impose tant que le cours n'a pas repris ses moyennes mobiles.</w:t>
      </w:r>
    </w:p>
    <w:p>
      <w:pPr>
        <w:spacing w:after="120" w:line="276" w:lineRule="auto" w:before="240"/>
      </w:pPr>
      <w:r>
        <w:rPr>
          <w:b/>
          <w:color w:val="003366"/>
          <w:sz w:val="24"/>
        </w:rPr>
        <w:t>**PARTIE 3 : ANALYSE FONDAMENTALE (SECTION CRITIQUE)**</w:t>
      </w:r>
    </w:p>
    <w:p>
      <w:pPr>
        <w:spacing w:after="120" w:line="276" w:lineRule="auto"/>
      </w:pPr>
      <w:r>
        <w:t>Les données structurées de 2025 révèlent une entreprise non bancaire avec un chiffre d'affaires de 5,139 milliards FCFA, en baisse de -23,8% par rapport à l'exercice précédent. Le résultat net s'établit à 2,037 milliards FCFA, porté par des éléments exceptionnels (reprise de provision pour redressement fiscal), avec une marge nette de 39,6% et un ROE exceptionnel de 35,4%. La structure financière est très saine avec une autonomie financière de 77%, une trésorerie de 4,196 milliards FCFA et une solvabilité générale de 435%. Cependant, le BFR de 1,498 milliards FCFA et le délai clients élevé de 154,7 jours constituent des points de vigilance. Les rapports trimestriels montrent une trajectoire contrastée : le T1 2025 affichait une perte de -189,9 millions FCFA avec un CA effondré à 48,5 millions, tandis que le T3 2025 enregistrait un CA de 3,406 milliards (-35% vs T3 2024) mais un bénéfice de 1,596 milliards grâce à la reprise de provision. Le rapport 2026 indique un CA en forte croissance de +137% à 115,1 millions au T1, mais toujours déficitaire (-168,9 millions). Les états financiers 2024 certifiés montraient une perte de -759 millions FCFA. On estime que l'exercice 2026 devrait poursuivre le redressement commercial, mais la rentabilité récurrente reste fragile, dépendante de la reprise des marchés publics et de la diversification digitale.</w:t>
      </w:r>
    </w:p>
    <w:p>
      <w:pPr>
        <w:spacing w:after="120" w:line="276" w:lineRule="auto" w:before="240"/>
      </w:pPr>
      <w:r>
        <w:rPr>
          <w:b/>
          <w:color w:val="003366"/>
          <w:sz w:val="24"/>
        </w:rPr>
        <w:t>**PARTIE 4 : CONCLUSION D'INVESTISSEMENT**</w:t>
      </w:r>
    </w:p>
    <w:p>
      <w:pPr>
        <w:spacing w:after="120" w:line="276" w:lineRule="auto"/>
      </w:pPr>
      <w:r>
        <w:t>La valorisation actuelle de NEIC (PER 13,3x, P/B 4,69x, EV/EBITDA 19,5x) apparaît exigeante compte tenu de la baisse structurelle du chiffre d'affaires et de la dépendance aux éléments exceptionnels. Le comportement du cours montre une forte appréciation (+48,4% sur 100 jours) mais avec une volatilité très élevée (49,2%) et des signaux techniques contradictoires : survente à court terme (RSI, Stochastique) mais momentum baissier (MACD) sous les moyennes mobiles. Les fondamentaux révèlent une solidité financière indéniable (trésorerie de 4,2 milliards, ROE de 35,4%) mais une activité commerciale en déclin, partiellement masquée par des gains non récurrents. Les prédictions IA (1 971 à 1 596 FCFA sur 10 jours) confirment une poursuite baissière à court terme, en ligne avec les signaux techniques. La convergence des signaux défavorables (valorisation exigeante, momentum négatif, activité en repli) malgré des fondamentaux solides conduit à une recommandation **CONSERVER** avec un niveau de confiance **Moyen** et un risque global **Élevé**. L'horizon optimal serait le **moyen terme (3-12 mois)**, en attendant une confirmation du redressement commercial et une stabilisation du cours autour des 1 900-2 000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1,976 titres</w:t>
            </w:r>
          </w:p>
        </w:tc>
        <w:tc>
          <w:tcPr>
            <w:tcW w:type="dxa" w:w="2268"/>
            <w:shd w:fill="FFF2CC" w:val="clear"/>
          </w:tcPr>
          <w:p>
            <w:r>
              <w:rPr>
                <w:b/>
                <w:color w:val="503200"/>
                <w:sz w:val="16"/>
              </w:rPr>
              <w:t xml:space="preserve">Cours actuel : </w:t>
            </w:r>
            <w:r>
              <w:rPr>
                <w:color w:val="000000"/>
                <w:sz w:val="17"/>
              </w:rPr>
              <w:t>23,550 FCFA</w:t>
            </w:r>
          </w:p>
          <w:p>
            <w:r>
              <w:rPr>
                <w:b/>
                <w:color w:val="503200"/>
                <w:sz w:val="16"/>
              </w:rPr>
              <w:t xml:space="preserve">Var. 100 jours : </w:t>
            </w:r>
            <w:r>
              <w:rPr>
                <w:b/>
                <w:color w:val="007800"/>
                <w:sz w:val="17"/>
              </w:rPr>
              <w:t>+68.21%</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μ=17,698 FCFA, σ=3,509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β=1.4316 (Agressif) — Cov=0.000052, Var(idx)=0.000036, ρ=0.363,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23,150</w:t>
            </w:r>
          </w:p>
        </w:tc>
        <w:tc>
          <w:tcPr>
            <w:tcW w:type="dxa" w:w="1440"/>
            <w:shd w:fill="C6EFCE" w:val="clear"/>
          </w:tcPr>
          <w:p>
            <w:r>
              <w:rPr>
                <w:b/>
                <w:sz w:val="17"/>
              </w:rPr>
              <w:t>24,178</w:t>
            </w:r>
          </w:p>
        </w:tc>
        <w:tc>
          <w:tcPr>
            <w:tcW w:type="dxa" w:w="1440"/>
            <w:shd w:fill="C6EFCE" w:val="clear"/>
          </w:tcPr>
          <w:p>
            <w:r>
              <w:rPr>
                <w:sz w:val="17"/>
              </w:rPr>
              <w:t>25,205</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23,127</w:t>
            </w:r>
          </w:p>
        </w:tc>
        <w:tc>
          <w:tcPr>
            <w:tcW w:type="dxa" w:w="1440"/>
            <w:shd w:fill="C6EFCE" w:val="clear"/>
          </w:tcPr>
          <w:p>
            <w:r>
              <w:rPr>
                <w:b/>
                <w:sz w:val="17"/>
              </w:rPr>
              <w:t>24,606</w:t>
            </w:r>
          </w:p>
        </w:tc>
        <w:tc>
          <w:tcPr>
            <w:tcW w:type="dxa" w:w="1440"/>
            <w:shd w:fill="C6EFCE" w:val="clear"/>
          </w:tcPr>
          <w:p>
            <w:r>
              <w:rPr>
                <w:sz w:val="17"/>
              </w:rPr>
              <w:t>26,084</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23,180</w:t>
            </w:r>
          </w:p>
        </w:tc>
        <w:tc>
          <w:tcPr>
            <w:tcW w:type="dxa" w:w="1440"/>
            <w:shd w:fill="C6EFCE" w:val="clear"/>
          </w:tcPr>
          <w:p>
            <w:r>
              <w:rPr>
                <w:b/>
                <w:sz w:val="17"/>
              </w:rPr>
              <w:t>25,022</w:t>
            </w:r>
          </w:p>
        </w:tc>
        <w:tc>
          <w:tcPr>
            <w:tcW w:type="dxa" w:w="1440"/>
            <w:shd w:fill="C6EFCE" w:val="clear"/>
          </w:tcPr>
          <w:p>
            <w:r>
              <w:rPr>
                <w:sz w:val="17"/>
              </w:rPr>
              <w:t>26,863</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23,259</w:t>
            </w:r>
          </w:p>
        </w:tc>
        <w:tc>
          <w:tcPr>
            <w:tcW w:type="dxa" w:w="1440"/>
            <w:shd w:fill="C6EFCE" w:val="clear"/>
          </w:tcPr>
          <w:p>
            <w:r>
              <w:rPr>
                <w:b/>
                <w:sz w:val="17"/>
              </w:rPr>
              <w:t>25,419</w:t>
            </w:r>
          </w:p>
        </w:tc>
        <w:tc>
          <w:tcPr>
            <w:tcW w:type="dxa" w:w="1440"/>
            <w:shd w:fill="C6EFCE" w:val="clear"/>
          </w:tcPr>
          <w:p>
            <w:r>
              <w:rPr>
                <w:sz w:val="17"/>
              </w:rPr>
              <w:t>27,579</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23,360</w:t>
            </w:r>
          </w:p>
        </w:tc>
        <w:tc>
          <w:tcPr>
            <w:tcW w:type="dxa" w:w="1440"/>
            <w:shd w:fill="C6EFCE" w:val="clear"/>
          </w:tcPr>
          <w:p>
            <w:r>
              <w:rPr>
                <w:b/>
                <w:sz w:val="17"/>
              </w:rPr>
              <w:t>25,812</w:t>
            </w:r>
          </w:p>
        </w:tc>
        <w:tc>
          <w:tcPr>
            <w:tcW w:type="dxa" w:w="1440"/>
            <w:shd w:fill="C6EFCE" w:val="clear"/>
          </w:tcPr>
          <w:p>
            <w:r>
              <w:rPr>
                <w:sz w:val="17"/>
              </w:rPr>
              <w:t>28,264</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23,475</w:t>
            </w:r>
          </w:p>
        </w:tc>
        <w:tc>
          <w:tcPr>
            <w:tcW w:type="dxa" w:w="1440"/>
            <w:shd w:fill="C6EFCE" w:val="clear"/>
          </w:tcPr>
          <w:p>
            <w:r>
              <w:rPr>
                <w:b/>
                <w:sz w:val="17"/>
              </w:rPr>
              <w:t>26,202</w:t>
            </w:r>
          </w:p>
        </w:tc>
        <w:tc>
          <w:tcPr>
            <w:tcW w:type="dxa" w:w="1440"/>
            <w:shd w:fill="C6EFCE" w:val="clear"/>
          </w:tcPr>
          <w:p>
            <w:r>
              <w:rPr>
                <w:sz w:val="17"/>
              </w:rPr>
              <w:t>28,929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23,601</w:t>
            </w:r>
          </w:p>
        </w:tc>
        <w:tc>
          <w:tcPr>
            <w:tcW w:type="dxa" w:w="1440"/>
            <w:shd w:fill="C6EFCE" w:val="clear"/>
          </w:tcPr>
          <w:p>
            <w:r>
              <w:rPr>
                <w:b/>
                <w:sz w:val="17"/>
              </w:rPr>
              <w:t>26,590</w:t>
            </w:r>
          </w:p>
        </w:tc>
        <w:tc>
          <w:tcPr>
            <w:tcW w:type="dxa" w:w="1440"/>
            <w:shd w:fill="C6EFCE" w:val="clear"/>
          </w:tcPr>
          <w:p>
            <w:r>
              <w:rPr>
                <w:sz w:val="17"/>
              </w:rPr>
              <w:t>29,579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23,734</w:t>
            </w:r>
          </w:p>
        </w:tc>
        <w:tc>
          <w:tcPr>
            <w:tcW w:type="dxa" w:w="1440"/>
            <w:shd w:fill="C6EFCE" w:val="clear"/>
          </w:tcPr>
          <w:p>
            <w:r>
              <w:rPr>
                <w:b/>
                <w:sz w:val="17"/>
              </w:rPr>
              <w:t>26,976</w:t>
            </w:r>
          </w:p>
        </w:tc>
        <w:tc>
          <w:tcPr>
            <w:tcW w:type="dxa" w:w="1440"/>
            <w:shd w:fill="C6EFCE" w:val="clear"/>
          </w:tcPr>
          <w:p>
            <w:r>
              <w:rPr>
                <w:sz w:val="17"/>
              </w:rPr>
              <w:t>30,217</w:t>
            </w:r>
          </w:p>
        </w:tc>
        <w:tc>
          <w:tcPr>
            <w:tcW w:type="dxa" w:w="1440"/>
            <w:shd w:fill="C6EFCE" w:val="clear"/>
          </w:tcPr>
          <w:p>
            <w:r>
              <w:rPr>
                <w:b/>
                <w:color w:val="008000"/>
                <w:sz w:val="17"/>
              </w:rPr>
              <w:t>+14.5%</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23,872</w:t>
            </w:r>
          </w:p>
        </w:tc>
        <w:tc>
          <w:tcPr>
            <w:tcW w:type="dxa" w:w="1440"/>
            <w:shd w:fill="C6EFCE" w:val="clear"/>
          </w:tcPr>
          <w:p>
            <w:r>
              <w:rPr>
                <w:b/>
                <w:sz w:val="17"/>
              </w:rPr>
              <w:t>27,359</w:t>
            </w:r>
          </w:p>
        </w:tc>
        <w:tc>
          <w:tcPr>
            <w:tcW w:type="dxa" w:w="1440"/>
            <w:shd w:fill="C6EFCE" w:val="clear"/>
          </w:tcPr>
          <w:p>
            <w:r>
              <w:rPr>
                <w:sz w:val="17"/>
              </w:rPr>
              <w:t>30,846</w:t>
            </w:r>
          </w:p>
        </w:tc>
        <w:tc>
          <w:tcPr>
            <w:tcW w:type="dxa" w:w="1440"/>
            <w:shd w:fill="C6EFCE" w:val="clear"/>
          </w:tcPr>
          <w:p>
            <w:r>
              <w:rPr>
                <w:b/>
                <w:color w:val="008000"/>
                <w:sz w:val="17"/>
              </w:rPr>
              <w:t>+16.2%</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24,012</w:t>
            </w:r>
          </w:p>
        </w:tc>
        <w:tc>
          <w:tcPr>
            <w:tcW w:type="dxa" w:w="1440"/>
            <w:shd w:fill="C6EFCE" w:val="clear"/>
          </w:tcPr>
          <w:p>
            <w:r>
              <w:rPr>
                <w:b/>
                <w:sz w:val="17"/>
              </w:rPr>
              <w:t>27,739</w:t>
            </w:r>
          </w:p>
        </w:tc>
        <w:tc>
          <w:tcPr>
            <w:tcW w:type="dxa" w:w="1440"/>
            <w:shd w:fill="C6EFCE" w:val="clear"/>
          </w:tcPr>
          <w:p>
            <w:r>
              <w:rPr>
                <w:sz w:val="17"/>
              </w:rPr>
              <w:t>31,466</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582,50 milliards FCFA, un niveau qui positionne la banque parmi les poids lourds de la BRVM, reflétant la confiance des investisseurs dans le leader bancaire ivoirien. Avec un BPA de 1 646 FCFA, chaque action génère un bénéfice substantiel, justifiant un PER de 14,3x. Ce ratio, bien que supérieur à la moyenne historique de la BRVM (8-12x), reste modéré et traduit une valorisation raisonnable pour une croissance attendue, les investisseurs acceptant de payer une prime pour la qualité de l'actif. Le P/B de 2,50x confirme cette prime, le marché valorisant la banque à 2,5 fois sa valeur comptable, signe d'une anticipation de croissance future de la rentabilité. Enfin, l'EV/EBITDA de 21,7x est exigeant, indiquant que la valeur totale de l'entreprise (capitaux propres + dettes) est élevée par rapport à sa capacité opérationnelle, ce qui suggère un potentiel de surévaluation à court terme si la croissance ne suit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+68,21%, passant d'un plus bas de 13 810 FCFA à un plus haut de 24 020 FCFA, avant de clôturer à 23 550 FCFA, en léger repli de -1,26% sur la dernière séance. Cette tendance fortement haussière est confirmée par les statistiques descriptives : la moyenne (17 698 FCFA) est inférieure à la médiane (18 000 FCFA), indiquant une distribution légèrement asymétrique avec une concentration des cours vers le bas de la fourchette avant la récente envolée. L'écart-type de 3 527 FCFA (CV=19,9%) montre une dispersion modérée, tandis que le kurtosis négatif (-1,358) révèle une distribution aplatie, suggérant une absence de pics de volatilité extrêmes. Le skewness positif (0,287) confirme une asymétrie vers les valeurs hautes, typique d'un marché en forte progression. La volatilité annualisée de 37,5% classe le titre comme très volatil, un niveau élevé qui implique un risque substantiel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(23 550 FCFA) se situe nettement au-dessus de la MM20 (22 859,75 FCFA) et de la MM50 (20 812,7 FCFA), confirmant une dynamique haussière solide à court et moyen terme. La configuration des MM, avec la MM20 au-dessus de la MM50, génère un signal d'achat, indiquant que la tendance de fond reste positive malgré le léger repli récent.</w:t>
      </w:r>
    </w:p>
    <w:p>
      <w:pPr>
        <w:spacing w:after="120" w:line="276" w:lineRule="auto"/>
      </w:pPr>
      <w:r>
        <w:t>**Bandes de Bollinger** : Le prix évolue entre la borne supérieure (24 675,21 FCFA) et la borne inférieure (21 044,29 FCFA), se positionnant dans la moitié haute du canal. La décision est neutre, le cours n'ayant pas encore touché les bornes extrêmes. La largeur des bandes reflète la volatilité élevée du titre, offrant des opportunités de trading mais nécessitant une gestion prudente du risque.</w:t>
      </w:r>
    </w:p>
    <w:p>
      <w:pPr>
        <w:spacing w:after="120" w:line="276" w:lineRule="auto"/>
      </w:pPr>
      <w:r>
        <w:t>**MACD** : La valeur du MACD (921,95) est inférieure à son signal (975,93), générant un signal de vente à court terme. Cette divergence indique un ralentissement du momentum haussier, suggérant une possible consolidation ou correction après la forte progression. Les investisseurs devraient surveiller un éventuel croisement à la hausse pour confirmer la reprise.</w:t>
      </w:r>
    </w:p>
    <w:p>
      <w:pPr>
        <w:spacing w:after="120" w:line="276" w:lineRule="auto"/>
      </w:pPr>
      <w:r>
        <w:t>**RSI** : À 48,95, le RSI se situe en zone neutre, indiquant un équilibre entre les forces acheteuses et vendeuses. Ce niveau offre une flexibilité pour une nouvelle impulsion haussière sans risque de surachat, mais ne fournit pas de signal directionnel fort.</w:t>
      </w:r>
    </w:p>
    <w:p>
      <w:pPr>
        <w:spacing w:after="120" w:line="276" w:lineRule="auto"/>
      </w:pPr>
      <w:r>
        <w:t>**Stochastique** : Le %K (76,73) est inférieur au %D (88,28), suggérant un croisement baissier potentiel. Cette configuration, bien que neutre, indique une perte de momentum haussier à très court terme, pouvant précéder une phase de correction.</w:t>
      </w:r>
    </w:p>
    <w:p>
      <w:pPr>
        <w:spacing w:after="120" w:line="276" w:lineRule="auto"/>
      </w:pPr>
      <w:r>
        <w:t>**Conclusion technique** : Les indicateurs sont mitigés, avec des signaux d'achat à moyen terme (MM) mais des signaux de prudence à court terme (MACD, Stochastique). La tendance de fond reste haussière, mais une consolidation est probable avant la poursuite de la hausse. Les investisseurs devraient adopter une approche patiente, en attendant des signaux de reprise clairs.</w:t>
      </w:r>
    </w:p>
    <w:p>
      <w:pPr>
        <w:spacing w:after="120" w:line="276" w:lineRule="auto"/>
      </w:pPr>
      <w:r>
        <w:t>---</w:t>
      </w:r>
    </w:p>
    <w:p>
      <w:pPr>
        <w:spacing w:after="120" w:line="276" w:lineRule="auto"/>
      </w:pPr>
      <w:r>
        <w:t>### PARTIE 3 : ANALYSE FONDAMENTALE (SECTION CRITIQUE)</w:t>
      </w:r>
    </w:p>
    <w:p>
      <w:pPr>
        <w:spacing w:after="120" w:line="276" w:lineRule="auto"/>
      </w:pPr>
      <w:r>
        <w:t>En 2025, NSBC a affiché des performances financières robustes, avec un Produit Net Bancaire (PNB) de 112,928 milliards FCFA, en hausse de 15% par rapport à 2024, et un résultat net de 40,712 milliards FCFA, en progression de 7%. La banque maintient une rentabilité élevée avec un ROE de 17,45% et un ROA de 1,32%, confirmant son efficacité opérationnelle. Le coefficient d'exploitation s'améliore à 54,59%, signe d'une gestion rigoureuse des charges. Cependant, le coût du risque s'est dégradé à 7,54%, reflétant une hausse des provisions pour créances douteuses, un point de vigilance. Le ratio dépôts/crédits est sain, avec des dépôts clientèle de 2 242,218 milliards FCFA contre des créances de 1 818,671 milliards FCFA, démontrant une capacité de transformation équilibrée. Sur la base du rapport T1 2026 (PNB de 28,615 milliards FCFA, +28%, et résultat net de 10,912 milliards FCFA, +53%), on estime que l'exercice 2026 devrait confirmer cette dynamique, avec un PNB annuel potentiel de 120-125 milliards FCFA et un résultat net de 45-48 milliards FCFA, soutenus par la croissance de l'activité titres et la maîtrise du coût du risque. Les perspectives restent favorables, portées par le Plan National de Développement 2026-2030 et la digitalisation des services.</w:t>
      </w:r>
    </w:p>
    <w:p>
      <w:pPr>
        <w:spacing w:after="120" w:line="276" w:lineRule="auto"/>
      </w:pPr>
      <w:r>
        <w:t>---</w:t>
      </w:r>
    </w:p>
    <w:p>
      <w:pPr>
        <w:spacing w:after="120" w:line="276" w:lineRule="auto"/>
      </w:pPr>
      <w:r>
        <w:t>### PARTIE 4 : CONCLUSION D'INVESTISSEMENT</w:t>
      </w:r>
    </w:p>
    <w:p>
      <w:pPr>
        <w:spacing w:after="120" w:line="276" w:lineRule="auto"/>
      </w:pPr>
      <w:r>
        <w:t>La valorisation de NSBC (PER 14,3x, P/B 2,50x, EV/EBITDA 21,7x) est exigeante mais justifiée par la qualité des fondamentaux et les perspectives de croissance. Le comportement du cours, avec une hausse de +68,21% sur 100 jours et une volatilité élevée (37,5%), reflète un fort intérêt des investisseurs mais aussi un risque accru de correction. Les signaux techniques sont mitigés, avec une tendance haussière à moyen terme mais des indicateurs de court terme (MACD, Stochastique) suggérant une consolidation. Les fondamentaux restent solides, avec une croissance soutenue du PNB et du résultat net, une rentabilité élevée (ROE &gt;17%) et une gestion efficace des coûts, malgré un coût du risque en hausse. Les prédictions IA (24 178 FCFA à 25 812 FCFA sur 10 jours) confirment la poursuite de la tendance haussière, en ligne avec les fondamentaux. La convergence entre les fondamentaux solides, la tendance haussière et les prédictions IA, malgré des signaux techniques mitigés, conduit à une recommandation **ACHAT** avec un niveau de confiance **Élevé**. Le risque global est **Moyen**, principalement lié à la volatilité du titre et à la dégradation du coût du risque. L'horizon d'investissement optimal est le **moyen terme (3-12 mois)**, permettant de bénéficier de la croissance des bénéfices tout en gérant les fluctuations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366.26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1,970 titres</w:t>
            </w:r>
          </w:p>
        </w:tc>
        <w:tc>
          <w:tcPr>
            <w:tcW w:type="dxa" w:w="2268"/>
            <w:shd w:fill="FFF2CC" w:val="clear"/>
          </w:tcPr>
          <w:p>
            <w:r>
              <w:rPr>
                <w:b/>
                <w:color w:val="503200"/>
                <w:sz w:val="16"/>
              </w:rPr>
              <w:t xml:space="preserve">Cours actuel : </w:t>
            </w:r>
            <w:r>
              <w:rPr>
                <w:color w:val="000000"/>
                <w:sz w:val="17"/>
              </w:rPr>
              <w:t>16,595 FCFA</w:t>
            </w:r>
          </w:p>
          <w:p>
            <w:r>
              <w:rPr>
                <w:b/>
                <w:color w:val="503200"/>
                <w:sz w:val="16"/>
              </w:rPr>
              <w:t xml:space="preserve">Var. 100 jours : </w:t>
            </w:r>
            <w:r>
              <w:rPr>
                <w:b/>
                <w:color w:val="007800"/>
                <w:sz w:val="17"/>
              </w:rPr>
              <w:t>+27.65%</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12.89% (Moyenne) — μ=13,889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β=0.2614 (Défensif) — Cov=0.000010, Var(idx)=0.000036, ρ=0.074,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16,044</w:t>
            </w:r>
          </w:p>
        </w:tc>
        <w:tc>
          <w:tcPr>
            <w:tcW w:type="dxa" w:w="1440"/>
            <w:shd w:fill="FAFAFA" w:val="clear"/>
          </w:tcPr>
          <w:p>
            <w:r>
              <w:rPr>
                <w:b/>
                <w:sz w:val="17"/>
              </w:rPr>
              <w:t>16,423</w:t>
            </w:r>
          </w:p>
        </w:tc>
        <w:tc>
          <w:tcPr>
            <w:tcW w:type="dxa" w:w="1440"/>
            <w:shd w:fill="FAFAFA" w:val="clear"/>
          </w:tcPr>
          <w:p>
            <w:r>
              <w:rPr>
                <w:sz w:val="17"/>
              </w:rPr>
              <w:t>16,802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15,857</w:t>
            </w:r>
          </w:p>
        </w:tc>
        <w:tc>
          <w:tcPr>
            <w:tcW w:type="dxa" w:w="1440"/>
            <w:shd w:fill="FAFAFA" w:val="clear"/>
          </w:tcPr>
          <w:p>
            <w:r>
              <w:rPr>
                <w:b/>
                <w:sz w:val="17"/>
              </w:rPr>
              <w:t>16,392</w:t>
            </w:r>
          </w:p>
        </w:tc>
        <w:tc>
          <w:tcPr>
            <w:tcW w:type="dxa" w:w="1440"/>
            <w:shd w:fill="FAFAFA" w:val="clear"/>
          </w:tcPr>
          <w:p>
            <w:r>
              <w:rPr>
                <w:sz w:val="17"/>
              </w:rPr>
              <w:t>16,927</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15,692</w:t>
            </w:r>
          </w:p>
        </w:tc>
        <w:tc>
          <w:tcPr>
            <w:tcW w:type="dxa" w:w="1440"/>
            <w:shd w:fill="FAFAFA" w:val="clear"/>
          </w:tcPr>
          <w:p>
            <w:r>
              <w:rPr>
                <w:b/>
                <w:sz w:val="17"/>
              </w:rPr>
              <w:t>16,345</w:t>
            </w:r>
          </w:p>
        </w:tc>
        <w:tc>
          <w:tcPr>
            <w:tcW w:type="dxa" w:w="1440"/>
            <w:shd w:fill="FAFAFA" w:val="clear"/>
          </w:tcPr>
          <w:p>
            <w:r>
              <w:rPr>
                <w:sz w:val="17"/>
              </w:rPr>
              <w:t>16,998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15,545</w:t>
            </w:r>
          </w:p>
        </w:tc>
        <w:tc>
          <w:tcPr>
            <w:tcW w:type="dxa" w:w="1440"/>
            <w:shd w:fill="FAFAFA" w:val="clear"/>
          </w:tcPr>
          <w:p>
            <w:r>
              <w:rPr>
                <w:b/>
                <w:sz w:val="17"/>
              </w:rPr>
              <w:t>16,297</w:t>
            </w:r>
          </w:p>
        </w:tc>
        <w:tc>
          <w:tcPr>
            <w:tcW w:type="dxa" w:w="1440"/>
            <w:shd w:fill="FAFAFA" w:val="clear"/>
          </w:tcPr>
          <w:p>
            <w:r>
              <w:rPr>
                <w:sz w:val="17"/>
              </w:rPr>
              <w:t>17,049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15,411</w:t>
            </w:r>
          </w:p>
        </w:tc>
        <w:tc>
          <w:tcPr>
            <w:tcW w:type="dxa" w:w="1440"/>
            <w:shd w:fill="FFDCE0" w:val="clear"/>
          </w:tcPr>
          <w:p>
            <w:r>
              <w:rPr>
                <w:b/>
                <w:sz w:val="17"/>
              </w:rPr>
              <w:t>16,249</w:t>
            </w:r>
          </w:p>
        </w:tc>
        <w:tc>
          <w:tcPr>
            <w:tcW w:type="dxa" w:w="1440"/>
            <w:shd w:fill="FFDCE0" w:val="clear"/>
          </w:tcPr>
          <w:p>
            <w:r>
              <w:rPr>
                <w:sz w:val="17"/>
              </w:rPr>
              <w:t>17,088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15,288</w:t>
            </w:r>
          </w:p>
        </w:tc>
        <w:tc>
          <w:tcPr>
            <w:tcW w:type="dxa" w:w="1440"/>
            <w:shd w:fill="FFDCE0" w:val="clear"/>
          </w:tcPr>
          <w:p>
            <w:r>
              <w:rPr>
                <w:b/>
                <w:sz w:val="17"/>
              </w:rPr>
              <w:t>16,204</w:t>
            </w:r>
          </w:p>
        </w:tc>
        <w:tc>
          <w:tcPr>
            <w:tcW w:type="dxa" w:w="1440"/>
            <w:shd w:fill="FFDCE0" w:val="clear"/>
          </w:tcPr>
          <w:p>
            <w:r>
              <w:rPr>
                <w:sz w:val="17"/>
              </w:rPr>
              <w:t>17,119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15,173</w:t>
            </w:r>
          </w:p>
        </w:tc>
        <w:tc>
          <w:tcPr>
            <w:tcW w:type="dxa" w:w="1440"/>
            <w:shd w:fill="FFDCE0" w:val="clear"/>
          </w:tcPr>
          <w:p>
            <w:r>
              <w:rPr>
                <w:b/>
                <w:sz w:val="17"/>
              </w:rPr>
              <w:t>16,160</w:t>
            </w:r>
          </w:p>
        </w:tc>
        <w:tc>
          <w:tcPr>
            <w:tcW w:type="dxa" w:w="1440"/>
            <w:shd w:fill="FFDCE0" w:val="clear"/>
          </w:tcPr>
          <w:p>
            <w:r>
              <w:rPr>
                <w:sz w:val="17"/>
              </w:rPr>
              <w:t>17,146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15,065</w:t>
            </w:r>
          </w:p>
        </w:tc>
        <w:tc>
          <w:tcPr>
            <w:tcW w:type="dxa" w:w="1440"/>
            <w:shd w:fill="FFDCE0" w:val="clear"/>
          </w:tcPr>
          <w:p>
            <w:r>
              <w:rPr>
                <w:b/>
                <w:sz w:val="17"/>
              </w:rPr>
              <w:t>16,117</w:t>
            </w:r>
          </w:p>
        </w:tc>
        <w:tc>
          <w:tcPr>
            <w:tcW w:type="dxa" w:w="1440"/>
            <w:shd w:fill="FFDCE0" w:val="clear"/>
          </w:tcPr>
          <w:p>
            <w:r>
              <w:rPr>
                <w:sz w:val="17"/>
              </w:rPr>
              <w:t>17,169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14,962</w:t>
            </w:r>
          </w:p>
        </w:tc>
        <w:tc>
          <w:tcPr>
            <w:tcW w:type="dxa" w:w="1440"/>
            <w:shd w:fill="FFDCE0" w:val="clear"/>
          </w:tcPr>
          <w:p>
            <w:r>
              <w:rPr>
                <w:b/>
                <w:sz w:val="17"/>
              </w:rPr>
              <w:t>16,075</w:t>
            </w:r>
          </w:p>
        </w:tc>
        <w:tc>
          <w:tcPr>
            <w:tcW w:type="dxa" w:w="1440"/>
            <w:shd w:fill="FFDCE0" w:val="clear"/>
          </w:tcPr>
          <w:p>
            <w:r>
              <w:rPr>
                <w:sz w:val="17"/>
              </w:rPr>
              <w:t>17,188</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14,864</w:t>
            </w:r>
          </w:p>
        </w:tc>
        <w:tc>
          <w:tcPr>
            <w:tcW w:type="dxa" w:w="1440"/>
            <w:shd w:fill="FFDCE0" w:val="clear"/>
          </w:tcPr>
          <w:p>
            <w:r>
              <w:rPr>
                <w:b/>
                <w:sz w:val="17"/>
              </w:rPr>
              <w:t>16,034</w:t>
            </w:r>
          </w:p>
        </w:tc>
        <w:tc>
          <w:tcPr>
            <w:tcW w:type="dxa" w:w="1440"/>
            <w:shd w:fill="FFDCE0" w:val="clear"/>
          </w:tcPr>
          <w:p>
            <w:r>
              <w:rPr>
                <w:sz w:val="17"/>
              </w:rPr>
              <w:t>17,204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366,26 milliards FCFA, ce qui en fait l'une des plus importantes capitalisations de la BRVM, reflétant le statut de valeur de premier plan de Nestlé CI. Le BPA de 835 FCFA indique que chaque action génère un bénéfice substantiel. Le PER de 19,9x est nettement supérieur à la moyenne historique de la BRVM (8-12x), signalant que les investisseurs paient une prime significative pour la qualité perçue et la liquidité du titre. Le P/B de 12,38x confirme cette prime, le marché valorisant fortement les actifs de l'entreprise. Enfin, l'EV/EBITDA de 9,8x, dans la fourchette raisonnable de 5-10x, tempère cette vision en indiquant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+27,65%, avec une légère correction de -0,93% lors de la dernière séance, témoignant d'un marché encore actif. Le cours a évolué dans une fourchette large de 11 150 FCFA à 16 750 FCFA, démontrant une forte dynamique haussière. La moyenne (13 889 FCFA) étant supérieure à la médiane (12 995 FCFA), la distribution des prix est asymétrique à droite, suggérant une pression acheteuse soutenue. L'écart-type de 1 799 FCFA (CV de 13%) indique une dispersion modérée. Le kurtosis négatif (-1,507) révèle une distribution aplatie, avec peu de pics extrêmes, tandis que le skewness positif (0,319) confirme une asymétrie vers les hauts. La volatilité annualisée de 33,3% classe le titre comme très volatil, un niveau élevé qui implique un risque accru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(16 595 FCFA) est nettement au-dessus de la MM20 (16 309 FCFA) et de la MM50 (15 437,8 FCFA), confirmant une tendance haussière solide à court et moyen terme. La configuration des MM, avec la MM20 au-dessus de la MM50, renforce le signal d'achat, indiquant que la dynamique positive est toujours en place.</w:t>
      </w:r>
    </w:p>
    <w:p>
      <w:pPr>
        <w:spacing w:after="120" w:line="276" w:lineRule="auto"/>
      </w:pPr>
      <w:r>
        <w:t>**Bandes de Bollinger** : Le prix se situe à 16 595 FCFA, proche de la borne supérieure (16 908 FCFA) et loin de la borne inférieure (15 709 FCFA). Cette position indique que le titre est en zone de surachat technique. La largeur des bandes reflète une volatilité élevée. La décision "Neutre" suggère que le marché pourrait consolider avant une nouvelle impulsion.</w:t>
      </w:r>
    </w:p>
    <w:p>
      <w:pPr>
        <w:spacing w:after="120" w:line="276" w:lineRule="auto"/>
      </w:pPr>
      <w:r>
        <w:t>**MACD** : Le MACD (345,45) est passé sous sa ligne de signal (384,42), formant un croisement baissier. Bien que les deux indicateurs restent positifs, ce croisement signale un affaiblissement du momentum haussier à court terme. La décision "Vente" est un signal précoce de possible correction.</w:t>
      </w:r>
    </w:p>
    <w:p>
      <w:pPr>
        <w:spacing w:after="120" w:line="276" w:lineRule="auto"/>
      </w:pPr>
      <w:r>
        <w:t>**RSI** : Le RSI à 82,7 est en zone de surachat extrême (au-dessus de 70). Cette valeur indique que le titre est survendu à la hausse et qu'une correction technique est probable à très court terme. La décision "Vente" est cohérente avec cette lecture.</w:t>
      </w:r>
    </w:p>
    <w:p>
      <w:pPr>
        <w:spacing w:after="120" w:line="276" w:lineRule="auto"/>
      </w:pPr>
      <w:r>
        <w:t>**Stochastique** : Le %K (79,7) est passé sous le %D (93,2), formant un croisement baissier en zone de surachat. Cette configuration renforce le signal de prudence à court terme, malgré la décision "Neutre" qui suggère que la tendance de fond reste positive.</w:t>
      </w:r>
    </w:p>
    <w:p>
      <w:pPr>
        <w:spacing w:after="120" w:line="276" w:lineRule="auto"/>
      </w:pPr>
      <w:r>
        <w:t>**Conclusion technique** : Les indicateurs de tendance (MM) restent positifs, mais les oscillateurs (RSI, MACD, Stochastique) signalent tous une saturation haussière. Le titre est en surachat technique et une consolidation ou correction est probable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2025)** : En 2025, Nestlé CI a réalisé un chiffre d'affaires de 233,26 milliards FCFA, en hausse de +5,97% par rapport à 2024. Le résultat net s'établit à 18,43 milliards FCFA, en légère progression de +1,53%. La marge nette reste stable à 7,9%, tandis que le ROE est exceptionnel à 62,28% et le ROA à 9,70%. L'entreprise maintient une marge opérationnelle solide de 16,16%. Le BFR est positif à 22,6 milliards FCFA, avec un délai clients de 74 jours et une durée de stockage de 59 jours, indiquant une gestion du cycle d'exploitation correcte. L'endettement est maîtrisé avec un ratio d'endettement de 135,85% et une couverture des intérêts de 473,6%.</w:t>
      </w:r>
    </w:p>
    <w:p>
      <w:pPr>
        <w:spacing w:after="120" w:line="276" w:lineRule="auto"/>
      </w:pPr>
      <w:r>
        <w:t>**Rapports trimestriels et tendances** : Le rapport T1 2026 (analysé le 01/05/2026) montre une accélération spectaculaire avec un CA en hausse de +31% à 70,8 milliards FCFA et un résultat net en progression de +37% à 7,5 milliards FCFA. La marge nette s'améliore à 10,6%. Sur la base de ce T1 exceptionnel, on estime que l'exercice 2026 pourrait dépasser les 260 milliards FCFA de CA et les 25 milliards FCFA de résultat net. Les rapports S1 2025 et 9 mois 2025 montraient une pression sur les marges (marge nette à 6,9% sur 9 mois), mais le T4 2025 et le T1 2026 démontrent une nette amélioration. La politique de dividende 2025 (9,27 milliards FCFA, payout de 50%) marque un virage vers le réinvestissement, ce qui est positif pour la croissance future.</w:t>
      </w:r>
    </w:p>
    <w:p>
      <w:pPr>
        <w:spacing w:after="120" w:line="276" w:lineRule="auto"/>
      </w:pPr>
      <w:r>
        <w:t>**Recommandation fondamentale** : La solidité financière de NTLC est remarquable avec un ROE de 62%, une croissance retrouvée et une stratégie de réinvestissement. Les perspectives sont favorables, portées par la dynamique du T1 2026. Le principal risque reste la pression sur les marges opérationnelles et la dépendance aux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NTLC (PER 19,9x, P/B 12,38x) est exigeante, mais justifiée par la qualité des fondamentaux et la croissance retrouvée. Le comportement du cours sur 100 jours (+27,65%) avec une volatilité élevée (33,3%) et une distribution asymétrique positive témoigne d'un fort intérêt des investisseurs. Les signaux techniques sont mitigés : la tendance de fond reste haussière (MM), mais les indicateurs de momentum (RSI, MACD, Stochastique) signalent un surachat imminent. Les fondamentaux sont excellents avec un ROE de 62%, une croissance de +31% au T1 2026 et une stratégie de réinvestissement prudente. Les prédictions IA (16 423 FCFA à J+1, puis baisse progressive à 16 249 FCFA à J+10) suggèrent une consolidation à court terme, cohérente avec les signaux techniques de surachat. **Recommandation finale : CONSERVER** avec un niveau de confiance **Moyen** et un risque global **Élevé** (volatilité et surachat technique). Horizon d'investissement optimal : **Moyen terme (3-12 mois)**, en attendant une correction technique pour renforcer la position, ou une confirmation de la poursuite de la croissance fondamentale.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5,412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B40000"/>
                <w:sz w:val="17"/>
              </w:rPr>
              <w:t>-2.65%</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3.53% (Faible) — μ=2,833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β=0.1552 (Défensif) — Cov=0.000006, Var(idx)=0.000036, ρ=0.045,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2,860</w:t>
            </w:r>
          </w:p>
        </w:tc>
        <w:tc>
          <w:tcPr>
            <w:tcW w:type="dxa" w:w="1440"/>
            <w:shd w:fill="FAFAFA" w:val="clear"/>
          </w:tcPr>
          <w:p>
            <w:r>
              <w:rPr>
                <w:b/>
                <w:sz w:val="17"/>
              </w:rPr>
              <w:t>2,945</w:t>
            </w:r>
          </w:p>
        </w:tc>
        <w:tc>
          <w:tcPr>
            <w:tcW w:type="dxa" w:w="1440"/>
            <w:shd w:fill="FAFAFA" w:val="clear"/>
          </w:tcPr>
          <w:p>
            <w:r>
              <w:rPr>
                <w:sz w:val="17"/>
              </w:rPr>
              <w:t>3,030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2,817</w:t>
            </w:r>
          </w:p>
        </w:tc>
        <w:tc>
          <w:tcPr>
            <w:tcW w:type="dxa" w:w="1440"/>
            <w:shd w:fill="FAFAFA" w:val="clear"/>
          </w:tcPr>
          <w:p>
            <w:r>
              <w:rPr>
                <w:b/>
                <w:sz w:val="17"/>
              </w:rPr>
              <w:t>2,937</w:t>
            </w:r>
          </w:p>
        </w:tc>
        <w:tc>
          <w:tcPr>
            <w:tcW w:type="dxa" w:w="1440"/>
            <w:shd w:fill="FAFAFA" w:val="clear"/>
          </w:tcPr>
          <w:p>
            <w:r>
              <w:rPr>
                <w:sz w:val="17"/>
              </w:rPr>
              <w:t>3,058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2,784</w:t>
            </w:r>
          </w:p>
        </w:tc>
        <w:tc>
          <w:tcPr>
            <w:tcW w:type="dxa" w:w="1440"/>
            <w:shd w:fill="FAFAFA" w:val="clear"/>
          </w:tcPr>
          <w:p>
            <w:r>
              <w:rPr>
                <w:b/>
                <w:sz w:val="17"/>
              </w:rPr>
              <w:t>2,931</w:t>
            </w:r>
          </w:p>
        </w:tc>
        <w:tc>
          <w:tcPr>
            <w:tcW w:type="dxa" w:w="1440"/>
            <w:shd w:fill="FAFAFA" w:val="clear"/>
          </w:tcPr>
          <w:p>
            <w:r>
              <w:rPr>
                <w:sz w:val="17"/>
              </w:rPr>
              <w:t>3,078</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2,755</w:t>
            </w:r>
          </w:p>
        </w:tc>
        <w:tc>
          <w:tcPr>
            <w:tcW w:type="dxa" w:w="1440"/>
            <w:shd w:fill="FAFAFA" w:val="clear"/>
          </w:tcPr>
          <w:p>
            <w:r>
              <w:rPr>
                <w:b/>
                <w:sz w:val="17"/>
              </w:rPr>
              <w:t>2,924</w:t>
            </w:r>
          </w:p>
        </w:tc>
        <w:tc>
          <w:tcPr>
            <w:tcW w:type="dxa" w:w="1440"/>
            <w:shd w:fill="FAFAFA" w:val="clear"/>
          </w:tcPr>
          <w:p>
            <w:r>
              <w:rPr>
                <w:sz w:val="17"/>
              </w:rPr>
              <w:t>3,094</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2,729</w:t>
            </w:r>
          </w:p>
        </w:tc>
        <w:tc>
          <w:tcPr>
            <w:tcW w:type="dxa" w:w="1440"/>
            <w:shd w:fill="FAFAFA" w:val="clear"/>
          </w:tcPr>
          <w:p>
            <w:r>
              <w:rPr>
                <w:b/>
                <w:sz w:val="17"/>
              </w:rPr>
              <w:t>2,918</w:t>
            </w:r>
          </w:p>
        </w:tc>
        <w:tc>
          <w:tcPr>
            <w:tcW w:type="dxa" w:w="1440"/>
            <w:shd w:fill="FAFAFA" w:val="clear"/>
          </w:tcPr>
          <w:p>
            <w:r>
              <w:rPr>
                <w:sz w:val="17"/>
              </w:rPr>
              <w:t>3,107</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2,705</w:t>
            </w:r>
          </w:p>
        </w:tc>
        <w:tc>
          <w:tcPr>
            <w:tcW w:type="dxa" w:w="1440"/>
            <w:shd w:fill="FAFAFA" w:val="clear"/>
          </w:tcPr>
          <w:p>
            <w:r>
              <w:rPr>
                <w:b/>
                <w:sz w:val="17"/>
              </w:rPr>
              <w:t>2,911</w:t>
            </w:r>
          </w:p>
        </w:tc>
        <w:tc>
          <w:tcPr>
            <w:tcW w:type="dxa" w:w="1440"/>
            <w:shd w:fill="FAFAFA" w:val="clear"/>
          </w:tcPr>
          <w:p>
            <w:r>
              <w:rPr>
                <w:sz w:val="17"/>
              </w:rPr>
              <w:t>3,118</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2,683</w:t>
            </w:r>
          </w:p>
        </w:tc>
        <w:tc>
          <w:tcPr>
            <w:tcW w:type="dxa" w:w="1440"/>
            <w:shd w:fill="FAFAFA" w:val="clear"/>
          </w:tcPr>
          <w:p>
            <w:r>
              <w:rPr>
                <w:b/>
                <w:sz w:val="17"/>
              </w:rPr>
              <w:t>2,905</w:t>
            </w:r>
          </w:p>
        </w:tc>
        <w:tc>
          <w:tcPr>
            <w:tcW w:type="dxa" w:w="1440"/>
            <w:shd w:fill="FAFAFA" w:val="clear"/>
          </w:tcPr>
          <w:p>
            <w:r>
              <w:rPr>
                <w:sz w:val="17"/>
              </w:rPr>
              <w:t>3,128</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2,662</w:t>
            </w:r>
          </w:p>
        </w:tc>
        <w:tc>
          <w:tcPr>
            <w:tcW w:type="dxa" w:w="1440"/>
            <w:shd w:fill="FAFAFA" w:val="clear"/>
          </w:tcPr>
          <w:p>
            <w:r>
              <w:rPr>
                <w:b/>
                <w:sz w:val="17"/>
              </w:rPr>
              <w:t>2,899</w:t>
            </w:r>
          </w:p>
        </w:tc>
        <w:tc>
          <w:tcPr>
            <w:tcW w:type="dxa" w:w="1440"/>
            <w:shd w:fill="FAFAFA" w:val="clear"/>
          </w:tcPr>
          <w:p>
            <w:r>
              <w:rPr>
                <w:sz w:val="17"/>
              </w:rPr>
              <w:t>3,136</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2,642</w:t>
            </w:r>
          </w:p>
        </w:tc>
        <w:tc>
          <w:tcPr>
            <w:tcW w:type="dxa" w:w="1440"/>
            <w:shd w:fill="FAFAFA" w:val="clear"/>
          </w:tcPr>
          <w:p>
            <w:r>
              <w:rPr>
                <w:b/>
                <w:sz w:val="17"/>
              </w:rPr>
              <w:t>2,893</w:t>
            </w:r>
          </w:p>
        </w:tc>
        <w:tc>
          <w:tcPr>
            <w:tcW w:type="dxa" w:w="1440"/>
            <w:shd w:fill="FAFAFA" w:val="clear"/>
          </w:tcPr>
          <w:p>
            <w:r>
              <w:rPr>
                <w:sz w:val="17"/>
              </w:rPr>
              <w:t>3,144</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2,622</w:t>
            </w:r>
          </w:p>
        </w:tc>
        <w:tc>
          <w:tcPr>
            <w:tcW w:type="dxa" w:w="1440"/>
            <w:shd w:fill="FAFAFA" w:val="clear"/>
          </w:tcPr>
          <w:p>
            <w:r>
              <w:rPr>
                <w:b/>
                <w:sz w:val="17"/>
              </w:rPr>
              <w:t>2,887</w:t>
            </w:r>
          </w:p>
        </w:tc>
        <w:tc>
          <w:tcPr>
            <w:tcW w:type="dxa" w:w="1440"/>
            <w:shd w:fill="FAFAFA" w:val="clear"/>
          </w:tcPr>
          <w:p>
            <w:r>
              <w:rPr>
                <w:sz w:val="17"/>
              </w:rPr>
              <w:t>3,151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199,92 milliards FCFA, ce qui en fait une valeur de première importance sur la BRVM, bien que derrière des géants comme Sonatel. Avec un BPA de 234 FCFA, le titre se négocie à un PER de 12,6x, légèrement au-dessus de la moyenne historique de la place (~8-12x), ce qui suggère que le marché intègre déjà une prime de croissance ou une certaine résilience. Le P/B de 3,47x confirme cette prime, le marché valorisant la société à plus de trois fois ses capitaux propres, signe d'une confiance dans la création de valeur future. Enfin, un EV/EBITDA de 5,2x est particulièrement attractif, indiquant que la valeur totale de l'entreprise (capitalisation + dette nette) reste raisonnable par rapport à sa capacité opérationnelle de génération de cash (EBITDA). Globalement, la valorisation est modérée, avec des signaux contrastés mais non rédhibitoires.</w:t>
      </w:r>
    </w:p>
    <w:p>
      <w:pPr>
        <w:spacing w:after="120" w:line="276" w:lineRule="auto"/>
      </w:pPr>
      <w:r>
        <w:t>### PARTIE 1 : ANALYSE DU COURS — STATISTIQUES ET ÉVOLUTION (100 derniers jours)</w:t>
      </w:r>
    </w:p>
    <w:p>
      <w:pPr>
        <w:spacing w:after="120" w:line="276" w:lineRule="auto"/>
      </w:pPr>
      <w:r>
        <w:t>Sur les 100 derniers jours, le cours d'ONTBF a affiché une légère tendance baissière de -2,65%, avec une dernière séance en recul de -1,51% à 2 940 FCFA. Le titre a évolué dans un range de 2 610 à 3 095 FCFA, montrant une amplitude de trading notable. La moyenne (2 833 FCFA) et la médiane (2 805 FCFA) sont proches, indiquant une distribution relativement symétrique, ce que confirme le skewness de 0,396. Le kurtosis négatif (-0,432) suggère une distribution mésokurtique, avec un risque de mouvements extrêmes plus faible que la normale. L'écart-type de 100 FCFA (CV=3,5%) témoigne d'une dispersion modérée autour de la moyenne. La volatilité annualisée de 33,0% classe le titre comme très volatil (&gt;30%), ce qui représente un risque significatif pour les investisseurs à court terme, malgré une stabilité relative des prix sur la période.</w:t>
      </w:r>
    </w:p>
    <w:p>
      <w:pPr>
        <w:spacing w:after="120" w:line="276" w:lineRule="auto"/>
      </w:pPr>
      <w:r>
        <w:t>### PARTIE 2 : ANALYSE TECHNIQUE DÉTAILLÉE</w:t>
      </w:r>
    </w:p>
    <w:p>
      <w:pPr>
        <w:spacing w:after="120" w:line="276" w:lineRule="auto"/>
      </w:pPr>
      <w:r>
        <w:t>**Moyennes Mobiles**: Le cours actuel (2 940 FCFA) est nettement au-dessus de ses moyennes mobiles à 20 jours (2 807,25 FCFA) et à 50 jours (2 829,2 FCFA). Cette configuration est généralement haussière, car elle indique que la tendance de court terme est plus forte que la tendance de moyen terme. Cependant, la décision technique globale est "Vente", ce qui suggère que le croisement de ces moyennes ou leur pente pourrait signaler un essoufflement de la dynamique haussière récente.</w:t>
      </w:r>
    </w:p>
    <w:p>
      <w:pPr>
        <w:spacing w:after="120" w:line="276" w:lineRule="auto"/>
      </w:pPr>
      <w:r>
        <w:t>**Bandes de Bollinger**: Le prix se situe à 2 940 FCFA, entre la borne supérieure (3 023,01 FCFA) et la borne inférieure (2 591,49 FCFA). La position du cours dans la partie supérieure de la bande indique une pression acheteuse récente, mais sans toucher la borne, ce qui ne signale pas de condition de surachat extrême. La décision "Neutre" est cohérente avec une volatilité modérée et un prix qui n'a pas encore atteint les extrêmes.</w:t>
      </w:r>
    </w:p>
    <w:p>
      <w:pPr>
        <w:spacing w:after="120" w:line="276" w:lineRule="auto"/>
      </w:pPr>
      <w:r>
        <w:t>**MACD**: Le MACD (45,028) est nettement au-dessus de sa ligne de signal (20,676), avec un écart positif important. Cette configuration est un signal d'achat fort, indiquant un momentum haussier robuste et une accélération de la tendance. La décision "Achat" est donc justifiée par cette dynamique positive, qui pourrait se poursuivre à court terme.</w:t>
      </w:r>
    </w:p>
    <w:p>
      <w:pPr>
        <w:spacing w:after="120" w:line="276" w:lineRule="auto"/>
      </w:pPr>
      <w:r>
        <w:t>**RSI**: Le RSI est à 73,043, ce qui place le titre en zone de surachat (au-dessus de 70). Cela signifie que le mouvement haussier a été rapide et que le titre est potentiellement surévalué à court terme. La décision "Vente" est un signal de prudence, suggérant un risque de correction ou de consolidation après cette phase de hausse.</w:t>
      </w:r>
    </w:p>
    <w:p>
      <w:pPr>
        <w:spacing w:after="120" w:line="276" w:lineRule="auto"/>
      </w:pPr>
      <w:r>
        <w:t>**Stochastique**: Le %K (82,813) et le %D (87,5) sont tous deux en zone de surachat (au-dessus de 80). Le %D étant supérieur au %K, cela pourrait indiquer un début de retournement baissier, même si les deux restent à des niveaux élevés. La décision "Vente" confirme ce signal de prudence, anticipant un possible ralentissement du momentum.</w:t>
      </w:r>
    </w:p>
    <w:p>
      <w:pPr>
        <w:spacing w:after="120" w:line="276" w:lineRule="auto"/>
      </w:pPr>
      <w:r>
        <w:t>**Conclusion technique**: Les indicateurs techniques sont mitigés. Le MACD et la position du cours au-dessus des moyennes mobiles plaident pour une poursuite de la hausse, mais le RSI et le Stochastique, tous deux en zone de surachat, signalent un essoufflement probable à très court terme. La décision globale "Vente" suggère que le marché anticipe une consolidation ou un repli technique après cette phase d'accumulation rapide.</w:t>
      </w:r>
    </w:p>
    <w:p>
      <w:pPr>
        <w:spacing w:after="120" w:line="276" w:lineRule="auto"/>
      </w:pPr>
      <w:r>
        <w:t>### PARTIE 3 : ANALYSE FONDAMENTALE (SECTION CRITIQUE)</w:t>
      </w:r>
    </w:p>
    <w:p>
      <w:pPr>
        <w:spacing w:after="120" w:line="276" w:lineRule="auto"/>
      </w:pPr>
      <w:r>
        <w:t>En 2025, selon les données structurées, ONTBF a réalisé un chiffre d'affaires (PNB) de 146,177 milliards FCFA, en croissance de 3,06% par rapport à 2024. Le résultat net s'établit à 15,887 milliards FCFA, en forte baisse de 26% par rapport à 2024 (21,47 Mds FCFA). Cette dégradation de la rentabilité est confirmée par la baisse de l'EBE (-12% à 56,731 Mds FCFA) et du résultat d'exploitation (-24% à 25,665 Mds FCFA). Le ROE reste excellent à 27,61%, et le ROA est de 4,89%. Le coefficient d'exploitation de 67,07% est élevé, indiquant une moins bonne maîtrise des charges opérationnelles. Le coût du risque de 3,57% est un point de vigilance. Les rapports narratifs (rapport annuel 2025, daté du 09/04/2026) expliquent cette baisse par des charges exceptionnelles (indemnités de fin d'engagement), la hausse des coûts de l'énergie et de la maintenance dans un contexte sécuritaire difficile. Sur la base des rapports trimestriels 2025 (T1, S1, 9 mois), qui montraient une baisse continue du résultat net (-29%, -17,8%, -17,2% respectivement), on estime que la tendance baissière de la rentabilité s'est confirmée sur l'ensemble de l'exercice. La génération de cash-flow opérationnel reste très élevée (46,952 Mds FCFA), permettant de financer un programme d'investissement massif (-45,224 Mds FCFA) et de maintenir un dividende attractif de 166,08 FCFA par action proposé pour 2025. La structure financière montre une dépendance accrue à l'endettement (ratio d'endettement de 187%), mais la solvabilité reste assurée (121,52%).</w:t>
      </w:r>
    </w:p>
    <w:p>
      <w:pPr>
        <w:spacing w:after="120" w:line="276" w:lineRule="auto"/>
      </w:pPr>
      <w:r>
        <w:t>### PARTIE 4 : CONCLUSION D'INVESTISSEMENT</w:t>
      </w:r>
    </w:p>
    <w:p>
      <w:pPr>
        <w:spacing w:after="120" w:line="276" w:lineRule="auto"/>
      </w:pPr>
      <w:r>
        <w:t>La valorisation d'ONTBF est modérée (PER 12,6x, EV/EBITDA 5,2x), mais le comportement du cours sur 100 jours est baissier avec une volatilité élevée (33%). Les signaux techniques sont contradictoires : un momentum haussier (MACD) contre des conditions de surachat (RSI, Stochastique) et une décision globale de vente. Fondamentalement, l'entreprise affiche une croissance de son chiffre d'affaires mais une chute significative de sa rentabilité en 2025, due à des facteurs externes (sécurité, énergie) et internes (charges exceptionnelles). Les prédictions IA pour les 10 prochains jours (2945 à 2918 FCFA) suggèrent une légère poursuite de la baisse, en ligne avec les signaux techniques de surachat. La convergence des signaux (cours baissier, indicateurs de surachat, prédictions en baisse) et la dégradation des fondamentaux malgré une valorisation raisonnable nous amènent à formuler une recommandation **CONSERVER**. Le titre n'est pas à vendre d'urgence grâce à sa solidité financière et son dividende élevé, mais il n'est pas à acheter tant que la rentabilité ne montre pas de signes d'amélioration. Le niveau de confiance est **Moyen**, le risque global est **Élevé** (volatilité, contexte sécuritaire), et l'horizon d'investissement optimal est le **moyen terme (3-12 mois)**, en attendant une inflexion dans la trajectoire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2587.51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2,293 titres</w:t>
            </w:r>
          </w:p>
        </w:tc>
        <w:tc>
          <w:tcPr>
            <w:tcW w:type="dxa" w:w="2268"/>
            <w:shd w:fill="FFF2CC" w:val="clear"/>
          </w:tcPr>
          <w:p>
            <w:r>
              <w:rPr>
                <w:b/>
                <w:color w:val="503200"/>
                <w:sz w:val="16"/>
              </w:rPr>
              <w:t xml:space="preserve">Cours actuel : </w:t>
            </w:r>
            <w:r>
              <w:rPr>
                <w:color w:val="000000"/>
                <w:sz w:val="17"/>
              </w:rPr>
              <w:t>17,175 FCFA</w:t>
            </w:r>
          </w:p>
          <w:p>
            <w:r>
              <w:rPr>
                <w:b/>
                <w:color w:val="503200"/>
                <w:sz w:val="16"/>
              </w:rPr>
              <w:t xml:space="preserve">Var. 100 jours : </w:t>
            </w:r>
            <w:r>
              <w:rPr>
                <w:b/>
                <w:color w:val="007800"/>
                <w:sz w:val="17"/>
              </w:rPr>
              <w:t>+12.25%</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μ=15,715 FCFA, σ=744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β=1.4269 (Agressif) — Cov=0.000052, Var(idx)=0.000036, ρ=0.453,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16,571</w:t>
            </w:r>
          </w:p>
        </w:tc>
        <w:tc>
          <w:tcPr>
            <w:tcW w:type="dxa" w:w="1440"/>
            <w:shd w:fill="FAFAFA" w:val="clear"/>
          </w:tcPr>
          <w:p>
            <w:r>
              <w:rPr>
                <w:b/>
                <w:sz w:val="17"/>
              </w:rPr>
              <w:t>17,009</w:t>
            </w:r>
          </w:p>
        </w:tc>
        <w:tc>
          <w:tcPr>
            <w:tcW w:type="dxa" w:w="1440"/>
            <w:shd w:fill="FAFAFA" w:val="clear"/>
          </w:tcPr>
          <w:p>
            <w:r>
              <w:rPr>
                <w:sz w:val="17"/>
              </w:rPr>
              <w:t>17,446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16,376</w:t>
            </w:r>
          </w:p>
        </w:tc>
        <w:tc>
          <w:tcPr>
            <w:tcW w:type="dxa" w:w="1440"/>
            <w:shd w:fill="FAFAFA" w:val="clear"/>
          </w:tcPr>
          <w:p>
            <w:r>
              <w:rPr>
                <w:b/>
                <w:sz w:val="17"/>
              </w:rPr>
              <w:t>16,995</w:t>
            </w:r>
          </w:p>
        </w:tc>
        <w:tc>
          <w:tcPr>
            <w:tcW w:type="dxa" w:w="1440"/>
            <w:shd w:fill="FAFAFA" w:val="clear"/>
          </w:tcPr>
          <w:p>
            <w:r>
              <w:rPr>
                <w:sz w:val="17"/>
              </w:rPr>
              <w:t>17,613</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16,209</w:t>
            </w:r>
          </w:p>
        </w:tc>
        <w:tc>
          <w:tcPr>
            <w:tcW w:type="dxa" w:w="1440"/>
            <w:shd w:fill="FAFAFA" w:val="clear"/>
          </w:tcPr>
          <w:p>
            <w:r>
              <w:rPr>
                <w:b/>
                <w:sz w:val="17"/>
              </w:rPr>
              <w:t>16,965</w:t>
            </w:r>
          </w:p>
        </w:tc>
        <w:tc>
          <w:tcPr>
            <w:tcW w:type="dxa" w:w="1440"/>
            <w:shd w:fill="FAFAFA" w:val="clear"/>
          </w:tcPr>
          <w:p>
            <w:r>
              <w:rPr>
                <w:sz w:val="17"/>
              </w:rPr>
              <w:t>17,720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16,061</w:t>
            </w:r>
          </w:p>
        </w:tc>
        <w:tc>
          <w:tcPr>
            <w:tcW w:type="dxa" w:w="1440"/>
            <w:shd w:fill="FAFAFA" w:val="clear"/>
          </w:tcPr>
          <w:p>
            <w:r>
              <w:rPr>
                <w:b/>
                <w:sz w:val="17"/>
              </w:rPr>
              <w:t>16,932</w:t>
            </w:r>
          </w:p>
        </w:tc>
        <w:tc>
          <w:tcPr>
            <w:tcW w:type="dxa" w:w="1440"/>
            <w:shd w:fill="FAFAFA" w:val="clear"/>
          </w:tcPr>
          <w:p>
            <w:r>
              <w:rPr>
                <w:sz w:val="17"/>
              </w:rPr>
              <w:t>17,803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15,927</w:t>
            </w:r>
          </w:p>
        </w:tc>
        <w:tc>
          <w:tcPr>
            <w:tcW w:type="dxa" w:w="1440"/>
            <w:shd w:fill="FAFAFA" w:val="clear"/>
          </w:tcPr>
          <w:p>
            <w:r>
              <w:rPr>
                <w:b/>
                <w:sz w:val="17"/>
              </w:rPr>
              <w:t>16,899</w:t>
            </w:r>
          </w:p>
        </w:tc>
        <w:tc>
          <w:tcPr>
            <w:tcW w:type="dxa" w:w="1440"/>
            <w:shd w:fill="FAFAFA" w:val="clear"/>
          </w:tcPr>
          <w:p>
            <w:r>
              <w:rPr>
                <w:sz w:val="17"/>
              </w:rPr>
              <w:t>17,871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15,804</w:t>
            </w:r>
          </w:p>
        </w:tc>
        <w:tc>
          <w:tcPr>
            <w:tcW w:type="dxa" w:w="1440"/>
            <w:shd w:fill="FAFAFA" w:val="clear"/>
          </w:tcPr>
          <w:p>
            <w:r>
              <w:rPr>
                <w:b/>
                <w:sz w:val="17"/>
              </w:rPr>
              <w:t>16,867</w:t>
            </w:r>
          </w:p>
        </w:tc>
        <w:tc>
          <w:tcPr>
            <w:tcW w:type="dxa" w:w="1440"/>
            <w:shd w:fill="FAFAFA" w:val="clear"/>
          </w:tcPr>
          <w:p>
            <w:r>
              <w:rPr>
                <w:sz w:val="17"/>
              </w:rPr>
              <w:t>17,929</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15,689</w:t>
            </w:r>
          </w:p>
        </w:tc>
        <w:tc>
          <w:tcPr>
            <w:tcW w:type="dxa" w:w="1440"/>
            <w:shd w:fill="FAFAFA" w:val="clear"/>
          </w:tcPr>
          <w:p>
            <w:r>
              <w:rPr>
                <w:b/>
                <w:sz w:val="17"/>
              </w:rPr>
              <w:t>16,835</w:t>
            </w:r>
          </w:p>
        </w:tc>
        <w:tc>
          <w:tcPr>
            <w:tcW w:type="dxa" w:w="1440"/>
            <w:shd w:fill="FAFAFA" w:val="clear"/>
          </w:tcPr>
          <w:p>
            <w:r>
              <w:rPr>
                <w:sz w:val="17"/>
              </w:rPr>
              <w:t>17,981</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15,581</w:t>
            </w:r>
          </w:p>
        </w:tc>
        <w:tc>
          <w:tcPr>
            <w:tcW w:type="dxa" w:w="1440"/>
            <w:shd w:fill="FFDCE0" w:val="clear"/>
          </w:tcPr>
          <w:p>
            <w:r>
              <w:rPr>
                <w:b/>
                <w:sz w:val="17"/>
              </w:rPr>
              <w:t>16,804</w:t>
            </w:r>
          </w:p>
        </w:tc>
        <w:tc>
          <w:tcPr>
            <w:tcW w:type="dxa" w:w="1440"/>
            <w:shd w:fill="FFDCE0" w:val="clear"/>
          </w:tcPr>
          <w:p>
            <w:r>
              <w:rPr>
                <w:sz w:val="17"/>
              </w:rPr>
              <w:t>18,026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15,479</w:t>
            </w:r>
          </w:p>
        </w:tc>
        <w:tc>
          <w:tcPr>
            <w:tcW w:type="dxa" w:w="1440"/>
            <w:shd w:fill="FFDCE0" w:val="clear"/>
          </w:tcPr>
          <w:p>
            <w:r>
              <w:rPr>
                <w:b/>
                <w:sz w:val="17"/>
              </w:rPr>
              <w:t>16,773</w:t>
            </w:r>
          </w:p>
        </w:tc>
        <w:tc>
          <w:tcPr>
            <w:tcW w:type="dxa" w:w="1440"/>
            <w:shd w:fill="FFDCE0" w:val="clear"/>
          </w:tcPr>
          <w:p>
            <w:r>
              <w:rPr>
                <w:sz w:val="17"/>
              </w:rPr>
              <w:t>18,068</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15,381</w:t>
            </w:r>
          </w:p>
        </w:tc>
        <w:tc>
          <w:tcPr>
            <w:tcW w:type="dxa" w:w="1440"/>
            <w:shd w:fill="FFDCE0" w:val="clear"/>
          </w:tcPr>
          <w:p>
            <w:r>
              <w:rPr>
                <w:b/>
                <w:sz w:val="17"/>
              </w:rPr>
              <w:t>16,743</w:t>
            </w:r>
          </w:p>
        </w:tc>
        <w:tc>
          <w:tcPr>
            <w:tcW w:type="dxa" w:w="1440"/>
            <w:shd w:fill="FFDCE0" w:val="clear"/>
          </w:tcPr>
          <w:p>
            <w:r>
              <w:rPr>
                <w:sz w:val="17"/>
              </w:rPr>
              <w:t>18,105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2 587,51 milliards FCFA, ce qui en fait l'une des toutes premières capitalisations de la BRVM, représentant une part significative de la liquidité et de l'indice de référence. Avec un BPA de 1 114 FCFA, le titre se négocie à un PER de 15,4x, soit une prime notable par rapport à la moyenne historique du marché (8-12x). Cette prime traduit la confiance des investisseurs dans la capacité de croissance du groupe, mais implique également des attentes élevées. Le P/B de 3,66x confirme cette dynamique, le marché valorisant nettement au-dessus de la valeur comptable des actifs, une prime de croissance justifiée par un ROE exceptionnel. Enfin, un EV/EBITDA de 6,2x indique que la valeur totale de l'entreprise reste raisonnable par rapport à sa capacité opérationnelle, ce qui tempère la cherté apparente du PER et suggère une valorisation globalement cohérente avec la qualité du modèle économique.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affiche une progression totale de +12,25%, avec une dernière séance stable (+0,00%). Le cours a évolué dans une fourchette de 14 200 FCFA (plus bas) à 17 175 FCFA (plus haut), démontrant une tendance haussière soutenue et un momentum positif. La moyenne (15 715 FCFA) et la médiane (15 675 FCFA) sont très proches, indiquant une distribution symétrique, confirmée par un skewness de 0,205. L'écart-type de 748 FCFA (CV=4,8%) révèle une dispersion relativement faible autour de la moyenne, tandis que le kurtosis de -1,110 (platykurtique) suggère une distribution aplatie avec peu de pics extrêmes, donc un risque de mouvements brusques limité. La volatilité annualisée de 29,9% positionne le titre dans la zone supérieure de la volatilité modérée, ce qui est cohérent avec une tendance haussière marquée mais maîtrisée.</w:t>
      </w:r>
    </w:p>
    <w:p>
      <w:pPr>
        <w:spacing w:after="120" w:line="276" w:lineRule="auto" w:before="240"/>
      </w:pPr>
      <w:r>
        <w:rPr>
          <w:b/>
          <w:color w:val="003366"/>
          <w:sz w:val="24"/>
        </w:rPr>
        <w:t>**PARTIE 2 : ANALYSE TECHNIQUE DÉTAILLÉE**</w:t>
      </w:r>
    </w:p>
    <w:p>
      <w:pPr>
        <w:spacing w:after="120" w:line="276" w:lineRule="auto"/>
      </w:pPr>
      <w:r>
        <w:t>**Moyennes Mobiles** : Le cours actuel (17 175 FCFA) se situe nettement au-dessus de la MM20 (16 513,25 FCFA) et de la MM50 (16 351,8 FCFA), confirmant une tendance haussière robuste. L'écart positif entre le prix et les moyennes mobiles indique une dynamique d'achat soutenue, justifiant la décision d'achat.</w:t>
      </w:r>
    </w:p>
    <w:p>
      <w:pPr>
        <w:spacing w:after="120" w:line="276" w:lineRule="auto"/>
      </w:pPr>
      <w:r>
        <w:t>**Bandes de Bollinger** : Le prix se positionne près de la borne supérieure (17 392,93 FCFA), signalant une pression acheteuse intense. La largeur des bandes (borne inférieure à 15 633,57 FCFA) reflète une volatilité modérée. La décision neutre suggère que le marché attend une confirmation avant de poursuivre, le prix étant en zone de résistance potentielle.</w:t>
      </w:r>
    </w:p>
    <w:p>
      <w:pPr>
        <w:spacing w:after="120" w:line="276" w:lineRule="auto"/>
      </w:pPr>
      <w:r>
        <w:t>**MACD** : La valeur du MACD (241,598) est nettement supérieure à son signal (168,378), avec un écart positif de 73,22 points. Cette divergence haussière confirme un momentum positif fort, justifiant la décision d'achat. La dynamique actuelle suggère une poursuite de la tendance haussière à court terme.</w:t>
      </w:r>
    </w:p>
    <w:p>
      <w:pPr>
        <w:spacing w:after="120" w:line="276" w:lineRule="auto"/>
      </w:pPr>
      <w:r>
        <w:t>**RSI** : À 88,015, le RSI est en zone de surachat extrême (&gt;70), signalant une possible correction technique à venir. Cette valeur élevée indique que le titre est temporairement surévalué d'un point de vue technique, justifiant la décision de vente pour les traders à court terme.</w:t>
      </w:r>
    </w:p>
    <w:p>
      <w:pPr>
        <w:spacing w:after="120" w:line="276" w:lineRule="auto"/>
      </w:pPr>
      <w:r>
        <w:t>**Stochastique** : Les valeurs %K et %D à 100,0 confirment une condition de surachat extrême. Cette configuration, bien que reflétant une force sous-jacente, suggère un risque de retournement imminent, justifiant la décision de vente.</w:t>
      </w:r>
    </w:p>
    <w:p>
      <w:pPr>
        <w:spacing w:after="120" w:line="276" w:lineRule="auto"/>
      </w:pPr>
      <w:r>
        <w:t>**Conclusion technique** : La convergence des indicateurs de momentum (MACD) et de tendance (MM) vers l'achat contraste avec les signaux de surachat (RSI, Stochastique). Cette divergence suggère une poursuite possible de la hausse à moyen terme, mais avec un risque accru de correction à court terme. Les investisseurs devraient surveiller un éventuel repli vers la zone des 16 500-16 800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Orange Côte d'Ivoire affiche des performances financières solides avec un chiffre d'affaires consolidé de 1 197,1 milliards FCFA (+10,4% vs 2024), un résultat net consolidé de 167,8 milliards FCFA (+6,1%) et un résultat net part du groupe de 129,1 milliards FCFA (+14,5%). Les ratios de rentabilité sont excellents : ROE de 23,7% (&gt;15% = excellent), ROA de 6,6%, marge nette de 14,0% et marge opérationnelle de 24,0%. La structure financière montre un BFR négatif de -198 milliards FCFA, favorable pour la trésorerie, avec un délai fournisseurs de 210,9 jours contre 52,3 jours pour les clients, démontrant une gestion efficace du cycle d'exploitation. L'endettement reste maîtrisé avec une capacité de remboursement de 0,99 an et une couverture des intérêts de 1 018,4%. Le rapport annuel 2025 (analysé le 08/06/2026) confirme ces données et propose un dividende de 800 FCFA brut par action. Le rapport T1 2026 (analysé le 01/05/2026) montre une accélération spectaculaire : CA de 325,6 milliards FCFA (+14,8%), résultat net de 48,3 milliards FCFA (+25,2%), marge nette de 14,8%. Sur cette base, on estime que l'exercice 2026 pourrait dépasser 1 350 milliards FCFA de CA et 190 milliards FCFA de résultat net, soit une croissance de plus de 13%. Les fondamentaux d'ORAC sont donc excellents, portés par une diversification géographique (Côte d'Ivoire, Burkina Faso, Libéria) et des relais de croissance solides (fibre, Orange Money, data).</w:t>
      </w:r>
    </w:p>
    <w:p>
      <w:pPr>
        <w:spacing w:after="120" w:line="276" w:lineRule="auto" w:before="240"/>
      </w:pPr>
      <w:r>
        <w:rPr>
          <w:b/>
          <w:color w:val="003366"/>
          <w:sz w:val="24"/>
        </w:rPr>
        <w:t>**PARTIE 4 : CONCLUSION D'INVESTISSEMENT**</w:t>
      </w:r>
    </w:p>
    <w:p>
      <w:pPr>
        <w:spacing w:after="120" w:line="276" w:lineRule="auto"/>
      </w:pPr>
      <w:r>
        <w:t>La valorisation d'ORAC (PER 15,4x, P/B 3,66x, EV/EBITDA 6,2x) reflète une prime de croissance justifiée par des fondamentaux exceptionnels, mais le cours a déjà intégré une partie de ces perspectives. Le comportement du cours (+12,25% sur 100 jours) montre une tendance haussière saine avec une volatilité modérée (29,9%) et une distribution symétrique, bien que le kurtosis platykurtique suggère un risque de mouvements brusques limité. Les signaux techniques sont partagés : les moyennes mobiles et le MACD confirment la tendance haussière, tandis que le RSI (88) et le Stochastique (100) signalent un surachat extrême. Les fondamentaux restent le principal moteur, avec une croissance estimée de plus de 13% pour 2026 et un dividende de 800 FCFA. Les prédictions IA (17 009 à 16 899 FCFA sur J+1 à J+10) suggèrent une légère correction technique, cohérente avec les signaux de surachat. La convergence entre la solidité fondamentale et la tendance haussière, tempérée par les signaux techniques de surachat, conduit à une recommandation **CONSERVER** avec un niveau de confiance **Moyen** et un risque global **Moyen**. L'horizon d'investissement optimal est le **moyen terme (3-12 mois)**, en attendant une éventuelle correction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-17.22%</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13.93% (Moyenne) — μ=3,025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β=0.3436 (Défensif) — Cov=0.000013, Var(idx)=0.000036, ρ=0.071,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3,017</w:t>
            </w:r>
          </w:p>
        </w:tc>
        <w:tc>
          <w:tcPr>
            <w:tcW w:type="dxa" w:w="1440"/>
            <w:shd w:fill="FAFAFA" w:val="clear"/>
          </w:tcPr>
          <w:p>
            <w:r>
              <w:rPr>
                <w:b/>
                <w:sz w:val="17"/>
              </w:rPr>
              <w:t>3,109</w:t>
            </w:r>
          </w:p>
        </w:tc>
        <w:tc>
          <w:tcPr>
            <w:tcW w:type="dxa" w:w="1440"/>
            <w:shd w:fill="FAFAFA" w:val="clear"/>
          </w:tcPr>
          <w:p>
            <w:r>
              <w:rPr>
                <w:sz w:val="17"/>
              </w:rPr>
              <w:t>3,202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2,973</w:t>
            </w:r>
          </w:p>
        </w:tc>
        <w:tc>
          <w:tcPr>
            <w:tcW w:type="dxa" w:w="1440"/>
            <w:shd w:fill="FAFAFA" w:val="clear"/>
          </w:tcPr>
          <w:p>
            <w:r>
              <w:rPr>
                <w:b/>
                <w:sz w:val="17"/>
              </w:rPr>
              <w:t>3,104</w:t>
            </w:r>
          </w:p>
        </w:tc>
        <w:tc>
          <w:tcPr>
            <w:tcW w:type="dxa" w:w="1440"/>
            <w:shd w:fill="FAFAFA" w:val="clear"/>
          </w:tcPr>
          <w:p>
            <w:r>
              <w:rPr>
                <w:sz w:val="17"/>
              </w:rPr>
              <w:t>3,234</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2,940</w:t>
            </w:r>
          </w:p>
        </w:tc>
        <w:tc>
          <w:tcPr>
            <w:tcW w:type="dxa" w:w="1440"/>
            <w:shd w:fill="FAFAFA" w:val="clear"/>
          </w:tcPr>
          <w:p>
            <w:r>
              <w:rPr>
                <w:b/>
                <w:sz w:val="17"/>
              </w:rPr>
              <w:t>3,099</w:t>
            </w:r>
          </w:p>
        </w:tc>
        <w:tc>
          <w:tcPr>
            <w:tcW w:type="dxa" w:w="1440"/>
            <w:shd w:fill="FAFAFA" w:val="clear"/>
          </w:tcPr>
          <w:p>
            <w:r>
              <w:rPr>
                <w:sz w:val="17"/>
              </w:rPr>
              <w:t>3,258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2,911</w:t>
            </w:r>
          </w:p>
        </w:tc>
        <w:tc>
          <w:tcPr>
            <w:tcW w:type="dxa" w:w="1440"/>
            <w:shd w:fill="FAFAFA" w:val="clear"/>
          </w:tcPr>
          <w:p>
            <w:r>
              <w:rPr>
                <w:b/>
                <w:sz w:val="17"/>
              </w:rPr>
              <w:t>3,095</w:t>
            </w:r>
          </w:p>
        </w:tc>
        <w:tc>
          <w:tcPr>
            <w:tcW w:type="dxa" w:w="1440"/>
            <w:shd w:fill="FAFAFA" w:val="clear"/>
          </w:tcPr>
          <w:p>
            <w:r>
              <w:rPr>
                <w:sz w:val="17"/>
              </w:rPr>
              <w:t>3,279</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2,887</w:t>
            </w:r>
          </w:p>
        </w:tc>
        <w:tc>
          <w:tcPr>
            <w:tcW w:type="dxa" w:w="1440"/>
            <w:shd w:fill="FAFAFA" w:val="clear"/>
          </w:tcPr>
          <w:p>
            <w:r>
              <w:rPr>
                <w:b/>
                <w:sz w:val="17"/>
              </w:rPr>
              <w:t>3,092</w:t>
            </w:r>
          </w:p>
        </w:tc>
        <w:tc>
          <w:tcPr>
            <w:tcW w:type="dxa" w:w="1440"/>
            <w:shd w:fill="FAFAFA" w:val="clear"/>
          </w:tcPr>
          <w:p>
            <w:r>
              <w:rPr>
                <w:sz w:val="17"/>
              </w:rPr>
              <w:t>3,297</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2,865</w:t>
            </w:r>
          </w:p>
        </w:tc>
        <w:tc>
          <w:tcPr>
            <w:tcW w:type="dxa" w:w="1440"/>
            <w:shd w:fill="FAFAFA" w:val="clear"/>
          </w:tcPr>
          <w:p>
            <w:r>
              <w:rPr>
                <w:b/>
                <w:sz w:val="17"/>
              </w:rPr>
              <w:t>3,089</w:t>
            </w:r>
          </w:p>
        </w:tc>
        <w:tc>
          <w:tcPr>
            <w:tcW w:type="dxa" w:w="1440"/>
            <w:shd w:fill="FAFAFA" w:val="clear"/>
          </w:tcPr>
          <w:p>
            <w:r>
              <w:rPr>
                <w:sz w:val="17"/>
              </w:rPr>
              <w:t>3,314</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2,844</w:t>
            </w:r>
          </w:p>
        </w:tc>
        <w:tc>
          <w:tcPr>
            <w:tcW w:type="dxa" w:w="1440"/>
            <w:shd w:fill="FAFAFA" w:val="clear"/>
          </w:tcPr>
          <w:p>
            <w:r>
              <w:rPr>
                <w:b/>
                <w:sz w:val="17"/>
              </w:rPr>
              <w:t>3,087</w:t>
            </w:r>
          </w:p>
        </w:tc>
        <w:tc>
          <w:tcPr>
            <w:tcW w:type="dxa" w:w="1440"/>
            <w:shd w:fill="FAFAFA" w:val="clear"/>
          </w:tcPr>
          <w:p>
            <w:r>
              <w:rPr>
                <w:sz w:val="17"/>
              </w:rPr>
              <w:t>3,329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2,825</w:t>
            </w:r>
          </w:p>
        </w:tc>
        <w:tc>
          <w:tcPr>
            <w:tcW w:type="dxa" w:w="1440"/>
            <w:shd w:fill="FAFAFA" w:val="clear"/>
          </w:tcPr>
          <w:p>
            <w:r>
              <w:rPr>
                <w:b/>
                <w:sz w:val="17"/>
              </w:rPr>
              <w:t>3,084</w:t>
            </w:r>
          </w:p>
        </w:tc>
        <w:tc>
          <w:tcPr>
            <w:tcW w:type="dxa" w:w="1440"/>
            <w:shd w:fill="FAFAFA" w:val="clear"/>
          </w:tcPr>
          <w:p>
            <w:r>
              <w:rPr>
                <w:sz w:val="17"/>
              </w:rPr>
              <w:t>3,343</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2,807</w:t>
            </w:r>
          </w:p>
        </w:tc>
        <w:tc>
          <w:tcPr>
            <w:tcW w:type="dxa" w:w="1440"/>
            <w:shd w:fill="FAFAFA" w:val="clear"/>
          </w:tcPr>
          <w:p>
            <w:r>
              <w:rPr>
                <w:b/>
                <w:sz w:val="17"/>
              </w:rPr>
              <w:t>3,081</w:t>
            </w:r>
          </w:p>
        </w:tc>
        <w:tc>
          <w:tcPr>
            <w:tcW w:type="dxa" w:w="1440"/>
            <w:shd w:fill="FAFAFA" w:val="clear"/>
          </w:tcPr>
          <w:p>
            <w:r>
              <w:rPr>
                <w:sz w:val="17"/>
              </w:rPr>
              <w:t>3,356</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2,790</w:t>
            </w:r>
          </w:p>
        </w:tc>
        <w:tc>
          <w:tcPr>
            <w:tcW w:type="dxa" w:w="1440"/>
            <w:shd w:fill="FAFAFA" w:val="clear"/>
          </w:tcPr>
          <w:p>
            <w:r>
              <w:rPr>
                <w:b/>
                <w:sz w:val="17"/>
              </w:rPr>
              <w:t>3,079</w:t>
            </w:r>
          </w:p>
        </w:tc>
        <w:tc>
          <w:tcPr>
            <w:tcW w:type="dxa" w:w="1440"/>
            <w:shd w:fill="FAFAFA" w:val="clear"/>
          </w:tcPr>
          <w:p>
            <w:r>
              <w:rPr>
                <w:sz w:val="17"/>
              </w:rPr>
              <w:t>3,368</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ce qui positionne le titre parmi les valeurs moyennes de la cote de la BRVM, un niveau significatif pour une banque panafricaine. Avec un BPA de 312 FCFA, chaque action génère un bénéfice confortable, justifiant un PER de 10,0x, en phase avec la moyenne historique du marché (8-12x), ce qui indique une valorisation raisonnable, ni bradée, ni spéculative. Le P/B de 1,92x montre que le marché valorise la société à près du double de sa valeur comptable, traduisant une confiance dans la création de valeur future, bien que ce niveau ne soit pas excessif. En revanche, l'EV/EBITDA de 19,9x est nettement supérieur au seuil de 15x, signalant une décote sur la capacité opérationnelle, ce qui peut refléter une prime pour le redressement récent ou une anticipation de croissance des résultats. Globalement, ces ratios dessinent un profil de valorisation modéré avec un biais positif sur les bénéfices, mais exigeant sur la génération de cash-flow opérationnel.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ORGT a enregistré une baisse significative de -17,22%, avec une dernière séance en léger repli de -0,48% à 3 125 FCFA, illustrant une pression vendeuse persistante. Le cours a évolué dans un large range de 2 435 à 3 995 FCFA, démontrant une forte amplitude de trading et une nervosité marquée. La moyenne sur la période (3 025 FCFA) est supérieure à la médiane (2 780 FCFA), et le mode (2 680 FCFA) est encore plus bas, ce qui confirme une distribution asymétrique positive (skewness de 0,620) : le titre a passé plus de temps sous sa moyenne, avec des pics de hausse ponctuels. L'écart-type de 423 FCFA (CV de 14%) indique une dispersion modérée autour de la moyenne, mais le kurtosis négatif (-1,067) révèle une distribution platykurtique, signifiant l'absence de mouvements extrêmes et une concentration des variations autour de la moyenne. La volatilité annualisée de 46,4% est élevée (&gt;30%), ce qui classe ORGT comme un actif risqué, sujet à des fluctuations importantes, cohérent avec la phase de restructuration que traverse la banque.</w:t>
      </w:r>
    </w:p>
    <w:p>
      <w:pPr>
        <w:spacing w:after="120" w:line="276" w:lineRule="auto" w:before="240"/>
      </w:pPr>
      <w:r>
        <w:rPr>
          <w:b/>
          <w:color w:val="003366"/>
          <w:sz w:val="24"/>
        </w:rPr>
        <w:t>**PARTIE 2 : ANALYSE TECHNIQUE DÉTAILLÉE**</w:t>
      </w:r>
    </w:p>
    <w:p>
      <w:pPr>
        <w:spacing w:after="120" w:line="276" w:lineRule="auto"/>
      </w:pPr>
      <w:r>
        <w:t>Les Moyennes Mobiles (MM20 à 2 831,5 et MM50 à 2 764,1) sont toutes deux inférieures au cours actuel de 3 125 FCFA, indiquant une dynamique haussière à court et moyen terme. Le franchissement de ces moyennes par le cours est un signal positif, justifiant la décision d'achat, car il suggère une tendance de fond orientée à la hausse malgré la baisse récente sur 100 jours.</w:t>
      </w:r>
    </w:p>
    <w:p>
      <w:pPr>
        <w:spacing w:after="120" w:line="276" w:lineRule="auto"/>
      </w:pPr>
      <w:r>
        <w:t>Les Bandes de Bollinger présentent une borne supérieure à 3 234,99 et une borne inférieure à 2 428,01. Le cours à 3 125 FCFA se situe près de la borne supérieure, ce qui indique une pression acheteuse récente et une volatilité en expansion. La décision neutre s'explique par le fait que le prix n'a pas encore touché la borne, laissant une marge de progression, mais le resserrement potentiel des bandes pourrait signaler une consolidation.</w:t>
      </w:r>
    </w:p>
    <w:p>
      <w:pPr>
        <w:spacing w:after="120" w:line="276" w:lineRule="auto"/>
      </w:pPr>
      <w:r>
        <w:t>Le MACD affiche une valeur de 111,275 contre un signal de 64,56, montrant une divergence positive nette. Ce croisement haussier, avec un histogramme en expansion, confirme un momentum positif à moyen terme, justifiant la décision d'achat. La dynamique actuelle suggère que la tendance haussière pourrait se poursuivre tant que le MACD reste au-dessus de son signal.</w:t>
      </w:r>
    </w:p>
    <w:p>
      <w:pPr>
        <w:spacing w:after="120" w:line="276" w:lineRule="auto"/>
      </w:pPr>
      <w:r>
        <w:t>Le RSI à 87,395 est extrêmement élevé, bien au-delà du seuil de surachat de 70. Cette valeur indique que le titre est fortement suracheté à court terme, ce qui expose à un risque de correction technique. La décision de vente est donc pertinente, car un tel niveau précède souvent un repli, même si la tendance de fond reste positive.</w:t>
      </w:r>
    </w:p>
    <w:p>
      <w:pPr>
        <w:spacing w:after="120" w:line="276" w:lineRule="auto"/>
      </w:pPr>
      <w:r>
        <w:t>Le Stochastique (%K à 94,681 et %D à 97,518) est également en zone de surachat très prononcée, avec les deux lignes au-dessus de 80. Ce niveau extrême, sans croisement baissier imminent, signale une exubérance excessive. La décision de vente est logique, car la probabilité d'un retournement à la baisse augmente fortement.</w:t>
      </w:r>
    </w:p>
    <w:p>
      <w:pPr>
        <w:spacing w:after="120" w:line="276" w:lineRule="auto"/>
      </w:pPr>
      <w:r>
        <w:t>En conclusion technique, les indicateurs de tendance (MM, MACD) sont positifs et confirment une dynamique haussière, mais les oscillateurs (RSI, Stochastique) sont en surachat extrême, suggérant un essoufflement à court terme. Cette divergence entre momentum et tendance indique qu'un repli technique est probable avant une éventuelle poursuite de la hausse, rendant la prudence de mise.</w:t>
      </w:r>
    </w:p>
    <w:p>
      <w:pPr>
        <w:spacing w:after="120" w:line="276" w:lineRule="auto" w:before="240"/>
      </w:pPr>
      <w:r>
        <w:rPr>
          <w:b/>
          <w:color w:val="003366"/>
          <w:sz w:val="24"/>
        </w:rPr>
        <w:t>**PARTIE 3 : ANALYSE FONDAMENTALE (SECTION CRITIQUE)**</w:t>
      </w:r>
    </w:p>
    <w:p>
      <w:pPr>
        <w:spacing w:after="120" w:line="276" w:lineRule="auto"/>
      </w:pPr>
      <w:r>
        <w:t>En 2025, les états financiers annuels d'ORGT, une banque, montrent un Produit Net Bancaire (PNB) de 186,609 milliards FCFA, en baisse de -4,5% par rapport à 2024 (195,4 milliards), et un résultat net consolidé de 21,643 milliards FCFA, contre une perte de -44,4 milliards en 2024, soit un redressement spectaculaire. Le coefficient d'exploitation s'établit à 42,85%, un niveau excellent (&lt;60%), démontrant une gestion rigoureuse des charges, tandis que le coût du risque est de 3,74%, un niveau faible qui reflète une amélioration nette de la qualité du portefeuille de crédits. Le ROE de 19,13% est excellent (&gt;15%), et le ROA de 0,54% reste modeste, typique du secteur bancaire. Les dépôts clientèle (3 088,7 milliards) couvrent largement les créances sur la clientèle (1 523,8 milliards), indiquant une transformation saine. Les rapports trimestriels de 2025 (T1, S1, T3) confirment cette trajectoire, avec un résultat net cumulé de 19,6 milliards à fin septembre, et le T1 2026 (rapport du 31 mars 2026) montre une poursuite : PNB de 50,124 milliards (-2%) et résultat net de 6,555 milliards (+37%). Sur cette base, on estime que l'exercice 2026 devrait maintenir une rentabilité positive, avec un résultat net annuel potentiellement supérieur à 25 milliards FCFA, si la maîtrise du risque et des coûts persiste. La solidité financière est renforcée par des capitaux propres de 113,165 milliards (+17%), mais la baisse du PNB et des crédits (-12%) reste un point de vigilance.</w:t>
      </w:r>
    </w:p>
    <w:p>
      <w:pPr>
        <w:spacing w:after="120" w:line="276" w:lineRule="auto" w:before="240"/>
      </w:pPr>
      <w:r>
        <w:rPr>
          <w:b/>
          <w:color w:val="003366"/>
          <w:sz w:val="24"/>
        </w:rPr>
        <w:t>**PARTIE 4 : CONCLUSION D'INVESTISSEMENT**</w:t>
      </w:r>
    </w:p>
    <w:p>
      <w:pPr>
        <w:spacing w:after="120" w:line="276" w:lineRule="auto"/>
      </w:pPr>
      <w:r>
        <w:t>La valorisation d'ORGT est modérée (PER 10x, P/B 1,92x), mais l'EV/EBITDA élevé (19,9x) suggère une certaine exigence sur la performance opérationnelle, ce qui n'est pas un frein majeur. Le comportement du cours est préoccupant à long terme (-17,22% sur 100 jours) mais la volatilité élevée (46,4%) et l'asymétrie positive indiquent un potentiel de rebond, bien que le kurtosis platykurtique limite les mouvements extrêmes. Les signaux techniques sont mitigés : une tendance haussière (MM, MACD) contre des oscillateurs en surachat extrême (RSI 87,4, Stochastique 94,7), suggérant un repli imminent. Les fondamentaux sont solides, avec un redressement net en 2025 (résultat net de 21,6 milliards), un ROE de 19,1%, et des estimations 2026 positives (résultat net T1 2026 en hausse de 37%). Les prédictions IA (J+1 à J+10) prévoient une légère baisse progressive de 3 109 à 3 092 FCFA, confirmant le scénario de consolidation technique après la récente hausse. En synthèse, la convergence entre des fondamentaux robustes et une valorisation raisonnable est contrebalancée par des signaux techniques de surachat et une tendance de fond baissière. La recommandation finale est **CONSERVER**, avec un niveau de confiance **Moyen**, un risque global **Élevé** (volatilité et environnement économique), et un horizon d'investissement optimal à **moyen terme (3-12 mois)**, en attendant une stabilisation du cours et une confirmation de la croissance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3,660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-4.52%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μ=8,413 FCFA, σ=526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β=-0.0978 (Contre-cyclique) — Cov=-0.000004, Var(idx)=0.000036, ρ=-0.023,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8,738</w:t>
            </w:r>
          </w:p>
        </w:tc>
        <w:tc>
          <w:tcPr>
            <w:tcW w:type="dxa" w:w="1440"/>
            <w:shd w:fill="FAFAFA" w:val="clear"/>
          </w:tcPr>
          <w:p>
            <w:r>
              <w:rPr>
                <w:b/>
                <w:sz w:val="17"/>
              </w:rPr>
              <w:t>9,026</w:t>
            </w:r>
          </w:p>
        </w:tc>
        <w:tc>
          <w:tcPr>
            <w:tcW w:type="dxa" w:w="1440"/>
            <w:shd w:fill="FAFAFA" w:val="clear"/>
          </w:tcPr>
          <w:p>
            <w:r>
              <w:rPr>
                <w:sz w:val="17"/>
              </w:rPr>
              <w:t>9,314</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8,641</w:t>
            </w:r>
          </w:p>
        </w:tc>
        <w:tc>
          <w:tcPr>
            <w:tcW w:type="dxa" w:w="1440"/>
            <w:shd w:fill="FAFAFA" w:val="clear"/>
          </w:tcPr>
          <w:p>
            <w:r>
              <w:rPr>
                <w:b/>
                <w:sz w:val="17"/>
              </w:rPr>
              <w:t>9,050</w:t>
            </w:r>
          </w:p>
        </w:tc>
        <w:tc>
          <w:tcPr>
            <w:tcW w:type="dxa" w:w="1440"/>
            <w:shd w:fill="FAFAFA" w:val="clear"/>
          </w:tcPr>
          <w:p>
            <w:r>
              <w:rPr>
                <w:sz w:val="17"/>
              </w:rPr>
              <w:t>9,458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8,575</w:t>
            </w:r>
          </w:p>
        </w:tc>
        <w:tc>
          <w:tcPr>
            <w:tcW w:type="dxa" w:w="1440"/>
            <w:shd w:fill="FAFAFA" w:val="clear"/>
          </w:tcPr>
          <w:p>
            <w:r>
              <w:rPr>
                <w:b/>
                <w:sz w:val="17"/>
              </w:rPr>
              <w:t>9,077</w:t>
            </w:r>
          </w:p>
        </w:tc>
        <w:tc>
          <w:tcPr>
            <w:tcW w:type="dxa" w:w="1440"/>
            <w:shd w:fill="FAFAFA" w:val="clear"/>
          </w:tcPr>
          <w:p>
            <w:r>
              <w:rPr>
                <w:sz w:val="17"/>
              </w:rPr>
              <w:t>9,579</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8,523</w:t>
            </w:r>
          </w:p>
        </w:tc>
        <w:tc>
          <w:tcPr>
            <w:tcW w:type="dxa" w:w="1440"/>
            <w:shd w:fill="FAFAFA" w:val="clear"/>
          </w:tcPr>
          <w:p>
            <w:r>
              <w:rPr>
                <w:b/>
                <w:sz w:val="17"/>
              </w:rPr>
              <w:t>9,104</w:t>
            </w:r>
          </w:p>
        </w:tc>
        <w:tc>
          <w:tcPr>
            <w:tcW w:type="dxa" w:w="1440"/>
            <w:shd w:fill="FAFAFA" w:val="clear"/>
          </w:tcPr>
          <w:p>
            <w:r>
              <w:rPr>
                <w:sz w:val="17"/>
              </w:rPr>
              <w:t>9,685</w:t>
            </w:r>
          </w:p>
        </w:tc>
        <w:tc>
          <w:tcPr>
            <w:tcW w:type="dxa" w:w="1440"/>
            <w:shd w:fill="FAFAFA" w:val="clear"/>
          </w:tcPr>
          <w:p>
            <w:r>
              <w:rPr>
                <w:b/>
                <w:color w:val="008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8,480</w:t>
            </w:r>
          </w:p>
        </w:tc>
        <w:tc>
          <w:tcPr>
            <w:tcW w:type="dxa" w:w="1440"/>
            <w:shd w:fill="FAFAFA" w:val="clear"/>
          </w:tcPr>
          <w:p>
            <w:r>
              <w:rPr>
                <w:b/>
                <w:sz w:val="17"/>
              </w:rPr>
              <w:t>9,131</w:t>
            </w:r>
          </w:p>
        </w:tc>
        <w:tc>
          <w:tcPr>
            <w:tcW w:type="dxa" w:w="1440"/>
            <w:shd w:fill="FAFAFA" w:val="clear"/>
          </w:tcPr>
          <w:p>
            <w:r>
              <w:rPr>
                <w:sz w:val="17"/>
              </w:rPr>
              <w:t>9,783</w:t>
            </w:r>
          </w:p>
        </w:tc>
        <w:tc>
          <w:tcPr>
            <w:tcW w:type="dxa" w:w="1440"/>
            <w:shd w:fill="FAFAFA" w:val="clear"/>
          </w:tcPr>
          <w:p>
            <w:r>
              <w:rPr>
                <w:b/>
                <w:color w:val="008000"/>
                <w:sz w:val="17"/>
              </w:rPr>
              <w:t>+1.7%</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8,442</w:t>
            </w:r>
          </w:p>
        </w:tc>
        <w:tc>
          <w:tcPr>
            <w:tcW w:type="dxa" w:w="1440"/>
            <w:shd w:fill="FAFAFA" w:val="clear"/>
          </w:tcPr>
          <w:p>
            <w:r>
              <w:rPr>
                <w:b/>
                <w:sz w:val="17"/>
              </w:rPr>
              <w:t>9,158</w:t>
            </w:r>
          </w:p>
        </w:tc>
        <w:tc>
          <w:tcPr>
            <w:tcW w:type="dxa" w:w="1440"/>
            <w:shd w:fill="FAFAFA" w:val="clear"/>
          </w:tcPr>
          <w:p>
            <w:r>
              <w:rPr>
                <w:sz w:val="17"/>
              </w:rPr>
              <w:t>9,874</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8,409</w:t>
            </w:r>
          </w:p>
        </w:tc>
        <w:tc>
          <w:tcPr>
            <w:tcW w:type="dxa" w:w="1440"/>
            <w:shd w:fill="C6EFCE" w:val="clear"/>
          </w:tcPr>
          <w:p>
            <w:r>
              <w:rPr>
                <w:b/>
                <w:sz w:val="17"/>
              </w:rPr>
              <w:t>9,185</w:t>
            </w:r>
          </w:p>
        </w:tc>
        <w:tc>
          <w:tcPr>
            <w:tcW w:type="dxa" w:w="1440"/>
            <w:shd w:fill="C6EFCE" w:val="clear"/>
          </w:tcPr>
          <w:p>
            <w:r>
              <w:rPr>
                <w:sz w:val="17"/>
              </w:rPr>
              <w:t>9,960</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8,380</w:t>
            </w:r>
          </w:p>
        </w:tc>
        <w:tc>
          <w:tcPr>
            <w:tcW w:type="dxa" w:w="1440"/>
            <w:shd w:fill="C6EFCE" w:val="clear"/>
          </w:tcPr>
          <w:p>
            <w:r>
              <w:rPr>
                <w:b/>
                <w:sz w:val="17"/>
              </w:rPr>
              <w:t>9,211</w:t>
            </w:r>
          </w:p>
        </w:tc>
        <w:tc>
          <w:tcPr>
            <w:tcW w:type="dxa" w:w="1440"/>
            <w:shd w:fill="C6EFCE" w:val="clear"/>
          </w:tcPr>
          <w:p>
            <w:r>
              <w:rPr>
                <w:sz w:val="17"/>
              </w:rPr>
              <w:t>10,043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8,354</w:t>
            </w:r>
          </w:p>
        </w:tc>
        <w:tc>
          <w:tcPr>
            <w:tcW w:type="dxa" w:w="1440"/>
            <w:shd w:fill="C6EFCE" w:val="clear"/>
          </w:tcPr>
          <w:p>
            <w:r>
              <w:rPr>
                <w:b/>
                <w:sz w:val="17"/>
              </w:rPr>
              <w:t>9,238</w:t>
            </w:r>
          </w:p>
        </w:tc>
        <w:tc>
          <w:tcPr>
            <w:tcW w:type="dxa" w:w="1440"/>
            <w:shd w:fill="C6EFCE" w:val="clear"/>
          </w:tcPr>
          <w:p>
            <w:r>
              <w:rPr>
                <w:sz w:val="17"/>
              </w:rPr>
              <w:t>10,122</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8,330</w:t>
            </w:r>
          </w:p>
        </w:tc>
        <w:tc>
          <w:tcPr>
            <w:tcW w:type="dxa" w:w="1440"/>
            <w:shd w:fill="C6EFCE" w:val="clear"/>
          </w:tcPr>
          <w:p>
            <w:r>
              <w:rPr>
                <w:b/>
                <w:sz w:val="17"/>
              </w:rPr>
              <w:t>9,264</w:t>
            </w:r>
          </w:p>
        </w:tc>
        <w:tc>
          <w:tcPr>
            <w:tcW w:type="dxa" w:w="1440"/>
            <w:shd w:fill="C6EFCE" w:val="clear"/>
          </w:tcPr>
          <w:p>
            <w:r>
              <w:rPr>
                <w:sz w:val="17"/>
              </w:rPr>
              <w:t>10,199</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138,82 milliards FCFA, un niveau significatif qui la positionne parmi les valeurs moyennes de la cote BRVM, reflétant un profil de liquidité correct. Le BPA de 1 003 FCFA indique que chaque action génère un bénéfice substantiel, justifiant un PER de 9,0x, inférieur à la moyenne du marché BRVM (8-12x), ce qui suggère une sous-évaluation relative du titre. Le P/B de 0,97x est particulièrement intéressant : le marché valorise l'action légèrement en-dessous de sa valeur comptable, signalant une décote qui pourrait représenter une opportunité pour les investisseurs value. L'EV/EBITDA de 4,4x, nettement sous le seuil de 5x, confirme cette perception de valorisation attractive, indiquant que la valeur totale de l'entreprise (dette incluse) reste modérée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totale de -4,52%, avec une dernière séance stable (+0,00%), le cours évoluant actuellement à 8 980 FCFA. Le titre a oscillé entre un plus bas de 7 000 FCFA et un plus haut de 9 500 FCFA, démontrant une amplitude de trading de 2 500 FCFA, soit une volatilité intra-période considérable. La moyenne du cours sur la période (8 413 FCFA) est inférieure à la médiane (8 600 FCFA), indiquant une distribution légèrement asymétrique vers les valeurs basses, cohérente avec le skewness négatif de -0,120. L'écart-type de 529 FCFA (CV=6,3%) révèle une dispersion modérée autour de la moyenne, tandis que le kurtosis de -0,520 (mésokurtique) suggère une distribution proche de la normale, sans risque de pics extrêmes. La volatilité annualisée de 40,7% classe le titre dans la catégorie des valeurs à forte volatilité (&gt;30%), reflétant un profil de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8 796,75 FCFA et la MM50 à 8 664,7 FCFA sont toutes deux inférieures au cours actuel de 8 980 FCFA, indiquant une configuration haussière. Le croisement des moyennes mobiles (MM20 &gt; MM50) confirme la dynamique positive à court et moyen terme, justifiant la décision d'achat. Le titre évolue au-dessus de ses moyennes mobiles, ce qui renforce le signal haussier.</w:t>
      </w:r>
    </w:p>
    <w:p>
      <w:pPr>
        <w:spacing w:after="120" w:line="276" w:lineRule="auto"/>
      </w:pPr>
      <w:r>
        <w:t>**Bandes de Bollinger** : Le cours à 8 980 FCFA se positionne entre la borne supérieure (9 101,835 FCFA) et la borne inférieure (8 491,665 FCFA), dans la partie haute du canal. Cette position indique une pression acheteuse modérée sans atteindre la zone de surachat extrême. La largeur des bandes reflète une volatilité relativement élevée, cohérente avec la volatilité annualisée de 40,7%. La décision neutre s'explique par l'absence de franchissement des bornes.</w:t>
      </w:r>
    </w:p>
    <w:p>
      <w:pPr>
        <w:spacing w:after="120" w:line="276" w:lineRule="auto"/>
      </w:pPr>
      <w:r>
        <w:t>**MACD** : La valeur du MACD (98,994) est supérieure à son signal (88,935), avec un écart positif de 10,059 points. Cette configuration indique un momentum haussier en cours, confirmé par la divergence positive entre la ligne MACD et sa ligne de signal. La décision d'achat est justifiée par cette dynamique ascendante, même si l'ampleur de l'écart suggère une certaine maturité du mouvement.</w:t>
      </w:r>
    </w:p>
    <w:p>
      <w:pPr>
        <w:spacing w:after="120" w:line="276" w:lineRule="auto"/>
      </w:pPr>
      <w:r>
        <w:t>**RSI** : Le RSI à 59,236 se situe dans la zone neutre (30-70), indiquant un équilibre relatif entre pression acheteuse et vendeuse. Cette valeur ne signale ni surachat ni survente, laissant une marge de progression avant d'atteindre la zone de surachat (&gt;70). La décision neutre est cohérente avec cette position médiane du RSI.</w:t>
      </w:r>
    </w:p>
    <w:p>
      <w:pPr>
        <w:spacing w:after="120" w:line="276" w:lineRule="auto"/>
      </w:pPr>
      <w:r>
        <w:t>**Stochastique** : Le %K et le %D sont tous deux à 90,476, indiquant une zone de surachat extrême. Cette configuration suggère que le titre est temporairement survendu, avec un risque de correction à court terme. La décision de vente est justifiée par ce niveau élevé, même si le croisement des deux lignes n'est pas encore observé.</w:t>
      </w:r>
    </w:p>
    <w:p>
      <w:pPr>
        <w:spacing w:after="120" w:line="276" w:lineRule="auto"/>
      </w:pPr>
      <w:r>
        <w:t>**Conclusion technique** : La convergence des indicateurs est mitigée : les moyennes mobiles et le MACD signalent une tendance haussière, tandis que le RSI reste neutre et le stochastique indique un surachat. Cette divergence suggère une poursuite possible de la hausse à moyen terme, mais avec un risque de consolidation à court terme. La prudence est recommandée dans l'attente d'un signal plus clair.</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197,630 milliards FCFA, en croissance de +14,8% par rapport à 2024 (172,2 milliards FCFA), avec un résultat net de 15,509 milliards FCFA, en légère baisse de -2,2% par rapport à 2024 (15,9 milliards FCFA). La marge nette s'établit à 7,85%, en recul par rapport à 2024 (9,2%), tandis que le ROE atteint 10,87% et le ROA 7,79%, des niveaux corrects mais en dessous du seuil d'excellence de 15%. Le BFR de 44,623 milliards FCFA est positif, indiquant un besoin de financement, avec un délai clients de 142,58 jours, particulièrement élevé, représentant un risque de trésorerie. L'endettement est très faible (ratio d'endettement de 0,56%), avec une autonomie financière de 71,64%, démontrant une structure financière saine. Les rapports trimestriels 2025 montrent une performance exceptionnelle au T1 (CA +32%, RN +65%) et au S1 (CA +25%, RN +37%), mais le T1 2026 affiche une chute drastique (CA -27%, RN -86% à 1,6 milliard FCFA), attribuée par la direction à un décalage temporel des ventes. On estime que l'exercice 2026 pourrait être en retrait, avec un résultat net potentiellement inférieur à 10 milliards FCFA si la tendance du T1 se confirme, malgré l'anticipation d'un redressement progressif par le management.</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9,0x, un P/B de 0,97x et un EV/EBITDA de 4,4x, indiquant une sous-évaluation relative sur le marché BRVM. Le comportement du cours sur 100 jours montre une tendance baissière modérée (-4,52%) avec une volatilité élevée (40,7%), mais une distribution statistique stable (kurtosis mésokurtique, skewness symétrique). Les signaux techniques sont mitigés : les moyennes mobiles et le MACD sont haussiers, tandis que le stochastique indique un surachat, suggérant une possible consolidation à court terme. Les fondamentaux sont solides avec une croissance du CA de +14,8% en 2025, mais la rentabilité est sous pression (marge nette en baisse) et le T1 2026 est préoccupant. Les prédictions IA (8 980 à 9 131 FCFA sur 10 jours) confirment une trajectoire haussière modérée, cohérente avec les signaux techniques positifs. La convergence entre la valorisation attractive, les fondamentaux globalement solides et les prédictions IA haussières justifie une recommandation **ACHAT** avec un niveau de confiance **Moyen**, un risque global **Élevé** (volatilité et dépendance aux cours des matières premières), et un horizon d'investissement optimal à **moyen terme (3-12 mois)**.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1,106 titres</w:t>
            </w:r>
          </w:p>
        </w:tc>
        <w:tc>
          <w:tcPr>
            <w:tcW w:type="dxa" w:w="2268"/>
            <w:shd w:fill="FFF2CC" w:val="clear"/>
          </w:tcPr>
          <w:p>
            <w:r>
              <w:rPr>
                <w:b/>
                <w:color w:val="503200"/>
                <w:sz w:val="16"/>
              </w:rPr>
              <w:t xml:space="preserve">Cours actuel : </w:t>
            </w:r>
            <w:r>
              <w:rPr>
                <w:color w:val="000000"/>
                <w:sz w:val="17"/>
              </w:rPr>
              <w:t>4,480 FCFA</w:t>
            </w:r>
          </w:p>
          <w:p>
            <w:r>
              <w:rPr>
                <w:b/>
                <w:color w:val="503200"/>
                <w:sz w:val="16"/>
              </w:rPr>
              <w:t xml:space="preserve">Var. 100 jours : </w:t>
            </w:r>
            <w:r>
              <w:rPr>
                <w:b/>
                <w:color w:val="B40000"/>
                <w:sz w:val="17"/>
              </w:rPr>
              <w:t>-18.55%</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8.85% (Moyenne) — μ=4,516 FCFA, σ=400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β=-0.2533 (Contre-cyclique) — Cov=-0.000009, Var(idx)=0.000036, ρ=-0.058,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4,318</w:t>
            </w:r>
          </w:p>
        </w:tc>
        <w:tc>
          <w:tcPr>
            <w:tcW w:type="dxa" w:w="1440"/>
            <w:shd w:fill="FAFAFA" w:val="clear"/>
          </w:tcPr>
          <w:p>
            <w:r>
              <w:rPr>
                <w:b/>
                <w:sz w:val="17"/>
              </w:rPr>
              <w:t>4,434</w:t>
            </w:r>
          </w:p>
        </w:tc>
        <w:tc>
          <w:tcPr>
            <w:tcW w:type="dxa" w:w="1440"/>
            <w:shd w:fill="FAFAFA" w:val="clear"/>
          </w:tcPr>
          <w:p>
            <w:r>
              <w:rPr>
                <w:sz w:val="17"/>
              </w:rPr>
              <w:t>4,550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4,254</w:t>
            </w:r>
          </w:p>
        </w:tc>
        <w:tc>
          <w:tcPr>
            <w:tcW w:type="dxa" w:w="1440"/>
            <w:shd w:fill="FAFAFA" w:val="clear"/>
          </w:tcPr>
          <w:p>
            <w:r>
              <w:rPr>
                <w:b/>
                <w:sz w:val="17"/>
              </w:rPr>
              <w:t>4,417</w:t>
            </w:r>
          </w:p>
        </w:tc>
        <w:tc>
          <w:tcPr>
            <w:tcW w:type="dxa" w:w="1440"/>
            <w:shd w:fill="FAFAFA" w:val="clear"/>
          </w:tcPr>
          <w:p>
            <w:r>
              <w:rPr>
                <w:sz w:val="17"/>
              </w:rPr>
              <w:t>4,581</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4,195</w:t>
            </w:r>
          </w:p>
        </w:tc>
        <w:tc>
          <w:tcPr>
            <w:tcW w:type="dxa" w:w="1440"/>
            <w:shd w:fill="FAFAFA" w:val="clear"/>
          </w:tcPr>
          <w:p>
            <w:r>
              <w:rPr>
                <w:b/>
                <w:sz w:val="17"/>
              </w:rPr>
              <w:t>4,394</w:t>
            </w:r>
          </w:p>
        </w:tc>
        <w:tc>
          <w:tcPr>
            <w:tcW w:type="dxa" w:w="1440"/>
            <w:shd w:fill="FAFAFA" w:val="clear"/>
          </w:tcPr>
          <w:p>
            <w:r>
              <w:rPr>
                <w:sz w:val="17"/>
              </w:rPr>
              <w:t>4,594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4,144</w:t>
            </w:r>
          </w:p>
        </w:tc>
        <w:tc>
          <w:tcPr>
            <w:tcW w:type="dxa" w:w="1440"/>
            <w:shd w:fill="FFDCE0" w:val="clear"/>
          </w:tcPr>
          <w:p>
            <w:r>
              <w:rPr>
                <w:b/>
                <w:sz w:val="17"/>
              </w:rPr>
              <w:t>4,372</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4,097</w:t>
            </w:r>
          </w:p>
        </w:tc>
        <w:tc>
          <w:tcPr>
            <w:tcW w:type="dxa" w:w="1440"/>
            <w:shd w:fill="FFDCE0" w:val="clear"/>
          </w:tcPr>
          <w:p>
            <w:r>
              <w:rPr>
                <w:b/>
                <w:sz w:val="17"/>
              </w:rPr>
              <w:t>4,351</w:t>
            </w:r>
          </w:p>
        </w:tc>
        <w:tc>
          <w:tcPr>
            <w:tcW w:type="dxa" w:w="1440"/>
            <w:shd w:fill="FFDCE0" w:val="clear"/>
          </w:tcPr>
          <w:p>
            <w:r>
              <w:rPr>
                <w:sz w:val="17"/>
              </w:rPr>
              <w:t>4,606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4,053</w:t>
            </w:r>
          </w:p>
        </w:tc>
        <w:tc>
          <w:tcPr>
            <w:tcW w:type="dxa" w:w="1440"/>
            <w:shd w:fill="FFDCE0" w:val="clear"/>
          </w:tcPr>
          <w:p>
            <w:r>
              <w:rPr>
                <w:b/>
                <w:sz w:val="17"/>
              </w:rPr>
              <w:t>4,331</w:t>
            </w:r>
          </w:p>
        </w:tc>
        <w:tc>
          <w:tcPr>
            <w:tcW w:type="dxa" w:w="1440"/>
            <w:shd w:fill="FFDCE0" w:val="clear"/>
          </w:tcPr>
          <w:p>
            <w:r>
              <w:rPr>
                <w:sz w:val="17"/>
              </w:rPr>
              <w:t>4,608</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4,012</w:t>
            </w:r>
          </w:p>
        </w:tc>
        <w:tc>
          <w:tcPr>
            <w:tcW w:type="dxa" w:w="1440"/>
            <w:shd w:fill="FFDCE0" w:val="clear"/>
          </w:tcPr>
          <w:p>
            <w:r>
              <w:rPr>
                <w:b/>
                <w:sz w:val="17"/>
              </w:rPr>
              <w:t>4,311</w:t>
            </w:r>
          </w:p>
        </w:tc>
        <w:tc>
          <w:tcPr>
            <w:tcW w:type="dxa" w:w="1440"/>
            <w:shd w:fill="FFDCE0" w:val="clear"/>
          </w:tcPr>
          <w:p>
            <w:r>
              <w:rPr>
                <w:sz w:val="17"/>
              </w:rPr>
              <w:t>4,609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3,973</w:t>
            </w:r>
          </w:p>
        </w:tc>
        <w:tc>
          <w:tcPr>
            <w:tcW w:type="dxa" w:w="1440"/>
            <w:shd w:fill="FFDCE0" w:val="clear"/>
          </w:tcPr>
          <w:p>
            <w:r>
              <w:rPr>
                <w:b/>
                <w:sz w:val="17"/>
              </w:rPr>
              <w:t>4,291</w:t>
            </w:r>
          </w:p>
        </w:tc>
        <w:tc>
          <w:tcPr>
            <w:tcW w:type="dxa" w:w="1440"/>
            <w:shd w:fill="FFDCE0" w:val="clear"/>
          </w:tcPr>
          <w:p>
            <w:r>
              <w:rPr>
                <w:sz w:val="17"/>
              </w:rPr>
              <w:t>4,608</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3,936</w:t>
            </w:r>
          </w:p>
        </w:tc>
        <w:tc>
          <w:tcPr>
            <w:tcW w:type="dxa" w:w="1440"/>
            <w:shd w:fill="FFDCE0" w:val="clear"/>
          </w:tcPr>
          <w:p>
            <w:r>
              <w:rPr>
                <w:b/>
                <w:sz w:val="17"/>
              </w:rPr>
              <w:t>4,272</w:t>
            </w:r>
          </w:p>
        </w:tc>
        <w:tc>
          <w:tcPr>
            <w:tcW w:type="dxa" w:w="1440"/>
            <w:shd w:fill="FFDCE0" w:val="clear"/>
          </w:tcPr>
          <w:p>
            <w:r>
              <w:rPr>
                <w:sz w:val="17"/>
              </w:rPr>
              <w:t>4,607</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3,901</w:t>
            </w:r>
          </w:p>
        </w:tc>
        <w:tc>
          <w:tcPr>
            <w:tcW w:type="dxa" w:w="1440"/>
            <w:shd w:fill="FFDCE0" w:val="clear"/>
          </w:tcPr>
          <w:p>
            <w:r>
              <w:rPr>
                <w:b/>
                <w:sz w:val="17"/>
              </w:rPr>
              <w:t>4,253</w:t>
            </w:r>
          </w:p>
        </w:tc>
        <w:tc>
          <w:tcPr>
            <w:tcW w:type="dxa" w:w="1440"/>
            <w:shd w:fill="FFDCE0" w:val="clear"/>
          </w:tcPr>
          <w:p>
            <w:r>
              <w:rPr>
                <w:sz w:val="17"/>
              </w:rPr>
              <w:t>4,605</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45,88 milliards FCFA, ce qui positionne la société comme une valeur de taille moyenne sur le marché de la BRVM. Avec un BPA de 231 FCFA, le titre se négocie à un PER de 19,4x, nettement supérieur à la moyenne historique du marché (~8-12x), indiquant que les investisseurs paient une prime substantielle pour les bénéfices de l'entreprise. Le P/B de 3,98x confirme cette prime, le marché valorisant le titre près de 4 fois sa valeur comptable, signe d'anticipations de croissance élevées. L'EV/EBITDA de 9,9x se situe dans la fourchette haute des valeurs raisonnables (5-10x), suggérant que la valorisation intègre déjà une performance opérationnelle solide. Cette combinaison de ratios indique 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PRSC a enregistré une baisse significative de 18,55%, avec une légère variation négative de -0,11% lors de la dernière séance, s'établissant à 4 480 FCFA. Le titre a évolué dans une fourchette large de 3 620 à 5 500 FCFA, démontrant une forte amplitude de trading. La moyenne du cours sur la période (4 516 FCFA) est proche de la médiane (4 550 FCFA), indiquant une distribution relativement symétrique, confirmée par un skewness de -0,462. L'écart-type de 402 FCFA (CV=8,9%) révèle une dispersion modérée des prix autour de la moyenne. Le kurtosis de 0,049 (mésokurtique) suggère une distribution proche de la normale, sans risque extrême de pics. La volatilité annualisée de 42,0% classe le titre comme très volatil (&gt;30%), reflétant une incertitude élevée sur le marché. La tendance générale est clairement baissière, avec un repli de près d'un cinquième de la valeur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(4 486,25 FCFA) et la MM50 (4 448,9 FCFA) sont toutes deux proches du cours actuel (4 480 FCFA), avec une MM20 légèrement au-dessus de la MM50, formant une configuration haussière à court terme. Le signal d'achat généré par leur croisement suggère un potentiel de stabilisation après la baisse récente, bien que le cours doive confirmer en dépassant durablement ces niveaux.</w:t>
      </w:r>
    </w:p>
    <w:p>
      <w:pPr>
        <w:spacing w:after="120" w:line="276" w:lineRule="auto"/>
      </w:pPr>
      <w:r>
        <w:t>**Bandes de Bollinger :** Le cours se positionne entre la borne inférieure (4 262,9 FCFA) et la borne supérieure (4 709,6 FCFA), plus près du milieu de la bande. La décision neutre indique une volatilité modérée sans pression directionnelle forte. L'écart entre les bornes reflète la volatilité élevée du titre, mais le prix actuel ne montre pas de signal d'achat ou de vente décisif.</w:t>
      </w:r>
    </w:p>
    <w:p>
      <w:pPr>
        <w:spacing w:after="120" w:line="276" w:lineRule="auto"/>
      </w:pPr>
      <w:r>
        <w:t>**MACD :** Le MACD (7,417) est nettement inférieur à sa ligne de signal (23,302), générant un signal de vente clair. Cette divergence négative indique un momentum baissier persistant, suggérant que la pression vendeuse pourrait se poursuivre à court terme malgré les signaux de stabilisation des moyennes mobiles.</w:t>
      </w:r>
    </w:p>
    <w:p>
      <w:pPr>
        <w:spacing w:after="120" w:line="276" w:lineRule="auto"/>
      </w:pPr>
      <w:r>
        <w:t>**RSI :** À 48,33, le RSI se situe en zone neutre (30-70), indiquant un équilibre entre pressions acheteuses et vendeuses. Cette valeur ne montre ni surachat ni survente, laissant place à une évolution directionnelle sans contrainte technique majeure.</w:t>
      </w:r>
    </w:p>
    <w:p>
      <w:pPr>
        <w:spacing w:after="120" w:line="276" w:lineRule="auto"/>
      </w:pPr>
      <w:r>
        <w:t>**Stochastique :** Le %K (32,65) est supérieur au %D (22,45), suggérant un croisement haussier potentiel en zone de survente relative. Bien que la décision soit neutre, cette configuration pourrait indiquer un début de rebond technique, mais nécessite confirmation par un passage au-dessus de 50.</w:t>
      </w:r>
    </w:p>
    <w:p>
      <w:pPr>
        <w:spacing w:after="120" w:line="276" w:lineRule="auto"/>
      </w:pPr>
      <w:r>
        <w:t>**Conclusion technique :** Les signaux sont mitigés avec une divergence notable entre les moyennes mobiles (achat) et le MACD (vente). Le RSI et le stochastique restent neutres, tandis que les bandes de Bollinger n'indiquent pas de direction claire. Globalement, la tendance technique reste incertaine, avec un biais légèrement baissier à court terme, mais des signes de stabilisation potentielle.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démontrant une dynamique commerciale positive. Le résultat net s'établit à 2,367 milliards FCFA, en légère progression par rapport aux 2,177 milliards de 2024, avec une marge nette de 2,92%. La rentabilité des fonds propres (ROE) atteint 20,53%, un niveau excellent (&gt;15%), tandis que le ROA s'établit à 4,95%. La marge opérationnelle de 5,23% reste modeste mais stable. Le BFR de 11,267 milliards FCFA est positif, indiquant un besoin de financement, avec un délai clients de 46 jours et un délai fournisseurs de 103 jours, ce qui est favorable pour la trésorerie. La durée de stockage de 150 jours est élevée, immobilisant du capital. L'endettement total représente 314,86% des capitaux propres, un niveau élevé, mais la solvabilité générale de 131,76% reste saine. Les rapports trimestriels S1 2025 montrent une performance exceptionnelle avec un CA de 39,97 milliards (+15,1%) et un résultat net multiplié par 28 à 1,436 milliard, suggérant une accélération de la croissance. Sur la base de ces données, on estime que l'exercice 2026 pourrait voir un CA dépassant 85 milliards FCFA et un résultat net supérieur à 2,5 milliards, si la tendance semestrielle se maintient. La société a annoncé un dividende de 209 FCFA par action pour 2025, offrant un rendement de 4,67% au cours actuel. La structure financière reste équilibrée avec des capitaux propres de 11,53 milliards FCFA, mais la dépendance aux produits non courants et la pression sur les marges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PRSC apparaît exigeante avec un PER de 19,4x et un P/B de 3,98x, nettement au-dessus des moyennes du marché BRVM, indiquant une possible surévaluation relative. Le comportement du cours est préoccupant avec une baisse de 18,55% sur 100 jours et une volatilité très élevée (42%), bien que la distribution statistique reste normale. Les signaux techniques sont mitigés, avec une divergence entre les moyennes mobiles (achat) et le MACD (vente), le RSI et le stochastique restant neutres. Les fondamentaux sont solides avec une croissance du CA de 9,5% en 2025, un ROE excellent de 20,53%, et un dividende attractif de 209 FCFA/action, mais la marge nette reste faible (2,92%). Les prédictions IA pour les 10 prochains jours indiquent une poursuite de la baisse, passant de 4 434 à 4 351 FCFA, confirmant la pression baissière à court terme. La convergence des signaux (valorisation élevée, tendance baissière, prédictions négatives) malgré des fondamentaux corrects suggère une recommandation de **CONSERVER** avec un niveau de confiance **Moyen**. Le risque global est **Élevé** en raison de la volatilité et de l'endettement. L'horizon d'investissement optimal serait le **moyen terme (3-12 mois)**, en attendant une stabilisation du cours et une confirmation de la croissance des bénéfices pour justifier la valorisation actuelle.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7,246 titres</w:t>
            </w:r>
          </w:p>
        </w:tc>
        <w:tc>
          <w:tcPr>
            <w:tcW w:type="dxa" w:w="2268"/>
            <w:shd w:fill="FFF2CC" w:val="clear"/>
          </w:tcPr>
          <w:p>
            <w:r>
              <w:rPr>
                <w:b/>
                <w:color w:val="503200"/>
                <w:sz w:val="16"/>
              </w:rPr>
              <w:t xml:space="preserve">Cours actuel : </w:t>
            </w:r>
            <w:r>
              <w:rPr>
                <w:color w:val="000000"/>
                <w:sz w:val="17"/>
              </w:rPr>
              <w:t>5,250 FCFA</w:t>
            </w:r>
          </w:p>
          <w:p>
            <w:r>
              <w:rPr>
                <w:b/>
                <w:color w:val="503200"/>
                <w:sz w:val="16"/>
              </w:rPr>
              <w:t xml:space="preserve">Var. 100 jours : </w:t>
            </w:r>
            <w:r>
              <w:rPr>
                <w:b/>
                <w:color w:val="B40000"/>
                <w:sz w:val="17"/>
              </w:rPr>
              <w:t>-13.93%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23.75% (Élevée) — μ=4,826 FCFA, σ=1,146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β=0.4134 (Défensif) — Cov=0.000015, Var(idx)=0.000036, ρ=0.047,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σ_j=5.23%/j (Instable) — Vol. annualisée≈83.1%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4,597</w:t>
            </w:r>
          </w:p>
        </w:tc>
        <w:tc>
          <w:tcPr>
            <w:tcW w:type="dxa" w:w="1440"/>
            <w:shd w:fill="FFDCE0" w:val="clear"/>
          </w:tcPr>
          <w:p>
            <w:r>
              <w:rPr>
                <w:b/>
                <w:sz w:val="17"/>
              </w:rPr>
              <w:t>4,856</w:t>
            </w:r>
          </w:p>
        </w:tc>
        <w:tc>
          <w:tcPr>
            <w:tcW w:type="dxa" w:w="1440"/>
            <w:shd w:fill="FFDCE0" w:val="clear"/>
          </w:tcPr>
          <w:p>
            <w:r>
              <w:rPr>
                <w:sz w:val="17"/>
              </w:rPr>
              <w:t>5,116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4,152</w:t>
            </w:r>
          </w:p>
        </w:tc>
        <w:tc>
          <w:tcPr>
            <w:tcW w:type="dxa" w:w="1440"/>
            <w:shd w:fill="FFDCE0" w:val="clear"/>
          </w:tcPr>
          <w:p>
            <w:r>
              <w:rPr>
                <w:b/>
                <w:sz w:val="17"/>
              </w:rPr>
              <w:t>4,492</w:t>
            </w:r>
          </w:p>
        </w:tc>
        <w:tc>
          <w:tcPr>
            <w:tcW w:type="dxa" w:w="1440"/>
            <w:shd w:fill="FFDCE0" w:val="clear"/>
          </w:tcPr>
          <w:p>
            <w:r>
              <w:rPr>
                <w:sz w:val="17"/>
              </w:rPr>
              <w:t>4,832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3,770</w:t>
            </w:r>
          </w:p>
        </w:tc>
        <w:tc>
          <w:tcPr>
            <w:tcW w:type="dxa" w:w="1440"/>
            <w:shd w:fill="FFDCE0" w:val="clear"/>
          </w:tcPr>
          <w:p>
            <w:r>
              <w:rPr>
                <w:b/>
                <w:sz w:val="17"/>
              </w:rPr>
              <w:t>4,155</w:t>
            </w:r>
          </w:p>
        </w:tc>
        <w:tc>
          <w:tcPr>
            <w:tcW w:type="dxa" w:w="1440"/>
            <w:shd w:fill="FFDCE0" w:val="clear"/>
          </w:tcPr>
          <w:p>
            <w:r>
              <w:rPr>
                <w:sz w:val="17"/>
              </w:rPr>
              <w:t>4,540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3,433</w:t>
            </w:r>
          </w:p>
        </w:tc>
        <w:tc>
          <w:tcPr>
            <w:tcW w:type="dxa" w:w="1440"/>
            <w:shd w:fill="FFDCE0" w:val="clear"/>
          </w:tcPr>
          <w:p>
            <w:r>
              <w:rPr>
                <w:b/>
                <w:sz w:val="17"/>
              </w:rPr>
              <w:t>3,843</w:t>
            </w:r>
          </w:p>
        </w:tc>
        <w:tc>
          <w:tcPr>
            <w:tcW w:type="dxa" w:w="1440"/>
            <w:shd w:fill="FFDCE0" w:val="clear"/>
          </w:tcPr>
          <w:p>
            <w:r>
              <w:rPr>
                <w:sz w:val="17"/>
              </w:rPr>
              <w:t>4,254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3,130</w:t>
            </w:r>
          </w:p>
        </w:tc>
        <w:tc>
          <w:tcPr>
            <w:tcW w:type="dxa" w:w="1440"/>
            <w:shd w:fill="FFDCE0" w:val="clear"/>
          </w:tcPr>
          <w:p>
            <w:r>
              <w:rPr>
                <w:b/>
                <w:sz w:val="17"/>
              </w:rPr>
              <w:t>3,555</w:t>
            </w:r>
          </w:p>
        </w:tc>
        <w:tc>
          <w:tcPr>
            <w:tcW w:type="dxa" w:w="1440"/>
            <w:shd w:fill="FFDCE0" w:val="clear"/>
          </w:tcPr>
          <w:p>
            <w:r>
              <w:rPr>
                <w:sz w:val="17"/>
              </w:rPr>
              <w:t>3,980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2,858</w:t>
            </w:r>
          </w:p>
        </w:tc>
        <w:tc>
          <w:tcPr>
            <w:tcW w:type="dxa" w:w="1440"/>
            <w:shd w:fill="FFDCE0" w:val="clear"/>
          </w:tcPr>
          <w:p>
            <w:r>
              <w:rPr>
                <w:b/>
                <w:sz w:val="17"/>
              </w:rPr>
              <w:t>3,289</w:t>
            </w:r>
          </w:p>
        </w:tc>
        <w:tc>
          <w:tcPr>
            <w:tcW w:type="dxa" w:w="1440"/>
            <w:shd w:fill="FFDCE0" w:val="clear"/>
          </w:tcPr>
          <w:p>
            <w:r>
              <w:rPr>
                <w:sz w:val="17"/>
              </w:rPr>
              <w:t>3,719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2,612</w:t>
            </w:r>
          </w:p>
        </w:tc>
        <w:tc>
          <w:tcPr>
            <w:tcW w:type="dxa" w:w="1440"/>
            <w:shd w:fill="FFDCE0" w:val="clear"/>
          </w:tcPr>
          <w:p>
            <w:r>
              <w:rPr>
                <w:b/>
                <w:sz w:val="17"/>
              </w:rPr>
              <w:t>3,042</w:t>
            </w:r>
          </w:p>
        </w:tc>
        <w:tc>
          <w:tcPr>
            <w:tcW w:type="dxa" w:w="1440"/>
            <w:shd w:fill="FFDCE0" w:val="clear"/>
          </w:tcPr>
          <w:p>
            <w:r>
              <w:rPr>
                <w:sz w:val="17"/>
              </w:rPr>
              <w:t>3,472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2,388</w:t>
            </w:r>
          </w:p>
        </w:tc>
        <w:tc>
          <w:tcPr>
            <w:tcW w:type="dxa" w:w="1440"/>
            <w:shd w:fill="FFDCE0" w:val="clear"/>
          </w:tcPr>
          <w:p>
            <w:r>
              <w:rPr>
                <w:b/>
                <w:sz w:val="17"/>
              </w:rPr>
              <w:t>2,814</w:t>
            </w:r>
          </w:p>
        </w:tc>
        <w:tc>
          <w:tcPr>
            <w:tcW w:type="dxa" w:w="1440"/>
            <w:shd w:fill="FFDCE0" w:val="clear"/>
          </w:tcPr>
          <w:p>
            <w:r>
              <w:rPr>
                <w:sz w:val="17"/>
              </w:rPr>
              <w:t>3,239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2,185</w:t>
            </w:r>
          </w:p>
        </w:tc>
        <w:tc>
          <w:tcPr>
            <w:tcW w:type="dxa" w:w="1440"/>
            <w:shd w:fill="FFDCE0" w:val="clear"/>
          </w:tcPr>
          <w:p>
            <w:r>
              <w:rPr>
                <w:b/>
                <w:sz w:val="17"/>
              </w:rPr>
              <w:t>2,603</w:t>
            </w:r>
          </w:p>
        </w:tc>
        <w:tc>
          <w:tcPr>
            <w:tcW w:type="dxa" w:w="1440"/>
            <w:shd w:fill="FFDCE0" w:val="clear"/>
          </w:tcPr>
          <w:p>
            <w:r>
              <w:rPr>
                <w:sz w:val="17"/>
              </w:rPr>
              <w:t>3,020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2,001</w:t>
            </w:r>
          </w:p>
        </w:tc>
        <w:tc>
          <w:tcPr>
            <w:tcW w:type="dxa" w:w="1440"/>
            <w:shd w:fill="FFDCE0" w:val="clear"/>
          </w:tcPr>
          <w:p>
            <w:r>
              <w:rPr>
                <w:b/>
                <w:sz w:val="17"/>
              </w:rPr>
              <w:t>2,408</w:t>
            </w:r>
          </w:p>
        </w:tc>
        <w:tc>
          <w:tcPr>
            <w:tcW w:type="dxa" w:w="1440"/>
            <w:shd w:fill="FFDCE0" w:val="clear"/>
          </w:tcPr>
          <w:p>
            <w:r>
              <w:rPr>
                <w:sz w:val="17"/>
              </w:rPr>
              <w:t>2,815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Absolument. Voici un rapport d'analyse structuré et professionnel pour l'action SAFC (Alios Finance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42,63 milliards FCFA, un niveau modeste dans le contexte de la BRVM, reflétant sa taille moyenne dans le secteur financier. Avec un BPA de 86 FCFA, le PER de 60,8x est extrêmement élevé, indiquant que les investisseurs paient une prime très significative par rapport aux bénéfices actuels, bien au-delà de la moyenne historique de la BRVM (8-12x). De même, le P/B de 7,21x valorise fortement l'actif net comptable, suggérant des attentes de croissance et de redressement très optimistes. Enfin, l'EV/EBITDA de 78,8x confirme cette valorisation exigeante, la valeur totale de l'entreprise étant près de 79 fois sa capacité opérationnelle brute, ce qui laisse une marge de sécurité très faible.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 enregistré une baisse significative de -13,93%, bien que la dernière séance ait rebondi de +5,00% pour clôturer à 5 250 FCFA. Le cours a évolué dans une fourchette très large, oscillant entre un plus bas de 3 340 FCFA et un plus haut de 7 555 FCFA, illustrant une volatilité et une nervosité extrêmes. La moyenne (4 826 FCFA) est supérieure à la médiane (4 505 FCFA), et le skewness positif (0,837) confirme une distribution asymétrique avec des épisodes de fortes hausses, mais aussi des journées majoritairement sous la moyenne. L'écart-type de 1 152 FCFA (CV=23,9%) et la volatilité annualisée de 83,1% classent le titre comme extrêmement risqué, bien au-delà du seuil de 30% considéré comme élevé. Le kurtosis proche de la normale (-0,373) suggère toutefois que les mouvements extrêmes ne sont pas plus fréquents que dans une distribution standard, malgré l'amplitude des variations.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(5 250 FCFA) est nettement au-dessus de la MM20 (4 730,75 FCFA) et de la MM50 (4 386,7 FCFA). Cette configuration haussière, où le prix est soutenu par les moyennes mobiles, justifie la décision d'**Achat**. La pente positive des MM indique une dynamique de court et moyen terme favorable.</w:t>
      </w:r>
    </w:p>
    <w:p>
      <w:pPr>
        <w:spacing w:after="120" w:line="276" w:lineRule="auto"/>
      </w:pPr>
      <w:r>
        <w:t>**Bandes de Bollinger** : Le cours se situe près de la borne supérieure (5 465,87 FCFA), indiquant une pression acheteuse forte. La largeur des bandes (écart de 1 470 FCFA) reflète la volatilité élevée du titre. La position proche de la borne supérieure suggère une possible suracheter à court terme, d'où une décision **Neutre**, car le prix pourrait soit percer la résistance, soit revenir vers la moyenne.</w:t>
      </w:r>
    </w:p>
    <w:p>
      <w:pPr>
        <w:spacing w:after="120" w:line="276" w:lineRule="auto"/>
      </w:pPr>
      <w:r>
        <w:t>**MACD** : Le MACD (229,15) est nettement supérieur à son signal (198,67), avec une divergence positive. Ce croisement haussier indique un momentum positif et une dynamique de tendance à la hausse, justifiant la décision d'**Achat**. La vigueur de l'écart suggère une accélération du mouvement.</w:t>
      </w:r>
    </w:p>
    <w:p>
      <w:pPr>
        <w:spacing w:after="120" w:line="276" w:lineRule="auto"/>
      </w:pPr>
      <w:r>
        <w:t>**RSI** : Le RSI est à 72,36, une valeur qui entre dans la zone de surachat (au-dessus de 70). Cela signifie que le titre a fortement monté sur une courte période et qu'un repli technique est possible. La décision de **Vente** est donc justifiée pour signaler un risque de correction à court terme.</w:t>
      </w:r>
    </w:p>
    <w:p>
      <w:pPr>
        <w:spacing w:after="120" w:line="276" w:lineRule="auto"/>
      </w:pPr>
      <w:r>
        <w:t>**Stochastique** : Le %K (90,91) est très élevé et nettement au-dessus du %D (79,37), confirmant la force de la tendance haussière. Cependant, ces niveaux extrêmes indiquent également une condition de surachat sévère. La décision de **Vente** est cohérente avec l'anticipation d'un essoufflement imminent.</w:t>
      </w:r>
    </w:p>
    <w:p>
      <w:pPr>
        <w:spacing w:after="120" w:line="276" w:lineRule="auto"/>
      </w:pPr>
      <w:r>
        <w:t>**Conclusion technique** : Les indicateurs de tendance (MM, MACD) sont positifs et confirment une dynamique haussière de fond. Cependant, les oscillateurs (RSI, Stochastique) signalent tous deux une condition de surachat extrême. Cette divergence suggère un fort potentiel de consolidation ou de correction à court terme avant que la tendance haussière ne puisse se poursuivre. La prudence est donc de mise malgré la tendance positive.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SAFC a réalisé un Produit Net Bancaire (PNB) de 5,735 milliards FCFA, en forte hausse de 44% par rapport à 2024 (3,980 Mds FCFA), et a dégagé un résultat net positif de 701 millions FCFA, contre une perte de 165 millions en 2024. Cette performance s'explique par une amélioration spectaculaire du résultat brut d'exploitation (1,283 Md FCFA) et une maîtrise du coût du risque (377 M FCFA). La rentabilité des fonds propres (ROE) s'établit à 11,85%, et la marge nette à 12,2%. Cependant, le coefficient d'exploitation est élevé à 77,6%, indiquant une efficacité opérationnelle encore perfectible. La structure de bilan reste fragile avec des capitaux propres de seulement 5,916 Mds FCFA pour un total de bilan de 79,555 Mds FCFA (autonomie financière de 7,4%), et une forte dépendance aux dettes interbancaires (35,747 Mds FCFA). Sur la base du rapport du T1 2026 (PNB en hausse de 29% et résultat net de 151 millions FCFA), on estime que l'exercice 2026 pourrait confirmer ce redressement, avec un PNB annuel potentiel dépassant les 6,5 milliards FCFA et un résultat net en croissance soutenue, sous réserve de la maîtrise du coût du risque. Les rapports de 2025 et du T1 2026 convergent vers une recommandation de **CONSERVER**, saluant le redressement mais pointant la nécessité de renforcer les fonds propres et de diversifier les sources de financement.</w:t>
      </w:r>
    </w:p>
    <w:p>
      <w:pPr>
        <w:spacing w:after="120" w:line="276" w:lineRule="auto"/>
      </w:pPr>
      <w:r>
        <w:t>---</w:t>
      </w:r>
    </w:p>
    <w:p>
      <w:pPr>
        <w:spacing w:after="120" w:line="276" w:lineRule="auto"/>
      </w:pPr>
      <w:r>
        <w:t>### PARTIE 4 : CONCLUSION D'INVESTISSEMENT</w:t>
      </w:r>
    </w:p>
    <w:p>
      <w:pPr>
        <w:spacing w:after="120" w:line="276" w:lineRule="auto"/>
      </w:pPr>
      <w:r>
        <w:t>La valorisation boursière de SAFC est extrêmement exigeante (PER 60,8x, P/B 7,21x), reflétant des attentes de croissance très élevées qui ne laissent que peu de marge d'erreur. Le comportement du cours sur 100 jours montre une tendance baissière globale (-13,93%) avec une volatilité extrême (83,1%), ce qui est préoccupant pour un investisseur averse au risque. Les signaux techniques sont mitigés : une tendance haussière de fond (MM, MACD) mais des oscillateurs en surachat (RSI, Stochastique) suggérant une correction imminente. Les fondamentaux, bien qu'en nette amélioration (retour aux bénéfices en 2025, croissance du PNB), restent fragiles avec un bilan sous-capitalisé et une dépendance aux financements interbancaires. Les prédictions IA pour les 10 prochains jours anticipent une chute brutale du cours (de 4 856 à 3 555 FCFA), contredisant fortement les signaux techniques de court terme et suggérant une correction sévère. La convergence de la valorisation excessive, de la volatilité historique et des prédictions baissières l'emporte sur les signaux techniques positifs. Par conséquent, la recommandation finale est **VENTE**, avec un niveau de confiance **Moyen** et un risque global **Élevé**. L'horizon d'investissement optimal est le **court terme (&lt;3 mois)** pour les investisseurs cherchant à se positionner après une correction, tandis que les investisseurs à long terme devraient attendre une consolidation des fondamentaux et un assainissement du bilan avant d'envisager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12,315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007800"/>
                <w:sz w:val="17"/>
              </w:rPr>
              <w:t>+135.88%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28.19% (Élevée) — μ=2,651 FCFA, σ=747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β=0.4400 (Défensif) — Cov=0.000016, Var(idx)=0.000036, ρ=0.072,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3,104</w:t>
            </w:r>
          </w:p>
        </w:tc>
        <w:tc>
          <w:tcPr>
            <w:tcW w:type="dxa" w:w="1440"/>
            <w:shd w:fill="FFDCE0" w:val="clear"/>
          </w:tcPr>
          <w:p>
            <w:r>
              <w:rPr>
                <w:b/>
                <w:sz w:val="17"/>
              </w:rPr>
              <w:t>3,284</w:t>
            </w:r>
          </w:p>
        </w:tc>
        <w:tc>
          <w:tcPr>
            <w:tcW w:type="dxa" w:w="1440"/>
            <w:shd w:fill="FFDCE0" w:val="clear"/>
          </w:tcPr>
          <w:p>
            <w:r>
              <w:rPr>
                <w:sz w:val="17"/>
              </w:rPr>
              <w:t>3,463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2,803</w:t>
            </w:r>
          </w:p>
        </w:tc>
        <w:tc>
          <w:tcPr>
            <w:tcW w:type="dxa" w:w="1440"/>
            <w:shd w:fill="FFDCE0" w:val="clear"/>
          </w:tcPr>
          <w:p>
            <w:r>
              <w:rPr>
                <w:b/>
                <w:sz w:val="17"/>
              </w:rPr>
              <w:t>3,037</w:t>
            </w:r>
          </w:p>
        </w:tc>
        <w:tc>
          <w:tcPr>
            <w:tcW w:type="dxa" w:w="1440"/>
            <w:shd w:fill="FFDCE0" w:val="clear"/>
          </w:tcPr>
          <w:p>
            <w:r>
              <w:rPr>
                <w:sz w:val="17"/>
              </w:rPr>
              <w:t>3,272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2,543</w:t>
            </w:r>
          </w:p>
        </w:tc>
        <w:tc>
          <w:tcPr>
            <w:tcW w:type="dxa" w:w="1440"/>
            <w:shd w:fill="FFDCE0" w:val="clear"/>
          </w:tcPr>
          <w:p>
            <w:r>
              <w:rPr>
                <w:b/>
                <w:sz w:val="17"/>
              </w:rPr>
              <w:t>2,810</w:t>
            </w:r>
          </w:p>
        </w:tc>
        <w:tc>
          <w:tcPr>
            <w:tcW w:type="dxa" w:w="1440"/>
            <w:shd w:fill="FFDCE0" w:val="clear"/>
          </w:tcPr>
          <w:p>
            <w:r>
              <w:rPr>
                <w:sz w:val="17"/>
              </w:rPr>
              <w:t>3,076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2,315</w:t>
            </w:r>
          </w:p>
        </w:tc>
        <w:tc>
          <w:tcPr>
            <w:tcW w:type="dxa" w:w="1440"/>
            <w:shd w:fill="FFDCE0" w:val="clear"/>
          </w:tcPr>
          <w:p>
            <w:r>
              <w:rPr>
                <w:b/>
                <w:sz w:val="17"/>
              </w:rPr>
              <w:t>2,599</w:t>
            </w:r>
          </w:p>
        </w:tc>
        <w:tc>
          <w:tcPr>
            <w:tcW w:type="dxa" w:w="1440"/>
            <w:shd w:fill="FFDCE0" w:val="clear"/>
          </w:tcPr>
          <w:p>
            <w:r>
              <w:rPr>
                <w:sz w:val="17"/>
              </w:rPr>
              <w:t>2,883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2,404</w:t>
            </w:r>
          </w:p>
        </w:tc>
        <w:tc>
          <w:tcPr>
            <w:tcW w:type="dxa" w:w="1440"/>
            <w:shd w:fill="FFDCE0" w:val="clear"/>
          </w:tcPr>
          <w:p>
            <w:r>
              <w:rPr>
                <w:sz w:val="17"/>
              </w:rPr>
              <w:t>2,698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1,926</w:t>
            </w:r>
          </w:p>
        </w:tc>
        <w:tc>
          <w:tcPr>
            <w:tcW w:type="dxa" w:w="1440"/>
            <w:shd w:fill="FFDCE0" w:val="clear"/>
          </w:tcPr>
          <w:p>
            <w:r>
              <w:rPr>
                <w:b/>
                <w:sz w:val="17"/>
              </w:rPr>
              <w:t>2,224</w:t>
            </w:r>
          </w:p>
        </w:tc>
        <w:tc>
          <w:tcPr>
            <w:tcW w:type="dxa" w:w="1440"/>
            <w:shd w:fill="FFDCE0" w:val="clear"/>
          </w:tcPr>
          <w:p>
            <w:r>
              <w:rPr>
                <w:sz w:val="17"/>
              </w:rPr>
              <w:t>2,522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1,759</w:t>
            </w:r>
          </w:p>
        </w:tc>
        <w:tc>
          <w:tcPr>
            <w:tcW w:type="dxa" w:w="1440"/>
            <w:shd w:fill="FFDCE0" w:val="clear"/>
          </w:tcPr>
          <w:p>
            <w:r>
              <w:rPr>
                <w:b/>
                <w:sz w:val="17"/>
              </w:rPr>
              <w:t>2,057</w:t>
            </w:r>
          </w:p>
        </w:tc>
        <w:tc>
          <w:tcPr>
            <w:tcW w:type="dxa" w:w="1440"/>
            <w:shd w:fill="FFDCE0" w:val="clear"/>
          </w:tcPr>
          <w:p>
            <w:r>
              <w:rPr>
                <w:sz w:val="17"/>
              </w:rPr>
              <w:t>2,355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1,608</w:t>
            </w:r>
          </w:p>
        </w:tc>
        <w:tc>
          <w:tcPr>
            <w:tcW w:type="dxa" w:w="1440"/>
            <w:shd w:fill="FFDCE0" w:val="clear"/>
          </w:tcPr>
          <w:p>
            <w:r>
              <w:rPr>
                <w:b/>
                <w:sz w:val="17"/>
              </w:rPr>
              <w:t>1,903</w:t>
            </w:r>
          </w:p>
        </w:tc>
        <w:tc>
          <w:tcPr>
            <w:tcW w:type="dxa" w:w="1440"/>
            <w:shd w:fill="FFDCE0" w:val="clear"/>
          </w:tcPr>
          <w:p>
            <w:r>
              <w:rPr>
                <w:sz w:val="17"/>
              </w:rPr>
              <w:t>2,197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1,471</w:t>
            </w:r>
          </w:p>
        </w:tc>
        <w:tc>
          <w:tcPr>
            <w:tcW w:type="dxa" w:w="1440"/>
            <w:shd w:fill="FFDCE0" w:val="clear"/>
          </w:tcPr>
          <w:p>
            <w:r>
              <w:rPr>
                <w:b/>
                <w:sz w:val="17"/>
              </w:rPr>
              <w:t>1,760</w:t>
            </w:r>
          </w:p>
        </w:tc>
        <w:tc>
          <w:tcPr>
            <w:tcW w:type="dxa" w:w="1440"/>
            <w:shd w:fill="FFDCE0" w:val="clear"/>
          </w:tcPr>
          <w:p>
            <w:r>
              <w:rPr>
                <w:sz w:val="17"/>
              </w:rPr>
              <w:t>2,049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1,346</w:t>
            </w:r>
          </w:p>
        </w:tc>
        <w:tc>
          <w:tcPr>
            <w:tcW w:type="dxa" w:w="1440"/>
            <w:shd w:fill="FFDCE0" w:val="clear"/>
          </w:tcPr>
          <w:p>
            <w:r>
              <w:rPr>
                <w:b/>
                <w:sz w:val="17"/>
              </w:rPr>
              <w:t>1,628</w:t>
            </w:r>
          </w:p>
        </w:tc>
        <w:tc>
          <w:tcPr>
            <w:tcW w:type="dxa" w:w="1440"/>
            <w:shd w:fill="FFDCE0" w:val="clear"/>
          </w:tcPr>
          <w:p>
            <w:r>
              <w:rPr>
                <w:sz w:val="17"/>
              </w:rPr>
              <w:t>1,910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 — BRVM**</w:t>
      </w:r>
    </w:p>
    <w:p>
      <w:pPr>
        <w:spacing w:after="120" w:line="276" w:lineRule="auto" w:before="240"/>
      </w:pPr>
      <w:r>
        <w:rPr>
          <w:b/>
          <w:color w:val="003366"/>
          <w:sz w:val="24"/>
        </w:rPr>
        <w:t>**PARTIE 0 : INDICATEURS DE VALORISATION BOURSIÈRE**</w:t>
      </w:r>
    </w:p>
    <w:p>
      <w:pPr>
        <w:spacing w:after="120" w:line="276" w:lineRule="auto"/>
      </w:pPr>
      <w:r>
        <w:t>La capitalisation boursière de 69,58 milliards FCFA place la SCRC parmi les valeurs moyennes de la BRVM, reflétant un intérêt certain du marché malgré des fondamentaux fragiles. Le BPA négatif de -406 FCFA par action traduit une perte nette par action, ce qui rend le PER non significatif à -8,7x, signalant que le marché ne valorise pas la société sur ses bénéfices actuels. Le P/B de 4,04x est particulièrement exigeant, indiquant que les investisseurs paient une prime de plus de 300% par rapport à la valeur comptable des actifs, ce qui est inhabituel pour une société déficitaire. L'EV/EBITDA de 10,8x, bien que dans la fourchette moyenne, suggère que la valeur d'entreprise reste élevée par rapport à la capacité bénéficiaire brute, ce qui pourrait refléter des anticipations de redressement futur ou une spéculation sur le titre.</w:t>
      </w:r>
    </w:p>
    <w:p>
      <w:pPr>
        <w:spacing w:after="120" w:line="276" w:lineRule="auto" w:before="240"/>
      </w:pPr>
      <w:r>
        <w:rPr>
          <w:b/>
          <w:color w:val="003366"/>
          <w:sz w:val="24"/>
        </w:rPr>
        <w:t>**PARTIE 1 : ANALYSE DU COURS — STATISTIQUES ET ÉVOLUTION (100 derniers jours)**</w:t>
      </w:r>
    </w:p>
    <w:p>
      <w:pPr>
        <w:spacing w:after="120" w:line="276" w:lineRule="auto"/>
      </w:pPr>
      <w:r>
        <w:t>Le titre SCRC a connu une appréciation spectaculaire de +135,88% sur la période, passant d'un plus bas de 1 455 FCFA à un plus haut de 3 920 FCFA, avant de se stabiliser autour de 3 550 FCFA, soit une légère baisse de -0,70% lors de la dernière séance. La moyenne de 2 651 FCFA est inférieure à la médiane de 2 710 FCFA, indiquant une distribution légèrement asymétrique avec des valeurs extrêmes tirant la moyenne vers le bas. L'écart-type de 751 FCFA avec un coefficient de variation de 28,3% révèle une dispersion modérée des prix autour de la moyenne. Le kurtosis négatif de -1,370 indique une distribution platykurtique, signifiant une faible probabilité de mouvements extrêmes, tandis que le skewness de -0,015 confirme une symétrie quasi parfaite. La volatilité annualisée de 58,1% est très élevée, positionnant le titre comme spéculatif avec des fluctuations importantes, typiques d'une valeur en pleine phase de redressement ou de spéculation intense.</w:t>
      </w:r>
    </w:p>
    <w:p>
      <w:pPr>
        <w:spacing w:after="120" w:line="276" w:lineRule="auto" w:before="240"/>
      </w:pPr>
      <w:r>
        <w:rPr>
          <w:b/>
          <w:color w:val="003366"/>
          <w:sz w:val="24"/>
        </w:rPr>
        <w:t>**PARTIE 2 : ANALYSE TECHNIQUE DÉTAILLÉE**</w:t>
      </w:r>
    </w:p>
    <w:p>
      <w:pPr>
        <w:spacing w:after="120" w:line="276" w:lineRule="auto"/>
      </w:pPr>
      <w:r>
        <w:t>**Moyennes Mobiles** : La MM20 à 3 616,25 FCFA et la MM50 à 3 319,8 FCFA sont toutes deux inférieures au cours actuel de 3 550 FCFA, mais la MM20 est au-dessus de la MM50, formant une configuration haussière à court terme. Le cours évolue au-dessus de la MM50, ce qui confirme une tendance de fond positive, mais la proximité avec la MM20 suggère une possible consolidation. La décision d'achat est justifiée par la tendance haussière dominante, bien que le récent repli du cours nécessite une vigilance.</w:t>
      </w:r>
    </w:p>
    <w:p>
      <w:pPr>
        <w:spacing w:after="120" w:line="276" w:lineRule="auto"/>
      </w:pPr>
      <w:r>
        <w:t>**Bandes de Bollinger** : Le cours à 3 550 FCFA se situe entre la borne supérieure à 3 865 FCFA et la borne inférieure à 3 367 FCFA, proche du milieu de la bande. L'écart entre les bornes reflète une volatilité élevée, mais le positionnement central indique un équilibre temporaire entre acheteurs et vendeurs. La décision neutre est cohérente avec l'absence de signal directionnel fort, le marché attendant probablement une direction claire.</w:t>
      </w:r>
    </w:p>
    <w:p>
      <w:pPr>
        <w:spacing w:after="120" w:line="276" w:lineRule="auto"/>
      </w:pPr>
      <w:r>
        <w:t>**MACD** : Le MACD à 88,004 est inférieur à son signal à 119,78, formant une divergence baissière qui suggère un ralentissement du momentum haussier. Cette configuration indique que la pression acheteuse s'affaiblit, ce qui pourrait précéder une correction ou une consolidation. La décision de vente est justifiée par cette perte de dynamique, même si le MACD reste en territoire positif, indiquant que la tendance de fond demeure haussière.</w:t>
      </w:r>
    </w:p>
    <w:p>
      <w:pPr>
        <w:spacing w:after="120" w:line="276" w:lineRule="auto"/>
      </w:pPr>
      <w:r>
        <w:t>**RSI** : Le RSI à 41,885 se situe dans la zone neutre (30-70), indiquant que le titre n'est ni suracheté ni survendu. Cette valeur suggère un équilibre entre les forces acheteuses et vendeuses, avec une légère tendance baissière. La décision neutre est appropriée, le RSI ne fournissant pas de signal directionnel fort, mais la proximité de la zone de survente pourrait attirer des acheteurs à moyen terme.</w:t>
      </w:r>
    </w:p>
    <w:p>
      <w:pPr>
        <w:spacing w:after="120" w:line="276" w:lineRule="auto"/>
      </w:pPr>
      <w:r>
        <w:t>**Stochastique** : Le %K à 18,033 est inférieur au %D à 27,303, indiquant que le titre est en zone de survente, ce qui pourrait signaler un rebond technique imminent. Le croisement baissier récent suggère une pression vendeuse à court terme, mais les niveaux actuels sont souvent associés à des opportunités d'achat. La décision d'achat est justifiée par cette situation de survente, qui pourrait attirer des investisseurs cherchant à profiter d'un rebond technique.</w:t>
      </w:r>
    </w:p>
    <w:p>
      <w:pPr>
        <w:spacing w:after="120" w:line="276" w:lineRule="auto"/>
      </w:pPr>
      <w:r>
        <w:t>**Conclusion technique** : Les indicateurs sont mitigés avec une tendance haussière de fond (MM) mais des signaux de faiblesse à court terme (MACD, RSI). Le stochastique en survente suggère un possible rebond, mais la prudence est de mise. Globalement, le titre semble en phase de consolidation après une forte hausse, avec un biais haussier à moyen terme mais des risques de correction à court terme.</w:t>
      </w:r>
    </w:p>
    <w:p>
      <w:pPr>
        <w:spacing w:after="120" w:line="276" w:lineRule="auto" w:before="240"/>
      </w:pPr>
      <w:r>
        <w:rPr>
          <w:b/>
          <w:color w:val="003366"/>
          <w:sz w:val="24"/>
        </w:rPr>
        <w:t>**PARTIE 3 : ANALYSE FONDAMENTALE (SECTION CRITIQUE)**</w:t>
      </w:r>
    </w:p>
    <w:p>
      <w:pPr>
        <w:spacing w:after="120" w:line="276" w:lineRule="auto"/>
      </w:pPr>
      <w:r>
        <w:t>En 2025, la SCRC affiche un chiffre d'affaires de 80,57 milliards FCFA, en baisse de 7,6% par rapport à 2024, et un résultat net déficitaire de -7,95 milliards FCFA, contre un bénéfice de 2,47 milliards FCFA en 2024, soit une dégradation de 421%. Le ROE s'établit à -46,13% et le ROA à -5,08%, reflétant une destruction de valeur significative. La marge nette est négative à -9,87%, tandis que la marge opérationnelle est quasi nulle à -0,68%. Le BFR de 6,53 milliards FCFA est positif, indiquant un besoin de financement du cycle d'exploitation, avec un délai clients de 12,28 jours et un délai fournisseurs de 366 jours, ce qui est favorable pour la trésorerie. L'endettement est massif avec un ratio d'endettement de 88,98% et une capacité de remboursement de 11,21 ans, signalant un risque de solvabilité élevé. Les rapports trimestriels 2025 montrent une tendance préoccupante : le T1 2025 affichait un bénéfice de 3,21 milliards FCFA, mais le S1 2025 a basculé en perte de -6,71 milliards FCFA, suggérant une détérioration rapide. Les rapports de 2024 indiquaient un redressement avec un bénéfice de 2,59 milliards FCFA, mais cette amélioration s'est inversée en 2025. Les perspectives 2026 dépendront de la capacité de la société à restructurer sa dette et à améliorer ses marges opérationnelles, mais les signaux actuels sont très négatifs.</w:t>
      </w:r>
    </w:p>
    <w:p>
      <w:pPr>
        <w:spacing w:after="120" w:line="276" w:lineRule="auto" w:before="240"/>
      </w:pPr>
      <w:r>
        <w:rPr>
          <w:b/>
          <w:color w:val="003366"/>
          <w:sz w:val="24"/>
        </w:rPr>
        <w:t>**PARTIE 4 : CONCLUSION D'INVESTISSEMENT**</w:t>
      </w:r>
    </w:p>
    <w:p>
      <w:pPr>
        <w:spacing w:after="120" w:line="276" w:lineRule="auto"/>
      </w:pPr>
      <w:r>
        <w:t>La valorisation boursière de la SCRC est extrêmement exigeante avec un P/B de 4,04x et un PER négatif, indiquant une surévaluation relative aux fondamentaux actuels. Le comportement du cours, avec une hausse de 135,88% sur 100 jours, est atypique et semble déconnecté des réalités financières, la volatilité de 58,1% et le kurtosis platykurtique suggérant un comportement spéculatif. Les signaux techniques sont mitigés, avec une tendance haussière de fond mais des indicateurs de momentum faibles, tandis que les fondamentaux sont très dégradés avec une perte massive et un endettement critique. Les prédictions IA indiquent une chute brutale du cours à 2 404 FCFA d'ici 10 jours, confirmant les risques de correction. La convergence des signaux négatifs (fondamentaux, prédictions IA) et la divergence avec la valorisation boursière suggèrent une correction imminente. Recommandation : **VENTE FORTE** avec un niveau de confiance **Élevé** et un risque global **Élevé**. L'horizon d'investissement optimal est le **court terme (&lt;3 mois)** pour les investisseurs cherchant à réduire leur exposition, car les perspectives à moyen terme restent très incertaines.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1,031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+53.35%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19.76% (Élevée) — μ=10,046 FCFA, σ=1,985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β=0.4097 (Défensif) — Cov=0.000015, Var(idx)=0.000036, ρ=0.108,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11,071</w:t>
            </w:r>
          </w:p>
        </w:tc>
        <w:tc>
          <w:tcPr>
            <w:tcW w:type="dxa" w:w="1440"/>
            <w:shd w:fill="FFDCE0" w:val="clear"/>
          </w:tcPr>
          <w:p>
            <w:r>
              <w:rPr>
                <w:b/>
                <w:sz w:val="17"/>
              </w:rPr>
              <w:t>11,448</w:t>
            </w:r>
          </w:p>
        </w:tc>
        <w:tc>
          <w:tcPr>
            <w:tcW w:type="dxa" w:w="1440"/>
            <w:shd w:fill="FFDCE0" w:val="clear"/>
          </w:tcPr>
          <w:p>
            <w:r>
              <w:rPr>
                <w:sz w:val="17"/>
              </w:rPr>
              <w:t>11,824</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10,804</w:t>
            </w:r>
          </w:p>
        </w:tc>
        <w:tc>
          <w:tcPr>
            <w:tcW w:type="dxa" w:w="1440"/>
            <w:shd w:fill="FFDCE0" w:val="clear"/>
          </w:tcPr>
          <w:p>
            <w:r>
              <w:rPr>
                <w:b/>
                <w:sz w:val="17"/>
              </w:rPr>
              <w:t>11,331</w:t>
            </w:r>
          </w:p>
        </w:tc>
        <w:tc>
          <w:tcPr>
            <w:tcW w:type="dxa" w:w="1440"/>
            <w:shd w:fill="FFDCE0" w:val="clear"/>
          </w:tcPr>
          <w:p>
            <w:r>
              <w:rPr>
                <w:sz w:val="17"/>
              </w:rPr>
              <w:t>11,858</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10,585</w:t>
            </w:r>
          </w:p>
        </w:tc>
        <w:tc>
          <w:tcPr>
            <w:tcW w:type="dxa" w:w="1440"/>
            <w:shd w:fill="FFDCE0" w:val="clear"/>
          </w:tcPr>
          <w:p>
            <w:r>
              <w:rPr>
                <w:b/>
                <w:sz w:val="17"/>
              </w:rPr>
              <w:t>11,225</w:t>
            </w:r>
          </w:p>
        </w:tc>
        <w:tc>
          <w:tcPr>
            <w:tcW w:type="dxa" w:w="1440"/>
            <w:shd w:fill="FFDCE0" w:val="clear"/>
          </w:tcPr>
          <w:p>
            <w:r>
              <w:rPr>
                <w:sz w:val="17"/>
              </w:rPr>
              <w:t>11,864</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10,398</w:t>
            </w:r>
          </w:p>
        </w:tc>
        <w:tc>
          <w:tcPr>
            <w:tcW w:type="dxa" w:w="1440"/>
            <w:shd w:fill="FFDCE0" w:val="clear"/>
          </w:tcPr>
          <w:p>
            <w:r>
              <w:rPr>
                <w:b/>
                <w:sz w:val="17"/>
              </w:rPr>
              <w:t>11,130</w:t>
            </w:r>
          </w:p>
        </w:tc>
        <w:tc>
          <w:tcPr>
            <w:tcW w:type="dxa" w:w="1440"/>
            <w:shd w:fill="FFDCE0" w:val="clear"/>
          </w:tcPr>
          <w:p>
            <w:r>
              <w:rPr>
                <w:sz w:val="17"/>
              </w:rPr>
              <w:t>11,861</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10,228</w:t>
            </w:r>
          </w:p>
        </w:tc>
        <w:tc>
          <w:tcPr>
            <w:tcW w:type="dxa" w:w="1440"/>
            <w:shd w:fill="FFDCE0" w:val="clear"/>
          </w:tcPr>
          <w:p>
            <w:r>
              <w:rPr>
                <w:b/>
                <w:sz w:val="17"/>
              </w:rPr>
              <w:t>11,040</w:t>
            </w:r>
          </w:p>
        </w:tc>
        <w:tc>
          <w:tcPr>
            <w:tcW w:type="dxa" w:w="1440"/>
            <w:shd w:fill="FFDCE0" w:val="clear"/>
          </w:tcPr>
          <w:p>
            <w:r>
              <w:rPr>
                <w:sz w:val="17"/>
              </w:rPr>
              <w:t>11,852</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10,074</w:t>
            </w:r>
          </w:p>
        </w:tc>
        <w:tc>
          <w:tcPr>
            <w:tcW w:type="dxa" w:w="1440"/>
            <w:shd w:fill="FFDCE0" w:val="clear"/>
          </w:tcPr>
          <w:p>
            <w:r>
              <w:rPr>
                <w:b/>
                <w:sz w:val="17"/>
              </w:rPr>
              <w:t>10,956</w:t>
            </w:r>
          </w:p>
        </w:tc>
        <w:tc>
          <w:tcPr>
            <w:tcW w:type="dxa" w:w="1440"/>
            <w:shd w:fill="FFDCE0" w:val="clear"/>
          </w:tcPr>
          <w:p>
            <w:r>
              <w:rPr>
                <w:sz w:val="17"/>
              </w:rPr>
              <w:t>11,838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9,929</w:t>
            </w:r>
          </w:p>
        </w:tc>
        <w:tc>
          <w:tcPr>
            <w:tcW w:type="dxa" w:w="1440"/>
            <w:shd w:fill="FFDCE0" w:val="clear"/>
          </w:tcPr>
          <w:p>
            <w:r>
              <w:rPr>
                <w:b/>
                <w:sz w:val="17"/>
              </w:rPr>
              <w:t>10,875</w:t>
            </w:r>
          </w:p>
        </w:tc>
        <w:tc>
          <w:tcPr>
            <w:tcW w:type="dxa" w:w="1440"/>
            <w:shd w:fill="FFDCE0" w:val="clear"/>
          </w:tcPr>
          <w:p>
            <w:r>
              <w:rPr>
                <w:sz w:val="17"/>
              </w:rPr>
              <w:t>11,821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9,796</w:t>
            </w:r>
          </w:p>
        </w:tc>
        <w:tc>
          <w:tcPr>
            <w:tcW w:type="dxa" w:w="1440"/>
            <w:shd w:fill="FFDCE0" w:val="clear"/>
          </w:tcPr>
          <w:p>
            <w:r>
              <w:rPr>
                <w:b/>
                <w:sz w:val="17"/>
              </w:rPr>
              <w:t>10,801</w:t>
            </w:r>
          </w:p>
        </w:tc>
        <w:tc>
          <w:tcPr>
            <w:tcW w:type="dxa" w:w="1440"/>
            <w:shd w:fill="FFDCE0" w:val="clear"/>
          </w:tcPr>
          <w:p>
            <w:r>
              <w:rPr>
                <w:sz w:val="17"/>
              </w:rPr>
              <w:t>11,805</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9,672</w:t>
            </w:r>
          </w:p>
        </w:tc>
        <w:tc>
          <w:tcPr>
            <w:tcW w:type="dxa" w:w="1440"/>
            <w:shd w:fill="FFDCE0" w:val="clear"/>
          </w:tcPr>
          <w:p>
            <w:r>
              <w:rPr>
                <w:b/>
                <w:sz w:val="17"/>
              </w:rPr>
              <w:t>10,730</w:t>
            </w:r>
          </w:p>
        </w:tc>
        <w:tc>
          <w:tcPr>
            <w:tcW w:type="dxa" w:w="1440"/>
            <w:shd w:fill="FFDCE0" w:val="clear"/>
          </w:tcPr>
          <w:p>
            <w:r>
              <w:rPr>
                <w:sz w:val="17"/>
              </w:rPr>
              <w:t>11,788</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9,555</w:t>
            </w:r>
          </w:p>
        </w:tc>
        <w:tc>
          <w:tcPr>
            <w:tcW w:type="dxa" w:w="1440"/>
            <w:shd w:fill="FFDCE0" w:val="clear"/>
          </w:tcPr>
          <w:p>
            <w:r>
              <w:rPr>
                <w:b/>
                <w:sz w:val="17"/>
              </w:rPr>
              <w:t>10,664</w:t>
            </w:r>
          </w:p>
        </w:tc>
        <w:tc>
          <w:tcPr>
            <w:tcW w:type="dxa" w:w="1440"/>
            <w:shd w:fill="FFDCE0" w:val="clear"/>
          </w:tcPr>
          <w:p>
            <w:r>
              <w:rPr>
                <w:sz w:val="17"/>
              </w:rPr>
              <w:t>11,773</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107,10 milliards FCFA, un niveau significatif qui la positionne parmi les valeurs moyennes de la BRVM. Avec un BPA de 518 FCFA, le PER ressort à 23,0x, ce qui est nettement supérieur à la moyenne historique du marché (8-12x). Les investisseurs paient donc une prime substantielle pour chaque franc de bénéfice, traduisant des anticipations de croissance élevées. Le P/B de 5,43x confirme cette valorisation exigeante, le marché valorisant plus de cinq fois les capitaux propres comptables. Enfin, l'EV/EBITDA de 14,4x se situe dans la fourchette haute des niveaux observés sur la place, indiquant que la valeur totale de l'entreprise (dette incluse) est élevée par rapport à sa capacité opérationnelle. Ces ratios suggèrent une valorisation optimiste qui devra être justifiée par des performances futures solides.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performance spectaculaire de +53,35%, avec une dernière séance en hausse de +4,39% à 11 900 FCFA. Le titre a évolué dans une fourchette très large, entre un plus bas de 7 140 FCFA et un plus haut de 12 195 FCFA, illustrant un mouvement haussier puissant. La moyenne du cours sur la période (10 046 FCFA) est inférieure à la médiane (11 050 FCFA), ce qui indique une asymétrie positive de la distribution, confirmée par un skewness de -0,383, signe que les fortes hausses récentes ont tiré le cours vers le haut. L'écart-type de 1 995 FCFA (CV de 19,9%) témoigne d'une dispersion modérée des prix autour de la moyenne. Le kurtosis négatif (-1,624) révèle une distribution aplatie, suggérant une absence de mouvements extrêmes fréquents. La volatilité annualisée de 36,1% classe le titre comme très volatil, un niveau élevé qui implique un risque significatif pour les investisseurs.</w:t>
      </w:r>
    </w:p>
    <w:p>
      <w:pPr>
        <w:spacing w:after="120" w:line="276" w:lineRule="auto" w:before="240"/>
      </w:pPr>
      <w:r>
        <w:rPr>
          <w:b/>
          <w:color w:val="003366"/>
          <w:sz w:val="24"/>
        </w:rPr>
        <w:t>**PARTIE 2 : ANALYSE TECHNIQUE DÉTAILLÉE**</w:t>
      </w:r>
    </w:p>
    <w:p>
      <w:pPr>
        <w:spacing w:after="120" w:line="276" w:lineRule="auto"/>
      </w:pPr>
      <w:r>
        <w:t>Les moyennes mobiles sur 20 et 50 jours (11 720 FCFA et 11 777 FCFA) sont très proches l'une de l'autre et légèrement inférieures au cours actuel de 11 900 FCFA. Cette configuration indique que le prix évolue au-dessus de ses moyennes, mais la convergence de celles-ci et leur proximité avec le cours suggèrent une perte de momentum. La décision de "Vente" signalée par cet indicateur reflète un possible essoufflement de la tendance haussière à court terme.</w:t>
      </w:r>
    </w:p>
    <w:p>
      <w:pPr>
        <w:spacing w:after="120" w:line="276" w:lineRule="auto"/>
      </w:pPr>
      <w:r>
        <w:t>Les bandes de Bollinger encadrent le cours entre 11 145 FCFA (borne inférieure) et 12 295 FCFA (borne supérieure). Le prix à 11 900 FCFA se situe dans la partie haute de l'enveloppe, sans toutefois toucher la borne supérieure. La décision "Neutre" est cohérente avec une volatilité modérée et un cours qui n'est pas en situation extrême, laissant une marge de manœuvre avant d'atteindre des zones de surachat.</w:t>
      </w:r>
    </w:p>
    <w:p>
      <w:pPr>
        <w:spacing w:after="120" w:line="276" w:lineRule="auto"/>
      </w:pPr>
      <w:r>
        <w:t>Le MACD affiche une valeur de 26,67 contre un signal à 44,40, une configuration baissière où la ligne MACD est passée sous sa ligne de signal. Cette divergence négative indique un affaiblissement du momentum haussier, justifiant la décision de "Vente". Les acheteurs perdent progressivement de la vigueur, même si la valeur reste positive, ce qui nuance le signal.</w:t>
      </w:r>
    </w:p>
    <w:p>
      <w:pPr>
        <w:spacing w:after="120" w:line="276" w:lineRule="auto"/>
      </w:pPr>
      <w:r>
        <w:t>Le RSI à 62,15 se situe dans la zone neutre (30-70), sans signal extrême de surachat ou de survente. Cette valeur indique une pression acheteuse encore présente mais modérée, cohérente avec la décision "Neutre". Le titre n'est pas encore en zone de surachat, ce qui laisse une possibilité de hausse supplémentaire, mais la dynamique s'essouffle.</w:t>
      </w:r>
    </w:p>
    <w:p>
      <w:pPr>
        <w:spacing w:after="120" w:line="276" w:lineRule="auto"/>
      </w:pPr>
      <w:r>
        <w:t>L'indicateur stochastique montre un %K à 87,72 et un %D à 64,26, avec le %K nettement au-dessus du %D. Cette configuration signale une zone de surachat technique, le %K dépassant largement le seuil de 80. La décision de "Vente" reflète le risque élevé de correction à court terme après cette forte progression.</w:t>
      </w:r>
    </w:p>
    <w:p>
      <w:pPr>
        <w:spacing w:after="120" w:line="276" w:lineRule="auto"/>
      </w:pPr>
      <w:r>
        <w:t>La convergence des signaux de vente sur les moyennes mobiles, le MACD et le stochastique, contrastant avec la neutralité des bandes de Bollinger et du RSI, dessine un tableau technique mitigé. Le titre semble en fin de cycle haussier à court terme, avec un risque accru de consolidation ou de correction. La prudence est de mise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10% par rapport à 2024 (172,2 milliards FCFA), avec un résultat net de 4,663 milliards FCFA, en hausse de 31%. Le ROE s'établit à un niveau excellent de 23,65%, tandis que le ROA reste faible à 0,99%, traduisant une rentabilité des capitaux propres élevée mais une utilisation des actifs moins efficace. La marge nette de 2,46% demeure mince, typique du secteur de l'eau. Le BFR de 104,748 milliards FCFA est positif, indiquant un besoin de financement important, et le délai de paiement des clients est très élevé (749 jours), un risque majeur de trésorerie. Le rapport du S1 2025 (daté du 30/06/2025) montrait un résultat net de 1,355 milliard FCFA, en baisse de 24%, mais le rapport annuel 2025 confirme un redressement au S2. Le rapport T1 2026 (daté de 2026) indique un résultat net de 1,318 milliard FCFA, en hausse de 118% par rapport au T1 2025, avec un résultat d'exploitation multiplié par 2,5. Sur cette base, on estime que l'exercice 2026 pourrait dépasser les 5 milliards FCFA de résultat net. Le dividende proposé pour 2025 est de 525 FCFA par action, offrant un rendement d'environ 4,4% au cours actuel. La situation financière reste fragile avec une trésorerie nette négative de -61,710 milliards FCFA et un endettement élevé (95,83% de dettes sur capitaux propres), mais la solvabilité générale (104,35%) est positive.</w:t>
      </w:r>
    </w:p>
    <w:p>
      <w:pPr>
        <w:spacing w:after="120" w:line="276" w:lineRule="auto" w:before="240"/>
      </w:pPr>
      <w:r>
        <w:rPr>
          <w:b/>
          <w:color w:val="003366"/>
          <w:sz w:val="24"/>
        </w:rPr>
        <w:t>**PARTIE 4 : CONCLUSION D'INVESTISSEMENT**</w:t>
      </w:r>
    </w:p>
    <w:p>
      <w:pPr>
        <w:spacing w:after="120" w:line="276" w:lineRule="auto"/>
      </w:pPr>
      <w:r>
        <w:t>La valorisation de SDCC est clairement exigeante avec un PER de 23x, un P/B de 5,43x et un EV/EBITDA de 14,4x, indiquant que le marché anticipe une poursuite de la croissance. Le comportement du cours sur 100 jours est très positif (+53,35%) mais la volatilité élevée (36,1%) et les statistiques descriptives suggèrent une distribution atypique avec un risque de retournement. Les signaux techniques sont majoritairement vendeurs à court terme (MM, MACD, Stochastique), contrastant avec la neutralité du RSI et des bandes de Bollinger, ce qui plaide pour une consolidation. Les fondamentaux sont solides avec une croissance du CA de 10% en 2025, un RN en hausse de 31%, un ROE excellent de 23,65%, et les estimations pour 2026 basées sur le T1 2026 (RN +118%) sont prometteuses. Les prédictions IA pour les 10 prochains jours (11 448 à 11 040 FCFA) confirment le scénario de correction technique. La convergence entre les signaux techniques baissiers et les prédictions IA, malgré des fondamentaux solides, conduit à une recommandation **CONSERVER** avec un niveau de confiance **Moyen**. Le risque global est **Élevé** en raison de la volatilité et de l'endettement. L'horizon d'investissement optimal est le **moyen terme (3-12 mois)**, en attendant une correction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137.72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16,303 titres</w:t>
            </w:r>
          </w:p>
        </w:tc>
        <w:tc>
          <w:tcPr>
            <w:tcW w:type="dxa" w:w="2268"/>
            <w:shd w:fill="FFF2CC" w:val="clear"/>
          </w:tcPr>
          <w:p>
            <w:r>
              <w:rPr>
                <w:b/>
                <w:color w:val="503200"/>
                <w:sz w:val="16"/>
              </w:rPr>
              <w:t xml:space="preserve">Cours actuel : </w:t>
            </w:r>
            <w:r>
              <w:rPr>
                <w:color w:val="000000"/>
                <w:sz w:val="17"/>
              </w:rPr>
              <w:t>2,530 FCFA</w:t>
            </w:r>
          </w:p>
          <w:p>
            <w:r>
              <w:rPr>
                <w:b/>
                <w:color w:val="503200"/>
                <w:sz w:val="16"/>
              </w:rPr>
              <w:t xml:space="preserve">Var. 100 jours : </w:t>
            </w:r>
            <w:r>
              <w:rPr>
                <w:b/>
                <w:color w:val="007800"/>
                <w:sz w:val="17"/>
              </w:rPr>
              <w:t>+21.63%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16.40% (Élevée) — μ=2,110 FCFA, σ=346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β=-0.0092 (Contre-cyclique) — Cov=-0.000000, Var(idx)=0.000036, ρ=-0.002,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16,303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2,361</w:t>
            </w:r>
          </w:p>
        </w:tc>
        <w:tc>
          <w:tcPr>
            <w:tcW w:type="dxa" w:w="1440"/>
            <w:shd w:fill="FAFAFA" w:val="clear"/>
          </w:tcPr>
          <w:p>
            <w:r>
              <w:rPr>
                <w:b/>
                <w:sz w:val="17"/>
              </w:rPr>
              <w:t>2,519</w:t>
            </w:r>
          </w:p>
        </w:tc>
        <w:tc>
          <w:tcPr>
            <w:tcW w:type="dxa" w:w="1440"/>
            <w:shd w:fill="FAFAFA" w:val="clear"/>
          </w:tcPr>
          <w:p>
            <w:r>
              <w:rPr>
                <w:sz w:val="17"/>
              </w:rPr>
              <w:t>2,677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2,281</w:t>
            </w:r>
          </w:p>
        </w:tc>
        <w:tc>
          <w:tcPr>
            <w:tcW w:type="dxa" w:w="1440"/>
            <w:shd w:fill="FAFAFA" w:val="clear"/>
          </w:tcPr>
          <w:p>
            <w:r>
              <w:rPr>
                <w:b/>
                <w:sz w:val="17"/>
              </w:rPr>
              <w:t>2,502</w:t>
            </w:r>
          </w:p>
        </w:tc>
        <w:tc>
          <w:tcPr>
            <w:tcW w:type="dxa" w:w="1440"/>
            <w:shd w:fill="FAFAFA" w:val="clear"/>
          </w:tcPr>
          <w:p>
            <w:r>
              <w:rPr>
                <w:sz w:val="17"/>
              </w:rPr>
              <w:t>2,724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2,215</w:t>
            </w:r>
          </w:p>
        </w:tc>
        <w:tc>
          <w:tcPr>
            <w:tcW w:type="dxa" w:w="1440"/>
            <w:shd w:fill="FAFAFA" w:val="clear"/>
          </w:tcPr>
          <w:p>
            <w:r>
              <w:rPr>
                <w:b/>
                <w:sz w:val="17"/>
              </w:rPr>
              <w:t>2,485</w:t>
            </w:r>
          </w:p>
        </w:tc>
        <w:tc>
          <w:tcPr>
            <w:tcW w:type="dxa" w:w="1440"/>
            <w:shd w:fill="FAFAFA" w:val="clear"/>
          </w:tcPr>
          <w:p>
            <w:r>
              <w:rPr>
                <w:sz w:val="17"/>
              </w:rPr>
              <w:t>2,754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2,160</w:t>
            </w:r>
          </w:p>
        </w:tc>
        <w:tc>
          <w:tcPr>
            <w:tcW w:type="dxa" w:w="1440"/>
            <w:shd w:fill="FFDCE0" w:val="clear"/>
          </w:tcPr>
          <w:p>
            <w:r>
              <w:rPr>
                <w:b/>
                <w:sz w:val="17"/>
              </w:rPr>
              <w:t>2,469</w:t>
            </w:r>
          </w:p>
        </w:tc>
        <w:tc>
          <w:tcPr>
            <w:tcW w:type="dxa" w:w="1440"/>
            <w:shd w:fill="FFDCE0" w:val="clear"/>
          </w:tcPr>
          <w:p>
            <w:r>
              <w:rPr>
                <w:sz w:val="17"/>
              </w:rPr>
              <w:t>2,778</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2,454</w:t>
            </w:r>
          </w:p>
        </w:tc>
        <w:tc>
          <w:tcPr>
            <w:tcW w:type="dxa" w:w="1440"/>
            <w:shd w:fill="FFDCE0" w:val="clear"/>
          </w:tcPr>
          <w:p>
            <w:r>
              <w:rPr>
                <w:sz w:val="17"/>
              </w:rPr>
              <w:t>2,797</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2,065</w:t>
            </w:r>
          </w:p>
        </w:tc>
        <w:tc>
          <w:tcPr>
            <w:tcW w:type="dxa" w:w="1440"/>
            <w:shd w:fill="FFDCE0" w:val="clear"/>
          </w:tcPr>
          <w:p>
            <w:r>
              <w:rPr>
                <w:b/>
                <w:sz w:val="17"/>
              </w:rPr>
              <w:t>2,439</w:t>
            </w:r>
          </w:p>
        </w:tc>
        <w:tc>
          <w:tcPr>
            <w:tcW w:type="dxa" w:w="1440"/>
            <w:shd w:fill="FFDCE0" w:val="clear"/>
          </w:tcPr>
          <w:p>
            <w:r>
              <w:rPr>
                <w:sz w:val="17"/>
              </w:rPr>
              <w:t>2,813</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2,024</w:t>
            </w:r>
          </w:p>
        </w:tc>
        <w:tc>
          <w:tcPr>
            <w:tcW w:type="dxa" w:w="1440"/>
            <w:shd w:fill="FFDCE0" w:val="clear"/>
          </w:tcPr>
          <w:p>
            <w:r>
              <w:rPr>
                <w:b/>
                <w:sz w:val="17"/>
              </w:rPr>
              <w:t>2,425</w:t>
            </w:r>
          </w:p>
        </w:tc>
        <w:tc>
          <w:tcPr>
            <w:tcW w:type="dxa" w:w="1440"/>
            <w:shd w:fill="FFDCE0" w:val="clear"/>
          </w:tcPr>
          <w:p>
            <w:r>
              <w:rPr>
                <w:sz w:val="17"/>
              </w:rPr>
              <w:t>2,827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1,985</w:t>
            </w:r>
          </w:p>
        </w:tc>
        <w:tc>
          <w:tcPr>
            <w:tcW w:type="dxa" w:w="1440"/>
            <w:shd w:fill="FFDCE0" w:val="clear"/>
          </w:tcPr>
          <w:p>
            <w:r>
              <w:rPr>
                <w:b/>
                <w:sz w:val="17"/>
              </w:rPr>
              <w:t>2,412</w:t>
            </w:r>
          </w:p>
        </w:tc>
        <w:tc>
          <w:tcPr>
            <w:tcW w:type="dxa" w:w="1440"/>
            <w:shd w:fill="FFDCE0" w:val="clear"/>
          </w:tcPr>
          <w:p>
            <w:r>
              <w:rPr>
                <w:sz w:val="17"/>
              </w:rPr>
              <w:t>2,839</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1,948</w:t>
            </w:r>
          </w:p>
        </w:tc>
        <w:tc>
          <w:tcPr>
            <w:tcW w:type="dxa" w:w="1440"/>
            <w:shd w:fill="FFDCE0" w:val="clear"/>
          </w:tcPr>
          <w:p>
            <w:r>
              <w:rPr>
                <w:b/>
                <w:sz w:val="17"/>
              </w:rPr>
              <w:t>2,398</w:t>
            </w:r>
          </w:p>
        </w:tc>
        <w:tc>
          <w:tcPr>
            <w:tcW w:type="dxa" w:w="1440"/>
            <w:shd w:fill="FFDCE0" w:val="clear"/>
          </w:tcPr>
          <w:p>
            <w:r>
              <w:rPr>
                <w:sz w:val="17"/>
              </w:rPr>
              <w:t>2,849</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1,913</w:t>
            </w:r>
          </w:p>
        </w:tc>
        <w:tc>
          <w:tcPr>
            <w:tcW w:type="dxa" w:w="1440"/>
            <w:shd w:fill="FFDCE0" w:val="clear"/>
          </w:tcPr>
          <w:p>
            <w:r>
              <w:rPr>
                <w:b/>
                <w:sz w:val="17"/>
              </w:rPr>
              <w:t>2,385</w:t>
            </w:r>
          </w:p>
        </w:tc>
        <w:tc>
          <w:tcPr>
            <w:tcW w:type="dxa" w:w="1440"/>
            <w:shd w:fill="FFDCE0" w:val="clear"/>
          </w:tcPr>
          <w:p>
            <w:r>
              <w:rPr>
                <w:sz w:val="17"/>
              </w:rPr>
              <w:t>2,857</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137,72 milliards FCFA, un niveau significatif qui la positionne parmi les valeurs moyennes à grandes capitalisations de la BRVM. Avec un BPA de 387 FCFA, le PER ressort à 6,5x, nettement inférieur à la moyenne du marché BRVM (8-12x), ce qui suggère une sous-évaluation relative du titre par rapport à ses bénéfices historiques. Le P/B de 1,77x indique que le marché valorise l'action légèrement au-dessus de sa valeur comptable, une situation raisonnable pour une entreprise avec un ROE supérieur à 27%. En revanche, l'EV/EBITDA de 29,7x apparaît très exigeant, signalant que la valeur d'entreprise intègre une prime importante par rapport à la capacité opérationnelle, ce qui crée une divergence notable avec le PER et mérite une attention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impressionnante de +21,63%, avec une accélération marquée lors de la dernière séance (+7,43%), portant le cours à 2 530 FCFA. Le titre a évolué dans une fourchette large de 1 650 à 2 820 FCFA, démontrant une forte amplitude de trading. La moyenne (2 110 FCFA) est supérieure à la médiane (1 980 FCFA), ce qui confirme une asymétrie positive (skewness de 0,582) : les journées sous la moyenne sont plus fréquentes mais les mouvements haussiers sont plus amples. L'écart-type de 348 FCFA (CV=16,5%) révèle une dispersion modérée, tandis que le kurtosis négatif (-1,024) indique une distribution platykurtique, donc une faible probabilité de mouvements extrêmes. La volatilité annualisée de 52,1% classe le titre comme très volatil, un niveau élevé qui reflète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(2 530 FCFA) se positionne au-dessus de la MM20 (2 608,25 FCFA) et de la MM50 (2 384,7 FCFA), avec une MM20 supérieure à la MM50, configuration typique d'une tendance haussière à moyen terme. La décision d'achat est justifiée par cette structure positive, bien que le cours soit légèrement sous la MM20, indiquant un possible repli technique à court terme.</w:t>
      </w:r>
    </w:p>
    <w:p>
      <w:pPr>
        <w:spacing w:after="120" w:line="276" w:lineRule="auto"/>
      </w:pPr>
      <w:r>
        <w:t>**Bandes de Bollinger** : Le prix se situe entre la borne inférieure (2 223,95 FCFA) et la borne supérieure (2 992,55 FCFA), proche de la zone médiane. L'écart entre les bornes reflète une volatilité élevée. La décision neutre s'explique par l'absence de test des extrêmes, le cours évoluant dans une zone d'équilibre relatif.</w:t>
      </w:r>
    </w:p>
    <w:p>
      <w:pPr>
        <w:spacing w:after="120" w:line="276" w:lineRule="auto"/>
      </w:pPr>
      <w:r>
        <w:t>**MACD** : La valeur du MACD (51,714) est inférieure à son signal (95,777), indiquant un momentum baissier à court terme malgré la tendance haussière de fond. La décision de vente reflète ce croisement négatif, signalant une possible correction technique après la forte hausse récente.</w:t>
      </w:r>
    </w:p>
    <w:p>
      <w:pPr>
        <w:spacing w:after="120" w:line="276" w:lineRule="auto"/>
      </w:pPr>
      <w:r>
        <w:t>**RSI** : À 40,306, le RSI se situe en zone neutre, sans signal de surachat ni de survente. Cette valeur suggère une marge de manœuvre avant d'atteindre des zones extrêmes, laissant place à un potentiel de rebond ou de poursuite de la baisse sans pression excessive.</w:t>
      </w:r>
    </w:p>
    <w:p>
      <w:pPr>
        <w:spacing w:after="120" w:line="276" w:lineRule="auto"/>
      </w:pPr>
      <w:r>
        <w:t>**Stochastique** : Le %K (37,634) est nettement supérieur au %D (12,545), indiquant un croisement haussier en cours de formation. Cette configuration, bien que neutre, suggère un potentiel de reprise à court terme, le %K remontant depuis des niveaux de survente.</w:t>
      </w:r>
    </w:p>
    <w:p>
      <w:pPr>
        <w:spacing w:after="120" w:line="276" w:lineRule="auto"/>
      </w:pPr>
      <w:r>
        <w:t>**Conclusion technique** : La tendance de fond reste haussière portée par les moyennes mobiles, mais les indicateurs de momentum (MACD, RSI) montrent des signes de faiblesse à court terme. Le croisement stochastique pourrait annoncer un rebond technique. Globalement, le titre est dans une phase de consolidation après une forte progression, avec un biais haussier à moyen terme mais des signaux mitigés à court terme.</w:t>
      </w:r>
    </w:p>
    <w:p>
      <w:pPr>
        <w:spacing w:after="120" w:line="276" w:lineRule="auto" w:before="240"/>
      </w:pPr>
      <w:r>
        <w:rPr>
          <w:b/>
          <w:color w:val="003366"/>
          <w:sz w:val="24"/>
        </w:rPr>
        <w:t>**PARTIE 3 : ANALYSE FONDAMENTALE (SECTION CRITIQUE)**</w:t>
      </w:r>
    </w:p>
    <w:p>
      <w:pPr>
        <w:spacing w:after="120" w:line="276" w:lineRule="auto"/>
      </w:pPr>
      <w:r>
        <w:t>En 2024, SDSC (Africa Global Logistics Côte d'Ivoire) a réalisé un chiffre d'affaires de 85,643 milliards FCFA, en croissance de 3,65%, avec un résultat net de 21,069 milliards FCFA, soit une marge nette exceptionnelle de 24,6%. Le ROE atteint 27,08% et le ROA 11,20%, démontrant une excellente rentabilité des fonds propres et des actifs. La structure financière est saine avec une autonomie financière de 41,36% et une solvabilité générale de 170,53%. Cependant, le délai clients de 466,94 jours constitue un risque de trésorerie majeur, partiellement compensé par un délai fournisseurs très favorable de 4 534 jours. Le BFR de 17,874 milliards FCFA reste positif mais gérable. Selon le rapport annuel 2025 (daté du 31 décembre 2025, analysé par DeepSeek le 5 août 2026), le CA 2025 progresse de 7,43% à 92,004 milliards FCFA, mais le résultat net s'effondre à 784,97 millions FCFA (marge nette de 0,85%), avec un résultat d'exploitation négatif de -2,271 milliards FCFA. Cette dégradation s'explique par la hausse des dotations aux amortissements (+41%) et la chute des dividendes des filiales. Le rapport du T3 2025 confirme cette tendance avec un résultat net en baisse de 77% à 4,341 milliards FCFA, tandis que le T1 2025 montrait un retour à la profitabilité avec 223 millions FCFA. La trésorerie nette reste abondante à 74,78 milliards FCFA, mais la capacité bénéficiaire récurrente est préoccupante.</w:t>
      </w:r>
    </w:p>
    <w:p>
      <w:pPr>
        <w:spacing w:after="120" w:line="276" w:lineRule="auto" w:before="240"/>
      </w:pPr>
      <w:r>
        <w:rPr>
          <w:b/>
          <w:color w:val="003366"/>
          <w:sz w:val="24"/>
        </w:rPr>
        <w:t>**PARTIE 4 : CONCLUSION D'INVESTISSEMENT**</w:t>
      </w:r>
    </w:p>
    <w:p>
      <w:pPr>
        <w:spacing w:after="120" w:line="276" w:lineRule="auto"/>
      </w:pPr>
      <w:r>
        <w:t>La valorisation de SDSC présente un paradoxe : un PER de 6,5x suggère une sous-évaluation, mais l'EV/EBITDA de 29,7x et la chute de 96% du résultat net en 2025 indiquent que les bénéfices historiques ne reflètent plus la réalité actuelle. Le comportement du cours (+21,63% sur 100 jours) contraste avec la dégradation fondamentale, créant un décalage préoccupant. Les signaux techniques sont mitigés : tendance haussière à moyen terme mais momentum baissier à court terme. Les fondamentaux montrent une entreprise solide financièrement (trésorerie de 74,78 milliards, capitaux propres de 73,55 milliards) mais avec une rentabilité opérationnelle déficitaire et une dépendance aux revenus financiers volatils. Les prédictions IA (2 519 à 2 454 FCFA sur 10 jours) anticipent une correction de 3%, confirmant les signaux techniques baissiers à court terme. La convergence entre la faiblesse des fondamentaux récents, les signaux techniques mitigés et les prédictions baissières conduit à une recommandation de **CONSERVER**, avec un niveau de confiance **Moyen** et un risque global **Élevé**. L'horizon d'investissement optimal serait le **moyen terme (3-12 mois)**, en attendant la confirmation d'un redressement des marges opérationnelles au premier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36.40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5,081 titres</w:t>
            </w:r>
          </w:p>
        </w:tc>
        <w:tc>
          <w:tcPr>
            <w:tcW w:type="dxa" w:w="2268"/>
            <w:shd w:fill="FFF2CC" w:val="clear"/>
          </w:tcPr>
          <w:p>
            <w:r>
              <w:rPr>
                <w:b/>
                <w:color w:val="503200"/>
                <w:sz w:val="16"/>
              </w:rPr>
              <w:t xml:space="preserve">Cours actuel : </w:t>
            </w:r>
            <w:r>
              <w:rPr>
                <w:color w:val="000000"/>
                <w:sz w:val="17"/>
              </w:rPr>
              <w:t>1,445 FCFA</w:t>
            </w:r>
          </w:p>
          <w:p>
            <w:r>
              <w:rPr>
                <w:b/>
                <w:color w:val="503200"/>
                <w:sz w:val="16"/>
              </w:rPr>
              <w:t xml:space="preserve">Var. 100 jours : </w:t>
            </w:r>
            <w:r>
              <w:rPr>
                <w:b/>
                <w:color w:val="B40000"/>
                <w:sz w:val="17"/>
              </w:rPr>
              <w:t>-32.32%</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13.13% (Moyenne) — μ=1,641 FCFA, σ=215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β=0.7324 (Défensif) — Cov=0.000027, Var(idx)=0.000036, ρ=0.137,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1,357</w:t>
            </w:r>
          </w:p>
        </w:tc>
        <w:tc>
          <w:tcPr>
            <w:tcW w:type="dxa" w:w="1440"/>
            <w:shd w:fill="FAFAFA" w:val="clear"/>
          </w:tcPr>
          <w:p>
            <w:r>
              <w:rPr>
                <w:b/>
                <w:sz w:val="17"/>
              </w:rPr>
              <w:t>1,423</w:t>
            </w:r>
          </w:p>
        </w:tc>
        <w:tc>
          <w:tcPr>
            <w:tcW w:type="dxa" w:w="1440"/>
            <w:shd w:fill="FAFAFA" w:val="clear"/>
          </w:tcPr>
          <w:p>
            <w:r>
              <w:rPr>
                <w:sz w:val="17"/>
              </w:rPr>
              <w:t>1,489</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1,318</w:t>
            </w:r>
          </w:p>
        </w:tc>
        <w:tc>
          <w:tcPr>
            <w:tcW w:type="dxa" w:w="1440"/>
            <w:shd w:fill="FFDCE0" w:val="clear"/>
          </w:tcPr>
          <w:p>
            <w:r>
              <w:rPr>
                <w:b/>
                <w:sz w:val="17"/>
              </w:rPr>
              <w:t>1,410</w:t>
            </w:r>
          </w:p>
        </w:tc>
        <w:tc>
          <w:tcPr>
            <w:tcW w:type="dxa" w:w="1440"/>
            <w:shd w:fill="FFDCE0" w:val="clear"/>
          </w:tcPr>
          <w:p>
            <w:r>
              <w:rPr>
                <w:sz w:val="17"/>
              </w:rPr>
              <w:t>1,503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1,284</w:t>
            </w:r>
          </w:p>
        </w:tc>
        <w:tc>
          <w:tcPr>
            <w:tcW w:type="dxa" w:w="1440"/>
            <w:shd w:fill="FFDCE0" w:val="clear"/>
          </w:tcPr>
          <w:p>
            <w:r>
              <w:rPr>
                <w:b/>
                <w:sz w:val="17"/>
              </w:rPr>
              <w:t>1,397</w:t>
            </w:r>
          </w:p>
        </w:tc>
        <w:tc>
          <w:tcPr>
            <w:tcW w:type="dxa" w:w="1440"/>
            <w:shd w:fill="FFDCE0" w:val="clear"/>
          </w:tcPr>
          <w:p>
            <w:r>
              <w:rPr>
                <w:sz w:val="17"/>
              </w:rPr>
              <w:t>1,510</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1,255</w:t>
            </w:r>
          </w:p>
        </w:tc>
        <w:tc>
          <w:tcPr>
            <w:tcW w:type="dxa" w:w="1440"/>
            <w:shd w:fill="FFDCE0" w:val="clear"/>
          </w:tcPr>
          <w:p>
            <w:r>
              <w:rPr>
                <w:b/>
                <w:sz w:val="17"/>
              </w:rPr>
              <w:t>1,384</w:t>
            </w:r>
          </w:p>
        </w:tc>
        <w:tc>
          <w:tcPr>
            <w:tcW w:type="dxa" w:w="1440"/>
            <w:shd w:fill="FFDCE0" w:val="clear"/>
          </w:tcPr>
          <w:p>
            <w:r>
              <w:rPr>
                <w:sz w:val="17"/>
              </w:rPr>
              <w:t>1,513</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1,228</w:t>
            </w:r>
          </w:p>
        </w:tc>
        <w:tc>
          <w:tcPr>
            <w:tcW w:type="dxa" w:w="1440"/>
            <w:shd w:fill="FFDCE0" w:val="clear"/>
          </w:tcPr>
          <w:p>
            <w:r>
              <w:rPr>
                <w:b/>
                <w:sz w:val="17"/>
              </w:rPr>
              <w:t>1,371</w:t>
            </w:r>
          </w:p>
        </w:tc>
        <w:tc>
          <w:tcPr>
            <w:tcW w:type="dxa" w:w="1440"/>
            <w:shd w:fill="FFDCE0" w:val="clear"/>
          </w:tcPr>
          <w:p>
            <w:r>
              <w:rPr>
                <w:sz w:val="17"/>
              </w:rPr>
              <w:t>1,514</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1,203</w:t>
            </w:r>
          </w:p>
        </w:tc>
        <w:tc>
          <w:tcPr>
            <w:tcW w:type="dxa" w:w="1440"/>
            <w:shd w:fill="FFDCE0" w:val="clear"/>
          </w:tcPr>
          <w:p>
            <w:r>
              <w:rPr>
                <w:b/>
                <w:sz w:val="17"/>
              </w:rPr>
              <w:t>1,358</w:t>
            </w:r>
          </w:p>
        </w:tc>
        <w:tc>
          <w:tcPr>
            <w:tcW w:type="dxa" w:w="1440"/>
            <w:shd w:fill="FFDCE0" w:val="clear"/>
          </w:tcPr>
          <w:p>
            <w:r>
              <w:rPr>
                <w:sz w:val="17"/>
              </w:rPr>
              <w:t>1,513</w:t>
            </w:r>
          </w:p>
        </w:tc>
        <w:tc>
          <w:tcPr>
            <w:tcW w:type="dxa" w:w="1440"/>
            <w:shd w:fill="FFDCE0" w:val="clear"/>
          </w:tcPr>
          <w:p>
            <w:r>
              <w:rPr>
                <w:b/>
                <w:color w:val="C00000"/>
                <w:sz w:val="17"/>
              </w:rPr>
              <w:t>-6.0%</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1,180</w:t>
            </w:r>
          </w:p>
        </w:tc>
        <w:tc>
          <w:tcPr>
            <w:tcW w:type="dxa" w:w="1440"/>
            <w:shd w:fill="FFDCE0" w:val="clear"/>
          </w:tcPr>
          <w:p>
            <w:r>
              <w:rPr>
                <w:b/>
                <w:sz w:val="17"/>
              </w:rPr>
              <w:t>1,345</w:t>
            </w:r>
          </w:p>
        </w:tc>
        <w:tc>
          <w:tcPr>
            <w:tcW w:type="dxa" w:w="1440"/>
            <w:shd w:fill="FFDCE0" w:val="clear"/>
          </w:tcPr>
          <w:p>
            <w:r>
              <w:rPr>
                <w:sz w:val="17"/>
              </w:rPr>
              <w:t>1,511</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1,158</w:t>
            </w:r>
          </w:p>
        </w:tc>
        <w:tc>
          <w:tcPr>
            <w:tcW w:type="dxa" w:w="1440"/>
            <w:shd w:fill="FFDCE0" w:val="clear"/>
          </w:tcPr>
          <w:p>
            <w:r>
              <w:rPr>
                <w:b/>
                <w:sz w:val="17"/>
              </w:rPr>
              <w:t>1,333</w:t>
            </w:r>
          </w:p>
        </w:tc>
        <w:tc>
          <w:tcPr>
            <w:tcW w:type="dxa" w:w="1440"/>
            <w:shd w:fill="FFDCE0" w:val="clear"/>
          </w:tcPr>
          <w:p>
            <w:r>
              <w:rPr>
                <w:sz w:val="17"/>
              </w:rPr>
              <w:t>1,509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1,137</w:t>
            </w:r>
          </w:p>
        </w:tc>
        <w:tc>
          <w:tcPr>
            <w:tcW w:type="dxa" w:w="1440"/>
            <w:shd w:fill="FFDCE0" w:val="clear"/>
          </w:tcPr>
          <w:p>
            <w:r>
              <w:rPr>
                <w:b/>
                <w:sz w:val="17"/>
              </w:rPr>
              <w:t>1,321</w:t>
            </w:r>
          </w:p>
        </w:tc>
        <w:tc>
          <w:tcPr>
            <w:tcW w:type="dxa" w:w="1440"/>
            <w:shd w:fill="FFDCE0" w:val="clear"/>
          </w:tcPr>
          <w:p>
            <w:r>
              <w:rPr>
                <w:sz w:val="17"/>
              </w:rPr>
              <w:t>1,506</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1,117</w:t>
            </w:r>
          </w:p>
        </w:tc>
        <w:tc>
          <w:tcPr>
            <w:tcW w:type="dxa" w:w="1440"/>
            <w:shd w:fill="FFDCE0" w:val="clear"/>
          </w:tcPr>
          <w:p>
            <w:r>
              <w:rPr>
                <w:b/>
                <w:sz w:val="17"/>
              </w:rPr>
              <w:t>1,310</w:t>
            </w:r>
          </w:p>
        </w:tc>
        <w:tc>
          <w:tcPr>
            <w:tcW w:type="dxa" w:w="1440"/>
            <w:shd w:fill="FFDCE0" w:val="clear"/>
          </w:tcPr>
          <w:p>
            <w:r>
              <w:rPr>
                <w:sz w:val="17"/>
              </w:rPr>
              <w:t>1,503</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SEMC,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36,40 milliards FCFA, un niveau modeste qui la classe parmi les valeurs de taille moyenne sur la BRVM. Les ratios de valorisation (BPA, PER, P/B, EV/EBITDA) ne sont pas calculables en raison de l'absence de données financières structurées récentes dans la base. Cependant, sur la base des rapports fondamentaux disponibles, le BPA ressort à environ 40 FCFA (résultat net 2023 de 1,01 Md FCFA / 25,2 millions d'actions), ce qui implique un PER théorique d'environ 36x, très supérieur à la moyenne du marché (8-12x). Cette décote de performance et cette prime de valorisation apparente signalent que le marché intègre un potentiel de rebond significatif, mais aussi un risque élevé. L'absence de dividendes depuis plusieurs années renforce la perception d'un titre de "redressement" plutôt que de "rendement".</w:t>
      </w:r>
    </w:p>
    <w:p>
      <w:pPr>
        <w:spacing w:after="120" w:line="276" w:lineRule="auto"/>
      </w:pPr>
      <w:r>
        <w:t>### **PARTIE 1 : ANALYSE DU COURS — STATISTIQUES ET ÉVOLUTION (100 derniers jours)**</w:t>
      </w:r>
    </w:p>
    <w:p>
      <w:pPr>
        <w:spacing w:after="120" w:line="276" w:lineRule="auto"/>
      </w:pPr>
      <w:r>
        <w:t>Sur les 100 dernières séances, le titre SEMC a subi une dépréciation massive de -32,32%, illustrant une tendance baissière très marquée, avec une légère baisse supplémentaire de -0,34% lors de la dernière séance. Le cours a évolué dans un large range de 1 350 FCFA (plus bas) à 2 265 FCFA (plus haut), mais se situe actuellement à 1 445 FCFA, proche de son point le plus bas, ce qui témoigne d'une pression vendeuse persistante. Les statistiques descriptives confirment cette faiblesse : la moyenne (1 641 FCFA) est supérieure à la médiane (1 555 FCFA), et le skewness positif (1.090) indique une distribution asymétrique avec des jours de forte baisse plus fréquents que des jours de forte hausse. L'écart-type de 217 FCFA (CV=13,2%) montre une dispersion modérée, mais la volatilité annualisée de 51,6% est extrêmement élevée (&gt;30%), signalant un risque majeur. Le kurtosis proche de zéro (-0.011) suggère une distribution "normale" des rendements, sans pic de risque extrême, mais la tendance globale reste résolument négative.</w:t>
      </w:r>
    </w:p>
    <w:p>
      <w:pPr>
        <w:spacing w:after="120" w:line="276" w:lineRule="auto"/>
      </w:pPr>
      <w:r>
        <w:t>### **PARTIE 2 : ANALYSE TECHNIQUE DÉTAILLÉE**</w:t>
      </w:r>
    </w:p>
    <w:p>
      <w:pPr>
        <w:spacing w:after="120" w:line="276" w:lineRule="auto"/>
      </w:pPr>
      <w:r>
        <w:t>**Moyennes Mobiles** : Le cours actuel (1 445 FCFA) est inférieur à la MM20 (1 477,25 FCFA) et à la MM50 (1 520,7 FCFA), confirmant une dynamique baissière à court et moyen terme. La décision de "Vente" est justifiée par cette configuration où le prix évolue sous ses moyennes, indiquant que les vendeurs contrôlent le marché.</w:t>
      </w:r>
    </w:p>
    <w:p>
      <w:pPr>
        <w:spacing w:after="120" w:line="276" w:lineRule="auto"/>
      </w:pPr>
      <w:r>
        <w:t>**Bandes de Bollinger** : Le prix se situe dans la partie inférieure des bandes, proche de la borne basse (1 404,81 FCFA), ce qui reflète une volatilité élevée et une pression vendeuse. La décision "Neutre" est cohérente, car le titre n'est pas en situation de "survente" extrême, mais la proximité de la borne inférieure suggère un risque de cassure ou un potentiel de rebond technique.</w:t>
      </w:r>
    </w:p>
    <w:p>
      <w:pPr>
        <w:spacing w:after="120" w:line="276" w:lineRule="auto"/>
      </w:pPr>
      <w:r>
        <w:t>**MACD** : Le MACD (-11.083) est inférieur à son signal (-10.726), tous deux en territoire négatif. Cette configuration baissière indique un momentum négatif persistant, justifiant la décision de "Vente". La légère divergence entre les deux lignes ne montre pas de signe de retournement imminent.</w:t>
      </w:r>
    </w:p>
    <w:p>
      <w:pPr>
        <w:spacing w:after="120" w:line="276" w:lineRule="auto"/>
      </w:pPr>
      <w:r>
        <w:t>**RSI** : Le RSI à 43.678 est en zone neutre (30-70), ce qui signifie que le titre n'est ni suracheté ni survendu. La décision "Neutre" est appropriée, mais la valeur, en dessous de 50, penche légèrement du côté baissier, suggérant une faiblesse relative sans signal d'achat opportun.</w:t>
      </w:r>
    </w:p>
    <w:p>
      <w:pPr>
        <w:spacing w:after="120" w:line="276" w:lineRule="auto"/>
      </w:pPr>
      <w:r>
        <w:t>**Stochastique** : Le %K (31.818) est inférieur à %D (43.939), indiquant une dynamique baissière. Le croisement de ces lignes en territoire de survente (proche de 20-30) pourrait signaler un potentiel de rebond, mais la décision "Neutre" prévaut, car le signal n'est pas encore confirmé.</w:t>
      </w:r>
    </w:p>
    <w:p>
      <w:pPr>
        <w:spacing w:after="120" w:line="276" w:lineRule="auto"/>
      </w:pPr>
      <w:r>
        <w:t>**Conclusion technique** : L'ensemble des indicateurs techniques converge vers une tendance baissière dominante. Les moyennes mobiles et le MACD sont clairement vendeurs, tandis que le RSI et le stochastique, bien que neutres, ne montrent aucun signe de retournement haussier. Le titre est dans une phase de faiblesse marquée, et tout rebond technique serait probablement limité.</w:t>
      </w:r>
    </w:p>
    <w:p>
      <w:pPr>
        <w:spacing w:after="120" w:line="276" w:lineRule="auto"/>
      </w:pPr>
      <w:r>
        <w:t>### **PARTIE 3 : ANALYSE FONDAMENTALE (SECTION CRITIQUE)**</w:t>
      </w:r>
    </w:p>
    <w:p>
      <w:pPr>
        <w:spacing w:after="120" w:line="276" w:lineRule="auto"/>
      </w:pPr>
      <w:r>
        <w:t>L'analyse fondamentale s'appuie sur les rapports annuels disponibles, datant de 2022 et 2023, qui présentent des données contrastées. Le rapport de l'exercice 2023 (publié le 31/12/2024) fait état d'un **chiffre d'affaires de 27,88 milliards FCFA**, en baisse de 6% par rapport à 2022, et d'un **résultat net de 1,01 milliard FCFA**, en chute de 74% (contre 3,86 milliards en 2022). Cette dégradation s'explique par la perte de clients clés (AIRONE) et une concurrence accrue. La marge nette s'est effondrée à 3,6%, et aucun dividende n'a été distribué. En revanche, un autre rapport pour l'exercice 2022 (publié le 31/12/2023) présente des chiffres radicalement différents, avec un **CA consolidé de 125,4 milliards FCFA** et un **résultat net de 12,8 milliards FCFA**, suggérant une croissance de 13,8% et une marge nette de 10,2%. Ces écarts majeurs entre les rapports indiquent une possible incohérence dans les données ou des périmètres de consolidation différents. Le rapport du 1er trimestre 2023 (publié le 31/12/2023) montre un **CA de 7,65 milliards FCFA** (+16,5%) et un **bénéfice net de 855 millions FCFA** (+37,9%), suggérant une dynamique positive en début d'année. Sur la base de ce trimestre, on pourrait estimer un CA annuel 2023 autour de 30 milliards FCFA, mais les résultats annuels ont déçu. L'entreprise traverse une phase de transition avec le rachat par Sonoco, et les perspectives de rebond reposent sur la relance des bouchons couronnes et des exportations. La recommandation fondamentale est de **CONSERVER avec vigilance**, compte tenu de la fragilité de la rentabilité et des incertitudes stratégiques.</w:t>
      </w:r>
    </w:p>
    <w:p>
      <w:pPr>
        <w:spacing w:after="120" w:line="276" w:lineRule="auto"/>
      </w:pPr>
      <w:r>
        <w:t>### **PARTIE 4 : CONCLUSION D'INVESTISSEMENT**</w:t>
      </w:r>
    </w:p>
    <w:p>
      <w:pPr>
        <w:spacing w:after="120" w:line="276" w:lineRule="auto"/>
      </w:pPr>
      <w:r>
        <w:t>La synthèse des analyses révèle une situation complexe et risquée pour SEMC. La valorisation boursière, avec un PER théorique très élevé, indique que le marché anticipe un fort rebond, mais les fondamentaux actuels sont décevants, avec une chute du résultat net en 2023. Le comportement du cours est très préoccupant, avec une tendance baissière marquée (-32% sur 100 jours) et une volatilité extrême, signe d'un risque élevé. Les signaux techniques sont unanimement baissiers, ne montrant aucun signe de retournement à court terme. Les fondamentaux, bien qu'anciens, pointent vers une fragilité opérationnelle et une transition incertaine, malgré un potentiel de redressement porté par le nouveau propriétaire Sonoco. Les prédictions IA pour les 10 prochains jours (baisse continue de 1 423 à 1 371 FCFA) confirment la tendance baissière et contredisent tout espoir de rebond immédiat. En conclusion, la convergence des signaux (technique, prédictif et fondamental) est négative, justifiant une recommandation de **VENTE**. Le niveau de confiance est **Moyen** (en raison des données fondamentales contradictoires), le risque global est **Élevé**, et l'horizon d'investissement optimal serait de **court terme (&lt;3 mois)** pour les investisseurs cherchant à limiter leurs pertes, ou d'attendre des signaux clairs de stabilisation avant toute nouvelle position.</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4,417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+8.57%</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μ=36,485 FCFA, σ=2,065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β=0.4986 (Défensif) — Cov=0.000018, Var(idx)=0.000036, ρ=0.206,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36,946</w:t>
            </w:r>
          </w:p>
        </w:tc>
        <w:tc>
          <w:tcPr>
            <w:tcW w:type="dxa" w:w="1440"/>
            <w:shd w:fill="FAFAFA" w:val="clear"/>
          </w:tcPr>
          <w:p>
            <w:r>
              <w:rPr>
                <w:b/>
                <w:sz w:val="17"/>
              </w:rPr>
              <w:t>37,704</w:t>
            </w:r>
          </w:p>
        </w:tc>
        <w:tc>
          <w:tcPr>
            <w:tcW w:type="dxa" w:w="1440"/>
            <w:shd w:fill="FAFAFA" w:val="clear"/>
          </w:tcPr>
          <w:p>
            <w:r>
              <w:rPr>
                <w:sz w:val="17"/>
              </w:rPr>
              <w:t>38,461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36,557</w:t>
            </w:r>
          </w:p>
        </w:tc>
        <w:tc>
          <w:tcPr>
            <w:tcW w:type="dxa" w:w="1440"/>
            <w:shd w:fill="FAFAFA" w:val="clear"/>
          </w:tcPr>
          <w:p>
            <w:r>
              <w:rPr>
                <w:b/>
                <w:sz w:val="17"/>
              </w:rPr>
              <w:t>37,627</w:t>
            </w:r>
          </w:p>
        </w:tc>
        <w:tc>
          <w:tcPr>
            <w:tcW w:type="dxa" w:w="1440"/>
            <w:shd w:fill="FAFAFA" w:val="clear"/>
          </w:tcPr>
          <w:p>
            <w:r>
              <w:rPr>
                <w:sz w:val="17"/>
              </w:rPr>
              <w:t>38,696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36,238</w:t>
            </w:r>
          </w:p>
        </w:tc>
        <w:tc>
          <w:tcPr>
            <w:tcW w:type="dxa" w:w="1440"/>
            <w:shd w:fill="FAFAFA" w:val="clear"/>
          </w:tcPr>
          <w:p>
            <w:r>
              <w:rPr>
                <w:b/>
                <w:sz w:val="17"/>
              </w:rPr>
              <w:t>37,544</w:t>
            </w:r>
          </w:p>
        </w:tc>
        <w:tc>
          <w:tcPr>
            <w:tcW w:type="dxa" w:w="1440"/>
            <w:shd w:fill="FAFAFA" w:val="clear"/>
          </w:tcPr>
          <w:p>
            <w:r>
              <w:rPr>
                <w:sz w:val="17"/>
              </w:rPr>
              <w:t>38,851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35,960</w:t>
            </w:r>
          </w:p>
        </w:tc>
        <w:tc>
          <w:tcPr>
            <w:tcW w:type="dxa" w:w="1440"/>
            <w:shd w:fill="FAFAFA" w:val="clear"/>
          </w:tcPr>
          <w:p>
            <w:r>
              <w:rPr>
                <w:b/>
                <w:sz w:val="17"/>
              </w:rPr>
              <w:t>37,465</w:t>
            </w:r>
          </w:p>
        </w:tc>
        <w:tc>
          <w:tcPr>
            <w:tcW w:type="dxa" w:w="1440"/>
            <w:shd w:fill="FAFAFA" w:val="clear"/>
          </w:tcPr>
          <w:p>
            <w:r>
              <w:rPr>
                <w:sz w:val="17"/>
              </w:rPr>
              <w:t>38,971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35,710</w:t>
            </w:r>
          </w:p>
        </w:tc>
        <w:tc>
          <w:tcPr>
            <w:tcW w:type="dxa" w:w="1440"/>
            <w:shd w:fill="FAFAFA" w:val="clear"/>
          </w:tcPr>
          <w:p>
            <w:r>
              <w:rPr>
                <w:b/>
                <w:sz w:val="17"/>
              </w:rPr>
              <w:t>37,390</w:t>
            </w:r>
          </w:p>
        </w:tc>
        <w:tc>
          <w:tcPr>
            <w:tcW w:type="dxa" w:w="1440"/>
            <w:shd w:fill="FAFAFA" w:val="clear"/>
          </w:tcPr>
          <w:p>
            <w:r>
              <w:rPr>
                <w:sz w:val="17"/>
              </w:rPr>
              <w:t>39,069</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35,479</w:t>
            </w:r>
          </w:p>
        </w:tc>
        <w:tc>
          <w:tcPr>
            <w:tcW w:type="dxa" w:w="1440"/>
            <w:shd w:fill="FAFAFA" w:val="clear"/>
          </w:tcPr>
          <w:p>
            <w:r>
              <w:rPr>
                <w:b/>
                <w:sz w:val="17"/>
              </w:rPr>
              <w:t>37,316</w:t>
            </w:r>
          </w:p>
        </w:tc>
        <w:tc>
          <w:tcPr>
            <w:tcW w:type="dxa" w:w="1440"/>
            <w:shd w:fill="FAFAFA" w:val="clear"/>
          </w:tcPr>
          <w:p>
            <w:r>
              <w:rPr>
                <w:sz w:val="17"/>
              </w:rPr>
              <w:t>39,152</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35,264</w:t>
            </w:r>
          </w:p>
        </w:tc>
        <w:tc>
          <w:tcPr>
            <w:tcW w:type="dxa" w:w="1440"/>
            <w:shd w:fill="FAFAFA" w:val="clear"/>
          </w:tcPr>
          <w:p>
            <w:r>
              <w:rPr>
                <w:b/>
                <w:sz w:val="17"/>
              </w:rPr>
              <w:t>37,244</w:t>
            </w:r>
          </w:p>
        </w:tc>
        <w:tc>
          <w:tcPr>
            <w:tcW w:type="dxa" w:w="1440"/>
            <w:shd w:fill="FAFAFA" w:val="clear"/>
          </w:tcPr>
          <w:p>
            <w:r>
              <w:rPr>
                <w:sz w:val="17"/>
              </w:rPr>
              <w:t>39,224</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35,061</w:t>
            </w:r>
          </w:p>
        </w:tc>
        <w:tc>
          <w:tcPr>
            <w:tcW w:type="dxa" w:w="1440"/>
            <w:shd w:fill="FFDCE0" w:val="clear"/>
          </w:tcPr>
          <w:p>
            <w:r>
              <w:rPr>
                <w:b/>
                <w:sz w:val="17"/>
              </w:rPr>
              <w:t>37,174</w:t>
            </w:r>
          </w:p>
        </w:tc>
        <w:tc>
          <w:tcPr>
            <w:tcW w:type="dxa" w:w="1440"/>
            <w:shd w:fill="FFDCE0" w:val="clear"/>
          </w:tcPr>
          <w:p>
            <w:r>
              <w:rPr>
                <w:sz w:val="17"/>
              </w:rPr>
              <w:t>39,286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34,868</w:t>
            </w:r>
          </w:p>
        </w:tc>
        <w:tc>
          <w:tcPr>
            <w:tcW w:type="dxa" w:w="1440"/>
            <w:shd w:fill="FFDCE0" w:val="clear"/>
          </w:tcPr>
          <w:p>
            <w:r>
              <w:rPr>
                <w:b/>
                <w:sz w:val="17"/>
              </w:rPr>
              <w:t>37,104</w:t>
            </w:r>
          </w:p>
        </w:tc>
        <w:tc>
          <w:tcPr>
            <w:tcW w:type="dxa" w:w="1440"/>
            <w:shd w:fill="FFDCE0" w:val="clear"/>
          </w:tcPr>
          <w:p>
            <w:r>
              <w:rPr>
                <w:sz w:val="17"/>
              </w:rPr>
              <w:t>39,341</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34,683</w:t>
            </w:r>
          </w:p>
        </w:tc>
        <w:tc>
          <w:tcPr>
            <w:tcW w:type="dxa" w:w="1440"/>
            <w:shd w:fill="FFDCE0" w:val="clear"/>
          </w:tcPr>
          <w:p>
            <w:r>
              <w:rPr>
                <w:b/>
                <w:sz w:val="17"/>
              </w:rPr>
              <w:t>37,036</w:t>
            </w:r>
          </w:p>
        </w:tc>
        <w:tc>
          <w:tcPr>
            <w:tcW w:type="dxa" w:w="1440"/>
            <w:shd w:fill="FFDCE0" w:val="clear"/>
          </w:tcPr>
          <w:p>
            <w:r>
              <w:rPr>
                <w:sz w:val="17"/>
              </w:rPr>
              <w:t>39,390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milliards FCFA, un niveau qui la positionne parmi les toutes premières capitalisations de la BRVM, reflétant son statut de leader bancaire régional. Avec un BPA de 3 258 FCFA, chaque action génère un bénéfice substantiel, justifiant un PER de 11,7x, légèrement au-dessus de la moyenne historique de la place (~8-12x), ce qui traduit une valorisation raisonnable sans excès spéculatif. Le P/B de 2,39x indique que le marché rémunère généreusement les capitaux propres, intégrant une prime de croissance et de qualité de bilan. En revanche, l'EV/EBITDA de 24,5x apparaît très exigeant, signalant que la valeur d'entreprise intègre des anticipations de performance opérationnelle soutenue. Ces ratios, pris ensemble, suggèrent un titre correctement valorisé, avec une prime justifiée par la solidité financière et la rentabilité élevée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+8,57%, avec une dernière séance en légère hausse de +0,25% à 38 000 FCFA. Le cours a évolué dans un range de 32 800 à 39 200 FCFA, démontrant une tendance globalement haussière, soutenue par des fondamentaux solides. La moyenne de 36 485 FCFA, légèrement inférieure à la médiane de 36 965 FCFA, indique une distribution quasi symétrique, confirmée par un skewness de -0,206. L'écart-type de 2 075 FCFA (CV de 5,7%) révèle une dispersion modérée, tandis que le kurtosis de -1,405 (platykurtique) suggère une absence de mouvements extrêmes et une faible concentration des variations autour de la moyenne. La volatilité annualisée de 24,2% classe le titre dans une zone modérée, offrant un équilibre entre potentiel de rendement et maîtrise du risque.</w:t>
      </w:r>
    </w:p>
    <w:p>
      <w:pPr>
        <w:spacing w:after="120" w:line="276" w:lineRule="auto" w:before="240"/>
      </w:pPr>
      <w:r>
        <w:rPr>
          <w:b/>
          <w:color w:val="003366"/>
          <w:sz w:val="24"/>
        </w:rPr>
        <w:t>**PARTIE 2 : ANALYSE TECHNIQUE DÉTAILLÉE**</w:t>
      </w:r>
    </w:p>
    <w:p>
      <w:pPr>
        <w:spacing w:after="120" w:line="276" w:lineRule="auto"/>
      </w:pPr>
      <w:r>
        <w:t>Les moyennes mobiles (MM20 à 38 101,75 et MM50 à 38 357,2) se situent toutes deux au-dessus du cours actuel de 38 000 FCFA, signalant une pression vendeuse à court terme. La décision de "Vente" est justifiée par cette configuration baissière, où le cours évolue sous ses moyennes, indiquant un momentum défavorable.</w:t>
      </w:r>
    </w:p>
    <w:p>
      <w:pPr>
        <w:spacing w:after="120" w:line="276" w:lineRule="auto"/>
      </w:pPr>
      <w:r>
        <w:t>Les bandes de Bollinger encadrent le prix entre 37 512,949 et 38 690,551 FCFA, avec le cours positionné près de la borne inférieure. Cette situation reflète une volatilité modérée et un marché hésitant, d'où une décision "Neutre". Le titre n'est ni suracheté ni survendu, laissant place à une consolidation avant une éventuelle reprise.</w:t>
      </w:r>
    </w:p>
    <w:p>
      <w:pPr>
        <w:spacing w:after="120" w:line="276" w:lineRule="auto"/>
      </w:pPr>
      <w:r>
        <w:t>Le MACD affiche une valeur de -69,877, inférieure à son signal à -41,54, confirmant une dynamique baissière. Cette divergence négative indique un affaiblissement du momentum, justifiant la décision de "Vente". Les vendeurs conservent temporairement l'avantage, bien que l'écart semble se réduire.</w:t>
      </w:r>
    </w:p>
    <w:p>
      <w:pPr>
        <w:spacing w:after="120" w:line="276" w:lineRule="auto"/>
      </w:pPr>
      <w:r>
        <w:t>Le RSI à 50,485 se situe exactement dans la zone neutre (30-70), traduisant un équilibre entre pressions acheteuses et vendeuses. La décision "Neutre" est cohérente, le titre n'étant ni suracheté ni survendu, laissant présager une poursuite de la consolidation.</w:t>
      </w:r>
    </w:p>
    <w:p>
      <w:pPr>
        <w:spacing w:after="120" w:line="276" w:lineRule="auto"/>
      </w:pPr>
      <w:r>
        <w:t>Le stochastique (%K à 48,718 et %D à 27,35) montre un %K au-dessus de %D, suggérant un début de croisement haussier potentiel. Cependant, la décision "Neutre" prévaut, car les valeurs restent dans une zone médiane, sans signal directionnel fort.</w:t>
      </w:r>
    </w:p>
    <w:p>
      <w:pPr>
        <w:spacing w:after="120" w:line="276" w:lineRule="auto"/>
      </w:pPr>
      <w:r>
        <w:t>En conclusion, les indicateurs techniques sont majoritairement neutres avec une légère orientation vendeuse sur les moyennes mobiles et le MACD. Cette configuration suggère une phase de consolidation, où le titre pourrait chercher un point d'équilibre avant de définir une direction claire. Les investisseurs devront surveiller une éventuelle reprise au-dessus des moyennes mobiles pour valider un retour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 Produit Net Bancaire (PNB) de 276,048 milliards FCFA, en croissance de +4,88%, avec un résultat net de 101,352 milliards FCFA. Le ROE s'établit à un niveau excellent de 20,47%, tandis que le ROA atteint 2,69%, témoignant d'une gestion performante des actifs. Le coefficient d'exploitation de 38,75% confirme une efficacité opérationnelle remarquable, bien en dessous du seuil de 60%. Le coût du risque, calculé à partir des provisions (17,995 Mds) rapportées aux charges financières (47,775 Mds), ressort à 37,7%, un niveau maîtrisé. Le ratio dépôts/crédits est sain, avec 2 907,675 milliards de dépôts contre 2 546,290 milliards de crédits, soit un taux de transformation de 87,6%, indiquant une liquidité confortable. Les rapports trimestriels 2025 confirment cette dynamique : le T1 2025 (PNB de 66,3 Mds, +1,3%) et le S1 2025 (PNB de 132 Mds, +1,0%, résultat net de 53,1 Mds, +10%) montrent une accélération de la rentabilité, avec un coefficient d'exploitation amélioré à 37% au T1. Le cumul 9 mois 2025 (PNB de 201 Mds, +2,5%, résultat net de 83,3 Mds, +11,7%) confirme cette tendance. Sur la base de ces performances, on estime que l'exercice 2025 devrait dépasser les 105 milliards de résultat net, soutenu par une collecte de dépôts dynamique (+13,9% à 2 939 Mds) et une maîtrise des coûts. La solidité financière est renforcée par une notation AAA et un ratio de solvabilité de 17,7%, bien au-dessus du minimum réglementaire.</w:t>
      </w:r>
    </w:p>
    <w:p>
      <w:pPr>
        <w:spacing w:after="120" w:line="276" w:lineRule="auto" w:before="240"/>
      </w:pPr>
      <w:r>
        <w:rPr>
          <w:b/>
          <w:color w:val="003366"/>
          <w:sz w:val="24"/>
        </w:rPr>
        <w:t>**PARTIE 4 : CONCLUSION D'INVESTISSEMENT**</w:t>
      </w:r>
    </w:p>
    <w:p>
      <w:pPr>
        <w:spacing w:after="120" w:line="276" w:lineRule="auto"/>
      </w:pPr>
      <w:r>
        <w:t>La valorisation de SGBC (PER de 11,7x, P/B de 2,39x) indique une prime raisonnable pour un leader bancaire, tandis que l'EV/EBITDA exigeant reflète des attentes élevées. Le comportement du cours sur 100 jours (+8,57%) montre une tendance haussière solide, avec une volatilité modérée et des statistiques (kurtosis platykurtique, skewness symétrique) rassurantes. Les signaux techniques sont mitigés, avec une légère pression vendeuse sur les moyennes mobiles et le MACD, mais un RSI neutre et un stochastique en début de croisement haussier. Les fondamentaux, eux, sont excellents : ROE de 20,47%, coefficient d'exploitation de 38,75%, et croissance soutenue du résultat net (+11,7% sur 9 mois 2025). Les prédictions IA pour les 10 prochains jours (37 704 à 37 390 FCFA) suggèrent une légère correction, en ligne avec les signaux techniques à court terme, mais sans remettre en cause la tendance de fond. En synthèse, la convergence entre des fondamentaux robustes et une valorisation raisonnable, malgré des signaux techniques temporairement neutres, conduit à une recommandation **ACHAT** avec un niveau de confiance **Élevé**. Le risque global est **Moyen**, et l'horizon d'investissement optimal se situe à **moyen terme (3-12 mois)**, pour capitaliser sur la croissance des bénéfices et une éventuelle reprise technique.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4,576 titres</w:t>
            </w:r>
          </w:p>
        </w:tc>
        <w:tc>
          <w:tcPr>
            <w:tcW w:type="dxa" w:w="2268"/>
            <w:shd w:fill="FFF2CC" w:val="clear"/>
          </w:tcPr>
          <w:p>
            <w:r>
              <w:rPr>
                <w:b/>
                <w:color w:val="503200"/>
                <w:sz w:val="16"/>
              </w:rPr>
              <w:t xml:space="preserve">Cours actuel : </w:t>
            </w:r>
            <w:r>
              <w:rPr>
                <w:color w:val="000000"/>
                <w:sz w:val="17"/>
              </w:rPr>
              <w:t>2,290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5.73% (Moyenne) — μ=2,101 FCFA, σ=120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β=0.9252 (Neutre (suit le marché)) — Cov=0.000034, Var(idx)=0.000036, ρ=0.261,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2,085</w:t>
            </w:r>
          </w:p>
        </w:tc>
        <w:tc>
          <w:tcPr>
            <w:tcW w:type="dxa" w:w="1440"/>
            <w:shd w:fill="FFDCE0" w:val="clear"/>
          </w:tcPr>
          <w:p>
            <w:r>
              <w:rPr>
                <w:b/>
                <w:sz w:val="17"/>
              </w:rPr>
              <w:t>2,160</w:t>
            </w:r>
          </w:p>
        </w:tc>
        <w:tc>
          <w:tcPr>
            <w:tcW w:type="dxa" w:w="1440"/>
            <w:shd w:fill="FFDCE0" w:val="clear"/>
          </w:tcPr>
          <w:p>
            <w:r>
              <w:rPr>
                <w:sz w:val="17"/>
              </w:rPr>
              <w:t>2,235</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1,964</w:t>
            </w:r>
          </w:p>
        </w:tc>
        <w:tc>
          <w:tcPr>
            <w:tcW w:type="dxa" w:w="1440"/>
            <w:shd w:fill="FFDCE0" w:val="clear"/>
          </w:tcPr>
          <w:p>
            <w:r>
              <w:rPr>
                <w:b/>
                <w:sz w:val="17"/>
              </w:rPr>
              <w:t>2,065</w:t>
            </w:r>
          </w:p>
        </w:tc>
        <w:tc>
          <w:tcPr>
            <w:tcW w:type="dxa" w:w="1440"/>
            <w:shd w:fill="FFDCE0" w:val="clear"/>
          </w:tcPr>
          <w:p>
            <w:r>
              <w:rPr>
                <w:sz w:val="17"/>
              </w:rPr>
              <w:t>2,166</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1,862</w:t>
            </w:r>
          </w:p>
        </w:tc>
        <w:tc>
          <w:tcPr>
            <w:tcW w:type="dxa" w:w="1440"/>
            <w:shd w:fill="FFDCE0" w:val="clear"/>
          </w:tcPr>
          <w:p>
            <w:r>
              <w:rPr>
                <w:b/>
                <w:sz w:val="17"/>
              </w:rPr>
              <w:t>1,981</w:t>
            </w:r>
          </w:p>
        </w:tc>
        <w:tc>
          <w:tcPr>
            <w:tcW w:type="dxa" w:w="1440"/>
            <w:shd w:fill="FFDCE0" w:val="clear"/>
          </w:tcPr>
          <w:p>
            <w:r>
              <w:rPr>
                <w:sz w:val="17"/>
              </w:rPr>
              <w:t>2,099</w:t>
            </w:r>
          </w:p>
        </w:tc>
        <w:tc>
          <w:tcPr>
            <w:tcW w:type="dxa" w:w="1440"/>
            <w:shd w:fill="FFDCE0" w:val="clear"/>
          </w:tcPr>
          <w:p>
            <w:r>
              <w:rPr>
                <w:b/>
                <w:color w:val="C00000"/>
                <w:sz w:val="17"/>
              </w:rPr>
              <w:t>-13.5%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1,779</w:t>
            </w:r>
          </w:p>
        </w:tc>
        <w:tc>
          <w:tcPr>
            <w:tcW w:type="dxa" w:w="1440"/>
            <w:shd w:fill="FFDCE0" w:val="clear"/>
          </w:tcPr>
          <w:p>
            <w:r>
              <w:rPr>
                <w:b/>
                <w:sz w:val="17"/>
              </w:rPr>
              <w:t>1,911</w:t>
            </w:r>
          </w:p>
        </w:tc>
        <w:tc>
          <w:tcPr>
            <w:tcW w:type="dxa" w:w="1440"/>
            <w:shd w:fill="FFDCE0" w:val="clear"/>
          </w:tcPr>
          <w:p>
            <w:r>
              <w:rPr>
                <w:sz w:val="17"/>
              </w:rPr>
              <w:t>2,043</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1,710</w:t>
            </w:r>
          </w:p>
        </w:tc>
        <w:tc>
          <w:tcPr>
            <w:tcW w:type="dxa" w:w="1440"/>
            <w:shd w:fill="FFDCE0" w:val="clear"/>
          </w:tcPr>
          <w:p>
            <w:r>
              <w:rPr>
                <w:b/>
                <w:sz w:val="17"/>
              </w:rPr>
              <w:t>1,853</w:t>
            </w:r>
          </w:p>
        </w:tc>
        <w:tc>
          <w:tcPr>
            <w:tcW w:type="dxa" w:w="1440"/>
            <w:shd w:fill="FFDCE0" w:val="clear"/>
          </w:tcPr>
          <w:p>
            <w:r>
              <w:rPr>
                <w:sz w:val="17"/>
              </w:rPr>
              <w:t>1,996</w:t>
            </w:r>
          </w:p>
        </w:tc>
        <w:tc>
          <w:tcPr>
            <w:tcW w:type="dxa" w:w="1440"/>
            <w:shd w:fill="FFDCE0" w:val="clear"/>
          </w:tcPr>
          <w:p>
            <w:r>
              <w:rPr>
                <w:b/>
                <w:color w:val="C00000"/>
                <w:sz w:val="17"/>
              </w:rPr>
              <w:t>-19.1%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1,651</w:t>
            </w:r>
          </w:p>
        </w:tc>
        <w:tc>
          <w:tcPr>
            <w:tcW w:type="dxa" w:w="1440"/>
            <w:shd w:fill="FFDCE0" w:val="clear"/>
          </w:tcPr>
          <w:p>
            <w:r>
              <w:rPr>
                <w:b/>
                <w:sz w:val="17"/>
              </w:rPr>
              <w:t>1,803</w:t>
            </w:r>
          </w:p>
        </w:tc>
        <w:tc>
          <w:tcPr>
            <w:tcW w:type="dxa" w:w="1440"/>
            <w:shd w:fill="FFDCE0" w:val="clear"/>
          </w:tcPr>
          <w:p>
            <w:r>
              <w:rPr>
                <w:sz w:val="17"/>
              </w:rPr>
              <w:t>1,956</w:t>
            </w:r>
          </w:p>
        </w:tc>
        <w:tc>
          <w:tcPr>
            <w:tcW w:type="dxa" w:w="1440"/>
            <w:shd w:fill="FFDCE0" w:val="clear"/>
          </w:tcPr>
          <w:p>
            <w:r>
              <w:rPr>
                <w:b/>
                <w:color w:val="C00000"/>
                <w:sz w:val="17"/>
              </w:rPr>
              <w:t>-21.3%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1,600</w:t>
            </w:r>
          </w:p>
        </w:tc>
        <w:tc>
          <w:tcPr>
            <w:tcW w:type="dxa" w:w="1440"/>
            <w:shd w:fill="FFDCE0" w:val="clear"/>
          </w:tcPr>
          <w:p>
            <w:r>
              <w:rPr>
                <w:b/>
                <w:sz w:val="17"/>
              </w:rPr>
              <w:t>1,760</w:t>
            </w:r>
          </w:p>
        </w:tc>
        <w:tc>
          <w:tcPr>
            <w:tcW w:type="dxa" w:w="1440"/>
            <w:shd w:fill="FFDCE0" w:val="clear"/>
          </w:tcPr>
          <w:p>
            <w:r>
              <w:rPr>
                <w:sz w:val="17"/>
              </w:rPr>
              <w:t>1,921</w:t>
            </w:r>
          </w:p>
        </w:tc>
        <w:tc>
          <w:tcPr>
            <w:tcW w:type="dxa" w:w="1440"/>
            <w:shd w:fill="FFDCE0" w:val="clear"/>
          </w:tcPr>
          <w:p>
            <w:r>
              <w:rPr>
                <w:b/>
                <w:color w:val="C00000"/>
                <w:sz w:val="17"/>
              </w:rPr>
              <w:t>-23.1%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1,554</w:t>
            </w:r>
          </w:p>
        </w:tc>
        <w:tc>
          <w:tcPr>
            <w:tcW w:type="dxa" w:w="1440"/>
            <w:shd w:fill="FFDCE0" w:val="clear"/>
          </w:tcPr>
          <w:p>
            <w:r>
              <w:rPr>
                <w:b/>
                <w:sz w:val="17"/>
              </w:rPr>
              <w:t>1,722</w:t>
            </w:r>
          </w:p>
        </w:tc>
        <w:tc>
          <w:tcPr>
            <w:tcW w:type="dxa" w:w="1440"/>
            <w:shd w:fill="FFDCE0" w:val="clear"/>
          </w:tcPr>
          <w:p>
            <w:r>
              <w:rPr>
                <w:sz w:val="17"/>
              </w:rPr>
              <w:t>1,890</w:t>
            </w:r>
          </w:p>
        </w:tc>
        <w:tc>
          <w:tcPr>
            <w:tcW w:type="dxa" w:w="1440"/>
            <w:shd w:fill="FFDCE0" w:val="clear"/>
          </w:tcPr>
          <w:p>
            <w:r>
              <w:rPr>
                <w:b/>
                <w:color w:val="C00000"/>
                <w:sz w:val="17"/>
              </w:rPr>
              <w:t>-24.8%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1,513</w:t>
            </w:r>
          </w:p>
        </w:tc>
        <w:tc>
          <w:tcPr>
            <w:tcW w:type="dxa" w:w="1440"/>
            <w:shd w:fill="FFDCE0" w:val="clear"/>
          </w:tcPr>
          <w:p>
            <w:r>
              <w:rPr>
                <w:b/>
                <w:sz w:val="17"/>
              </w:rPr>
              <w:t>1,688</w:t>
            </w:r>
          </w:p>
        </w:tc>
        <w:tc>
          <w:tcPr>
            <w:tcW w:type="dxa" w:w="1440"/>
            <w:shd w:fill="FFDCE0" w:val="clear"/>
          </w:tcPr>
          <w:p>
            <w:r>
              <w:rPr>
                <w:sz w:val="17"/>
              </w:rPr>
              <w:t>1,862</w:t>
            </w:r>
          </w:p>
        </w:tc>
        <w:tc>
          <w:tcPr>
            <w:tcW w:type="dxa" w:w="1440"/>
            <w:shd w:fill="FFDCE0" w:val="clear"/>
          </w:tcPr>
          <w:p>
            <w:r>
              <w:rPr>
                <w:b/>
                <w:color w:val="C00000"/>
                <w:sz w:val="17"/>
              </w:rPr>
              <w:t>-26.3%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1,475</w:t>
            </w:r>
          </w:p>
        </w:tc>
        <w:tc>
          <w:tcPr>
            <w:tcW w:type="dxa" w:w="1440"/>
            <w:shd w:fill="FFDCE0" w:val="clear"/>
          </w:tcPr>
          <w:p>
            <w:r>
              <w:rPr>
                <w:b/>
                <w:sz w:val="17"/>
              </w:rPr>
              <w:t>1,656</w:t>
            </w:r>
          </w:p>
        </w:tc>
        <w:tc>
          <w:tcPr>
            <w:tcW w:type="dxa" w:w="1440"/>
            <w:shd w:fill="FFDCE0" w:val="clear"/>
          </w:tcPr>
          <w:p>
            <w:r>
              <w:rPr>
                <w:sz w:val="17"/>
              </w:rPr>
              <w:t>1,837</w:t>
            </w:r>
          </w:p>
        </w:tc>
        <w:tc>
          <w:tcPr>
            <w:tcW w:type="dxa" w:w="1440"/>
            <w:shd w:fill="FFDCE0" w:val="clear"/>
          </w:tcPr>
          <w:p>
            <w:r>
              <w:rPr>
                <w:b/>
                <w:color w:val="C00000"/>
                <w:sz w:val="17"/>
              </w:rPr>
              <w:t>-27.7%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144,27 milliards FCFA, un niveau significatif pour la BRVM qui positionne le titre parmi les valeurs moyennes de la cote. Le BPA de 96 FCFA par action génère un PER de 23,9x, très supérieur à la moyenne historique de la BRVM (8-12x), indiquant que les investisseurs paient une prime substantielle pour les bénéfices actuels, probablement en anticipant une croissance future ou en raison d'une demande soutenue sur le titre. Le P/B de 5,31x confirme cette valorisation exigeante, le marché valorisant le titre plus de cinq fois sa valeur comptable, ce qui reflète une forte confiance dans les actifs et la marque de l'entreprise. Enfin, l'EV/EBITDA de 12,9x se situe dans la fourchette haute des standards de marché, suggérant que la valeur totale de l'entreprise (capitaux propres + dette nette) est élevée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affiche une variation totale de +1,78%, avec une légère baisse de -0,43% lors de la dernière séance, témoignant d'une tendance globalement stable mais avec un récent essoufflement. Le cours a évolué dans un range de 1 840 FCFA (plus bas) à 2 325 FCFA (plus haut), le prix actuel de 2 290 FCFA se situant proche du sommet de cette fourchette. La moyenne du cours sur la période (2 101 FCFA) est inférieure à la médiane (2 155 FCFA), indiquant une distribution légèrement asymétrique avec des valeurs extrêmes basses qui tirent la moyenne vers le bas. L'écart-type de 121 FCFA, avec un coefficient de variation de 5,8%, révèle une dispersion modérée du cours autour de sa moyenne. Le kurtosis négatif de -1,016 (distribution platykurtique) suggère une absence de mouvements extrêmes ou de pics de volatilité, tandis que le skewness de -0,399 confirme une asymétrie légèrement négative. La volatilité annualisée de 33,8% classe le titre dans la catégorie des valeurs à volatilité élevée (&gt;30%), ce qui implique un risque de variation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La MM20 (2 208,75 FCFA) et la MM50 (2 151,8 FCFA) sont toutes deux inférieures au cours actuel de 2 290 FCFA, avec une MM20 au-dessus de la MM50, configuration typique d'une tendance haussière à court et moyen terme. Le signal d'achat généré par cet indicateur est cohérent avec la dynamique positive du titre, qui évolue au-dessus de ses moyennes mobiles clés.</w:t>
      </w:r>
    </w:p>
    <w:p>
      <w:pPr>
        <w:spacing w:after="120" w:line="276" w:lineRule="auto"/>
      </w:pPr>
      <w:r>
        <w:t>**Bandes de Bollinger** : Le cours actuel (2 290 FCFA) se positionne dans la partie supérieure des bandes, entre la borne inférieure (2 088,54 FCFA) et la borne supérieure (2 328,96 FCFA), sans toucher cette dernière. Cette position indique une pression acheteuse modérée sans surachat extrême, justifiant la décision neutre de l'indicateur. La largeur des bandes reflète la volatilité modérée du titre.</w:t>
      </w:r>
    </w:p>
    <w:p>
      <w:pPr>
        <w:spacing w:after="120" w:line="276" w:lineRule="auto"/>
      </w:pPr>
      <w:r>
        <w:t>**MACD** : La valeur du MACD (37,34) est supérieure à son signal (27,07), avec un écart positif de plus de 10 points, confirmant un momentum haussier en cours. Cette configuration, où la ligne MACD est au-dessus de sa ligne de signal, est un signal classique d'achat, indiquant que la dynamique de prix à moyen terme reste positive.</w:t>
      </w:r>
    </w:p>
    <w:p>
      <w:pPr>
        <w:spacing w:after="120" w:line="276" w:lineRule="auto"/>
      </w:pPr>
      <w:r>
        <w:t>**RSI** : Le RSI à 59,26 se situe dans la zone neutre (30-70), indiquant que le titre n'est ni suracheté ni survendu. Cette valeur suggère qu'il existe encore une marge de progression avant d'atteindre des niveaux de surachat, mais que la pression acheteuse n'est pas excessive. La décision neutre est cohérente avec cette lecture.</w:t>
      </w:r>
    </w:p>
    <w:p>
      <w:pPr>
        <w:spacing w:after="120" w:line="276" w:lineRule="auto"/>
      </w:pPr>
      <w:r>
        <w:t>**Stochastique** : Le %K (84,09) et le %D (90,91) sont tous deux dans la zone de surachat (&gt;80), avec un %K inférieur au %D, indiquant un croisement baissier potentiel. Cette configuration signale un épuisement possible de la dynamique haussière à court terme, justifiant la décision de vente de cet indicateur.</w:t>
      </w:r>
    </w:p>
    <w:p>
      <w:pPr>
        <w:spacing w:after="120" w:line="276" w:lineRule="auto"/>
      </w:pPr>
      <w:r>
        <w:t>**Conclusion technique** : Les indicateurs de tendance (MM, MACD) sont positifs et confirment une dynamique haussière, tandis que les oscillateurs (RSI, Stochastique) montrent des signes de surachat à court terme. Les bandes de Bollinger restent neutres. Cette divergence entre les indicateurs de tendance et les oscillateurs suggère une possible consolidation à court terme avant la poursuite de la tendance haussière, mais les signaux globaux restent majoritairement positifs.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SHEC font ressortir un chiffre d'affaires de 604,978 milliards FCFA, en légère progression de +0,71% par rapport à 2024 (600,708 milliards FCFA), et un résultat net de 6,028 milliards FCFA, en hausse de +12,6% par rapport à l'exercice précédent (5,354 milliards FCFA). La rentabilité des fonds propres (ROE) s'établit à un excellent niveau de 22,2%, tandis que le ROA atteint 3,1%, reflétant une création de valeur efficace malgré une marge nette très faible de 1%. En tant qu'entreprise de distribution pétrolière, l'analyse du BFR est cruciale : le besoin en fonds de roulement s'élève à 15,315 milliards FCFA, avec un délai clients de 23,27 jours et un délai fournisseurs de 35,47 jours, indiquant que l'entreprise finance ses clients pendant près de 24 jours avant d'être payée, mais bénéficie d'un délai fournisseurs plus long. La trésorerie nette est fortement négative à -65,264 milliards FCFA, avec un endettement total de 166,403 milliards FCFA, ce qui constitue un point de vigilance majeur. Les rapports trimestriels de 2025 montrent une amélioration progressive : le T3 2025 (rapport du 30/09/2025) affichait un résultat net de 4,119 milliards FCFA (+45% sur 9 mois), et le rapport S1 2025 un résultat de 2,623 milliards FCFA. Pour 2026, le rapport S1 2026 (30/06/2026) indique un chiffre d'affaires de 305,038 milliards FCFA (-1%) mais un résultat d'exploitation en hausse de +17% à 6,133 milliards FCFA, permettant d'estimer un résultat net annuel 2026 potentiellement supérieur à celui de 2025, autour de 6,5-7 milliards FCFA. Le dividende proposé pour 2025 est de 6,09 milliards FCFA, soit un taux de distribution de 101%, ce qui témoigne d'une politique généreuse mais potentiellement risquée pour la structure financière. La recommandation fondamentale est de conserver le titre, la société étant bénéficiaire avec un ROE excellent, mais fragilisée par une trésorerie négative et un endettement élevé.</w:t>
      </w:r>
    </w:p>
    <w:p>
      <w:pPr>
        <w:spacing w:after="120" w:line="276" w:lineRule="auto" w:before="240"/>
      </w:pPr>
      <w:r>
        <w:rPr>
          <w:b/>
          <w:color w:val="003366"/>
          <w:sz w:val="24"/>
        </w:rPr>
        <w:t>**PARTIE 4 : CONCLUSION D'INVESTISSEMENT**</w:t>
      </w:r>
    </w:p>
    <w:p>
      <w:pPr>
        <w:spacing w:after="120" w:line="276" w:lineRule="auto"/>
      </w:pPr>
      <w:r>
        <w:t>La valorisation de SHEC (PER 23,9x, P/B 5,31x, EV/EBITDA 12,9x) indique une surévaluation relative par rapport aux standards de la BRVM, les investisseurs payant une prime significative pour un titre dont la croissance du chiffre d'affaires est atone (+0,71% en 2025). Le comportement du cours sur 100 jours montre une stabilité avec une légère tendance haussière (+1,78%), mais la volatilité élevée (33,8%) et l'asymétrie négative de la distribution constituent des signaux de prudence. Les signaux techniques sont mitigés : les indicateurs de tendance (MM, MACD) sont positifs, mais les oscillateurs (Stochastique en surachat) suggèrent un essoufflement à court terme. Les fondamentaux sont contrastés : un ROE excellent (22,2%) et une amélioration du résultat net (+12,6% en 2025) sont contrebalancés par une trésorerie nette très négative (-65,26 milliards FCFA) et un endettement élevé. Les prédictions IA pour les 10 prochains jours (2 160 FCFA à 1 853 FCFA) indiquent une trajectoire baissière marquée, contredisant les signaux techniques de tendance et suggérant une correction à venir. Sur la base de cette synthèse, la recommandation finale est **CONSERVER** avec un niveau de confiance **Moyen** et un risque global **Élevé**. La convergence entre la valorisation exigeante, la volatilité élevée, les signaux techniques mixtes et les prédictions IA baissières justifie la prudence. L'horizon d'investissement optimal serait le **moyen terme (3-12 mois)**, en attendant une clarification de la structure financière et une amélioration de la croissance du chiffre d'affaires avant d'envisager un renforcement de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8,879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+30.99%</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μ=8,001 FCFA, σ=890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β=0.5603 (Défensif) — Cov=0.000020, Var(idx)=0.000036, ρ=0.192,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8,697</w:t>
            </w:r>
          </w:p>
        </w:tc>
        <w:tc>
          <w:tcPr>
            <w:tcW w:type="dxa" w:w="1440"/>
            <w:shd w:fill="FFDCE0" w:val="clear"/>
          </w:tcPr>
          <w:p>
            <w:r>
              <w:rPr>
                <w:b/>
                <w:sz w:val="17"/>
              </w:rPr>
              <w:t>8,954</w:t>
            </w:r>
          </w:p>
        </w:tc>
        <w:tc>
          <w:tcPr>
            <w:tcW w:type="dxa" w:w="1440"/>
            <w:shd w:fill="FFDCE0" w:val="clear"/>
          </w:tcPr>
          <w:p>
            <w:r>
              <w:rPr>
                <w:sz w:val="17"/>
              </w:rPr>
              <w:t>9,210</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8,282</w:t>
            </w:r>
          </w:p>
        </w:tc>
        <w:tc>
          <w:tcPr>
            <w:tcW w:type="dxa" w:w="1440"/>
            <w:shd w:fill="FFDCE0" w:val="clear"/>
          </w:tcPr>
          <w:p>
            <w:r>
              <w:rPr>
                <w:b/>
                <w:sz w:val="17"/>
              </w:rPr>
              <w:t>8,631</w:t>
            </w:r>
          </w:p>
        </w:tc>
        <w:tc>
          <w:tcPr>
            <w:tcW w:type="dxa" w:w="1440"/>
            <w:shd w:fill="FFDCE0" w:val="clear"/>
          </w:tcPr>
          <w:p>
            <w:r>
              <w:rPr>
                <w:sz w:val="17"/>
              </w:rPr>
              <w:t>8,980</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7,931</w:t>
            </w:r>
          </w:p>
        </w:tc>
        <w:tc>
          <w:tcPr>
            <w:tcW w:type="dxa" w:w="1440"/>
            <w:shd w:fill="FFDCE0" w:val="clear"/>
          </w:tcPr>
          <w:p>
            <w:r>
              <w:rPr>
                <w:b/>
                <w:sz w:val="17"/>
              </w:rPr>
              <w:t>8,345</w:t>
            </w:r>
          </w:p>
        </w:tc>
        <w:tc>
          <w:tcPr>
            <w:tcW w:type="dxa" w:w="1440"/>
            <w:shd w:fill="FFDCE0" w:val="clear"/>
          </w:tcPr>
          <w:p>
            <w:r>
              <w:rPr>
                <w:sz w:val="17"/>
              </w:rPr>
              <w:t>8,759</w:t>
            </w:r>
          </w:p>
        </w:tc>
        <w:tc>
          <w:tcPr>
            <w:tcW w:type="dxa" w:w="1440"/>
            <w:shd w:fill="FFDCE0" w:val="clear"/>
          </w:tcPr>
          <w:p>
            <w:r>
              <w:rPr>
                <w:b/>
                <w:color w:val="C00000"/>
                <w:sz w:val="17"/>
              </w:rPr>
              <w:t>-10.3%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7,641</w:t>
            </w:r>
          </w:p>
        </w:tc>
        <w:tc>
          <w:tcPr>
            <w:tcW w:type="dxa" w:w="1440"/>
            <w:shd w:fill="FFDCE0" w:val="clear"/>
          </w:tcPr>
          <w:p>
            <w:r>
              <w:rPr>
                <w:b/>
                <w:sz w:val="17"/>
              </w:rPr>
              <w:t>8,105</w:t>
            </w:r>
          </w:p>
        </w:tc>
        <w:tc>
          <w:tcPr>
            <w:tcW w:type="dxa" w:w="1440"/>
            <w:shd w:fill="FFDCE0" w:val="clear"/>
          </w:tcPr>
          <w:p>
            <w:r>
              <w:rPr>
                <w:sz w:val="17"/>
              </w:rPr>
              <w:t>8,569</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7,399</w:t>
            </w:r>
          </w:p>
        </w:tc>
        <w:tc>
          <w:tcPr>
            <w:tcW w:type="dxa" w:w="1440"/>
            <w:shd w:fill="FFDCE0" w:val="clear"/>
          </w:tcPr>
          <w:p>
            <w:r>
              <w:rPr>
                <w:b/>
                <w:sz w:val="17"/>
              </w:rPr>
              <w:t>7,904</w:t>
            </w:r>
          </w:p>
        </w:tc>
        <w:tc>
          <w:tcPr>
            <w:tcW w:type="dxa" w:w="1440"/>
            <w:shd w:fill="FFDCE0" w:val="clear"/>
          </w:tcPr>
          <w:p>
            <w:r>
              <w:rPr>
                <w:sz w:val="17"/>
              </w:rPr>
              <w:t>8,410</w:t>
            </w:r>
          </w:p>
        </w:tc>
        <w:tc>
          <w:tcPr>
            <w:tcW w:type="dxa" w:w="1440"/>
            <w:shd w:fill="FFDCE0" w:val="clear"/>
          </w:tcPr>
          <w:p>
            <w:r>
              <w:rPr>
                <w:b/>
                <w:color w:val="C00000"/>
                <w:sz w:val="17"/>
              </w:rPr>
              <w:t>-15.0%</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7,192</w:t>
            </w:r>
          </w:p>
        </w:tc>
        <w:tc>
          <w:tcPr>
            <w:tcW w:type="dxa" w:w="1440"/>
            <w:shd w:fill="FFDCE0" w:val="clear"/>
          </w:tcPr>
          <w:p>
            <w:r>
              <w:rPr>
                <w:b/>
                <w:sz w:val="17"/>
              </w:rPr>
              <w:t>7,734</w:t>
            </w:r>
          </w:p>
        </w:tc>
        <w:tc>
          <w:tcPr>
            <w:tcW w:type="dxa" w:w="1440"/>
            <w:shd w:fill="FFDCE0" w:val="clear"/>
          </w:tcPr>
          <w:p>
            <w:r>
              <w:rPr>
                <w:sz w:val="17"/>
              </w:rPr>
              <w:t>8,276</w:t>
            </w:r>
          </w:p>
        </w:tc>
        <w:tc>
          <w:tcPr>
            <w:tcW w:type="dxa" w:w="1440"/>
            <w:shd w:fill="FFDCE0" w:val="clear"/>
          </w:tcPr>
          <w:p>
            <w:r>
              <w:rPr>
                <w:b/>
                <w:color w:val="C00000"/>
                <w:sz w:val="17"/>
              </w:rPr>
              <w:t>-16.8%</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7,011</w:t>
            </w:r>
          </w:p>
        </w:tc>
        <w:tc>
          <w:tcPr>
            <w:tcW w:type="dxa" w:w="1440"/>
            <w:shd w:fill="FFDCE0" w:val="clear"/>
          </w:tcPr>
          <w:p>
            <w:r>
              <w:rPr>
                <w:b/>
                <w:sz w:val="17"/>
              </w:rPr>
              <w:t>7,585</w:t>
            </w:r>
          </w:p>
        </w:tc>
        <w:tc>
          <w:tcPr>
            <w:tcW w:type="dxa" w:w="1440"/>
            <w:shd w:fill="FFDCE0" w:val="clear"/>
          </w:tcPr>
          <w:p>
            <w:r>
              <w:rPr>
                <w:sz w:val="17"/>
              </w:rPr>
              <w:t>8,159</w:t>
            </w:r>
          </w:p>
        </w:tc>
        <w:tc>
          <w:tcPr>
            <w:tcW w:type="dxa" w:w="1440"/>
            <w:shd w:fill="FFDCE0" w:val="clear"/>
          </w:tcPr>
          <w:p>
            <w:r>
              <w:rPr>
                <w:b/>
                <w:color w:val="C00000"/>
                <w:sz w:val="17"/>
              </w:rPr>
              <w:t>-18.4%</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6,850</w:t>
            </w:r>
          </w:p>
        </w:tc>
        <w:tc>
          <w:tcPr>
            <w:tcW w:type="dxa" w:w="1440"/>
            <w:shd w:fill="FFDCE0" w:val="clear"/>
          </w:tcPr>
          <w:p>
            <w:r>
              <w:rPr>
                <w:b/>
                <w:sz w:val="17"/>
              </w:rPr>
              <w:t>7,453</w:t>
            </w:r>
          </w:p>
        </w:tc>
        <w:tc>
          <w:tcPr>
            <w:tcW w:type="dxa" w:w="1440"/>
            <w:shd w:fill="FFDCE0" w:val="clear"/>
          </w:tcPr>
          <w:p>
            <w:r>
              <w:rPr>
                <w:sz w:val="17"/>
              </w:rPr>
              <w:t>8,056</w:t>
            </w:r>
          </w:p>
        </w:tc>
        <w:tc>
          <w:tcPr>
            <w:tcW w:type="dxa" w:w="1440"/>
            <w:shd w:fill="FFDCE0" w:val="clear"/>
          </w:tcPr>
          <w:p>
            <w:r>
              <w:rPr>
                <w:b/>
                <w:color w:val="C00000"/>
                <w:sz w:val="17"/>
              </w:rPr>
              <w:t>-19.9%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6,705</w:t>
            </w:r>
          </w:p>
        </w:tc>
        <w:tc>
          <w:tcPr>
            <w:tcW w:type="dxa" w:w="1440"/>
            <w:shd w:fill="FFDCE0" w:val="clear"/>
          </w:tcPr>
          <w:p>
            <w:r>
              <w:rPr>
                <w:b/>
                <w:sz w:val="17"/>
              </w:rPr>
              <w:t>7,334</w:t>
            </w:r>
          </w:p>
        </w:tc>
        <w:tc>
          <w:tcPr>
            <w:tcW w:type="dxa" w:w="1440"/>
            <w:shd w:fill="FFDCE0" w:val="clear"/>
          </w:tcPr>
          <w:p>
            <w:r>
              <w:rPr>
                <w:sz w:val="17"/>
              </w:rPr>
              <w:t>7,964</w:t>
            </w:r>
          </w:p>
        </w:tc>
        <w:tc>
          <w:tcPr>
            <w:tcW w:type="dxa" w:w="1440"/>
            <w:shd w:fill="FFDCE0" w:val="clear"/>
          </w:tcPr>
          <w:p>
            <w:r>
              <w:rPr>
                <w:b/>
                <w:color w:val="C00000"/>
                <w:sz w:val="17"/>
              </w:rPr>
              <w:t>-21.1%</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6,572</w:t>
            </w:r>
          </w:p>
        </w:tc>
        <w:tc>
          <w:tcPr>
            <w:tcW w:type="dxa" w:w="1440"/>
            <w:shd w:fill="FFDCE0" w:val="clear"/>
          </w:tcPr>
          <w:p>
            <w:r>
              <w:rPr>
                <w:b/>
                <w:sz w:val="17"/>
              </w:rPr>
              <w:t>7,226</w:t>
            </w:r>
          </w:p>
        </w:tc>
        <w:tc>
          <w:tcPr>
            <w:tcW w:type="dxa" w:w="1440"/>
            <w:shd w:fill="FFDCE0" w:val="clear"/>
          </w:tcPr>
          <w:p>
            <w:r>
              <w:rPr>
                <w:sz w:val="17"/>
              </w:rPr>
              <w:t>7,880</w:t>
            </w:r>
          </w:p>
        </w:tc>
        <w:tc>
          <w:tcPr>
            <w:tcW w:type="dxa" w:w="1440"/>
            <w:shd w:fill="FFDCE0" w:val="clear"/>
          </w:tcPr>
          <w:p>
            <w:r>
              <w:rPr>
                <w:b/>
                <w:color w:val="C00000"/>
                <w:sz w:val="17"/>
              </w:rPr>
              <w:t>-22.3%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 Banque (SIBC) affiche une capitalisation boursière de 930 milliards FCFA, ce qui en fait l'une des valeurs les plus significatives de la BRVM, reflétant son statut de banque systémique en Côte d'Ivoire. Avec un BPA de 556 FCFA, chaque action génère un bénéfice substantiel, mais le PER de 16,7x se situe nettement au-dessus de la moyenne historique de la BRVM (8-12x), indiquant que les investisseurs paient une prime significative pour la qualité des actifs et la régularité des performances. Le P/B de 4,54x confirme cette lecture : le marché valorise le titre à plus de quatre fois sa valeur comptable, une prime qui traduit une confiance élevée dans la capacité de la banque à générer de la valeur, mais qui laisse peu de marge d'erreur en cas de déception. Enfin, l'EV/EBITDA de 15,5x, bien que supérieur au seuil de 15x jugé exigeant, reste cohérent avec le secteur bancaire où les actifs financiers dominent le bilan et où l'EBITDA est structurellement élevé. Globalement, la valorisation actuelle intègre déjà des attentes de croissance soutenue, ce qui réduit le potentiel de hausse immédiat.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+30,99%, passant d'un plus bas de 6 805 FCFA à un plus haut de 9 300 FCFA, niveau qui correspond au cours actuel. Cette tendance haussière est confirmée par la variation positive de +0,54% lors de la dernière séance, signe d'un momentum persistant. La moyenne du cours sur la période (8 001 FCFA) est inférieure à la médiane (8 178 FCFA), ce qui suggère une distribution légèrement asymétrique avec des valeurs extrêmes à la hausse en fin de période. L'écart-type de 895 FCFA, associé à un coefficient de variation de 11,2%, indique une dispersion modérée autour de la moyenne, tandis que le kurtosis de -1,815 (platykurtique) révèle une distribution aplatie, sans pics de volatilité extrêmes, et le skewness de -0,053 confirme une symétrie quasi parfaite. La volatilité annualisée de 27,7% positionne le titre dans une zone modérée à élevée (15-30%), reflétant une certaine nervosité du marché mais sans excès. Cette configuration statistique suggère un titre en phase d'appréciation soutenue, avec des fluctuations maîtrisées et une progression régulière vers de nouveaux sommets.</w:t>
      </w:r>
    </w:p>
    <w:p>
      <w:pPr>
        <w:spacing w:after="120" w:line="276" w:lineRule="auto" w:before="240"/>
      </w:pPr>
      <w:r>
        <w:rPr>
          <w:b/>
          <w:color w:val="003366"/>
          <w:sz w:val="24"/>
        </w:rPr>
        <w:t>**PARTIE 2 : ANALYSE TECHNIQUE DÉTAILLÉE**</w:t>
      </w:r>
    </w:p>
    <w:p>
      <w:pPr>
        <w:spacing w:after="120" w:line="276" w:lineRule="auto"/>
      </w:pPr>
      <w:r>
        <w:t>**Moyennes Mobiles** : Le cours actuel de 9 300 FCFA se situe nettement au-dessus de la MM20 (8 922 FCFA) et de la MM50 (8 857 FCFA), avec un écart de plus de 4% par rapport à la moyenne courte. Cette configuration haussière, où les moyennes sont orientées à la hausse et le cours évolue au-dessus, confirme une dynamique positive soutenue. La décision d'achat est justifiée par la solidité de la tendance, même si l'écart croissant entre le cours et les moyennes pourrait signaler une phase de surachat temporaire.</w:t>
      </w:r>
    </w:p>
    <w:p>
      <w:pPr>
        <w:spacing w:after="120" w:line="276" w:lineRule="auto"/>
      </w:pPr>
      <w:r>
        <w:t>**Bandes de Bollinger** : Le prix actuel de 9 300 FCFA se situe très près de la borne supérieure (9 323,83 FCFA), indiquant que le titre évolue en zone de tension haute. La largeur des bandes, avec une borne inférieure à 8 520 FCFA, reflète une volatilité modérée. La décision neutre s'explique par le fait que le cours n'a pas encore franchi la borne supérieure, mais la proximité de ce niveau suggère qu'un dépassement pourrait déclencher une accélération haussière ou, à l'inverse, une consolidation.</w:t>
      </w:r>
    </w:p>
    <w:p>
      <w:pPr>
        <w:spacing w:after="120" w:line="276" w:lineRule="auto"/>
      </w:pPr>
      <w:r>
        <w:t>**MACD** : Le MACD (110,827) est nettement supérieur à sa ligne de signal (77,809), avec un écart positif de plus de 33 points. Cette divergence haussière confirme un momentum positif fort, indiquant que la dynamique d'achat reste dominante. La décision d'achat est pleinement justifiée, même si l'ampleur de l'écart pourrait précéder une phase de convergence ou de correction technique.</w:t>
      </w:r>
    </w:p>
    <w:p>
      <w:pPr>
        <w:spacing w:after="120" w:line="276" w:lineRule="auto"/>
      </w:pPr>
      <w:r>
        <w:t>**RSI** : Le RSI s'établit à 62,0, une valeur qui se situe dans la zone neutre (30-70) mais proche de la zone de surachat (70). Cette lecture indique que le titre conserve un potentiel haussier sans être encore en situation de surachat extrême. La décision neutre est cohérente avec cette position intermédiaire, laissant la possibilité d'une poursuite de la hausse avant une éventuelle saturation.</w:t>
      </w:r>
    </w:p>
    <w:p>
      <w:pPr>
        <w:spacing w:after="120" w:line="276" w:lineRule="auto"/>
      </w:pPr>
      <w:r>
        <w:t>**Stochastique** : Le %K à 100,0 et le %D à 97,4 signalent une situation de surachat extrême, le %K ayant atteint son niveau maximal. Cette configuration indique que le titre est temporairement survendu d'un point de vue technique, avec un risque élevé de correction à court terme. La décision de vente est justifiée par ce déséquilibre, même si dans une tendance haussière forte, les indicateurs peuvent rester en surachat prolongé.</w:t>
      </w:r>
    </w:p>
    <w:p>
      <w:pPr>
        <w:spacing w:after="120" w:line="276" w:lineRule="auto"/>
      </w:pPr>
      <w:r>
        <w:t>**Conclusion technique** : Les indicateurs de tendance (MM, MACD) sont résolument haussiers, tandis que les oscillateurs (RSI, Stochastique) signalent une saturation à court terme. Cette divergence entre tendance et momentum suggère que le titre pourrait connaître une consolidation technique avant de poursuivre sa progression. La prudence est donc de mise à très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108,663 milliards FCFA et un résultat net de 55,623 milliards FCFA, soit une marge nette exceptionnelle de 51,19%. Le ROE de 27,16% dépasse largement le seuil d'excellence de 15%, tandis que le ROA de 2,96% témoigne d'une utilisation efficace des actifs. Le coefficient d'exploitation de 38,59% est remarquablement bas, confirmant une gestion rigoureuse des charges. Le coût du risque, mesuré par le ratio provisions/charges financières, apparaît élevé, mais les rapports narratifs indiquent une baisse significative de 34% du coût du risque en 2024, suggérant une amélioration de la qualité du portefeuille. Les dépôts clientèle (1 503,441 milliards FCFA) excèdent largement les créances sur la clientèle (1 226,720 milliards FCFA), démontrant une transformation saine. En 2024, le PNB s'établissait à 102,8 milliards FCFA avec un résultat net de 50,2 milliards FCFA, soit une croissance de 8% et 15% respectivement. Les rapports trimestriels 2025 confirment cette dynamique : T1 2025 (PNB +12%, RN +10%), S1 2025 (PNB +9%, RN +15%), T3 2025 (PNB +8%, RN +11%). Le rapport T1 2026, daté du 31 décembre 2026, montre une poursuite avec un PNB de 27,7 milliards FCFA (+4%) et un résultat net de 15,2 milliards FCFA (+11%). Sur la base de ces tendances, on estime que l'exercice 2026 devrait voir un PNB autour de 115-118 milliards FCFA et un résultat net de 60-62 milliards FCFA, confirmant la solidité du modèle économique de la banque.</w:t>
      </w:r>
    </w:p>
    <w:p>
      <w:pPr>
        <w:spacing w:after="120" w:line="276" w:lineRule="auto" w:before="240"/>
      </w:pPr>
      <w:r>
        <w:rPr>
          <w:b/>
          <w:color w:val="003366"/>
          <w:sz w:val="24"/>
        </w:rPr>
        <w:t>**PARTIE 4 : CONCLUSION D'INVESTISSEMENT**</w:t>
      </w:r>
    </w:p>
    <w:p>
      <w:pPr>
        <w:spacing w:after="120" w:line="276" w:lineRule="auto"/>
      </w:pPr>
      <w:r>
        <w:t>La synthèse des analyses révèle une configuration contrastée. La valorisation (PER 16,7x, P/B 4,54x, EV/EBITDA 15,5x) apparaît exigeante, intégrant déjà des attentes élevées de croissance, ce qui limite le potentiel de hausse immédiat. Le comportement du cours sur 100 jours est très favorable, avec une progression de +31% et une volatilité modérée (27,7%), mais les statistiques descriptives (kurtosis platykurtique, skewness symétrique) suggèrent une distribution stable sans excès. Les signaux techniques sont partagés : les indicateurs de tendance (MM, MACD) sont haussiers, tandis que les oscillateurs (RSI à 62, Stochastique en surachat extrême) signalent une saturation à court terme. Les fondamentaux sont excellents, avec un ROE de 27,16%, un coefficient d'exploitation de 38,59% et une croissance soutenue du résultat net (+11% au T1 2026). Les prédictions IA pour les 10 prochains jours (8 954 à 7 904 FCFA) anticipent une correction significative de -15%, ce qui contredit la tendance haussière actuelle et suggère un repli technique probable. Compte tenu de cette divergence entre des fondamentaux solides et une valorisation tendue, associée à des signaux techniques de surachat et des prédictions baissières, la recommandation est **CONSERVER** avec un niveau de confiance **Moyen** et un risque global **Moyen**. L'horizon d'investissement optimal serait le **moyen terme (3-12 mois)**, en attendant une correction du cours pour renforcer la position, ou la confirmation d'une poursuite de la hausse au-delà des 9 300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95 titres</w:t>
            </w:r>
          </w:p>
        </w:tc>
        <w:tc>
          <w:tcPr>
            <w:tcW w:type="dxa" w:w="2268"/>
            <w:shd w:fill="FFF2CC" w:val="clear"/>
          </w:tcPr>
          <w:p>
            <w:r>
              <w:rPr>
                <w:b/>
                <w:color w:val="503200"/>
                <w:sz w:val="16"/>
              </w:rPr>
              <w:t xml:space="preserve">Cours actuel : </w:t>
            </w:r>
            <w:r>
              <w:rPr>
                <w:color w:val="000000"/>
                <w:sz w:val="17"/>
              </w:rPr>
              <w:t>7,085 FCFA</w:t>
            </w:r>
          </w:p>
          <w:p>
            <w:r>
              <w:rPr>
                <w:b/>
                <w:color w:val="503200"/>
                <w:sz w:val="16"/>
              </w:rPr>
              <w:t xml:space="preserve">Var. 100 jours : </w:t>
            </w:r>
            <w:r>
              <w:rPr>
                <w:b/>
                <w:color w:val="007800"/>
                <w:sz w:val="17"/>
              </w:rPr>
              <w:t>+81.43%</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15.63% (Élevée) — μ=4,633 FCFA, σ=724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β=-0.1936 (Contre-cyclique) — Cov=-0.000007, Var(idx)=0.000036, ρ=-0.034,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6,596</w:t>
            </w:r>
          </w:p>
        </w:tc>
        <w:tc>
          <w:tcPr>
            <w:tcW w:type="dxa" w:w="1440"/>
            <w:shd w:fill="FAFAFA" w:val="clear"/>
          </w:tcPr>
          <w:p>
            <w:r>
              <w:rPr>
                <w:b/>
                <w:sz w:val="17"/>
              </w:rPr>
              <w:t>7,058</w:t>
            </w:r>
          </w:p>
        </w:tc>
        <w:tc>
          <w:tcPr>
            <w:tcW w:type="dxa" w:w="1440"/>
            <w:shd w:fill="FAFAFA" w:val="clear"/>
          </w:tcPr>
          <w:p>
            <w:r>
              <w:rPr>
                <w:sz w:val="17"/>
              </w:rPr>
              <w:t>7,519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6,347</w:t>
            </w:r>
          </w:p>
        </w:tc>
        <w:tc>
          <w:tcPr>
            <w:tcW w:type="dxa" w:w="1440"/>
            <w:shd w:fill="FAFAFA" w:val="clear"/>
          </w:tcPr>
          <w:p>
            <w:r>
              <w:rPr>
                <w:b/>
                <w:sz w:val="17"/>
              </w:rPr>
              <w:t>6,994</w:t>
            </w:r>
          </w:p>
        </w:tc>
        <w:tc>
          <w:tcPr>
            <w:tcW w:type="dxa" w:w="1440"/>
            <w:shd w:fill="FAFAFA" w:val="clear"/>
          </w:tcPr>
          <w:p>
            <w:r>
              <w:rPr>
                <w:sz w:val="17"/>
              </w:rPr>
              <w:t>7,641</w:t>
            </w:r>
          </w:p>
        </w:tc>
        <w:tc>
          <w:tcPr>
            <w:tcW w:type="dxa" w:w="1440"/>
            <w:shd w:fill="FAFAFA" w:val="clear"/>
          </w:tcPr>
          <w:p>
            <w:r>
              <w:rPr>
                <w:b/>
                <w:color w:val="C00000"/>
                <w:sz w:val="17"/>
              </w:rPr>
              <w:t>-1.3%</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6,127</w:t>
            </w:r>
          </w:p>
        </w:tc>
        <w:tc>
          <w:tcPr>
            <w:tcW w:type="dxa" w:w="1440"/>
            <w:shd w:fill="FFDCE0" w:val="clear"/>
          </w:tcPr>
          <w:p>
            <w:r>
              <w:rPr>
                <w:b/>
                <w:sz w:val="17"/>
              </w:rPr>
              <w:t>6,909</w:t>
            </w:r>
          </w:p>
        </w:tc>
        <w:tc>
          <w:tcPr>
            <w:tcW w:type="dxa" w:w="1440"/>
            <w:shd w:fill="FFDCE0" w:val="clear"/>
          </w:tcPr>
          <w:p>
            <w:r>
              <w:rPr>
                <w:sz w:val="17"/>
              </w:rPr>
              <w:t>7,692</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5,923</w:t>
            </w:r>
          </w:p>
        </w:tc>
        <w:tc>
          <w:tcPr>
            <w:tcW w:type="dxa" w:w="1440"/>
            <w:shd w:fill="FFDCE0" w:val="clear"/>
          </w:tcPr>
          <w:p>
            <w:r>
              <w:rPr>
                <w:b/>
                <w:sz w:val="17"/>
              </w:rPr>
              <w:t>6,815</w:t>
            </w:r>
          </w:p>
        </w:tc>
        <w:tc>
          <w:tcPr>
            <w:tcW w:type="dxa" w:w="1440"/>
            <w:shd w:fill="FFDCE0" w:val="clear"/>
          </w:tcPr>
          <w:p>
            <w:r>
              <w:rPr>
                <w:sz w:val="17"/>
              </w:rPr>
              <w:t>7,706</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5,733</w:t>
            </w:r>
          </w:p>
        </w:tc>
        <w:tc>
          <w:tcPr>
            <w:tcW w:type="dxa" w:w="1440"/>
            <w:shd w:fill="FFDCE0" w:val="clear"/>
          </w:tcPr>
          <w:p>
            <w:r>
              <w:rPr>
                <w:b/>
                <w:sz w:val="17"/>
              </w:rPr>
              <w:t>6,715</w:t>
            </w:r>
          </w:p>
        </w:tc>
        <w:tc>
          <w:tcPr>
            <w:tcW w:type="dxa" w:w="1440"/>
            <w:shd w:fill="FFDCE0" w:val="clear"/>
          </w:tcPr>
          <w:p>
            <w:r>
              <w:rPr>
                <w:sz w:val="17"/>
              </w:rPr>
              <w:t>7,697</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5,553</w:t>
            </w:r>
          </w:p>
        </w:tc>
        <w:tc>
          <w:tcPr>
            <w:tcW w:type="dxa" w:w="1440"/>
            <w:shd w:fill="FFDCE0" w:val="clear"/>
          </w:tcPr>
          <w:p>
            <w:r>
              <w:rPr>
                <w:b/>
                <w:sz w:val="17"/>
              </w:rPr>
              <w:t>6,613</w:t>
            </w:r>
          </w:p>
        </w:tc>
        <w:tc>
          <w:tcPr>
            <w:tcW w:type="dxa" w:w="1440"/>
            <w:shd w:fill="FFDCE0" w:val="clear"/>
          </w:tcPr>
          <w:p>
            <w:r>
              <w:rPr>
                <w:sz w:val="17"/>
              </w:rPr>
              <w:t>7,672</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5,384</w:t>
            </w:r>
          </w:p>
        </w:tc>
        <w:tc>
          <w:tcPr>
            <w:tcW w:type="dxa" w:w="1440"/>
            <w:shd w:fill="FFDCE0" w:val="clear"/>
          </w:tcPr>
          <w:p>
            <w:r>
              <w:rPr>
                <w:b/>
                <w:sz w:val="17"/>
              </w:rPr>
              <w:t>6,510</w:t>
            </w:r>
          </w:p>
        </w:tc>
        <w:tc>
          <w:tcPr>
            <w:tcW w:type="dxa" w:w="1440"/>
            <w:shd w:fill="FFDCE0" w:val="clear"/>
          </w:tcPr>
          <w:p>
            <w:r>
              <w:rPr>
                <w:sz w:val="17"/>
              </w:rPr>
              <w:t>7,637</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5,224</w:t>
            </w:r>
          </w:p>
        </w:tc>
        <w:tc>
          <w:tcPr>
            <w:tcW w:type="dxa" w:w="1440"/>
            <w:shd w:fill="FFDCE0" w:val="clear"/>
          </w:tcPr>
          <w:p>
            <w:r>
              <w:rPr>
                <w:b/>
                <w:sz w:val="17"/>
              </w:rPr>
              <w:t>6,409</w:t>
            </w:r>
          </w:p>
        </w:tc>
        <w:tc>
          <w:tcPr>
            <w:tcW w:type="dxa" w:w="1440"/>
            <w:shd w:fill="FFDCE0" w:val="clear"/>
          </w:tcPr>
          <w:p>
            <w:r>
              <w:rPr>
                <w:sz w:val="17"/>
              </w:rPr>
              <w:t>7,595</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5,072</w:t>
            </w:r>
          </w:p>
        </w:tc>
        <w:tc>
          <w:tcPr>
            <w:tcW w:type="dxa" w:w="1440"/>
            <w:shd w:fill="FFDCE0" w:val="clear"/>
          </w:tcPr>
          <w:p>
            <w:r>
              <w:rPr>
                <w:b/>
                <w:sz w:val="17"/>
              </w:rPr>
              <w:t>6,310</w:t>
            </w:r>
          </w:p>
        </w:tc>
        <w:tc>
          <w:tcPr>
            <w:tcW w:type="dxa" w:w="1440"/>
            <w:shd w:fill="FFDCE0" w:val="clear"/>
          </w:tcPr>
          <w:p>
            <w:r>
              <w:rPr>
                <w:sz w:val="17"/>
              </w:rPr>
              <w:t>7,548</w:t>
            </w:r>
          </w:p>
        </w:tc>
        <w:tc>
          <w:tcPr>
            <w:tcW w:type="dxa" w:w="1440"/>
            <w:shd w:fill="FFDCE0" w:val="clear"/>
          </w:tcPr>
          <w:p>
            <w:r>
              <w:rPr>
                <w:b/>
                <w:color w:val="C00000"/>
                <w:sz w:val="17"/>
              </w:rPr>
              <w:t>-10.9%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4,929</w:t>
            </w:r>
          </w:p>
        </w:tc>
        <w:tc>
          <w:tcPr>
            <w:tcW w:type="dxa" w:w="1440"/>
            <w:shd w:fill="FFDCE0" w:val="clear"/>
          </w:tcPr>
          <w:p>
            <w:r>
              <w:rPr>
                <w:b/>
                <w:sz w:val="17"/>
              </w:rPr>
              <w:t>6,215</w:t>
            </w:r>
          </w:p>
        </w:tc>
        <w:tc>
          <w:tcPr>
            <w:tcW w:type="dxa" w:w="1440"/>
            <w:shd w:fill="FFDCE0" w:val="clear"/>
          </w:tcPr>
          <w:p>
            <w:r>
              <w:rPr>
                <w:sz w:val="17"/>
              </w:rPr>
              <w:t>7,500</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4,25 milliards FCFA, un niveau modeste qui la classe parmi les petites capitalisations de la BRVM, offrant un potentiel de croissance mais aussi une liquidité limitée. Les ratios de valorisation (BPA, PER, P/B, EV/EBITDA) ne sont pas calculables en raison de l'absence de données financières structurées actualisées dans la base, ce qui constitue une lacune importante pour l'évaluation précise du titre. Toutefois, sur la base des capitaux propres de 2,98 milliards FCFA (exercice 2024), le ratio P/B implicite ressort à environ 1,43x, indiquant que le marché valorise légèrement au-dessus de la valeur comptable. Cette prime relative reflète les attentes de redressement, mais reste fragile compte tenu des pertes récurrentes. L'absence de PER calculable empêche toute comparaison avec la moyenne BRVM (8-12x), mais la perte nette de 128,6 millions FCFA en 2024 rendrait ce ratio non significatif.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progression spectaculaire de +81,43%, passant d'un plus bas de 3 765 FCFA à un plus haut de 7 095 FCFA, avec un cours actuel de 7 085 FCFA. La séance de J-1 est restée stable (0,00%), marquant une pause après cette forte ascension. La moyenne du cours (4 633 FCFA) est nettement inférieure à la médiane (4 390 FCFA), et l'écart entre ces deux valeurs, combiné à un skewness positif de 1,712, révèle une distribution asymétrique avec des journées majoritairement sous la moyenne mais ponctuées de fortes hausses. Le kurtosis élevé (2,722) confirme un risque de pics extrêmes, typique des titres spéculatifs. L'écart-type de 728 FCFA (CV = 15,7%) indique une dispersion modérée autour de la moyenne, mais la volatilité annualisée de 54,3% classe le titre dans la catégorie à très haute volatilité (&gt;30%), signalant un risque majeur pour les investisseurs non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(5 791 FCFA) et la MM50 (5 093 FCFA) sont toutes deux largement inférieures au cours actuel de 7 085 FCFA, confirmant une tendance haussière robuste. Le croisement haussier des deux moyennes et la position du prix au-dessus de celles-ci justifient la décision d'achat, bien que l'écart important entre le cours et la MM20 suggère une possible correction à court terme.</w:t>
      </w:r>
    </w:p>
    <w:p>
      <w:pPr>
        <w:spacing w:after="120" w:line="276" w:lineRule="auto"/>
      </w:pPr>
      <w:r>
        <w:t>**Bandes de Bollinger** : Le cours se situe à 7 085 FCFA, très proche de la borne supérieure (7 268 FCFA), indiquant une pression acheteuse intense. La largeur des bandes (2 953 FCFA d'écart) reflète une volatilité élevée. La décision "Neutre" s'explique par le fait que le prix n'a pas encore franchi la borne, mais la proximité de celle-ci suggère une possible poursuite ou un retournement imminent.</w:t>
      </w:r>
    </w:p>
    <w:p>
      <w:pPr>
        <w:spacing w:after="120" w:line="276" w:lineRule="auto"/>
      </w:pPr>
      <w:r>
        <w:t>**MACD** : Le MACD (545,09) est nettement supérieur à son signal (400,51), confirmant un momentum haussier puissant. L'écart positif et croissant entre les deux lignes indique une accélération de la tendance, justifiant la décision d'achat. Cependant, un tel écart peut également signaler une surachete technique à court terme.</w:t>
      </w:r>
    </w:p>
    <w:p>
      <w:pPr>
        <w:spacing w:after="120" w:line="276" w:lineRule="auto"/>
      </w:pPr>
      <w:r>
        <w:t>**RSI** : À 78,47, le RSI est entré en zone de surachat (&gt;70), signalant que le titre est techniquement surévalué à court terme. Cette lecture justifie la décision de vente, car elle suggère un épuisement probable des acheteurs et un risque de correction. Les investisseurs devraient surveiller un éventuel retour sous le seuil de 70.</w:t>
      </w:r>
    </w:p>
    <w:p>
      <w:pPr>
        <w:spacing w:after="120" w:line="276" w:lineRule="auto"/>
      </w:pPr>
      <w:r>
        <w:t>**Stochastique** : Le %K (99,44) et le %D (99,63) sont tous deux à des niveaux extrêmes de surachat, avec un %D légèrement supérieur au %K, indiquant un possible début de retournement baissier. La décision de vente est justifiée par ces niveaux extrêmes, qui précèdent souvent des corrections techniques.</w:t>
      </w:r>
    </w:p>
    <w:p>
      <w:pPr>
        <w:spacing w:after="120" w:line="276" w:lineRule="auto"/>
      </w:pPr>
      <w:r>
        <w:t>**Conclusion technique** : Les indicateurs de tendance (MM, MACD) sont résolument haussiers, mais les oscillateurs (RSI, Stochastique) signalent une surachete extrême. Cette divergence classique suggère une poursuite possible de la tendance à moyen terme, mais avec un risque élevé de correction à court terme. La prudence est recommandée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SICOR révèlent une situation préoccupante. En 2024, la société a enregistré une perte nette de 128,6 millions FCFA (contre un bénéfice de 19,2 millions en 2023), avec un chiffre d'affaires en baisse de 22% à 546,8 millions FCFA. L'EBE est devenu négatif (-16,2 millions), et le résultat d'exploitation s'établit à -136,6 millions, traduisant une dégradation opérationnelle majeure. Les capitaux propres s'élèvent à 2,98 milliards FCFA, mais la marge nette est profondément négative à -23,5%. Le rapport 2024 (daté du 31 décembre 2024) souligne des contraintes foncières critiques avec l'occupation et la perte de plusieurs sites de production (Boulay, Avagou-Taboth), entraînant une chute de 40% de la production d'huile de coprah. Les charges ont bondi de 30%, notamment les services extérieurs (+266%) suite au recours à des façonniers. Les commissaires aux comptes ont émis une opinion avec réserves, incluant un ajustement de stocks non justifié. Historiquement, l'exercice 2023 avait montré un retour à la profitabilité (+19,25 millions) après une perte en 2022 (-39,95 millions), mais cette amélioration était fragile, portée par une réduction drastique des charges (-43,68%) plutôt que par une croissance organique. Le rapport 2022 (daté du 31 décembre 2022) confirme la tendance baissière du CA (-17,58% à 1,138 milliard) et une perte nette de -39,95 millions. Les rapports 2019-2021 montrent des bénéfices modestes (2,35 à 119,2 millions) mais de qualité variable, souvent soutenus par des éléments non récurrents. Le report à nouveau reste lourdement déficitaire (-689,86 millions en 2023), interdisant tout dividende. La recommandation fondamentale est clairement **VENTE**, compte tenu de la perte nette, de l'EBE négatif, de la menace foncière existentielle et de l'opinion d'audit avec réserves. Le plan de redressement annoncé (sécurisation foncière, optimisation du site de Gliké-Tabou) devra être suivi de près, mais le profil de risque est très élevé.</w:t>
      </w:r>
    </w:p>
    <w:p>
      <w:pPr>
        <w:spacing w:after="120" w:line="276" w:lineRule="auto"/>
      </w:pPr>
      <w:r>
        <w:t>---</w:t>
      </w:r>
    </w:p>
    <w:p>
      <w:pPr>
        <w:spacing w:after="120" w:line="276" w:lineRule="auto"/>
      </w:pPr>
      <w:r>
        <w:t>### PARTIE 4 : CONCLUSION D'INVESTISSEMENT</w:t>
      </w:r>
    </w:p>
    <w:p>
      <w:pPr>
        <w:spacing w:after="120" w:line="276" w:lineRule="auto"/>
      </w:pPr>
      <w:r>
        <w:t>La synthèse des quatre analyses révèle une situation profondément contradictoire. La valorisation (Partie 0) est difficile à évaluer faute de ratios calculables, mais le P/B implicite de 1,43x suggère une valorisation relative élevée compte tenu des pertes. Le comportement du cours (Partie 1) montre une hausse spectaculaire de +81,43% sur 100 jours, avec une volatilité extrême (54,3%) et une distribution asymétrique à risque de pics, typique d'un comportement spéculatif. Les signaux techniques (Partie 2) sont partagés : les indicateurs de tendance (MM, MACD) sont haussiers, mais les oscillateurs (RSI à 78,47, Stochastique à 99,4) signalent une surachete extrême, annonçant une correction probable. Les fondamentaux (Partie 3) sont franchement négatifs avec une perte nette de 128,6 millions en 2024, un EBE négatif et une menace foncière existentielle. Les prédictions IA (J+1 à J+10) confirment cette analyse en projetant une baisse progressive de 7 058 à 6 715 FCFA, soit une correction de -5,2% sur 10 séances. La divergence entre la performance boursière récente et la détérioration fondamentale est flagrante, suggérant une bulle spéculative. **Recommandation finale : VENTE FORTE**, avec un niveau de confiance Élevé et un risque global Élevé. L'horizon d'investissement optimal est le court terme (&lt;3 mois) pour les positions existantes, avec un stop-loss recommandé sous 6 500 FCFA. Les investisseurs devraient éviter toute nouvelle position à ces niveaux et attendre une correction significative avant d'envisager un retour, idéalement après confirmation d'un redressement fondamental tangible.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"Les pertes r\u00e9currentes et la d\u00e9gradation du chiffre d'affaires indiquent une situation financi\u00e8re fragile. La marge nette tr\u00e8s n\u00e9gative et la baisse des capitaux propres justifient une position vendeuse."}</w:t>
      </w:r>
    </w:p>
    <w:p>
      <w:pPr>
        <w:spacing w:before="40"/>
        <w:ind w:left="400"/>
      </w:pPr>
      <w:r>
        <w:rPr>
          <w:sz w:val="18"/>
        </w:rPr>
        <w:t>La société SICOR présente des états financiers au 31 décembre 2012 montrant un résultat net déficitaire de 401 millions FCFA, en légère amélioration par rapport à 2011. Le chiffre d'affaires a chuté de 28% pour s'établir à 487 millions FCFA. Les capitaux propres restent positifs mais se sont fortement dégradés, passant de 681 millions à 238 millions FCFA. La marge nette est très négative, à -82%, traduisant une incapacité à générer de la rentabilité. La société semble confrontée à des difficultés financières persistantes.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'dettes_financieres': '599 004 838 FCFA', 'variation_tresorerie': '99 983 143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-82.3%</w:t>
            </w:r>
          </w:p>
        </w:tc>
        <w:tc>
          <w:tcPr>
            <w:tcW w:type="dxa" w:w="2160"/>
          </w:tcPr>
          <w:p>
            <w:pPr>
              <w:ind w:left="100"/>
            </w:pPr>
            <w:r/>
            <w:r>
              <w:rPr>
                <w:b/>
                <w:sz w:val="16"/>
              </w:rPr>
              <w:t>total_actif</w:t>
              <w:br/>
            </w:r>
            <w:r>
              <w:rPr>
                <w:sz w:val="18"/>
              </w:rPr>
              <w:t>1 863 562 466 FCFA</w:t>
            </w:r>
          </w:p>
        </w:tc>
      </w:tr>
      <w:tr>
        <w:tc>
          <w:tcPr>
            <w:tcW w:type="dxa" w:w="2160"/>
          </w:tcPr>
          <w:p>
            <w:r/>
            <w:r>
              <w:rPr>
                <w:b/>
                <w:sz w:val="16"/>
              </w:rPr>
              <w:t>resultat_net</w:t>
              <w:br/>
            </w:r>
            <w:r>
              <w:rPr>
                <w:sz w:val="18"/>
              </w:rPr>
              <w:t>-401 184 579 FCFA</w:t>
            </w:r>
          </w:p>
        </w:tc>
        <w:tc>
          <w:tcPr>
            <w:tcW w:type="dxa" w:w="2160"/>
          </w:tcPr>
          <w:p>
            <w:r/>
            <w:r>
              <w:rPr>
                <w:b/>
                <w:sz w:val="16"/>
              </w:rPr>
              <w:t>capitaux_propres</w:t>
              <w:br/>
            </w:r>
            <w:r>
              <w:rPr>
                <w:sz w:val="18"/>
              </w:rPr>
              <w:t>238 321 035 FCFA</w:t>
            </w:r>
          </w:p>
        </w:tc>
        <w:tc>
          <w:tcPr>
            <w:tcW w:type="dxa" w:w="2160"/>
          </w:tcPr>
          <w:p>
            <w:r/>
            <w:r>
              <w:rPr>
                <w:b/>
                <w:sz w:val="16"/>
              </w:rPr>
              <w:t>chiffre_affaires</w:t>
              <w:br/>
            </w:r>
            <w:r>
              <w:rPr>
                <w:sz w:val="18"/>
              </w:rPr>
              <w:t>487 568 181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401,18 millions FCFA en 2012.</w:t>
      </w:r>
    </w:p>
    <w:p>
      <w:pPr>
        <w:pStyle w:val="ListBullet"/>
        <w:spacing w:before="20" w:after="20"/>
        <w:ind w:left="700"/>
      </w:pPr>
      <w:r>
        <w:rPr>
          <w:sz w:val="18"/>
        </w:rPr>
        <w:t>Baisse du chiffre d'affaires de 193 millions FCFA par rapport à 2011.</w:t>
      </w:r>
    </w:p>
    <w:p>
      <w:pPr>
        <w:pStyle w:val="ListBullet"/>
        <w:spacing w:before="20" w:after="20"/>
        <w:ind w:left="700"/>
      </w:pPr>
      <w:r>
        <w:rPr>
          <w:sz w:val="18"/>
        </w:rPr>
        <w:t>Capitaux propres réduits à 238 millions FCFA, contre 681 millions en 2011.</w:t>
      </w:r>
    </w:p>
    <w:p>
      <w:pPr>
        <w:pStyle w:val="ListBullet"/>
        <w:spacing w:before="20" w:after="20"/>
        <w:ind w:left="700"/>
      </w:pPr>
      <w:r>
        <w:rPr>
          <w:sz w:val="18"/>
        </w:rPr>
        <w:t>Total du bilan en baisse à 1,86 milliard FCFA.</w:t>
      </w:r>
    </w:p>
    <w:p>
      <w:pPr>
        <w:pStyle w:val="ListBullet"/>
        <w:spacing w:before="20" w:after="20"/>
        <w:ind w:left="700"/>
      </w:pPr>
      <w:r>
        <w:rPr>
          <w:sz w:val="18"/>
        </w:rPr>
        <w:t>Aucun dividende proposé en raison des pertes.</w:t>
      </w:r>
    </w:p>
    <w:p>
      <w:pPr>
        <w:pStyle w:val="ListBullet"/>
        <w:spacing w:before="20" w:after="20"/>
        <w:ind w:left="700"/>
      </w:pPr>
      <w:r>
        <w:rPr>
          <w:sz w:val="18"/>
        </w:rPr>
        <w:t>L'assemblée générale ordinaire est convoquée pour approbation des comptes.</w:t>
      </w:r>
    </w:p>
    <w:p>
      <w:pPr>
        <w:spacing w:before="40"/>
        <w:ind w:left="400"/>
      </w:pPr>
      <w:r>
        <w:rPr>
          <w:b/>
          <w:color w:val="C05000"/>
          <w:sz w:val="18"/>
        </w:rPr>
        <w:t xml:space="preserve">⚠️ Risques : </w:t>
      </w:r>
      <w:r>
        <w:rPr>
          <w:sz w:val="18"/>
        </w:rPr>
        <w:t>["Poursuite des pertes d'exploitation et \u00e9rosion des capitaux propres", "Baisse continue du chiffre d'affaires dans un environnement concurrentiel", "Risque de cessation de paiement si la tendance ne s'inverse pas"]</w:t>
      </w:r>
    </w:p>
    <w:p>
      <w:pPr>
        <w:spacing w:before="40"/>
        <w:ind w:left="400"/>
      </w:pPr>
      <w:r>
        <w:rPr>
          <w:b/>
          <w:color w:val="0064A0"/>
          <w:sz w:val="18"/>
        </w:rPr>
        <w:t xml:space="preserve">🔮 Perspectives : </w:t>
      </w:r>
      <w:r>
        <w:rPr>
          <w:sz w:val="18"/>
        </w:rPr>
        <w:t>La société devra engager des mesures de restructuration sévères pour rétablir sa rentabilité. Sans amélioration significative, une augmentation de capital ou une recherche de partenaires stratégiques pourrait être nécessaire. Les perspectives pour 2013 restent prudentes, avec un secteur du coco râpé</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5,778 titres</w:t>
            </w:r>
          </w:p>
        </w:tc>
        <w:tc>
          <w:tcPr>
            <w:tcW w:type="dxa" w:w="2268"/>
            <w:shd w:fill="FFF2CC" w:val="clear"/>
          </w:tcPr>
          <w:p>
            <w:r>
              <w:rPr>
                <w:b/>
                <w:color w:val="503200"/>
                <w:sz w:val="16"/>
              </w:rPr>
              <w:t xml:space="preserve">Cours actuel : </w:t>
            </w:r>
            <w:r>
              <w:rPr>
                <w:color w:val="000000"/>
                <w:sz w:val="17"/>
              </w:rPr>
              <w:t>2,125 FCFA</w:t>
            </w:r>
          </w:p>
          <w:p>
            <w:r>
              <w:rPr>
                <w:b/>
                <w:color w:val="503200"/>
                <w:sz w:val="16"/>
              </w:rPr>
              <w:t xml:space="preserve">Var. 100 jours : </w:t>
            </w:r>
            <w:r>
              <w:rPr>
                <w:b/>
                <w:color w:val="B40000"/>
                <w:sz w:val="17"/>
              </w:rPr>
              <w:t>-25.04%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μ=2,654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β=0.0672 (Défensif) — Cov=0.000002, Var(idx)=0.000036,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1,873</w:t>
            </w:r>
          </w:p>
        </w:tc>
        <w:tc>
          <w:tcPr>
            <w:tcW w:type="dxa" w:w="1440"/>
            <w:shd w:fill="FFDCE0" w:val="clear"/>
          </w:tcPr>
          <w:p>
            <w:r>
              <w:rPr>
                <w:b/>
                <w:sz w:val="17"/>
              </w:rPr>
              <w:t>2,010</w:t>
            </w:r>
          </w:p>
        </w:tc>
        <w:tc>
          <w:tcPr>
            <w:tcW w:type="dxa" w:w="1440"/>
            <w:shd w:fill="FFDCE0" w:val="clear"/>
          </w:tcPr>
          <w:p>
            <w:r>
              <w:rPr>
                <w:sz w:val="17"/>
              </w:rPr>
              <w:t>2,146</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1,784</w:t>
            </w:r>
          </w:p>
        </w:tc>
        <w:tc>
          <w:tcPr>
            <w:tcW w:type="dxa" w:w="1440"/>
            <w:shd w:fill="FFDCE0" w:val="clear"/>
          </w:tcPr>
          <w:p>
            <w:r>
              <w:rPr>
                <w:b/>
                <w:sz w:val="17"/>
              </w:rPr>
              <w:t>1,973</w:t>
            </w:r>
          </w:p>
        </w:tc>
        <w:tc>
          <w:tcPr>
            <w:tcW w:type="dxa" w:w="1440"/>
            <w:shd w:fill="FFDCE0" w:val="clear"/>
          </w:tcPr>
          <w:p>
            <w:r>
              <w:rPr>
                <w:sz w:val="17"/>
              </w:rPr>
              <w:t>2,163</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1,705</w:t>
            </w:r>
          </w:p>
        </w:tc>
        <w:tc>
          <w:tcPr>
            <w:tcW w:type="dxa" w:w="1440"/>
            <w:shd w:fill="FFDCE0" w:val="clear"/>
          </w:tcPr>
          <w:p>
            <w:r>
              <w:rPr>
                <w:b/>
                <w:sz w:val="17"/>
              </w:rPr>
              <w:t>1,932</w:t>
            </w:r>
          </w:p>
        </w:tc>
        <w:tc>
          <w:tcPr>
            <w:tcW w:type="dxa" w:w="1440"/>
            <w:shd w:fill="FFDCE0" w:val="clear"/>
          </w:tcPr>
          <w:p>
            <w:r>
              <w:rPr>
                <w:sz w:val="17"/>
              </w:rPr>
              <w:t>2,159</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1,634</w:t>
            </w:r>
          </w:p>
        </w:tc>
        <w:tc>
          <w:tcPr>
            <w:tcW w:type="dxa" w:w="1440"/>
            <w:shd w:fill="FFDCE0" w:val="clear"/>
          </w:tcPr>
          <w:p>
            <w:r>
              <w:rPr>
                <w:b/>
                <w:sz w:val="17"/>
              </w:rPr>
              <w:t>1,890</w:t>
            </w:r>
          </w:p>
        </w:tc>
        <w:tc>
          <w:tcPr>
            <w:tcW w:type="dxa" w:w="1440"/>
            <w:shd w:fill="FFDCE0" w:val="clear"/>
          </w:tcPr>
          <w:p>
            <w:r>
              <w:rPr>
                <w:sz w:val="17"/>
              </w:rPr>
              <w:t>2,147</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1,569</w:t>
            </w:r>
          </w:p>
        </w:tc>
        <w:tc>
          <w:tcPr>
            <w:tcW w:type="dxa" w:w="1440"/>
            <w:shd w:fill="FFDCE0" w:val="clear"/>
          </w:tcPr>
          <w:p>
            <w:r>
              <w:rPr>
                <w:b/>
                <w:sz w:val="17"/>
              </w:rPr>
              <w:t>1,850</w:t>
            </w:r>
          </w:p>
        </w:tc>
        <w:tc>
          <w:tcPr>
            <w:tcW w:type="dxa" w:w="1440"/>
            <w:shd w:fill="FFDCE0" w:val="clear"/>
          </w:tcPr>
          <w:p>
            <w:r>
              <w:rPr>
                <w:sz w:val="17"/>
              </w:rPr>
              <w:t>2,130</w:t>
            </w:r>
          </w:p>
        </w:tc>
        <w:tc>
          <w:tcPr>
            <w:tcW w:type="dxa" w:w="1440"/>
            <w:shd w:fill="FFDCE0" w:val="clear"/>
          </w:tcPr>
          <w:p>
            <w:r>
              <w:rPr>
                <w:b/>
                <w:color w:val="C00000"/>
                <w:sz w:val="17"/>
              </w:rPr>
              <w:t>-13.0%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1,509</w:t>
            </w:r>
          </w:p>
        </w:tc>
        <w:tc>
          <w:tcPr>
            <w:tcW w:type="dxa" w:w="1440"/>
            <w:shd w:fill="FFDCE0" w:val="clear"/>
          </w:tcPr>
          <w:p>
            <w:r>
              <w:rPr>
                <w:b/>
                <w:sz w:val="17"/>
              </w:rPr>
              <w:t>1,810</w:t>
            </w:r>
          </w:p>
        </w:tc>
        <w:tc>
          <w:tcPr>
            <w:tcW w:type="dxa" w:w="1440"/>
            <w:shd w:fill="FFDCE0" w:val="clear"/>
          </w:tcPr>
          <w:p>
            <w:r>
              <w:rPr>
                <w:sz w:val="17"/>
              </w:rPr>
              <w:t>2,111</w:t>
            </w:r>
          </w:p>
        </w:tc>
        <w:tc>
          <w:tcPr>
            <w:tcW w:type="dxa" w:w="1440"/>
            <w:shd w:fill="FFDCE0" w:val="clear"/>
          </w:tcPr>
          <w:p>
            <w:r>
              <w:rPr>
                <w:b/>
                <w:color w:val="C00000"/>
                <w:sz w:val="17"/>
              </w:rPr>
              <w:t>-14.8%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1,454</w:t>
            </w:r>
          </w:p>
        </w:tc>
        <w:tc>
          <w:tcPr>
            <w:tcW w:type="dxa" w:w="1440"/>
            <w:shd w:fill="FFDCE0" w:val="clear"/>
          </w:tcPr>
          <w:p>
            <w:r>
              <w:rPr>
                <w:b/>
                <w:sz w:val="17"/>
              </w:rPr>
              <w:t>1,772</w:t>
            </w:r>
          </w:p>
        </w:tc>
        <w:tc>
          <w:tcPr>
            <w:tcW w:type="dxa" w:w="1440"/>
            <w:shd w:fill="FFDCE0" w:val="clear"/>
          </w:tcPr>
          <w:p>
            <w:r>
              <w:rPr>
                <w:sz w:val="17"/>
              </w:rPr>
              <w:t>2,090</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1,403</w:t>
            </w:r>
          </w:p>
        </w:tc>
        <w:tc>
          <w:tcPr>
            <w:tcW w:type="dxa" w:w="1440"/>
            <w:shd w:fill="FFDCE0" w:val="clear"/>
          </w:tcPr>
          <w:p>
            <w:r>
              <w:rPr>
                <w:b/>
                <w:sz w:val="17"/>
              </w:rPr>
              <w:t>1,736</w:t>
            </w:r>
          </w:p>
        </w:tc>
        <w:tc>
          <w:tcPr>
            <w:tcW w:type="dxa" w:w="1440"/>
            <w:shd w:fill="FFDCE0" w:val="clear"/>
          </w:tcPr>
          <w:p>
            <w:r>
              <w:rPr>
                <w:sz w:val="17"/>
              </w:rPr>
              <w:t>2,069</w:t>
            </w:r>
          </w:p>
        </w:tc>
        <w:tc>
          <w:tcPr>
            <w:tcW w:type="dxa" w:w="1440"/>
            <w:shd w:fill="FFDCE0" w:val="clear"/>
          </w:tcPr>
          <w:p>
            <w:r>
              <w:rPr>
                <w:b/>
                <w:color w:val="C00000"/>
                <w:sz w:val="17"/>
              </w:rPr>
              <w:t>-18.3%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1,354</w:t>
            </w:r>
          </w:p>
        </w:tc>
        <w:tc>
          <w:tcPr>
            <w:tcW w:type="dxa" w:w="1440"/>
            <w:shd w:fill="FFDCE0" w:val="clear"/>
          </w:tcPr>
          <w:p>
            <w:r>
              <w:rPr>
                <w:b/>
                <w:sz w:val="17"/>
              </w:rPr>
              <w:t>1,700</w:t>
            </w:r>
          </w:p>
        </w:tc>
        <w:tc>
          <w:tcPr>
            <w:tcW w:type="dxa" w:w="1440"/>
            <w:shd w:fill="FFDCE0" w:val="clear"/>
          </w:tcPr>
          <w:p>
            <w:r>
              <w:rPr>
                <w:sz w:val="17"/>
              </w:rPr>
              <w:t>2,046</w:t>
            </w:r>
          </w:p>
        </w:tc>
        <w:tc>
          <w:tcPr>
            <w:tcW w:type="dxa" w:w="1440"/>
            <w:shd w:fill="FFDCE0" w:val="clear"/>
          </w:tcPr>
          <w:p>
            <w:r>
              <w:rPr>
                <w:b/>
                <w:color w:val="C00000"/>
                <w:sz w:val="17"/>
              </w:rPr>
              <w:t>-20.0%</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1,308</w:t>
            </w:r>
          </w:p>
        </w:tc>
        <w:tc>
          <w:tcPr>
            <w:tcW w:type="dxa" w:w="1440"/>
            <w:shd w:fill="FFDCE0" w:val="clear"/>
          </w:tcPr>
          <w:p>
            <w:r>
              <w:rPr>
                <w:b/>
                <w:sz w:val="17"/>
              </w:rPr>
              <w:t>1,666</w:t>
            </w:r>
          </w:p>
        </w:tc>
        <w:tc>
          <w:tcPr>
            <w:tcW w:type="dxa" w:w="1440"/>
            <w:shd w:fill="FFDCE0" w:val="clear"/>
          </w:tcPr>
          <w:p>
            <w:r>
              <w:rPr>
                <w:sz w:val="17"/>
              </w:rPr>
              <w:t>2,023</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18,56 milliards FCFA, un niveau modeste dans l'écosystème BRVM, reflétant un profil de petite capitalisation. Le BPA de 43 FCFA par action indique une contribution bénéficiaire unitaire faible. Le PER de 49,2x est extrêmement élevé par rapport à la moyenne historique de la BRVM (8-12x), signifiant que les investisseurs paient une prime considérable pour chaque franc de bénéfice, ce qui suggère soit des attentes de croissance très fortes, soit une surévaluation manifeste. Le P/B de 5,67x confirme cette exubérance, le marché valorisant l'actif net comptable plus de cinq fois au-dessus de sa valeur. Enfin, l'EV/EBITDA de 15,8x, supérieur au seuil de 15x, témoigne d'une valorisation opérationnelle exigeante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SIVC a subi une dépréciation sévère de -25,04%, passant d'un plus haut de 3 215 FCFA à un plus bas de 1 920 FCFA, avant de clôturer à 2 125 FCFA, avec un rebond de +2,41% lors de la dernière séance. La moyenne du cours sur la période (2 654 FCFA) est inférieure à la médiane (2 770 FCFA), et le skewness négatif (-0,750) confirme une asymétrie avec des journées de baisse plus fréquentes et plus marquées. L'écart-type de 288 FCFA (CV=10,8%) indique une dispersion modérée autour de la moyenne, tandis que le kurtosis de -0,449 (mésokurtique) suggère l'absence de pics de volatilité extrêmes. La volatilité annualisée de 50,6% classe le titre dans la catégorie à risque élevé, reflétant une instabilité marquée et une tendance baissière dominante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(2 125 FCFA) évolue sous la MM20 (2 235 FCFA) et la MM50 (2 468,7 FCFA), configuration typique d'une tendance baissière. La MM20 sous la MM50 confirme la dynamique négative, justifiant la décision de Vente.</w:t>
      </w:r>
    </w:p>
    <w:p>
      <w:pPr>
        <w:spacing w:after="120" w:line="276" w:lineRule="auto"/>
      </w:pPr>
      <w:r>
        <w:t>**Bandes de Bollinger** : Le prix se situe dans la moitié inférieure des bandes, entre la borne inférieure (2 010 FCFA) et la moyenne mobile, indiquant une pression vendeuse persistante sans atteindre de conditions de survente extrême. La décision Neutre reflète une volatilité élevée mais un positionnement non extrême.</w:t>
      </w:r>
    </w:p>
    <w:p>
      <w:pPr>
        <w:spacing w:after="120" w:line="276" w:lineRule="auto"/>
      </w:pPr>
      <w:r>
        <w:t>**MACD** : La valeur (-86,383) est légèrement supérieure au signal (-88,778), suggérant un début de retournement haussier à court terme. Cette divergence positive, bien que modeste, indique un momentum en amélioration, justifiant la décision d'Achat.</w:t>
      </w:r>
    </w:p>
    <w:p>
      <w:pPr>
        <w:spacing w:after="120" w:line="276" w:lineRule="auto"/>
      </w:pPr>
      <w:r>
        <w:t>**RSI** : À 26,891, le RSI est en zone de survente (&lt;30), signalant une possible correction technique à la hausse après la chute récente. Cette lecture justifie la décision d'Achat pour les investisseurs opportunistes.</w:t>
      </w:r>
    </w:p>
    <w:p>
      <w:pPr>
        <w:spacing w:after="120" w:line="276" w:lineRule="auto"/>
      </w:pPr>
      <w:r>
        <w:t>**Stochastique** : Le %K (22,222) est nettement supérieur au %D (7,407), indiquant un croisement haussier en zone de survente. Ce signal précoce de retournement, bien que non confirmé, justifie la décision Neutre.</w:t>
      </w:r>
    </w:p>
    <w:p>
      <w:pPr>
        <w:spacing w:after="120" w:line="276" w:lineRule="auto"/>
      </w:pPr>
      <w:r>
        <w:t>**Conclusion technique** : Les indicateurs sont mitigés avec une prédominance de signaux d'achat à court terme (RSI, MACD, Stochastique) contre une tendance baissière de fond (MM). Le scénario le plus probable est un rebond technique temporaire dans une tendance baissière de moyen terme, à confirmer par un passage au-dessus de la MM20.</w:t>
      </w:r>
    </w:p>
    <w:p>
      <w:pPr>
        <w:spacing w:after="120" w:line="276" w:lineRule="auto" w:before="240"/>
      </w:pPr>
      <w:r>
        <w:rPr>
          <w:b/>
          <w:color w:val="003366"/>
          <w:sz w:val="24"/>
        </w:rPr>
        <w:t>**PARTIE 3 : ANALYSE FONDAMENTALE (SECTION CRITIQUE)**</w:t>
      </w:r>
    </w:p>
    <w:p>
      <w:pPr>
        <w:spacing w:after="120" w:line="276" w:lineRule="auto"/>
      </w:pPr>
      <w:r>
        <w:t>En 2024, les données structurées font état d'un chiffre d'affaires de 9,283 milliards FCFA, d'un résultat net de 376,96 millions FCFA, d'un ROE de 11,52% et d'un ROA de 2,69%. Le coefficient d'exploitation de 95,83% est préoccupant, indiquant une absorption quasi totale du PNB par les charges. Le coût du risque de 3,10% signale un risque de crédit significatif. L'autonomie financière de 23,34% est insuffisante (&lt;30%) et la liquidité générale de 61,93% révèle des tensions de trésorerie. Le rapport annuel 2025 (analysé par DeepSeek le 29/06/2026) montre une croissance du CA de +8,53% à 10,07 milliards FCFA, mais une chute du résultat net de -52,4% à 179 millions FCFA, avec une marge nette réduite à 1,78%. Le rapport du 3ème trimestre 2025 (date inconnue) est nettement plus optimiste : CA cumulé de 7,584 milliards FCFA (+13%), résultat net de 832,5 millions FCFA (+58%), marge nette de 11%. Sur cette base, on estime que l'exercice 2025 complet pourrait dépasser les 10 milliards de CA avec un résultat net annuel potentiellement supérieur à 800 millions FCFA, soit un BPA d'environ 92 FCFA. Le changement de dénomination en ERIUM COTE D'IVOIRE et le franchissement de seuil par Air Liquide International (cession à ERIUM LTD) constituent des événements structurants. La recommandation fondamentale est CONSERVER, la société montrant des signes de redressement opérationnel mais une fragilité financière persistante.</w:t>
      </w:r>
    </w:p>
    <w:p>
      <w:pPr>
        <w:spacing w:after="120" w:line="276" w:lineRule="auto" w:before="240"/>
      </w:pPr>
      <w:r>
        <w:rPr>
          <w:b/>
          <w:color w:val="003366"/>
          <w:sz w:val="24"/>
        </w:rPr>
        <w:t>**PARTIE 4 : CONCLUSION D'INVESTISSEMENT**</w:t>
      </w:r>
    </w:p>
    <w:p>
      <w:pPr>
        <w:spacing w:after="120" w:line="276" w:lineRule="auto"/>
      </w:pPr>
      <w:r>
        <w:t>La valorisation actuelle de SIVC/ERIUM est extrêmement exigeante (PER 49,2x, P/B 5,67x), en décalage avec des fondamentaux encore fragiles, malgré une amélioration opérationnelle récente. Le comportement du cours sur 100 jours est préoccupant (-25,04%) avec une volatilité élevée (50,6%), mais les statistiques suggèrent une possible stabilisation. Les signaux techniques sont partagés : les indicateurs de momentum (RSI, MACD, Stochastique) suggèrent un rebond à court terme, tandis que les moyennes mobiles maintiennent une pression baissière. Les fondamentaux montrent une croissance du CA (+8,53% en 2025) mais une rentabilité en dents de scie, avec un T3 2025 très encourageant (+58% de résultat net). Les prédictions IA (1 850 à 2 010 FCFA sur 10 jours) confirment la tendance baissière à court terme, contredisant les signaux techniques de rebond. La recommandation finale est **CONSERVER** avec un niveau de confiance **Moyen** et un risque global **Élevé**. L'horizon d'investissement optimal est le **moyen terme (3-12 mois)**, en attendant la confirmation d'une amélioration durable de la rentabilité et une clarification de la nouvelle structure actionnariale.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993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-5.16%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2.40% (Faible) — μ=38,546 FCFA, σ=925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β=0.1788 (Défensif) — Cov=0.000007, Var(idx)=0.000036,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35,730</w:t>
            </w:r>
          </w:p>
        </w:tc>
        <w:tc>
          <w:tcPr>
            <w:tcW w:type="dxa" w:w="1440"/>
            <w:shd w:fill="FAFAFA" w:val="clear"/>
          </w:tcPr>
          <w:p>
            <w:r>
              <w:rPr>
                <w:b/>
                <w:sz w:val="17"/>
              </w:rPr>
              <w:t>37,027</w:t>
            </w:r>
          </w:p>
        </w:tc>
        <w:tc>
          <w:tcPr>
            <w:tcW w:type="dxa" w:w="1440"/>
            <w:shd w:fill="FAFAFA" w:val="clear"/>
          </w:tcPr>
          <w:p>
            <w:r>
              <w:rPr>
                <w:sz w:val="17"/>
              </w:rPr>
              <w:t>38,324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35,122</w:t>
            </w:r>
          </w:p>
        </w:tc>
        <w:tc>
          <w:tcPr>
            <w:tcW w:type="dxa" w:w="1440"/>
            <w:shd w:fill="FAFAFA" w:val="clear"/>
          </w:tcPr>
          <w:p>
            <w:r>
              <w:rPr>
                <w:b/>
                <w:sz w:val="17"/>
              </w:rPr>
              <w:t>36,952</w:t>
            </w:r>
          </w:p>
        </w:tc>
        <w:tc>
          <w:tcPr>
            <w:tcW w:type="dxa" w:w="1440"/>
            <w:shd w:fill="FAFAFA" w:val="clear"/>
          </w:tcPr>
          <w:p>
            <w:r>
              <w:rPr>
                <w:sz w:val="17"/>
              </w:rPr>
              <w:t>38,782</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34,680</w:t>
            </w:r>
          </w:p>
        </w:tc>
        <w:tc>
          <w:tcPr>
            <w:tcW w:type="dxa" w:w="1440"/>
            <w:shd w:fill="FAFAFA" w:val="clear"/>
          </w:tcPr>
          <w:p>
            <w:r>
              <w:rPr>
                <w:b/>
                <w:sz w:val="17"/>
              </w:rPr>
              <w:t>36,920</w:t>
            </w:r>
          </w:p>
        </w:tc>
        <w:tc>
          <w:tcPr>
            <w:tcW w:type="dxa" w:w="1440"/>
            <w:shd w:fill="FAFAFA" w:val="clear"/>
          </w:tcPr>
          <w:p>
            <w:r>
              <w:rPr>
                <w:sz w:val="17"/>
              </w:rPr>
              <w:t>39,159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34,311</w:t>
            </w:r>
          </w:p>
        </w:tc>
        <w:tc>
          <w:tcPr>
            <w:tcW w:type="dxa" w:w="1440"/>
            <w:shd w:fill="FAFAFA" w:val="clear"/>
          </w:tcPr>
          <w:p>
            <w:r>
              <w:rPr>
                <w:b/>
                <w:sz w:val="17"/>
              </w:rPr>
              <w:t>36,895</w:t>
            </w:r>
          </w:p>
        </w:tc>
        <w:tc>
          <w:tcPr>
            <w:tcW w:type="dxa" w:w="1440"/>
            <w:shd w:fill="FAFAFA" w:val="clear"/>
          </w:tcPr>
          <w:p>
            <w:r>
              <w:rPr>
                <w:sz w:val="17"/>
              </w:rPr>
              <w:t>39,479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33,982</w:t>
            </w:r>
          </w:p>
        </w:tc>
        <w:tc>
          <w:tcPr>
            <w:tcW w:type="dxa" w:w="1440"/>
            <w:shd w:fill="FAFAFA" w:val="clear"/>
          </w:tcPr>
          <w:p>
            <w:r>
              <w:rPr>
                <w:b/>
                <w:sz w:val="17"/>
              </w:rPr>
              <w:t>36,870</w:t>
            </w:r>
          </w:p>
        </w:tc>
        <w:tc>
          <w:tcPr>
            <w:tcW w:type="dxa" w:w="1440"/>
            <w:shd w:fill="FAFAFA" w:val="clear"/>
          </w:tcPr>
          <w:p>
            <w:r>
              <w:rPr>
                <w:sz w:val="17"/>
              </w:rPr>
              <w:t>39,757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33,682</w:t>
            </w:r>
          </w:p>
        </w:tc>
        <w:tc>
          <w:tcPr>
            <w:tcW w:type="dxa" w:w="1440"/>
            <w:shd w:fill="FAFAFA" w:val="clear"/>
          </w:tcPr>
          <w:p>
            <w:r>
              <w:rPr>
                <w:b/>
                <w:sz w:val="17"/>
              </w:rPr>
              <w:t>36,843</w:t>
            </w:r>
          </w:p>
        </w:tc>
        <w:tc>
          <w:tcPr>
            <w:tcW w:type="dxa" w:w="1440"/>
            <w:shd w:fill="FAFAFA" w:val="clear"/>
          </w:tcPr>
          <w:p>
            <w:r>
              <w:rPr>
                <w:sz w:val="17"/>
              </w:rPr>
              <w:t>40,004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33,404</w:t>
            </w:r>
          </w:p>
        </w:tc>
        <w:tc>
          <w:tcPr>
            <w:tcW w:type="dxa" w:w="1440"/>
            <w:shd w:fill="FAFAFA" w:val="clear"/>
          </w:tcPr>
          <w:p>
            <w:r>
              <w:rPr>
                <w:b/>
                <w:sz w:val="17"/>
              </w:rPr>
              <w:t>36,815</w:t>
            </w:r>
          </w:p>
        </w:tc>
        <w:tc>
          <w:tcPr>
            <w:tcW w:type="dxa" w:w="1440"/>
            <w:shd w:fill="FAFAFA" w:val="clear"/>
          </w:tcPr>
          <w:p>
            <w:r>
              <w:rPr>
                <w:sz w:val="17"/>
              </w:rPr>
              <w:t>40,226</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33,142</w:t>
            </w:r>
          </w:p>
        </w:tc>
        <w:tc>
          <w:tcPr>
            <w:tcW w:type="dxa" w:w="1440"/>
            <w:shd w:fill="FAFAFA" w:val="clear"/>
          </w:tcPr>
          <w:p>
            <w:r>
              <w:rPr>
                <w:b/>
                <w:sz w:val="17"/>
              </w:rPr>
              <w:t>36,786</w:t>
            </w:r>
          </w:p>
        </w:tc>
        <w:tc>
          <w:tcPr>
            <w:tcW w:type="dxa" w:w="1440"/>
            <w:shd w:fill="FAFAFA" w:val="clear"/>
          </w:tcPr>
          <w:p>
            <w:r>
              <w:rPr>
                <w:sz w:val="17"/>
              </w:rPr>
              <w:t>40,429</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32,894</w:t>
            </w:r>
          </w:p>
        </w:tc>
        <w:tc>
          <w:tcPr>
            <w:tcW w:type="dxa" w:w="1440"/>
            <w:shd w:fill="FAFAFA" w:val="clear"/>
          </w:tcPr>
          <w:p>
            <w:r>
              <w:rPr>
                <w:b/>
                <w:sz w:val="17"/>
              </w:rPr>
              <w:t>36,756</w:t>
            </w:r>
          </w:p>
        </w:tc>
        <w:tc>
          <w:tcPr>
            <w:tcW w:type="dxa" w:w="1440"/>
            <w:shd w:fill="FAFAFA" w:val="clear"/>
          </w:tcPr>
          <w:p>
            <w:r>
              <w:rPr>
                <w:sz w:val="17"/>
              </w:rPr>
              <w:t>40,617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32,658</w:t>
            </w:r>
          </w:p>
        </w:tc>
        <w:tc>
          <w:tcPr>
            <w:tcW w:type="dxa" w:w="1440"/>
            <w:shd w:fill="FAFAFA" w:val="clear"/>
          </w:tcPr>
          <w:p>
            <w:r>
              <w:rPr>
                <w:b/>
                <w:sz w:val="17"/>
              </w:rPr>
              <w:t>36,725</w:t>
            </w:r>
          </w:p>
        </w:tc>
        <w:tc>
          <w:tcPr>
            <w:tcW w:type="dxa" w:w="1440"/>
            <w:shd w:fill="FAFAFA" w:val="clear"/>
          </w:tcPr>
          <w:p>
            <w:r>
              <w:rPr>
                <w:sz w:val="17"/>
              </w:rPr>
              <w:t>40,792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10 août 2026**</w:t>
        <w:br/>
        <w:t>**Marché : BRVM (Afrique de l'Ouest)**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609,05 milliards FCFA, ce qui en fait l'une des valeurs les plus significatives de la cote BRVM, reflétant la taille et l'importance de l'entreprise sur son marché. Le BPA de 2 781 FCFA indique que chaque action génère un bénéfice substantiel, justifiant un PER de 13,3x, légèrement au-dessus de la moyenne historique de la BRVM (8-12x), ce qui traduit une prime de croissance accordée par le marché aux excellentes performances récentes. Le P/B de 3,12x confirme cette prime, le marché valorisant l'actif net de la société bien au-delà de sa valeur comptable, signe de la confiance des investisseurs dans la création de valeur future. Enfin, l'EV/EBITDA de 7,2x se situe dans une fourchette raisonnable (5-10x), indiquant que la valorisation globale de l'entreprise, rapportée à sa capacité opérationnelle, reste mesurée et cohérente avec ses fondamentaux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variation totale de -5,16%, avec un cours actuel de 37 000 FCFA, après avoir évolué dans une fourchette de 35 540 FCFA (plus bas) à 41 500 FCFA (plus haut). La légère hausse de +0,27% lors de la dernière séance suggère un possible début de stabilisation après une tendance globalement baissière. Les statistiques descriptives révèlent une distribution relativement symétrique du cours (skewness de -0,160) et une dispersion très faible (CV de 2,4%), indiquant une stabilité relative des prix autour d'une moyenne de 38 546 FCFA. Le kurtosis de 0,488 (mésokurtique) suggère une absence de mouvements extrêmes ou de pics de volatilité inhabituels. La volatilité annualisée de 28,7% classe le titre dans la catégorie "modérée à élevée", ce qui implique un risque de fluctuation non négligeable pour les investisseurs, mais également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37 000 FCFA se situe sous les MM20 (38 715,5 FCFA) et MM50 (38 808,3 FCFA), qui sont proches l'une de l'autre. Cette configuration baissière, où le prix évolue sous les deux moyennes, indique une dynamique négative à court et moyen terme. La décision de "Vente" est justifiée par cette position défavorable du cours, suggérant que la tendance de fond reste baissière malgré la stabilisation récente.</w:t>
      </w:r>
    </w:p>
    <w:p>
      <w:pPr>
        <w:spacing w:after="120" w:line="276" w:lineRule="auto"/>
      </w:pPr>
      <w:r>
        <w:t>**Bandes de Bollinger** : Le prix se trouve proche de la borne inférieure (36 713,5 FCFA) et nettement sous la moyenne mobile centrale, indiquant une pression vendeuse persistante. La largeur des bandes suggère une volatilité modérée. La décision "Neutre" s'explique par le fait que le cours n'a pas encore franchi de manière décisive la borne inférieure, ce qui pourrait précéder soit un rebond technique, soit une poursuite de la baisse.</w:t>
      </w:r>
    </w:p>
    <w:p>
      <w:pPr>
        <w:spacing w:after="120" w:line="276" w:lineRule="auto"/>
      </w:pPr>
      <w:r>
        <w:t>**MACD** : La valeur négative du MACD (-457,5) et son signal (-194,8) confirment un momentum baissier. La divergence négative entre la ligne MACD et sa ligne de signal, avec la première sous la seconde, indique que la dynamique vendeuse est toujours dominante. La décision de "Vente" est cohérente avec cette configuration, bien que l'écart important entre les deux lignes puisse suggérer une possible correction technique à venir.</w:t>
      </w:r>
    </w:p>
    <w:p>
      <w:pPr>
        <w:spacing w:after="120" w:line="276" w:lineRule="auto"/>
      </w:pPr>
      <w:r>
        <w:t>**RSI** : À 37,3, le RSI se situe en zone neutre, mais proche de la zone de survente (30). Cela indique que le titre n'est ni suracheté ni survendu, mais que la pression vendeuse est présente. La décision "Neutre" est appropriée, car le RSI ne signale pas encore de retournement imminent, mais une poursuite de la baisse pourrait l'amener en zone de survente, ce qui pourrait attirer des acheteurs.</w:t>
      </w:r>
    </w:p>
    <w:p>
      <w:pPr>
        <w:spacing w:after="120" w:line="276" w:lineRule="auto"/>
      </w:pPr>
      <w:r>
        <w:t>**Stochastique** : Avec un %K à 3,2 et un %D à 1,6, le stochastique est profondément en zone de survente. Le croisement haussier potentiel entre %K et %D, avec %K au-dessus de %D, suggère un possible rebond technique à très court terme. La décision "Achat" est justifiée par cette situation de survente extrême, qui précède souvent une correction haussière.</w:t>
      </w:r>
    </w:p>
    <w:p>
      <w:pPr>
        <w:spacing w:after="120" w:line="276" w:lineRule="auto"/>
      </w:pPr>
      <w:r>
        <w:t>**Conclusion technique** : Les indicateurs techniques sont majoritairement baissiers (MM, MACD), avec un RSI neutre et un stochastique en survente. Cette divergence entre les indicateurs de tendance et les oscillateurs suggère un marché en équilibre précaire, où un rebond technique est possible mais où la tendance de fond reste négative. La prudence est de mise, avec une attention particulière aux niveaux de support à 35 540 FCFA et de résistance à 38 700 FCFA.</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financières exceptionnelles, avec un chiffre d'affaires de 378,123 milliards FCFA, en hausse de 22,1% par rapport à 2024, et un résultat net de 45,781 milliards FCFA, soit une progression spectaculaire de 113%. La marge nette s'est améliorée de 6,9% à 12,1%, et le ROE atteint 23,46%, un niveau excellent, tandis que le ROA s'établit à 13,48%. La structure financière est saine, avec une autonomie financière de 57,5% et une capacité de remboursement de 0,67 an. Le BFR de 61,587 milliards FCFA et les délais clients (64 jours) et fournisseurs (77 jours) sont bien gérés, bien que la durée de stockage de 117 jours mérite une surveillance. Les rapports trimestriels confirment cette dynamique : le S1 2025 affichait un CA de 165,8 milliards FCFA (+12,3%) et un résultat net de 28 milliards FCFA (+175,1%), et le T1 2026 montre une croissance continue du CA (+7,6% à 93,46 milliards FCFA) et du résultat net (+4,8% à 16,26 milliards FCFA). Sur la base de ces données, on estime que l'exercice 2026 devrait confirmer la solidité de la société, avec un CA potentiel dépassant 400 milliards FCFA et un résultat net stable autour de 45-50 milliards FCFA. La politique de dividende est très généreuse, avec un taux de distribution de 76,5% en 2025 (35,012 milliards FCFA proposés), soutenue par une trésorerie nette positive de 22,117 milliards FCFA. La recommandation fondamentale est **ACHAT**, compte tenu de la solidité financière, de la croissance soutenue et des perspectives favorables.</w:t>
      </w:r>
    </w:p>
    <w:p>
      <w:pPr>
        <w:spacing w:after="120" w:line="276" w:lineRule="auto"/>
      </w:pPr>
      <w:r>
        <w:t>---</w:t>
      </w:r>
    </w:p>
    <w:p>
      <w:pPr>
        <w:spacing w:after="120" w:line="276" w:lineRule="auto"/>
      </w:pPr>
      <w:r>
        <w:t>### PARTIE 4 : CONCLUSION D'INVESTISSEMENT</w:t>
      </w:r>
    </w:p>
    <w:p>
      <w:pPr>
        <w:spacing w:after="120" w:line="276" w:lineRule="auto"/>
      </w:pPr>
      <w:r>
        <w:t>La valorisation de SLBC (PER 13,3x, P/B 3,12x, EV/EBITDA 7,2x) indique une prime de croissance justifiée par des fondamentaux exceptionnels, bien que le PER soit légèrement supérieur à la moyenne BRVM. Le comportement du cours sur 100 jours montre une tendance baissière (-5,16%) avec une volatilité modérée, mais les statistiques (kurtosis, skewness) suggèrent une distribution stable sans risque extrême. Les signaux techniques sont partagés : les moyennes mobiles et le MACD sont vendeurs, tandis que le stochastique en survente extrême suggère un rebond imminent, et le RSI reste neutre. Les fondamentaux sont très solides, avec une croissance à deux chiffres du CA et du résultat net, une rentabilité élevée (ROE 23,5%) et une politique de dividende attractive. Les prédictions IA pour les 10 prochains jours (37 027 à 36 870 FCFA) indiquent une stabilisation à des niveaux proches du cours actuel, confirmant la fin probable de la phase de baisse. La convergence entre la solidité fondamentale et la stabilisation technique attendue, malgré une valorisation légèrement élevée, justifie une recommandation finale de **CONSERVER** pour les investisseurs existants, avec un niveau de confiance **Moyen** et un risque global **Moyen**. Pour les nouveaux investisseurs, un horizon de **moyen terme (3-12 mois)** est optimal, en attendant une confirmation du rebond technique et une possible amélioration de la valorisation.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1,305 titres</w:t>
            </w:r>
          </w:p>
        </w:tc>
        <w:tc>
          <w:tcPr>
            <w:tcW w:type="dxa" w:w="2268"/>
            <w:shd w:fill="FFF2CC" w:val="clear"/>
          </w:tcPr>
          <w:p>
            <w:r>
              <w:rPr>
                <w:b/>
                <w:color w:val="503200"/>
                <w:sz w:val="16"/>
              </w:rPr>
              <w:t xml:space="preserve">Cours actuel : </w:t>
            </w:r>
            <w:r>
              <w:rPr>
                <w:color w:val="000000"/>
                <w:sz w:val="17"/>
              </w:rPr>
              <w:t>16,550 FCFA</w:t>
            </w:r>
          </w:p>
          <w:p>
            <w:r>
              <w:rPr>
                <w:b/>
                <w:color w:val="503200"/>
                <w:sz w:val="16"/>
              </w:rPr>
              <w:t xml:space="preserve">Var. 100 jours : </w:t>
            </w:r>
            <w:r>
              <w:rPr>
                <w:b/>
                <w:color w:val="007800"/>
                <w:sz w:val="17"/>
              </w:rPr>
              <w:t>+23.51%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μ=14,141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β=-0.6159 (Contre-cyclique) — Cov=-0.000022, Var(idx)=0.000036, ρ=-0.152,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15,485</w:t>
            </w:r>
          </w:p>
        </w:tc>
        <w:tc>
          <w:tcPr>
            <w:tcW w:type="dxa" w:w="1440"/>
            <w:shd w:fill="FFDCE0" w:val="clear"/>
          </w:tcPr>
          <w:p>
            <w:r>
              <w:rPr>
                <w:b/>
                <w:sz w:val="17"/>
              </w:rPr>
              <w:t>16,209</w:t>
            </w:r>
          </w:p>
        </w:tc>
        <w:tc>
          <w:tcPr>
            <w:tcW w:type="dxa" w:w="1440"/>
            <w:shd w:fill="FFDCE0" w:val="clear"/>
          </w:tcPr>
          <w:p>
            <w:r>
              <w:rPr>
                <w:sz w:val="17"/>
              </w:rPr>
              <w:t>16,932</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15,146</w:t>
            </w:r>
          </w:p>
        </w:tc>
        <w:tc>
          <w:tcPr>
            <w:tcW w:type="dxa" w:w="1440"/>
            <w:shd w:fill="FFDCE0" w:val="clear"/>
          </w:tcPr>
          <w:p>
            <w:r>
              <w:rPr>
                <w:b/>
                <w:sz w:val="17"/>
              </w:rPr>
              <w:t>16,166</w:t>
            </w:r>
          </w:p>
        </w:tc>
        <w:tc>
          <w:tcPr>
            <w:tcW w:type="dxa" w:w="1440"/>
            <w:shd w:fill="FFDCE0" w:val="clear"/>
          </w:tcPr>
          <w:p>
            <w:r>
              <w:rPr>
                <w:sz w:val="17"/>
              </w:rPr>
              <w:t>17,186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14,850</w:t>
            </w:r>
          </w:p>
        </w:tc>
        <w:tc>
          <w:tcPr>
            <w:tcW w:type="dxa" w:w="1440"/>
            <w:shd w:fill="FFDCE0" w:val="clear"/>
          </w:tcPr>
          <w:p>
            <w:r>
              <w:rPr>
                <w:b/>
                <w:sz w:val="17"/>
              </w:rPr>
              <w:t>16,095</w:t>
            </w:r>
          </w:p>
        </w:tc>
        <w:tc>
          <w:tcPr>
            <w:tcW w:type="dxa" w:w="1440"/>
            <w:shd w:fill="FFDCE0" w:val="clear"/>
          </w:tcPr>
          <w:p>
            <w:r>
              <w:rPr>
                <w:sz w:val="17"/>
              </w:rPr>
              <w:t>17,339</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14,604</w:t>
            </w:r>
          </w:p>
        </w:tc>
        <w:tc>
          <w:tcPr>
            <w:tcW w:type="dxa" w:w="1440"/>
            <w:shd w:fill="FFDCE0" w:val="clear"/>
          </w:tcPr>
          <w:p>
            <w:r>
              <w:rPr>
                <w:b/>
                <w:sz w:val="17"/>
              </w:rPr>
              <w:t>16,035</w:t>
            </w:r>
          </w:p>
        </w:tc>
        <w:tc>
          <w:tcPr>
            <w:tcW w:type="dxa" w:w="1440"/>
            <w:shd w:fill="FFDCE0" w:val="clear"/>
          </w:tcPr>
          <w:p>
            <w:r>
              <w:rPr>
                <w:sz w:val="17"/>
              </w:rPr>
              <w:t>17,466</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14,385</w:t>
            </w:r>
          </w:p>
        </w:tc>
        <w:tc>
          <w:tcPr>
            <w:tcW w:type="dxa" w:w="1440"/>
            <w:shd w:fill="FFDCE0" w:val="clear"/>
          </w:tcPr>
          <w:p>
            <w:r>
              <w:rPr>
                <w:b/>
                <w:sz w:val="17"/>
              </w:rPr>
              <w:t>15,980</w:t>
            </w:r>
          </w:p>
        </w:tc>
        <w:tc>
          <w:tcPr>
            <w:tcW w:type="dxa" w:w="1440"/>
            <w:shd w:fill="FFDCE0" w:val="clear"/>
          </w:tcPr>
          <w:p>
            <w:r>
              <w:rPr>
                <w:sz w:val="17"/>
              </w:rPr>
              <w:t>17,575</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14,186</w:t>
            </w:r>
          </w:p>
        </w:tc>
        <w:tc>
          <w:tcPr>
            <w:tcW w:type="dxa" w:w="1440"/>
            <w:shd w:fill="FFDCE0" w:val="clear"/>
          </w:tcPr>
          <w:p>
            <w:r>
              <w:rPr>
                <w:b/>
                <w:sz w:val="17"/>
              </w:rPr>
              <w:t>15,927</w:t>
            </w:r>
          </w:p>
        </w:tc>
        <w:tc>
          <w:tcPr>
            <w:tcW w:type="dxa" w:w="1440"/>
            <w:shd w:fill="FFDCE0" w:val="clear"/>
          </w:tcPr>
          <w:p>
            <w:r>
              <w:rPr>
                <w:sz w:val="17"/>
              </w:rPr>
              <w:t>17,668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14,000</w:t>
            </w:r>
          </w:p>
        </w:tc>
        <w:tc>
          <w:tcPr>
            <w:tcW w:type="dxa" w:w="1440"/>
            <w:shd w:fill="FFDCE0" w:val="clear"/>
          </w:tcPr>
          <w:p>
            <w:r>
              <w:rPr>
                <w:b/>
                <w:sz w:val="17"/>
              </w:rPr>
              <w:t>15,874</w:t>
            </w:r>
          </w:p>
        </w:tc>
        <w:tc>
          <w:tcPr>
            <w:tcW w:type="dxa" w:w="1440"/>
            <w:shd w:fill="FFDCE0" w:val="clear"/>
          </w:tcPr>
          <w:p>
            <w:r>
              <w:rPr>
                <w:sz w:val="17"/>
              </w:rPr>
              <w:t>17,749</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13,825</w:t>
            </w:r>
          </w:p>
        </w:tc>
        <w:tc>
          <w:tcPr>
            <w:tcW w:type="dxa" w:w="1440"/>
            <w:shd w:fill="FFDCE0" w:val="clear"/>
          </w:tcPr>
          <w:p>
            <w:r>
              <w:rPr>
                <w:b/>
                <w:sz w:val="17"/>
              </w:rPr>
              <w:t>15,823</w:t>
            </w:r>
          </w:p>
        </w:tc>
        <w:tc>
          <w:tcPr>
            <w:tcW w:type="dxa" w:w="1440"/>
            <w:shd w:fill="FFDCE0" w:val="clear"/>
          </w:tcPr>
          <w:p>
            <w:r>
              <w:rPr>
                <w:sz w:val="17"/>
              </w:rPr>
              <w:t>17,820</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13,660</w:t>
            </w:r>
          </w:p>
        </w:tc>
        <w:tc>
          <w:tcPr>
            <w:tcW w:type="dxa" w:w="1440"/>
            <w:shd w:fill="FFDCE0" w:val="clear"/>
          </w:tcPr>
          <w:p>
            <w:r>
              <w:rPr>
                <w:b/>
                <w:sz w:val="17"/>
              </w:rPr>
              <w:t>15,772</w:t>
            </w:r>
          </w:p>
        </w:tc>
        <w:tc>
          <w:tcPr>
            <w:tcW w:type="dxa" w:w="1440"/>
            <w:shd w:fill="FFDCE0" w:val="clear"/>
          </w:tcPr>
          <w:p>
            <w:r>
              <w:rPr>
                <w:sz w:val="17"/>
              </w:rPr>
              <w:t>17,883</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13,503</w:t>
            </w:r>
          </w:p>
        </w:tc>
        <w:tc>
          <w:tcPr>
            <w:tcW w:type="dxa" w:w="1440"/>
            <w:shd w:fill="FFDCE0" w:val="clear"/>
          </w:tcPr>
          <w:p>
            <w:r>
              <w:rPr>
                <w:b/>
                <w:sz w:val="17"/>
              </w:rPr>
              <w:t>15,721</w:t>
            </w:r>
          </w:p>
        </w:tc>
        <w:tc>
          <w:tcPr>
            <w:tcW w:type="dxa" w:w="1440"/>
            <w:shd w:fill="FFDCE0" w:val="clear"/>
          </w:tcPr>
          <w:p>
            <w:r>
              <w:rPr>
                <w:sz w:val="17"/>
              </w:rPr>
              <w:t>17,940</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129,01 milliards FCFA, ce qui la positionne comme une valeur de taille moyenne sur la BRVM, représentative d'un secteur industriel stratégique. Avec un BPA de 1 677 FCFA, le PER de 9,9x se situe dans la fourchette moyenne du marché (8-12x), indiquant que les investisseurs ne paient pas un prix excessif pour les bénéfices de l'entreprise. Le P/B de 3,01x, bien que supérieur à la valeur comptable, reflète une prime de croissance justifiée par la forte rentabilité des capitaux propres (ROE de 30,5%). Enfin, l'EV/EBITDA de 6,2x, dans la zone raisonnable de 5-10x, confirme que la valorisation globale de l'entreprise, incluant sa dette, reste attractive par rapport à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+23,51%, avec une légère hausse de +0,30% lors de la dernière séance, portant le cours à 16 550 FCFA. Le titre a évolué dans une fourchette de trading très large, oscillant entre un plus bas de 11 450 FCFA et un plus haut de 17 735 FCFA, démontrant une forte dynamique haussière. La moyenne du cours sur la période (14 141 FCFA) est inférieure à la médiane (13 370 FCFA), ce qui, combiné à un skewness positif (0,221), révèle une distribution légèrement asymétrique avec une queue de distribution vers les valeurs élevées, typique d'un marché en forte accélération. L'écart-type de 2 094 FCFA (CV de 14,8%) indique une dispersion modérée, tandis que le kurtosis négatif (-1,483) suggère une distribution aplatie avec peu de pics extrêmes, réduisant le risque de mouvements violents. La volatilité annualisée de 38,5% classe le titre comme très volatil, reflétant un risque élevé mais aussi un potentiel de rendement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16 550 FCFA se positionne au-dessus des moyennes mobiles à 20 jours (16 113,5 FCFA) et à 50 jours (15 990,9 FCFA), confirmant une tendance haussière solide. L'écart positif entre le cours et les deux MM indique une dynamique positive soutenue, justifiant la décision d'achat.</w:t>
      </w:r>
    </w:p>
    <w:p>
      <w:pPr>
        <w:spacing w:after="120" w:line="276" w:lineRule="auto"/>
      </w:pPr>
      <w:r>
        <w:t>**Bandes de Bollinger** : Le prix se situe entre la borne supérieure (17 181,9 FCFA) et la borne inférieure (15 045,1 FCFA), proche de la borne haute, ce qui suggère une pression acheteuse persistante sans atteindre des conditions de surachat extrêmes. La décision neutre reflète une volatilité modérée en l'absence de cassure décisive des bornes.</w:t>
      </w:r>
    </w:p>
    <w:p>
      <w:pPr>
        <w:spacing w:after="120" w:line="276" w:lineRule="auto"/>
      </w:pPr>
      <w:r>
        <w:t>**MACD** : La valeur du MACD (-13,748) est inférieure à son signal (-3,946), indiquant un momentum baissier à court terme malgré la tendance haussière globale. Cette divergence signale un possible essoufflement de la dynamique haussière, justifiant la décision de vente.</w:t>
      </w:r>
    </w:p>
    <w:p>
      <w:pPr>
        <w:spacing w:after="120" w:line="276" w:lineRule="auto"/>
      </w:pPr>
      <w:r>
        <w:t>**RSI** : Avec une valeur de 68,385, le RSI se rapproche du seuil de surachat (70), indiquant que le titre est fortement sollicité mais pas encore en zone dangereuse. La décision neutre suggère que les acheteurs conservent le contrôle sans risque immédiat de retournement violent.</w:t>
      </w:r>
    </w:p>
    <w:p>
      <w:pPr>
        <w:spacing w:after="120" w:line="276" w:lineRule="auto"/>
      </w:pPr>
      <w:r>
        <w:t>**Stochastique** : Le %K (91,342) est nettement supérieur au %D (71,914), confirmant une forte pression acheteuse, mais ces niveaux très élevés signalent des conditions de surachat extrêmes. La décision de vente reflète le risque élevé de correction technique à court terme.</w:t>
      </w:r>
    </w:p>
    <w:p>
      <w:pPr>
        <w:spacing w:after="120" w:line="276" w:lineRule="auto"/>
      </w:pPr>
      <w:r>
        <w:t>**Conclusion technique** : Les signaux sont mitigés : la tendance de fond reste haussière (MM, Bollinger), mais les indicateurs de momentum (MACD, Stochastique) et le RSI proche du surachat suggèrent un essoufflement probable à court terme. Une consolidation ou un léger repli technique semble probable avant la poursuite de la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 résultat net en forte progression de 50,3% à 13,075 milliards FCFA, contre 8,698 milliards en 2024. Cette amélioration spectaculaire de la rentabilité se traduit par une marge nette passant de 3,8% à 6,3%, un ROE exceptionnel de 30,47% et un ROA de 7,26%. En tant qu'entreprise industrielle, l'analyse du BFR est cruciale : le délai clients de 193,75 jours est élevé, constituant un risque de trésorerie, mais il est compensé par un délai fournisseurs de 207,07 jours, favorable à l'entreprise. Le BFR de 1,693 milliards FCFA reste maîtrisé, et la trésorerie nette positive de 23,988 milliards FCFA offre une marge de manœuvre confortable. Les rapports trimestriels 2025 (T1, S1, 9M) confirment cette tendance : malgré une baisse du CA (T1 : -22%, S1 : -23%, 9M : -14%), le résultat net progresse (T1 : -7%, S1 : -7%, 9M : +6%), grâce à l'amélioration des marges de raffinage. Sur la base de ces données, on estime que l'exercice 2025 devrait confirmer la forte progression de la rentabilité, avec un résultat net annuel potentiellement supérieur à 13 milliards FCFA. La solidité financière est renforcée par des capitaux propres de 42,913 milliards FCFA (+21,6%) et une capacité de remboursement rapide de la dette (0,68 an). Les risques principaux restent la dépendance aux prix du pétrole et la baisse du chiffre d'affaires, mais la gestion exemplaire des coûts et la trésorerie abondante positionnent SMBC comme une valeur fondamentalement solide.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(PER 9,9x, P/B 3,01x, EV/EBITDA 6,2x) indique une sous-évaluation relative par rapport à son potentiel de croissance, avec des ratios attractifs dans le contexte BRVM. Le comportement du cours sur 100 jours (+23,51%) démontre une tendance haussière forte, mais la volatilité élevée (38,5%) et le kurtosis négatif appellent à la prudence. Les signaux techniques sont divergents : la tendance de fond reste positive (MM, Bollinger), mais les indicateurs de momentum (MACD, Stochastique) et le RSI proche du surachat suggèrent un repli technique imminent. Les fondamentaux sont excellents avec une rentabilité en forte progression (ROE 30,5%, marge nette 6,3%), une trésorerie abondante (23,988 milliards FCFA) et une gestion rigoureuse des coûts. Les prédictions IA (16 209 à 15 980 FCFA sur J+1 à J+10) confirment une légère correction à court terme, en cohérence avec les signaux techniques. La convergence entre la sous-évaluation fondamentale, la solidité financière et la correction technique attendue suggère une recommandation **ACHAT** avec un niveau de confiance **Élevé** et un risque global **Moyen**. L'horizon d'investissement optimal est le **moyen terme (3-12 mois)**, idéal pour capitaliser sur la correction technique et la poursuite de la croissance fondamentale.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9,351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+6.90%</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4.08% (Faible) — μ=29,242 FCFA, σ=1,192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β=1.2062 (Agressif) — Cov=0.000044, Var(idx)=0.000036, ρ=0.455,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29,974</w:t>
            </w:r>
          </w:p>
        </w:tc>
        <w:tc>
          <w:tcPr>
            <w:tcW w:type="dxa" w:w="1440"/>
            <w:shd w:fill="FAFAFA" w:val="clear"/>
          </w:tcPr>
          <w:p>
            <w:r>
              <w:rPr>
                <w:b/>
                <w:sz w:val="17"/>
              </w:rPr>
              <w:t>30,781</w:t>
            </w:r>
          </w:p>
        </w:tc>
        <w:tc>
          <w:tcPr>
            <w:tcW w:type="dxa" w:w="1440"/>
            <w:shd w:fill="FAFAFA" w:val="clear"/>
          </w:tcPr>
          <w:p>
            <w:r>
              <w:rPr>
                <w:sz w:val="17"/>
              </w:rPr>
              <w:t>31,589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29,619</w:t>
            </w:r>
          </w:p>
        </w:tc>
        <w:tc>
          <w:tcPr>
            <w:tcW w:type="dxa" w:w="1440"/>
            <w:shd w:fill="FAFAFA" w:val="clear"/>
          </w:tcPr>
          <w:p>
            <w:r>
              <w:rPr>
                <w:b/>
                <w:sz w:val="17"/>
              </w:rPr>
              <w:t>30,760</w:t>
            </w:r>
          </w:p>
        </w:tc>
        <w:tc>
          <w:tcPr>
            <w:tcW w:type="dxa" w:w="1440"/>
            <w:shd w:fill="FAFAFA" w:val="clear"/>
          </w:tcPr>
          <w:p>
            <w:r>
              <w:rPr>
                <w:sz w:val="17"/>
              </w:rPr>
              <w:t>31,901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29,338</w:t>
            </w:r>
          </w:p>
        </w:tc>
        <w:tc>
          <w:tcPr>
            <w:tcW w:type="dxa" w:w="1440"/>
            <w:shd w:fill="FAFAFA" w:val="clear"/>
          </w:tcPr>
          <w:p>
            <w:r>
              <w:rPr>
                <w:b/>
                <w:sz w:val="17"/>
              </w:rPr>
              <w:t>30,734</w:t>
            </w:r>
          </w:p>
        </w:tc>
        <w:tc>
          <w:tcPr>
            <w:tcW w:type="dxa" w:w="1440"/>
            <w:shd w:fill="FAFAFA" w:val="clear"/>
          </w:tcPr>
          <w:p>
            <w:r>
              <w:rPr>
                <w:sz w:val="17"/>
              </w:rPr>
              <w:t>32,130</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29,094</w:t>
            </w:r>
          </w:p>
        </w:tc>
        <w:tc>
          <w:tcPr>
            <w:tcW w:type="dxa" w:w="1440"/>
            <w:shd w:fill="FAFAFA" w:val="clear"/>
          </w:tcPr>
          <w:p>
            <w:r>
              <w:rPr>
                <w:b/>
                <w:sz w:val="17"/>
              </w:rPr>
              <w:t>30,705</w:t>
            </w:r>
          </w:p>
        </w:tc>
        <w:tc>
          <w:tcPr>
            <w:tcW w:type="dxa" w:w="1440"/>
            <w:shd w:fill="FAFAFA" w:val="clear"/>
          </w:tcPr>
          <w:p>
            <w:r>
              <w:rPr>
                <w:sz w:val="17"/>
              </w:rPr>
              <w:t>32,316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28,876</w:t>
            </w:r>
          </w:p>
        </w:tc>
        <w:tc>
          <w:tcPr>
            <w:tcW w:type="dxa" w:w="1440"/>
            <w:shd w:fill="FAFAFA" w:val="clear"/>
          </w:tcPr>
          <w:p>
            <w:r>
              <w:rPr>
                <w:b/>
                <w:sz w:val="17"/>
              </w:rPr>
              <w:t>30,675</w:t>
            </w:r>
          </w:p>
        </w:tc>
        <w:tc>
          <w:tcPr>
            <w:tcW w:type="dxa" w:w="1440"/>
            <w:shd w:fill="FAFAFA" w:val="clear"/>
          </w:tcPr>
          <w:p>
            <w:r>
              <w:rPr>
                <w:sz w:val="17"/>
              </w:rPr>
              <w:t>32,474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28,675</w:t>
            </w:r>
          </w:p>
        </w:tc>
        <w:tc>
          <w:tcPr>
            <w:tcW w:type="dxa" w:w="1440"/>
            <w:shd w:fill="FAFAFA" w:val="clear"/>
          </w:tcPr>
          <w:p>
            <w:r>
              <w:rPr>
                <w:b/>
                <w:sz w:val="17"/>
              </w:rPr>
              <w:t>30,644</w:t>
            </w:r>
          </w:p>
        </w:tc>
        <w:tc>
          <w:tcPr>
            <w:tcW w:type="dxa" w:w="1440"/>
            <w:shd w:fill="FAFAFA" w:val="clear"/>
          </w:tcPr>
          <w:p>
            <w:r>
              <w:rPr>
                <w:sz w:val="17"/>
              </w:rPr>
              <w:t>32,613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28,489</w:t>
            </w:r>
          </w:p>
        </w:tc>
        <w:tc>
          <w:tcPr>
            <w:tcW w:type="dxa" w:w="1440"/>
            <w:shd w:fill="FAFAFA" w:val="clear"/>
          </w:tcPr>
          <w:p>
            <w:r>
              <w:rPr>
                <w:b/>
                <w:sz w:val="17"/>
              </w:rPr>
              <w:t>30,614</w:t>
            </w:r>
          </w:p>
        </w:tc>
        <w:tc>
          <w:tcPr>
            <w:tcW w:type="dxa" w:w="1440"/>
            <w:shd w:fill="FAFAFA" w:val="clear"/>
          </w:tcPr>
          <w:p>
            <w:r>
              <w:rPr>
                <w:sz w:val="17"/>
              </w:rPr>
              <w:t>32,738</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28,315</w:t>
            </w:r>
          </w:p>
        </w:tc>
        <w:tc>
          <w:tcPr>
            <w:tcW w:type="dxa" w:w="1440"/>
            <w:shd w:fill="FAFAFA" w:val="clear"/>
          </w:tcPr>
          <w:p>
            <w:r>
              <w:rPr>
                <w:b/>
                <w:sz w:val="17"/>
              </w:rPr>
              <w:t>30,583</w:t>
            </w:r>
          </w:p>
        </w:tc>
        <w:tc>
          <w:tcPr>
            <w:tcW w:type="dxa" w:w="1440"/>
            <w:shd w:fill="FAFAFA" w:val="clear"/>
          </w:tcPr>
          <w:p>
            <w:r>
              <w:rPr>
                <w:sz w:val="17"/>
              </w:rPr>
              <w:t>32,852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28,149</w:t>
            </w:r>
          </w:p>
        </w:tc>
        <w:tc>
          <w:tcPr>
            <w:tcW w:type="dxa" w:w="1440"/>
            <w:shd w:fill="FAFAFA" w:val="clear"/>
          </w:tcPr>
          <w:p>
            <w:r>
              <w:rPr>
                <w:b/>
                <w:sz w:val="17"/>
              </w:rPr>
              <w:t>30,553</w:t>
            </w:r>
          </w:p>
        </w:tc>
        <w:tc>
          <w:tcPr>
            <w:tcW w:type="dxa" w:w="1440"/>
            <w:shd w:fill="FAFAFA" w:val="clear"/>
          </w:tcPr>
          <w:p>
            <w:r>
              <w:rPr>
                <w:sz w:val="17"/>
              </w:rPr>
              <w:t>32,957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27,992</w:t>
            </w:r>
          </w:p>
        </w:tc>
        <w:tc>
          <w:tcPr>
            <w:tcW w:type="dxa" w:w="1440"/>
            <w:shd w:fill="FAFAFA" w:val="clear"/>
          </w:tcPr>
          <w:p>
            <w:r>
              <w:rPr>
                <w:b/>
                <w:sz w:val="17"/>
              </w:rPr>
              <w:t>30,523</w:t>
            </w:r>
          </w:p>
        </w:tc>
        <w:tc>
          <w:tcPr>
            <w:tcW w:type="dxa" w:w="1440"/>
            <w:shd w:fill="FAFAFA" w:val="clear"/>
          </w:tcPr>
          <w:p>
            <w:r>
              <w:rPr>
                <w:sz w:val="17"/>
              </w:rPr>
              <w:t>33,055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3 100 milliards FCFA, faisant de l'entreprise l'une des plus importantes capitalisations de la BRVM, représentant une part significative de l'indice. Avec un BPA de 4 136 FCFA, le titre se négocie à un PER de 7,5x, nettement inférieur à la moyenne historique de la BRVM (8-12x), ce qui suggère une sous-évaluation relative du titre par rapport à ses bénéfices. Le P/B de 2,22x indique que le marché valorise l'entreprise à plus du double de sa valeur comptable, reflétant une prime de croissance justifiée par ses fondamentaux solides. Enfin, l'EV/EBITDA de 3,2x est remarquablement bas, signalant que la valeur totale de l'entreprise (dette incluse)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affiche une progression de +6,90%, avec une dernière séance particulièrement dynamique en hausse de +2,65% pour clôturer à 31 000 FCFA. Le titre a évolué dans une fourchette de 27 160 FCFA (plus bas) à 32 500 FCFA (plus haut), démontrant une amplitude de trading de près de 20%. La moyenne du cours sur la période (29 242 FCFA) est supérieure à la médiane (28 850 FCFA), et le skewness positif de 1,100 confirme une asymétrie avec davantage de journées sous la moyenne, mais des mouvements haussiers plus prononcés. L'écart-type de 1 198 FCFA (CV de 4,1%) révèle une dispersion modérée des cours, tandis que le kurtosis de 0,039 indique une distribution mésokurtique, sans risque de pics extrêmes. La volatilité annualisée de 25,2% positionne le titre dans une zone modérée, reflétant un équilibre entre stabilité relative et potentiel de mouvement.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(31 000 FCFA) se situe au-dessus de la MM50 (29 846,9 FCFA) mais légèrement en-dessous de la MM20 (31 335,75 FCFA). Cette configuration indique une tendance de fond haussière à moyen terme, avec un léger repli à court terme. La décision d'achat est justifiée par la dynamique positive de la MM50 qui sert de support solide.</w:t>
      </w:r>
    </w:p>
    <w:p>
      <w:pPr>
        <w:spacing w:after="120" w:line="276" w:lineRule="auto"/>
      </w:pPr>
      <w:r>
        <w:t>**Bandes de Bollinger** : Le prix évolue entre la borne inférieure (30 264 FCFA) et la borne supérieure (32 407 FCFA), se situant dans la moitié basse du canal. La largeur des bandes reflète une volatilité modérée. La position du cours suggère un potentiel de rebond vers la moyenne, justifiant une décision neutre.</w:t>
      </w:r>
    </w:p>
    <w:p>
      <w:pPr>
        <w:spacing w:after="120" w:line="276" w:lineRule="auto"/>
      </w:pPr>
      <w:r>
        <w:t>**MACD** : Avec une valeur de 251,512 et un signal à 426,323, le MACD est passé sous sa ligne de signal, indiquant un momentum baissier à court terme. Cette divergence négative suggère une consolidation en cours, d'où la décision de vente, bien que les valeurs restent positives en absolu.</w:t>
      </w:r>
    </w:p>
    <w:p>
      <w:pPr>
        <w:spacing w:after="120" w:line="276" w:lineRule="auto"/>
      </w:pPr>
      <w:r>
        <w:t>**RSI** : À 37,5, le RSI se situe en zone neutre, proche de la zone de survente (30). Cette valeur indique que le titre n'est ni suracheté ni survendu, laissant une marge de manœuvre pour un potentiel rebond. La décision neutre est cohérente avec cette lecture.</w:t>
      </w:r>
    </w:p>
    <w:p>
      <w:pPr>
        <w:spacing w:after="120" w:line="276" w:lineRule="auto"/>
      </w:pPr>
      <w:r>
        <w:t>**Stochastique** : Le %K (44,444) est au-dessus du %D (28,148), suggérant un début de croisement haussier. Cette configuration, bien que précoce, pourrait signaler un retournement à la hausse. La décision neutre reflète l'incertitude tant que le %K ne dépasse pas la zone des 50.</w:t>
      </w:r>
    </w:p>
    <w:p>
      <w:pPr>
        <w:spacing w:after="120" w:line="276" w:lineRule="auto"/>
      </w:pPr>
      <w:r>
        <w:t>**Conclusion technique** : Les indicateurs sont mitigés, avec des signaux contradictoires entre les moyennes mobiles (achat) et le MACD (vente). La configuration suggère une phase de consolidation après une période haussière, avec un potentiel de reprise si le cours parvient à dépasser la MM20. Le RSI et le stochastique indiquent que le titre n'est pas dans une zone extrême, laissant place à une évolution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de 1 923,1 milliards FCFA (+8,3% vs 2024), un résultat net de 413,6 milliards FCFA et une marge nette de 21,5%. La rentabilité des fonds propres (ROE) atteint un excellent niveau de 29,6%, tandis que le ROA s'établit à 12,6%, confirmant une utilisation efficace des actifs. En tant qu'entreprise non bancaire, l'analyse du BFR est cruciale : avec un BFR négatif de -284,9 milliards FCFA, Sonatel bénéficie d'une situation très favorable, financée par ses fournisseurs (délai de 201 jours contre 46 jours pour les clients). La structure financière est saine avec une autonomie financière de 42,8% et une capacité de remboursement de seulement 0,64 an. Les rapports trimestriels 2025 confirment cette dynamique : le T1 2025 affiche un résultat net de 108,4 milliards FCFA (+14,9%), le S1 2025 atteint 208,1 milliards FCFA (+8,0%), et le T3 2025 cumule 311 milliards FCFA sur 9 mois. Sur la base de ces tendances et du communiqué du S1 2026 (CA de 1 049,8 milliards FCFA, +9,3%, et résultat net de 230 milliards FCFA, +10,5%), on estime que l'exercice 2026 devrait dépasser les 2 100 milliards FCFA de chiffre d'affaires et approcher les 450 milliards FCFA de résultat net. La notation AAA(wu) de GCR Ratings et le leadership maintenu sur tous les marchés renforcent la solidité fondamentale de l'entreprise, malgré des risques réglementaires et concurrentiels identifiés.</w:t>
      </w:r>
    </w:p>
    <w:p>
      <w:pPr>
        <w:spacing w:after="120" w:line="276" w:lineRule="auto"/>
      </w:pPr>
      <w:r>
        <w:t>---</w:t>
      </w:r>
    </w:p>
    <w:p>
      <w:pPr>
        <w:spacing w:after="120" w:line="276" w:lineRule="auto"/>
      </w:pPr>
      <w:r>
        <w:t>### PARTIE 4 : CONCLUSION D'INVESTISSEMENT</w:t>
      </w:r>
    </w:p>
    <w:p>
      <w:pPr>
        <w:spacing w:after="120" w:line="276" w:lineRule="auto"/>
      </w:pPr>
      <w:r>
        <w:t>La valorisation de Sonatel (PER 7,5x, EV/EBITDA 3,2x) indique une nette sous-évaluation du titre par rapport à ses fondamentaux exceptionnels, avec un ROE de 29,6% et une croissance soutenue de 8-9% du chiffre d'affaires. Le comportement du cours sur 100 jours (+6,9%) montre une tendance positive avec une volatilité modérée (25,2%) et une distribution statistique saine. Les signaux techniques sont mitigés à court terme (MACD vendeur, MM20 sous le cours), mais la tendance de fond reste haussière avec la MM50 comme support. Les fondamentaux sont excellents : croissance à deux chiffres du résultat net, BFR négatif favorable, notation AAA et politique de dividende attractive (1 740 FCFA net par action, soit un rendement d'environ 5,6%). Les prédictions IA sur 10 jours (31 000 à 30 675 FCFA) suggèrent une légère consolidation, cohérente avec les signaux techniques à court terme. La convergence entre la sous-évaluation, les fondamentaux solides et la croissance projetée justifie une recommandation **ACHAT** avec un niveau de confiance **Élevé**. Le risque global est **Faible** pour un horizon d'investissement **moyen à long terme** (6-12 mois), visant une appréciation du cours vers les 34 000-35 000 FCFA, soutenue par les résultats 2026 attendus et la politique de distribution généreuse.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4,230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B40000"/>
                <w:sz w:val="17"/>
              </w:rPr>
              <w:t>-8.06%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μ=8,039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β=0.8039 (Neutre (suit le marché)) — Cov=0.000029, Var(idx)=0.000036, ρ=0.213,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7,867</w:t>
            </w:r>
          </w:p>
        </w:tc>
        <w:tc>
          <w:tcPr>
            <w:tcW w:type="dxa" w:w="1440"/>
            <w:shd w:fill="FAFAFA" w:val="clear"/>
          </w:tcPr>
          <w:p>
            <w:r>
              <w:rPr>
                <w:b/>
                <w:sz w:val="17"/>
              </w:rPr>
              <w:t>8,121</w:t>
            </w:r>
          </w:p>
        </w:tc>
        <w:tc>
          <w:tcPr>
            <w:tcW w:type="dxa" w:w="1440"/>
            <w:shd w:fill="FAFAFA" w:val="clear"/>
          </w:tcPr>
          <w:p>
            <w:r>
              <w:rPr>
                <w:sz w:val="17"/>
              </w:rPr>
              <w:t>8,375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7,775</w:t>
            </w:r>
          </w:p>
        </w:tc>
        <w:tc>
          <w:tcPr>
            <w:tcW w:type="dxa" w:w="1440"/>
            <w:shd w:fill="FAFAFA" w:val="clear"/>
          </w:tcPr>
          <w:p>
            <w:r>
              <w:rPr>
                <w:b/>
                <w:sz w:val="17"/>
              </w:rPr>
              <w:t>8,135</w:t>
            </w:r>
          </w:p>
        </w:tc>
        <w:tc>
          <w:tcPr>
            <w:tcW w:type="dxa" w:w="1440"/>
            <w:shd w:fill="FAFAFA" w:val="clear"/>
          </w:tcPr>
          <w:p>
            <w:r>
              <w:rPr>
                <w:sz w:val="17"/>
              </w:rPr>
              <w:t>8,494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7,706</w:t>
            </w:r>
          </w:p>
        </w:tc>
        <w:tc>
          <w:tcPr>
            <w:tcW w:type="dxa" w:w="1440"/>
            <w:shd w:fill="FAFAFA" w:val="clear"/>
          </w:tcPr>
          <w:p>
            <w:r>
              <w:rPr>
                <w:b/>
                <w:sz w:val="17"/>
              </w:rPr>
              <w:t>8,147</w:t>
            </w:r>
          </w:p>
        </w:tc>
        <w:tc>
          <w:tcPr>
            <w:tcW w:type="dxa" w:w="1440"/>
            <w:shd w:fill="FAFAFA" w:val="clear"/>
          </w:tcPr>
          <w:p>
            <w:r>
              <w:rPr>
                <w:sz w:val="17"/>
              </w:rPr>
              <w:t>8,588</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7,649</w:t>
            </w:r>
          </w:p>
        </w:tc>
        <w:tc>
          <w:tcPr>
            <w:tcW w:type="dxa" w:w="1440"/>
            <w:shd w:fill="FAFAFA" w:val="clear"/>
          </w:tcPr>
          <w:p>
            <w:r>
              <w:rPr>
                <w:b/>
                <w:sz w:val="17"/>
              </w:rPr>
              <w:t>8,159</w:t>
            </w:r>
          </w:p>
        </w:tc>
        <w:tc>
          <w:tcPr>
            <w:tcW w:type="dxa" w:w="1440"/>
            <w:shd w:fill="FAFAFA" w:val="clear"/>
          </w:tcPr>
          <w:p>
            <w:r>
              <w:rPr>
                <w:sz w:val="17"/>
              </w:rPr>
              <w:t>8,669</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7,600</w:t>
            </w:r>
          </w:p>
        </w:tc>
        <w:tc>
          <w:tcPr>
            <w:tcW w:type="dxa" w:w="1440"/>
            <w:shd w:fill="FAFAFA" w:val="clear"/>
          </w:tcPr>
          <w:p>
            <w:r>
              <w:rPr>
                <w:b/>
                <w:sz w:val="17"/>
              </w:rPr>
              <w:t>8,171</w:t>
            </w:r>
          </w:p>
        </w:tc>
        <w:tc>
          <w:tcPr>
            <w:tcW w:type="dxa" w:w="1440"/>
            <w:shd w:fill="FAFAFA" w:val="clear"/>
          </w:tcPr>
          <w:p>
            <w:r>
              <w:rPr>
                <w:sz w:val="17"/>
              </w:rPr>
              <w:t>8,742</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7,556</w:t>
            </w:r>
          </w:p>
        </w:tc>
        <w:tc>
          <w:tcPr>
            <w:tcW w:type="dxa" w:w="1440"/>
            <w:shd w:fill="FAFAFA" w:val="clear"/>
          </w:tcPr>
          <w:p>
            <w:r>
              <w:rPr>
                <w:b/>
                <w:sz w:val="17"/>
              </w:rPr>
              <w:t>8,183</w:t>
            </w:r>
          </w:p>
        </w:tc>
        <w:tc>
          <w:tcPr>
            <w:tcW w:type="dxa" w:w="1440"/>
            <w:shd w:fill="FAFAFA" w:val="clear"/>
          </w:tcPr>
          <w:p>
            <w:r>
              <w:rPr>
                <w:sz w:val="17"/>
              </w:rPr>
              <w:t>8,809</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7,517</w:t>
            </w:r>
          </w:p>
        </w:tc>
        <w:tc>
          <w:tcPr>
            <w:tcW w:type="dxa" w:w="1440"/>
            <w:shd w:fill="FAFAFA" w:val="clear"/>
          </w:tcPr>
          <w:p>
            <w:r>
              <w:rPr>
                <w:b/>
                <w:sz w:val="17"/>
              </w:rPr>
              <w:t>8,194</w:t>
            </w:r>
          </w:p>
        </w:tc>
        <w:tc>
          <w:tcPr>
            <w:tcW w:type="dxa" w:w="1440"/>
            <w:shd w:fill="FAFAFA" w:val="clear"/>
          </w:tcPr>
          <w:p>
            <w:r>
              <w:rPr>
                <w:sz w:val="17"/>
              </w:rPr>
              <w:t>8,872</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7,481</w:t>
            </w:r>
          </w:p>
        </w:tc>
        <w:tc>
          <w:tcPr>
            <w:tcW w:type="dxa" w:w="1440"/>
            <w:shd w:fill="FAFAFA" w:val="clear"/>
          </w:tcPr>
          <w:p>
            <w:r>
              <w:rPr>
                <w:b/>
                <w:sz w:val="17"/>
              </w:rPr>
              <w:t>8,206</w:t>
            </w:r>
          </w:p>
        </w:tc>
        <w:tc>
          <w:tcPr>
            <w:tcW w:type="dxa" w:w="1440"/>
            <w:shd w:fill="FAFAFA" w:val="clear"/>
          </w:tcPr>
          <w:p>
            <w:r>
              <w:rPr>
                <w:sz w:val="17"/>
              </w:rPr>
              <w:t>8,932</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7,447</w:t>
            </w:r>
          </w:p>
        </w:tc>
        <w:tc>
          <w:tcPr>
            <w:tcW w:type="dxa" w:w="1440"/>
            <w:shd w:fill="FAFAFA" w:val="clear"/>
          </w:tcPr>
          <w:p>
            <w:r>
              <w:rPr>
                <w:b/>
                <w:sz w:val="17"/>
              </w:rPr>
              <w:t>8,218</w:t>
            </w:r>
          </w:p>
        </w:tc>
        <w:tc>
          <w:tcPr>
            <w:tcW w:type="dxa" w:w="1440"/>
            <w:shd w:fill="FAFAFA" w:val="clear"/>
          </w:tcPr>
          <w:p>
            <w:r>
              <w:rPr>
                <w:sz w:val="17"/>
              </w:rPr>
              <w:t>8,988</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7,416</w:t>
            </w:r>
          </w:p>
        </w:tc>
        <w:tc>
          <w:tcPr>
            <w:tcW w:type="dxa" w:w="1440"/>
            <w:shd w:fill="FAFAFA" w:val="clear"/>
          </w:tcPr>
          <w:p>
            <w:r>
              <w:rPr>
                <w:b/>
                <w:sz w:val="17"/>
              </w:rPr>
              <w:t>8,229</w:t>
            </w:r>
          </w:p>
        </w:tc>
        <w:tc>
          <w:tcPr>
            <w:tcW w:type="dxa" w:w="1440"/>
            <w:shd w:fill="FAFAFA" w:val="clear"/>
          </w:tcPr>
          <w:p>
            <w:r>
              <w:rPr>
                <w:sz w:val="17"/>
              </w:rPr>
              <w:t>9,042</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174,97 milliards FCFA, ce qui en fait une valeur de première ligne sur la BRVM, représentant un poids significatif dans l'indice composite. Le BPA de 578 FCFA indique que chaque action génère un bénéfice substantiel, justifiant un PER de 14,0x. Ce ratio est légèrement supérieur à la moyenne historique de la BRVM (8-12x), ce qui suggère que le marché accorde une prime de croissance à la société, mais sans excès. Le P/B de 2,56x confirme cette lecture : les investisseurs valorisent les actifs nets de la société à plus de 2,5 fois leur valeur comptable, signe d'une confiance dans la rentabilité future des actifs. Enfin, l'EV/EBITDA de 7,3x se situe dans une fourchette raisonnable (5-10x), indiquant que la valeur totale de l'entreprise (capitalisation + dette nette) reste cohérente avec sa capacité à générer du résultat opérationnel.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 enregistré une variation totale de -8,06%, avec une dernière séance stable (+0,00%). Le cours a évolué dans une fourchette de 7 100 à 9 000 FCFA, démontrant une amplitude de trading de près de 27%, ce qui traduit une certaine nervosité du marché. La moyenne (8 039 FCFA) et la médiane (8 055 FCFA) étant très proches, la distribution des prix est quasi symétrique, confirmée par un skewness de -0,052. L'écart-type de 439 FCFA (CV=5,5%) indique une dispersion modérée autour de la moyenne. Le kurtosis de -0,679 (mésokurtique) suggère l'absence de pics extrêmes, tandis que la volatilité annualisée de 36,0% classe le titre comme très volatil (&gt;30%), un niveau élevé pour une valeur agro-industrielle, reflétant les incertitudes sur les prix des matières premières.</w:t>
      </w:r>
    </w:p>
    <w:p>
      <w:pPr>
        <w:spacing w:after="120" w:line="276" w:lineRule="auto" w:before="240"/>
      </w:pPr>
      <w:r>
        <w:rPr>
          <w:b/>
          <w:color w:val="003366"/>
          <w:sz w:val="24"/>
        </w:rPr>
        <w:t>**PARTIE 2 : ANALYSE TECHNIQUE DÉTAILLÉE**</w:t>
      </w:r>
    </w:p>
    <w:p>
      <w:pPr>
        <w:spacing w:after="120" w:line="276" w:lineRule="auto"/>
      </w:pPr>
      <w:r>
        <w:t>**Moyennes Mobiles** : Le cours actuel (8 100 FCFA) est inférieur à la MM20 (8 176 FCFA) et à la MM50 (8 258,6 FCFA). Cette configuration baissière, où le prix évolue sous ses moyennes mobiles, confirme une tendance de fond négative à court et moyen terme. La décision de "Vente" est justifiée par cette dynamique, le titre n'ayant pas réussi à se hisser au-dessus de ces niveaux de résistance dynamiques.</w:t>
      </w:r>
    </w:p>
    <w:p>
      <w:pPr>
        <w:spacing w:after="120" w:line="276" w:lineRule="auto"/>
      </w:pPr>
      <w:r>
        <w:t>**Bandes de Bollinger** : Le prix se situe à 8 100 FCFA, entre la borne inférieure (7 898 FCFA) et la borne supérieure (8 453 FCFA). La position quasi centrale indique une volatilité modérée et l'absence de pression directionnelle forte. La décision "Neutre" est cohérente, le titre n'étant ni en situation de surachat ni de survente, mais dans une zone d'équilibre.</w:t>
      </w:r>
    </w:p>
    <w:p>
      <w:pPr>
        <w:spacing w:after="120" w:line="276" w:lineRule="auto"/>
      </w:pPr>
      <w:r>
        <w:t>**MACD** : La valeur du MACD (-25,099) est inférieure à son signal (-5,291), avec les deux indicateurs en territoire négatif. Cette configuration baissière indique un momentum défavorable, la dynamique des prix restant orientée à la baisse. La décision de "Vente" est justifiée par cette divergence négative persistante.</w:t>
      </w:r>
    </w:p>
    <w:p>
      <w:pPr>
        <w:spacing w:after="120" w:line="276" w:lineRule="auto"/>
      </w:pPr>
      <w:r>
        <w:t>**RSI** : Le RSI s'établit à 52,174, une valeur neutre dans la zone 30-70. Cela indique que le titre n'est ni suracheté ni survendu, laissant place à une certaine indécision du marché. La décision "Neutre" est appropriée, le momentum n'étant ni haussier ni baissier.</w:t>
      </w:r>
    </w:p>
    <w:p>
      <w:pPr>
        <w:spacing w:after="120" w:line="276" w:lineRule="auto"/>
      </w:pPr>
      <w:r>
        <w:t>**Stochastique** : Le %K (40,0) est supérieur au %D (26,667), suggérant un croisement haussier potentiel, mais les deux valeurs restent en zone neutre. Cette configuration n'offre pas de signal directionnel fort, d'où la décision "Neutre".</w:t>
      </w:r>
    </w:p>
    <w:p>
      <w:pPr>
        <w:spacing w:after="120" w:line="276" w:lineRule="auto"/>
      </w:pPr>
      <w:r>
        <w:t>**Conclusion technique** : Les indicateurs techniques sont partagés, avec une tendance baissière dominante (MM, MACD) mais des oscillateurs neutres (RSI, Stochastique). La configuration globale suggère une phase de consolidation après une baisse, avec un biais négatif à court terme. Le titre pourrait chercher un support solide avant toute tentative de rebond.</w:t>
      </w:r>
    </w:p>
    <w:p>
      <w:pPr>
        <w:spacing w:after="120" w:line="276" w:lineRule="auto" w:before="240"/>
      </w:pPr>
      <w:r>
        <w:rPr>
          <w:b/>
          <w:color w:val="003366"/>
          <w:sz w:val="24"/>
        </w:rPr>
        <w:t>**PARTIE 3 : ANALYSE FONDAMENTALE (SECTION CRITIQUE)**</w:t>
      </w:r>
    </w:p>
    <w:p>
      <w:pPr>
        <w:spacing w:after="120" w:line="276" w:lineRule="auto"/>
      </w:pPr>
      <w:r>
        <w:t>En 2025, SOGC a réalisé un chiffre d'affaires de 98,979 milliards FCFA, en croissance de +10,7% par rapport à 2024 (93,52 milliards FCFA), et un résultat net de 12,493 milliards FCFA, en légère baisse de -5% par rapport à 2024 (13,11 milliards FCFA). La marge nette s'établit à 12,6%, contre 14,0% en 2024, reflétant la hausse des coûts des matières premières (+15%). Le ROE est excellent à 18,26% et le ROA à 13,84%, démontrant une utilisation très efficace des capitaux propres et des actifs. La structure financière est solide avec une autonomie financière de 75,8% et une capacité de remboursement quasi nulle (0,04 an). Le BFR de 7,124 milliards FCFA est positif mais maîtrisé, avec un délai clients de 29,6 jours et un délai fournisseurs de 31,7 jours. Les rapports trimestriels 2025 montrent une performance exceptionnelle au T1 (CA +63,1%, résultat net +262,9%) et au S1 (CA +51,9%, résultat net +151,6%), mais un ralentissement marqué au 9M (CA +21,3%, résultat net +39,5%), confirmant les perspectives prudentes de la direction pour le S2 2025. Le dividende proposé de 570 FCFA par action pour 2025 offre un rendement attractif d'environ 7%, malgré un taux de distribution élevé de 98,5%.</w:t>
      </w:r>
    </w:p>
    <w:p>
      <w:pPr>
        <w:spacing w:after="120" w:line="276" w:lineRule="auto" w:before="240"/>
      </w:pPr>
      <w:r>
        <w:rPr>
          <w:b/>
          <w:color w:val="003366"/>
          <w:sz w:val="24"/>
        </w:rPr>
        <w:t>**PARTIE 4 : CONCLUSION D'INVESTISSEMENT**</w:t>
      </w:r>
    </w:p>
    <w:p>
      <w:pPr>
        <w:spacing w:after="120" w:line="276" w:lineRule="auto"/>
      </w:pPr>
      <w:r>
        <w:t>La valorisation de SOGC (PER 14,0x, P/B 2,56x, EV/EBITDA 7,3x) est raisonnable, légèrement au-dessus des moyennes BRVM, justifiée par une rentabilité supérieure (ROE 18,3%). Le comportement du cours sur 100 jours (-8,06%) est préoccupant, avec une volatilité élevée (36%), mais les statistiques descriptives (distribution symétrique, kurtosis mésokurtique) suggèrent une stabilisation possible. Les signaux techniques sont mitigés, avec une tendance baissière (MM, MACD) mais des oscillateurs neutres, indiquant une phase de consolidation. Les fondamentaux restent solides, avec une croissance du CA de +10,7% en 2025 et une génération de cash-flow opérationnel robuste (22,6 milliards FCFA), malgré la baisse du résultat net due à la hausse des coûts. Les prédictions IA (8 121 à 8 171 FCFA sur 10 jours) suggèrent une légère appréciation, contredisant la tendance technique baissière. La convergence entre des fondamentaux solides, une valorisation raisonnable et des prédictions IA positives, malgré un contexte technique faible, conduit à une recommandation **CONSERVER** avec un niveau de confiance **Moyen**. Le risque global est **Moyen**, principalement lié à la volatilité des prix des matières premières. L'horizon d'investissement optimal est le **moyen terme (3-12 mois)**, en attendant une clarification de la tendance technique et une stabilisation des cours du caoutchouc.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4,560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μ=7,415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β=1.4440 (Agressif) — Cov=0.000053, Var(idx)=0.000036, ρ=0.339,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7,289</w:t>
            </w:r>
          </w:p>
        </w:tc>
        <w:tc>
          <w:tcPr>
            <w:tcW w:type="dxa" w:w="1440"/>
            <w:shd w:fill="FAFAFA" w:val="clear"/>
          </w:tcPr>
          <w:p>
            <w:r>
              <w:rPr>
                <w:b/>
                <w:sz w:val="17"/>
              </w:rPr>
              <w:t>7,553</w:t>
            </w:r>
          </w:p>
        </w:tc>
        <w:tc>
          <w:tcPr>
            <w:tcW w:type="dxa" w:w="1440"/>
            <w:shd w:fill="FAFAFA" w:val="clear"/>
          </w:tcPr>
          <w:p>
            <w:r>
              <w:rPr>
                <w:sz w:val="17"/>
              </w:rPr>
              <w:t>7,817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7,169</w:t>
            </w:r>
          </w:p>
        </w:tc>
        <w:tc>
          <w:tcPr>
            <w:tcW w:type="dxa" w:w="1440"/>
            <w:shd w:fill="FAFAFA" w:val="clear"/>
          </w:tcPr>
          <w:p>
            <w:r>
              <w:rPr>
                <w:b/>
                <w:sz w:val="17"/>
              </w:rPr>
              <w:t>7,542</w:t>
            </w:r>
          </w:p>
        </w:tc>
        <w:tc>
          <w:tcPr>
            <w:tcW w:type="dxa" w:w="1440"/>
            <w:shd w:fill="FAFAFA" w:val="clear"/>
          </w:tcPr>
          <w:p>
            <w:r>
              <w:rPr>
                <w:sz w:val="17"/>
              </w:rPr>
              <w:t>7,915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7,073</w:t>
            </w:r>
          </w:p>
        </w:tc>
        <w:tc>
          <w:tcPr>
            <w:tcW w:type="dxa" w:w="1440"/>
            <w:shd w:fill="FAFAFA" w:val="clear"/>
          </w:tcPr>
          <w:p>
            <w:r>
              <w:rPr>
                <w:b/>
                <w:sz w:val="17"/>
              </w:rPr>
              <w:t>7,529</w:t>
            </w:r>
          </w:p>
        </w:tc>
        <w:tc>
          <w:tcPr>
            <w:tcW w:type="dxa" w:w="1440"/>
            <w:shd w:fill="FAFAFA" w:val="clear"/>
          </w:tcPr>
          <w:p>
            <w:r>
              <w:rPr>
                <w:sz w:val="17"/>
              </w:rPr>
              <w:t>7,985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6,991</w:t>
            </w:r>
          </w:p>
        </w:tc>
        <w:tc>
          <w:tcPr>
            <w:tcW w:type="dxa" w:w="1440"/>
            <w:shd w:fill="FAFAFA" w:val="clear"/>
          </w:tcPr>
          <w:p>
            <w:r>
              <w:rPr>
                <w:b/>
                <w:sz w:val="17"/>
              </w:rPr>
              <w:t>7,516</w:t>
            </w:r>
          </w:p>
        </w:tc>
        <w:tc>
          <w:tcPr>
            <w:tcW w:type="dxa" w:w="1440"/>
            <w:shd w:fill="FAFAFA" w:val="clear"/>
          </w:tcPr>
          <w:p>
            <w:r>
              <w:rPr>
                <w:sz w:val="17"/>
              </w:rPr>
              <w:t>8,042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6,917</w:t>
            </w:r>
          </w:p>
        </w:tc>
        <w:tc>
          <w:tcPr>
            <w:tcW w:type="dxa" w:w="1440"/>
            <w:shd w:fill="FAFAFA" w:val="clear"/>
          </w:tcPr>
          <w:p>
            <w:r>
              <w:rPr>
                <w:b/>
                <w:sz w:val="17"/>
              </w:rPr>
              <w:t>7,504</w:t>
            </w:r>
          </w:p>
        </w:tc>
        <w:tc>
          <w:tcPr>
            <w:tcW w:type="dxa" w:w="1440"/>
            <w:shd w:fill="FAFAFA" w:val="clear"/>
          </w:tcPr>
          <w:p>
            <w:r>
              <w:rPr>
                <w:sz w:val="17"/>
              </w:rPr>
              <w:t>8,091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6,850</w:t>
            </w:r>
          </w:p>
        </w:tc>
        <w:tc>
          <w:tcPr>
            <w:tcW w:type="dxa" w:w="1440"/>
            <w:shd w:fill="FAFAFA" w:val="clear"/>
          </w:tcPr>
          <w:p>
            <w:r>
              <w:rPr>
                <w:b/>
                <w:sz w:val="17"/>
              </w:rPr>
              <w:t>7,491</w:t>
            </w:r>
          </w:p>
        </w:tc>
        <w:tc>
          <w:tcPr>
            <w:tcW w:type="dxa" w:w="1440"/>
            <w:shd w:fill="FAFAFA" w:val="clear"/>
          </w:tcPr>
          <w:p>
            <w:r>
              <w:rPr>
                <w:sz w:val="17"/>
              </w:rPr>
              <w:t>8,133</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6,787</w:t>
            </w:r>
          </w:p>
        </w:tc>
        <w:tc>
          <w:tcPr>
            <w:tcW w:type="dxa" w:w="1440"/>
            <w:shd w:fill="FAFAFA" w:val="clear"/>
          </w:tcPr>
          <w:p>
            <w:r>
              <w:rPr>
                <w:b/>
                <w:sz w:val="17"/>
              </w:rPr>
              <w:t>7,479</w:t>
            </w:r>
          </w:p>
        </w:tc>
        <w:tc>
          <w:tcPr>
            <w:tcW w:type="dxa" w:w="1440"/>
            <w:shd w:fill="FAFAFA" w:val="clear"/>
          </w:tcPr>
          <w:p>
            <w:r>
              <w:rPr>
                <w:sz w:val="17"/>
              </w:rPr>
              <w:t>8,171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6,728</w:t>
            </w:r>
          </w:p>
        </w:tc>
        <w:tc>
          <w:tcPr>
            <w:tcW w:type="dxa" w:w="1440"/>
            <w:shd w:fill="FAFAFA" w:val="clear"/>
          </w:tcPr>
          <w:p>
            <w:r>
              <w:rPr>
                <w:b/>
                <w:sz w:val="17"/>
              </w:rPr>
              <w:t>7,467</w:t>
            </w:r>
          </w:p>
        </w:tc>
        <w:tc>
          <w:tcPr>
            <w:tcW w:type="dxa" w:w="1440"/>
            <w:shd w:fill="FAFAFA" w:val="clear"/>
          </w:tcPr>
          <w:p>
            <w:r>
              <w:rPr>
                <w:sz w:val="17"/>
              </w:rPr>
              <w:t>8,205</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6,672</w:t>
            </w:r>
          </w:p>
        </w:tc>
        <w:tc>
          <w:tcPr>
            <w:tcW w:type="dxa" w:w="1440"/>
            <w:shd w:fill="FAFAFA" w:val="clear"/>
          </w:tcPr>
          <w:p>
            <w:r>
              <w:rPr>
                <w:b/>
                <w:sz w:val="17"/>
              </w:rPr>
              <w:t>7,454</w:t>
            </w:r>
          </w:p>
        </w:tc>
        <w:tc>
          <w:tcPr>
            <w:tcW w:type="dxa" w:w="1440"/>
            <w:shd w:fill="FAFAFA" w:val="clear"/>
          </w:tcPr>
          <w:p>
            <w:r>
              <w:rPr>
                <w:sz w:val="17"/>
              </w:rPr>
              <w:t>8,236</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6,619</w:t>
            </w:r>
          </w:p>
        </w:tc>
        <w:tc>
          <w:tcPr>
            <w:tcW w:type="dxa" w:w="1440"/>
            <w:shd w:fill="FFDCE0" w:val="clear"/>
          </w:tcPr>
          <w:p>
            <w:r>
              <w:rPr>
                <w:b/>
                <w:sz w:val="17"/>
              </w:rPr>
              <w:t>7,442</w:t>
            </w:r>
          </w:p>
        </w:tc>
        <w:tc>
          <w:tcPr>
            <w:tcW w:type="dxa" w:w="1440"/>
            <w:shd w:fill="FFDCE0" w:val="clear"/>
          </w:tcPr>
          <w:p>
            <w:r>
              <w:rPr>
                <w:sz w:val="17"/>
              </w:rPr>
              <w:t>8,265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10 août 2026**</w:t>
        <w:br/>
        <w:t>**Cours de référence : 7 600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194,24 milliards FCFA, un niveau qui la positionne parmi les valeurs moyennes du marché BRVM, reflétant un profil de société industrielle établie. Avec un BPA de 977 FCFA, le titre se négocie à un PER de 7,8x, ce qui est inférieur à la moyenne historique du marché BRVM (8-12x), signalant une décote potentielle et une sous-évaluation relative de la société par rapport à ses bénéfices. Le P/B de 1,41x indique que le marché valorise la société à 1,4 fois ses capitaux propres, un niveau raisonnable qui ne reflète pas une prime excessive. Enfin, l'EV/EBITDA de 4,9x est particulièrement attractif, suggérant que la valeur totale de l'entreprise (dette incluse) est très bon marché par rapport à sa capacité à générer du cash opérationnel. Ces ratios combinés dessinent le profil d'une valeur fondamentalement sous-évaluée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 enregistré une variation totale de -8,43%, avec une dernière séance stable (+0,00%). Le cours a évolué dans une fourchette de 6 720 FCFA (plus bas) à 8 435 FCFA (plus haut), montrant une amplitude de trading significative de plus de 25%. La moyenne du cours sur la période est de 7 415 FCFA, très proche de la médiane (7 400 FCFA), ce qui indique une distribution relativement symétrique des prix. L'écart-type de 379 FCFA (CV=5,1%) révèle une dispersion modérée autour de la moyenne. Le kurtosis de 0,620 (mésokurtique) indique une distribution proche de la normale, sans risque de pics extrêmes, tandis que le skewness positif de 0,659 suggère une asymétrie avec plus de journées sous la moyenne, typique d'une phase de consolidation baissière. La volatilité annualisée de 40,4% classe le titre comme très volatil (&gt;30%), un élément à intégrer dans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(7 600 FCFA) se situe au-dessus de la MM20 (7 487,75 FCFA) mais en dessous de la MM50 (7 557,2 FCFA). Cette configuration, où le prix est sous la moyenne à moyen terme, génère un signal de **Vente**, indiquant que la tendance de fond reste baissière malgré un rebond court terme.</w:t>
      </w:r>
    </w:p>
    <w:p>
      <w:pPr>
        <w:spacing w:after="120" w:line="276" w:lineRule="auto"/>
      </w:pPr>
      <w:r>
        <w:t>**Bandes de Bollinger :** Le prix à 7 600 FCFA se positionne dans la partie supérieure du canal, entre la borne inférieure (7 311,55 FCFA) et la borne supérieure (7 663,95 FCFA). Cette position médiane-haute suggère une volatilité modérée sans excès, d'où une décision **Neutre**. Le titre n'est ni suracheté ni survendu selon cet indicateur.</w:t>
      </w:r>
    </w:p>
    <w:p>
      <w:pPr>
        <w:spacing w:after="120" w:line="276" w:lineRule="auto"/>
      </w:pPr>
      <w:r>
        <w:t>**MACD :** La valeur du MACD (4,561) est positive et au-dessus de sa ligne de signal (-7,251), ce qui constitue un croisement haussier récent. Ce signal d'**Achat** indique un momentum positif en train de se construire, suggérant une possible inversion de tendance à court terme.</w:t>
      </w:r>
    </w:p>
    <w:p>
      <w:pPr>
        <w:spacing w:after="120" w:line="276" w:lineRule="auto"/>
      </w:pPr>
      <w:r>
        <w:t>**RSI :** À 54,63, le RSI se situe dans la zone neutre (30-70), sans signal de surachat ni de survente. Cette valeur indique un équilibre entre les forces acheteuses et vendeuses, justifiant une décision **Neutre**. Le RSI laisse de la place pour une poursuite du mouvement haussier sans risque de correction immédiate.</w:t>
      </w:r>
    </w:p>
    <w:p>
      <w:pPr>
        <w:spacing w:after="120" w:line="276" w:lineRule="auto"/>
      </w:pPr>
      <w:r>
        <w:t>**Stochastique :** Le %K à 100 et le %D à 92,22 sont en zone de surachat extrême (&gt;80). Cette configuration signale un épuisement potentiel du mouvement haussier à très court terme, justifiant une décision de **Vente**. Un croisement baissier du %K sous le %D pourrait déclencher une correction.</w:t>
      </w:r>
    </w:p>
    <w:p>
      <w:pPr>
        <w:spacing w:after="120" w:line="276" w:lineRule="auto"/>
      </w:pPr>
      <w:r>
        <w:t>**Conclusion technique :** Les indicateurs sont mitigés avec une légère prédominance baissière. Le MACD est le seul à donner un signal d'achat clair, tandis que les moyennes mobiles et le stochastique suggèrent une prudence. Le RSI et les bandes de Bollinger restent neutres. Cette divergence indique une phase de transition incertaine, où le titre pourrait consolider avant de choisir une direction.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croissance de 22% par rapport à 2024 (279,44 milliards FCFA), avec un résultat net de 24,97 milliards FCFA (+32,9% vs 2024). La marge nette s'est améliorée à 7,33%, et le ROE atteint un excellent niveau de 18,1%, tandis que le ROA s'établit à 11,06%. La structure financière est saine avec une autonomie financière de 61,08% et un ratio d'endettement maîtrisé de 25,81%. Cependant, le BFR de 65,39 milliards FCFA et la trésorerie nette négative (-15,41 milliards FCFA) constituent des points de vigilance, typiques du secteur. Les délais clients (35 jours) et de stockage (72 jours) sont raisonnables. **Sur la base du rapport T1 2026** (CA de 71,8 milliards FCFA, -24%, et résultat net de 2,63 milliards, -78%), on estime que l'exercice 2026 sera difficile, pénalisé par la chute des cours du caoutchouc et la concurrence accrue. Le rapport du 3ème trimestre 2025 (CA cumulé de 253,7 milliards, +36%) confirmait une dynamique forte qui s'est nettement dégradée en début 2026. La société propose un dividende de 489 FCFA par action pour 2025, confirmant sa politique de distribution généreuse. Les fondamentaux restent solides, mais les perspectives 2026 sont assombries par l'environnement des prix.</w:t>
      </w:r>
    </w:p>
    <w:p>
      <w:pPr>
        <w:spacing w:after="120" w:line="276" w:lineRule="auto"/>
      </w:pPr>
      <w:r>
        <w:t>---</w:t>
      </w:r>
    </w:p>
    <w:p>
      <w:pPr>
        <w:spacing w:after="120" w:line="276" w:lineRule="auto"/>
      </w:pPr>
      <w:r>
        <w:t>### PARTIE 4 : CONCLUSION D'INVESTISSEMENT</w:t>
      </w:r>
    </w:p>
    <w:p>
      <w:pPr>
        <w:spacing w:after="120" w:line="276" w:lineRule="auto"/>
      </w:pPr>
      <w:r>
        <w:t>La valorisation de SPHC est **attractive** (PER 7,8x, EV/EBITDA 4,9x), indiquant une sous-évaluation malgré des fondamentaux solides en 2025 (ROE 18,1%, croissance du CA de 22%). Le comportement du cours sur 100 jours montre une tendance baissière (-8,43%) avec une volatilité élevée (40,4%), mais une distribution statistique stable (kurtosis mésokurtique). Les signaux techniques sont **divergents** : le MACD est haussier, mais les moyennes mobiles et le stochastique (surachat) sont vendeurs, suggérant une consolidation à court terme. Les fondamentaux, bien que robustes pour 2025, font face à une dégradation marquée au T1 2026 (-78% du résultat net), ce qui justifie une approche prudente. Les prédictions IA (7 553 à 7 504 FCFA sur 10 jours) confirment une légère tendance baissière, en cohérence avec les signaux techniques mitigés. En synthèse, la sous-évaluation et la solidité financière plaident pour une conservation, mais la détérioration récente des performances et les signaux techniques incertains recommandent d'attendre une meilleure visibilité. **Recommandation finale : CONSERVER** avec un niveau de confiance **Moyen** et un risque global **Élevé**. L'horizon d'investissement optimal est le **moyen terme (3-12 mois)**, en attendant une stabilisation des cours du caoutchouc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6,492 titres</w:t>
            </w:r>
          </w:p>
        </w:tc>
        <w:tc>
          <w:tcPr>
            <w:tcW w:type="dxa" w:w="2268"/>
            <w:shd w:fill="FFF2CC" w:val="clear"/>
          </w:tcPr>
          <w:p>
            <w:r>
              <w:rPr>
                <w:b/>
                <w:color w:val="503200"/>
                <w:sz w:val="16"/>
              </w:rPr>
              <w:t xml:space="preserve">Cours actuel : </w:t>
            </w:r>
            <w:r>
              <w:rPr>
                <w:color w:val="000000"/>
                <w:sz w:val="17"/>
              </w:rPr>
              <w:t>2,675 FCFA</w:t>
            </w:r>
          </w:p>
          <w:p>
            <w:r>
              <w:rPr>
                <w:b/>
                <w:color w:val="503200"/>
                <w:sz w:val="16"/>
              </w:rPr>
              <w:t xml:space="preserve">Var. 100 jours : </w:t>
            </w:r>
            <w:r>
              <w:rPr>
                <w:b/>
                <w:color w:val="007800"/>
                <w:sz w:val="17"/>
              </w:rPr>
              <w:t>+22.15%</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2,190 FCFA</w:t>
            </w:r>
          </w:p>
          <w:p>
            <w:r>
              <w:rPr>
                <w:b/>
                <w:color w:val="503200"/>
                <w:sz w:val="16"/>
              </w:rPr>
              <w:t xml:space="preserve">Volatilité ann. : </w:t>
            </w:r>
            <w:r>
              <w:rPr>
                <w:color w:val="000000"/>
                <w:sz w:val="17"/>
              </w:rPr>
              <w:t>72.8%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12.20% (Moyenne) — μ=3,017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β=-1.0831 (Contre-cyclique) — Cov=-0.000039, Var(idx)=0.000036, ρ=-0.145,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σ_j=4.59%/j (Modérée) — Vol. annualisée≈72.8%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2,361</w:t>
            </w:r>
          </w:p>
        </w:tc>
        <w:tc>
          <w:tcPr>
            <w:tcW w:type="dxa" w:w="1440"/>
            <w:shd w:fill="FFDCE0" w:val="clear"/>
          </w:tcPr>
          <w:p>
            <w:r>
              <w:rPr>
                <w:b/>
                <w:sz w:val="17"/>
              </w:rPr>
              <w:t>2,489</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2,160</w:t>
            </w:r>
          </w:p>
        </w:tc>
        <w:tc>
          <w:tcPr>
            <w:tcW w:type="dxa" w:w="1440"/>
            <w:shd w:fill="FFDCE0" w:val="clear"/>
          </w:tcPr>
          <w:p>
            <w:r>
              <w:rPr>
                <w:b/>
                <w:sz w:val="17"/>
              </w:rPr>
              <w:t>2,330</w:t>
            </w:r>
          </w:p>
        </w:tc>
        <w:tc>
          <w:tcPr>
            <w:tcW w:type="dxa" w:w="1440"/>
            <w:shd w:fill="FFDCE0" w:val="clear"/>
          </w:tcPr>
          <w:p>
            <w:r>
              <w:rPr>
                <w:sz w:val="17"/>
              </w:rPr>
              <w:t>2,499</w:t>
            </w:r>
          </w:p>
        </w:tc>
        <w:tc>
          <w:tcPr>
            <w:tcW w:type="dxa" w:w="1440"/>
            <w:shd w:fill="FFDCE0" w:val="clear"/>
          </w:tcPr>
          <w:p>
            <w:r>
              <w:rPr>
                <w:b/>
                <w:color w:val="C00000"/>
                <w:sz w:val="17"/>
              </w:rPr>
              <w:t>-12.9%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1,978</w:t>
            </w:r>
          </w:p>
        </w:tc>
        <w:tc>
          <w:tcPr>
            <w:tcW w:type="dxa" w:w="1440"/>
            <w:shd w:fill="FFDCE0" w:val="clear"/>
          </w:tcPr>
          <w:p>
            <w:r>
              <w:rPr>
                <w:b/>
                <w:sz w:val="17"/>
              </w:rPr>
              <w:t>2,171</w:t>
            </w:r>
          </w:p>
        </w:tc>
        <w:tc>
          <w:tcPr>
            <w:tcW w:type="dxa" w:w="1440"/>
            <w:shd w:fill="FFDCE0" w:val="clear"/>
          </w:tcPr>
          <w:p>
            <w:r>
              <w:rPr>
                <w:sz w:val="17"/>
              </w:rPr>
              <w:t>2,365</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1,824</w:t>
            </w:r>
          </w:p>
        </w:tc>
        <w:tc>
          <w:tcPr>
            <w:tcW w:type="dxa" w:w="1440"/>
            <w:shd w:fill="FFDCE0" w:val="clear"/>
          </w:tcPr>
          <w:p>
            <w:r>
              <w:rPr>
                <w:b/>
                <w:sz w:val="17"/>
              </w:rPr>
              <w:t>2,033</w:t>
            </w:r>
          </w:p>
        </w:tc>
        <w:tc>
          <w:tcPr>
            <w:tcW w:type="dxa" w:w="1440"/>
            <w:shd w:fill="FFDCE0" w:val="clear"/>
          </w:tcPr>
          <w:p>
            <w:r>
              <w:rPr>
                <w:sz w:val="17"/>
              </w:rPr>
              <w:t>2,242</w:t>
            </w:r>
          </w:p>
        </w:tc>
        <w:tc>
          <w:tcPr>
            <w:tcW w:type="dxa" w:w="1440"/>
            <w:shd w:fill="FFDCE0" w:val="clear"/>
          </w:tcPr>
          <w:p>
            <w:r>
              <w:rPr>
                <w:b/>
                <w:color w:val="C00000"/>
                <w:sz w:val="17"/>
              </w:rPr>
              <w:t>-24.0%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1,698</w:t>
            </w:r>
          </w:p>
        </w:tc>
        <w:tc>
          <w:tcPr>
            <w:tcW w:type="dxa" w:w="1440"/>
            <w:shd w:fill="FFDCE0" w:val="clear"/>
          </w:tcPr>
          <w:p>
            <w:r>
              <w:rPr>
                <w:b/>
                <w:sz w:val="17"/>
              </w:rPr>
              <w:t>1,919</w:t>
            </w:r>
          </w:p>
        </w:tc>
        <w:tc>
          <w:tcPr>
            <w:tcW w:type="dxa" w:w="1440"/>
            <w:shd w:fill="FFDCE0" w:val="clear"/>
          </w:tcPr>
          <w:p>
            <w:r>
              <w:rPr>
                <w:sz w:val="17"/>
              </w:rPr>
              <w:t>2,140</w:t>
            </w:r>
          </w:p>
        </w:tc>
        <w:tc>
          <w:tcPr>
            <w:tcW w:type="dxa" w:w="1440"/>
            <w:shd w:fill="FFDCE0" w:val="clear"/>
          </w:tcPr>
          <w:p>
            <w:r>
              <w:rPr>
                <w:b/>
                <w:color w:val="C00000"/>
                <w:sz w:val="17"/>
              </w:rPr>
              <w:t>-28.3%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1,596</w:t>
            </w:r>
          </w:p>
        </w:tc>
        <w:tc>
          <w:tcPr>
            <w:tcW w:type="dxa" w:w="1440"/>
            <w:shd w:fill="FFDCE0" w:val="clear"/>
          </w:tcPr>
          <w:p>
            <w:r>
              <w:rPr>
                <w:b/>
                <w:sz w:val="17"/>
              </w:rPr>
              <w:t>1,827</w:t>
            </w:r>
          </w:p>
        </w:tc>
        <w:tc>
          <w:tcPr>
            <w:tcW w:type="dxa" w:w="1440"/>
            <w:shd w:fill="FFDCE0" w:val="clear"/>
          </w:tcPr>
          <w:p>
            <w:r>
              <w:rPr>
                <w:sz w:val="17"/>
              </w:rPr>
              <w:t>2,057</w:t>
            </w:r>
          </w:p>
        </w:tc>
        <w:tc>
          <w:tcPr>
            <w:tcW w:type="dxa" w:w="1440"/>
            <w:shd w:fill="FFDCE0" w:val="clear"/>
          </w:tcPr>
          <w:p>
            <w:r>
              <w:rPr>
                <w:b/>
                <w:color w:val="C00000"/>
                <w:sz w:val="17"/>
              </w:rPr>
              <w:t>-31.7%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1,514</w:t>
            </w:r>
          </w:p>
        </w:tc>
        <w:tc>
          <w:tcPr>
            <w:tcW w:type="dxa" w:w="1440"/>
            <w:shd w:fill="FFDCE0" w:val="clear"/>
          </w:tcPr>
          <w:p>
            <w:r>
              <w:rPr>
                <w:b/>
                <w:sz w:val="17"/>
              </w:rPr>
              <w:t>1,752</w:t>
            </w:r>
          </w:p>
        </w:tc>
        <w:tc>
          <w:tcPr>
            <w:tcW w:type="dxa" w:w="1440"/>
            <w:shd w:fill="FFDCE0" w:val="clear"/>
          </w:tcPr>
          <w:p>
            <w:r>
              <w:rPr>
                <w:sz w:val="17"/>
              </w:rPr>
              <w:t>1,991</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1,445</w:t>
            </w:r>
          </w:p>
        </w:tc>
        <w:tc>
          <w:tcPr>
            <w:tcW w:type="dxa" w:w="1440"/>
            <w:shd w:fill="FFDCE0" w:val="clear"/>
          </w:tcPr>
          <w:p>
            <w:r>
              <w:rPr>
                <w:b/>
                <w:sz w:val="17"/>
              </w:rPr>
              <w:t>1,692</w:t>
            </w:r>
          </w:p>
        </w:tc>
        <w:tc>
          <w:tcPr>
            <w:tcW w:type="dxa" w:w="1440"/>
            <w:shd w:fill="FFDCE0" w:val="clear"/>
          </w:tcPr>
          <w:p>
            <w:r>
              <w:rPr>
                <w:sz w:val="17"/>
              </w:rPr>
              <w:t>1,938</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1,387</w:t>
            </w:r>
          </w:p>
        </w:tc>
        <w:tc>
          <w:tcPr>
            <w:tcW w:type="dxa" w:w="1440"/>
            <w:shd w:fill="FFDCE0" w:val="clear"/>
          </w:tcPr>
          <w:p>
            <w:r>
              <w:rPr>
                <w:b/>
                <w:sz w:val="17"/>
              </w:rPr>
              <w:t>1,641</w:t>
            </w:r>
          </w:p>
        </w:tc>
        <w:tc>
          <w:tcPr>
            <w:tcW w:type="dxa" w:w="1440"/>
            <w:shd w:fill="FFDCE0" w:val="clear"/>
          </w:tcPr>
          <w:p>
            <w:r>
              <w:rPr>
                <w:sz w:val="17"/>
              </w:rPr>
              <w:t>1,894</w:t>
            </w:r>
          </w:p>
        </w:tc>
        <w:tc>
          <w:tcPr>
            <w:tcW w:type="dxa" w:w="1440"/>
            <w:shd w:fill="FFDCE0" w:val="clear"/>
          </w:tcPr>
          <w:p>
            <w:r>
              <w:rPr>
                <w:b/>
                <w:color w:val="C00000"/>
                <w:sz w:val="17"/>
              </w:rPr>
              <w:t>-38.7%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1,337</w:t>
            </w:r>
          </w:p>
        </w:tc>
        <w:tc>
          <w:tcPr>
            <w:tcW w:type="dxa" w:w="1440"/>
            <w:shd w:fill="FFDCE0" w:val="clear"/>
          </w:tcPr>
          <w:p>
            <w:r>
              <w:rPr>
                <w:b/>
                <w:sz w:val="17"/>
              </w:rPr>
              <w:t>1,597</w:t>
            </w:r>
          </w:p>
        </w:tc>
        <w:tc>
          <w:tcPr>
            <w:tcW w:type="dxa" w:w="1440"/>
            <w:shd w:fill="FFDCE0" w:val="clear"/>
          </w:tcPr>
          <w:p>
            <w:r>
              <w:rPr>
                <w:sz w:val="17"/>
              </w:rPr>
              <w:t>1,857</w:t>
            </w:r>
          </w:p>
        </w:tc>
        <w:tc>
          <w:tcPr>
            <w:tcW w:type="dxa" w:w="1440"/>
            <w:shd w:fill="FFDCE0" w:val="clear"/>
          </w:tcPr>
          <w:p>
            <w:r>
              <w:rPr>
                <w:b/>
                <w:color w:val="C00000"/>
                <w:sz w:val="17"/>
              </w:rPr>
              <w:t>-40.3%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35,95 milliards FCFA, un niveau relativement modeste sur la BRVM, reflétant une société de taille moyenne dans le secteur du BTP. Le BPA est négatif à -7 FCFA, ce qui traduit une perte nette par action et rend le PER non significatif (-372,3x). Les investisseurs paient donc un prix très élevé pour des bénéfices inexistants, en nette divergence avec la moyenne du marché (8-12x). Le P/B de 100,78x est extrêmement élevé, indiquant que le marché valorise l'actif net comptable à une prime considérable, ce qui est typique des valeurs spéculatives ou des situations de retournement anticipé. En l'absence de données sur l'EBITDA, le ratio EV/EBITDA ne peut être calculé, mais la faiblesse des fondamentaux actuels suggère une valorisation très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+22,15%, avec une légère baisse de -0,56% lors de la dernière séance, clôturant à 2 675 FCFA. Le titre a évolué dans une fourchette large, oscillant entre un plus bas de 2 190 FCFA et un plus haut de 3 895 FCFA, illustrant une forte amplitude de trading. La moyenne du cours (3 017 FCFA) est proche de la médiane (2 990 FCFA) et du mode (3 000 FCFA), indiquant une distribution relativement symétrique, confirmée par un skewness de 0,055. L'écart-type de 370 FCFA (CV=12,3%) montre une dispersion modérée, tandis que le kurtosis de -0,620 (mésokurtique) suggère l'absence de pics extrêmes. La volatilité annualisée de 72,8% est très élevée, positionnant STAC comme un titre à risque majeur, avec des mouvements de prix amples et imprévisibles.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(2 675 FCFA) est inférieur à la MM20 (2 954,5 FCFA) et à la MM50 (3 169,1 FCFA), confirmant une tendance baissière de moyen terme. La décision de "Vente" est justifiée par la position du prix sous les deux moyennes, signalant une pression vendeuse persistante.</w:t>
      </w:r>
    </w:p>
    <w:p>
      <w:pPr>
        <w:spacing w:after="120" w:line="276" w:lineRule="auto"/>
      </w:pPr>
      <w:r>
        <w:t>**Bandes de Bollinger** : Le prix se situe près de la borne inférieure (2 552,98 FCFA), indiquant une volatilité élevée et une possible zone de survente. La décision "Neutre" reflète l'absence de cassure claire, mais la proximité de la borne inférieure pourrait précéder un rebond technique.</w:t>
      </w:r>
    </w:p>
    <w:p>
      <w:pPr>
        <w:spacing w:after="120" w:line="276" w:lineRule="auto"/>
      </w:pPr>
      <w:r>
        <w:t>**MACD** : La valeur MACD (-143,17) est inférieure au signal (-120,42), avec une divergence négative, confirmant un momentum baissier. La décision "Vente" est cohérente avec cette dynamique, bien que l'écart pourrait signaler une capitulation imminente.</w:t>
      </w:r>
    </w:p>
    <w:p>
      <w:pPr>
        <w:spacing w:after="120" w:line="276" w:lineRule="auto"/>
      </w:pPr>
      <w:r>
        <w:t>**RSI** : À 27,83, le RSI est en zone de survente (&lt;30), indiquant une possible correction technique à la hausse. La décision "Achat" suggère que le titre est temporairement survendu, offrant un potentiel de rebond à court terme.</w:t>
      </w:r>
    </w:p>
    <w:p>
      <w:pPr>
        <w:spacing w:after="120" w:line="276" w:lineRule="auto"/>
      </w:pPr>
      <w:r>
        <w:t>**Stochastique** : Le %K (0,0) et le %D (8,41) sont à des niveaux extrêmement bas, avec un croisement haussier potentiel. La décision "Achat" renforce l'idée d'un retournement imminent, mais la faiblesse des valeurs indique une pression vendeuse encore forte.</w:t>
      </w:r>
    </w:p>
    <w:p>
      <w:pPr>
        <w:spacing w:after="120" w:line="276" w:lineRule="auto"/>
      </w:pPr>
      <w:r>
        <w:t>**Conclusion technique** : Les indicateurs sont partagés entre signaux de vente (MM, MACD) et d'achat (RSI, Stochastique), reflétant une phase de transition. La tendance de fond reste baissière, mais les conditions de survente pourraient déclencher un rebond technique à court terme, à condition que le volume confirme.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STAC révèlent une situation financière très dégradée. Le chiffre d'affaires s'établit à 3,878 milliards FCFA, avec un résultat net de -96,56 millions FCFA, soit une marge nette de -2,49%. Le ROE est de -27,07% et le ROA de -1,77%, indiquant une rentabilité négative sur les fonds propres et les actifs. Le BFR est négatif à -930,47 millions FCFA, ce qui est favorable, mais la trésorerie nette de 1,330 milliard FCFA est insuffisante pour couvrir les pertes récurrentes. L'endettement est élevé avec un ratio d'endettement de 93,45%, et l'autonomie financière est faible à 6,55%. Les rapports trimestriels 2025 montrent une amélioration progressive : le CA du S1 2025 atteint 2,271 milliards FCFA (+290% vs S1 2024), et sur 9 mois, il atteint 3,456 milliards FCFA (+176%), porté par le chantier de l'aéroport d'Abidjan. Cependant, la perte nette sur 9 mois est de -477 millions FCFA, en amélioration de 22% par rapport à 2024. On estime que l'exercice 2025 devrait voir un CA annuel autour de 4 milliards FCFA (prévision direction), mais la rentabilité opérationnelle reste négative, avec un EBE de -650 millions FCFA. Les rapports historiques (2020-2021) montrent une société autrefois rentable (marge nette de 14,6% en 2020), mais la chute des résultats depuis 2022 et l'absence de dividendes depuis 2018 rendent la situation actuelle critique.</w:t>
      </w:r>
    </w:p>
    <w:p>
      <w:pPr>
        <w:spacing w:after="120" w:line="276" w:lineRule="auto"/>
      </w:pPr>
      <w:r>
        <w:t>---</w:t>
      </w:r>
    </w:p>
    <w:p>
      <w:pPr>
        <w:spacing w:after="120" w:line="276" w:lineRule="auto"/>
      </w:pPr>
      <w:r>
        <w:t>### PARTIE 4 : CONCLUSION D'INVESTISSEMENT</w:t>
      </w:r>
    </w:p>
    <w:p>
      <w:pPr>
        <w:spacing w:after="120" w:line="276" w:lineRule="auto"/>
      </w:pPr>
      <w:r>
        <w:t>La valorisation de STAC est clairement surévaluée (P/B de 100x, PER négatif), malgré une capitalisation modeste de 35,95 milliards FCFA. Le comportement du cours sur 100 jours montre une hausse de +22%, mais avec une volatilité extrême (72,8%) et une tendance récente baissière, le titre étant sous ses moyennes mobiles. Les signaux techniques sont divergents : les indicateurs de momentum (RSI, Stochastique) suggèrent un rebond technique, mais les moyennes mobiles et le MACD restent vendeurs. Les fondamentaux sont préoccupants : pertes récurrentes, ROE négatif, et dépendance à un seul projet (aéroport d'Abidjan), bien que le CA 2025 montre une forte croissance. Les prédictions IA (J+1 à J+10) prévoient une chute continue du cours, de 2 489 à 1 919 FCFA, confirmant la pression baissière. En synthèse, la convergence entre la surévaluation, les signaux techniques baissiers et les prédictions IA conduit à une recommandation de **VENTE FORTE**, avec un niveau de confiance **Élevé** et un risque global **Élevé**. L'horizon d'investissement optimal est le **court terme (&lt;3 mois)** pour les spéculateurs, mais une sortie est recommandée pour les investisseurs à moyen terme, en raison de l'absence de visibilité sur un redressement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3,302 titres</w:t>
            </w:r>
          </w:p>
        </w:tc>
        <w:tc>
          <w:tcPr>
            <w:tcW w:type="dxa" w:w="2268"/>
            <w:shd w:fill="FFF2CC" w:val="clear"/>
          </w:tcPr>
          <w:p>
            <w:r>
              <w:rPr>
                <w:b/>
                <w:color w:val="503200"/>
                <w:sz w:val="16"/>
              </w:rPr>
              <w:t xml:space="preserve">Cours actuel : </w:t>
            </w:r>
            <w:r>
              <w:rPr>
                <w:color w:val="000000"/>
                <w:sz w:val="17"/>
              </w:rPr>
              <w:t>24,980 FCFA</w:t>
            </w:r>
          </w:p>
          <w:p>
            <w:r>
              <w:rPr>
                <w:b/>
                <w:color w:val="503200"/>
                <w:sz w:val="16"/>
              </w:rPr>
              <w:t xml:space="preserve">Var. 100 jours : </w:t>
            </w:r>
            <w:r>
              <w:rPr>
                <w:b/>
                <w:color w:val="007800"/>
                <w:sz w:val="17"/>
              </w:rPr>
              <w:t>+15.65%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μ=22,104 FCFA, σ=1,327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β=0.2639 (Défensif) — Cov=0.000010, Var(idx)=0.000036, ρ=0.088,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24,121</w:t>
            </w:r>
          </w:p>
        </w:tc>
        <w:tc>
          <w:tcPr>
            <w:tcW w:type="dxa" w:w="1440"/>
            <w:shd w:fill="FAFAFA" w:val="clear"/>
          </w:tcPr>
          <w:p>
            <w:r>
              <w:rPr>
                <w:b/>
                <w:sz w:val="17"/>
              </w:rPr>
              <w:t>25,178</w:t>
            </w:r>
          </w:p>
        </w:tc>
        <w:tc>
          <w:tcPr>
            <w:tcW w:type="dxa" w:w="1440"/>
            <w:shd w:fill="FAFAFA" w:val="clear"/>
          </w:tcPr>
          <w:p>
            <w:r>
              <w:rPr>
                <w:sz w:val="17"/>
              </w:rPr>
              <w:t>26,236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23,914</w:t>
            </w:r>
          </w:p>
        </w:tc>
        <w:tc>
          <w:tcPr>
            <w:tcW w:type="dxa" w:w="1440"/>
            <w:shd w:fill="FAFAFA" w:val="clear"/>
          </w:tcPr>
          <w:p>
            <w:r>
              <w:rPr>
                <w:b/>
                <w:sz w:val="17"/>
              </w:rPr>
              <w:t>25,424</w:t>
            </w:r>
          </w:p>
        </w:tc>
        <w:tc>
          <w:tcPr>
            <w:tcW w:type="dxa" w:w="1440"/>
            <w:shd w:fill="FAFAFA" w:val="clear"/>
          </w:tcPr>
          <w:p>
            <w:r>
              <w:rPr>
                <w:sz w:val="17"/>
              </w:rPr>
              <w:t>26,934</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23,799</w:t>
            </w:r>
          </w:p>
        </w:tc>
        <w:tc>
          <w:tcPr>
            <w:tcW w:type="dxa" w:w="1440"/>
            <w:shd w:fill="C6EFCE" w:val="clear"/>
          </w:tcPr>
          <w:p>
            <w:r>
              <w:rPr>
                <w:b/>
                <w:sz w:val="17"/>
              </w:rPr>
              <w:t>25,666</w:t>
            </w:r>
          </w:p>
        </w:tc>
        <w:tc>
          <w:tcPr>
            <w:tcW w:type="dxa" w:w="1440"/>
            <w:shd w:fill="C6EFCE" w:val="clear"/>
          </w:tcPr>
          <w:p>
            <w:r>
              <w:rPr>
                <w:sz w:val="17"/>
              </w:rPr>
              <w:t>27,533</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23,720</w:t>
            </w:r>
          </w:p>
        </w:tc>
        <w:tc>
          <w:tcPr>
            <w:tcW w:type="dxa" w:w="1440"/>
            <w:shd w:fill="C6EFCE" w:val="clear"/>
          </w:tcPr>
          <w:p>
            <w:r>
              <w:rPr>
                <w:b/>
                <w:sz w:val="17"/>
              </w:rPr>
              <w:t>25,895</w:t>
            </w:r>
          </w:p>
        </w:tc>
        <w:tc>
          <w:tcPr>
            <w:tcW w:type="dxa" w:w="1440"/>
            <w:shd w:fill="C6EFCE" w:val="clear"/>
          </w:tcPr>
          <w:p>
            <w:r>
              <w:rPr>
                <w:sz w:val="17"/>
              </w:rPr>
              <w:t>28,071</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23,678</w:t>
            </w:r>
          </w:p>
        </w:tc>
        <w:tc>
          <w:tcPr>
            <w:tcW w:type="dxa" w:w="1440"/>
            <w:shd w:fill="C6EFCE" w:val="clear"/>
          </w:tcPr>
          <w:p>
            <w:r>
              <w:rPr>
                <w:b/>
                <w:sz w:val="17"/>
              </w:rPr>
              <w:t>26,132</w:t>
            </w:r>
          </w:p>
        </w:tc>
        <w:tc>
          <w:tcPr>
            <w:tcW w:type="dxa" w:w="1440"/>
            <w:shd w:fill="C6EFCE" w:val="clear"/>
          </w:tcPr>
          <w:p>
            <w:r>
              <w:rPr>
                <w:sz w:val="17"/>
              </w:rPr>
              <w:t>28,586</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23,649</w:t>
            </w:r>
          </w:p>
        </w:tc>
        <w:tc>
          <w:tcPr>
            <w:tcW w:type="dxa" w:w="1440"/>
            <w:shd w:fill="C6EFCE" w:val="clear"/>
          </w:tcPr>
          <w:p>
            <w:r>
              <w:rPr>
                <w:b/>
                <w:sz w:val="17"/>
              </w:rPr>
              <w:t>26,361</w:t>
            </w:r>
          </w:p>
        </w:tc>
        <w:tc>
          <w:tcPr>
            <w:tcW w:type="dxa" w:w="1440"/>
            <w:shd w:fill="C6EFCE" w:val="clear"/>
          </w:tcPr>
          <w:p>
            <w:r>
              <w:rPr>
                <w:sz w:val="17"/>
              </w:rPr>
              <w:t>29,073</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23,644</w:t>
            </w:r>
          </w:p>
        </w:tc>
        <w:tc>
          <w:tcPr>
            <w:tcW w:type="dxa" w:w="1440"/>
            <w:shd w:fill="C6EFCE" w:val="clear"/>
          </w:tcPr>
          <w:p>
            <w:r>
              <w:rPr>
                <w:b/>
                <w:sz w:val="17"/>
              </w:rPr>
              <w:t>26,600</w:t>
            </w:r>
          </w:p>
        </w:tc>
        <w:tc>
          <w:tcPr>
            <w:tcW w:type="dxa" w:w="1440"/>
            <w:shd w:fill="C6EFCE" w:val="clear"/>
          </w:tcPr>
          <w:p>
            <w:r>
              <w:rPr>
                <w:sz w:val="17"/>
              </w:rPr>
              <w:t>29,555</w:t>
            </w:r>
          </w:p>
        </w:tc>
        <w:tc>
          <w:tcPr>
            <w:tcW w:type="dxa" w:w="1440"/>
            <w:shd w:fill="C6EFCE" w:val="clear"/>
          </w:tcPr>
          <w:p>
            <w:r>
              <w:rPr>
                <w:b/>
                <w:color w:val="008000"/>
                <w:sz w:val="17"/>
              </w:rPr>
              <w:t>+6.5%</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23,644</w:t>
            </w:r>
          </w:p>
        </w:tc>
        <w:tc>
          <w:tcPr>
            <w:tcW w:type="dxa" w:w="1440"/>
            <w:shd w:fill="C6EFCE" w:val="clear"/>
          </w:tcPr>
          <w:p>
            <w:r>
              <w:rPr>
                <w:b/>
                <w:sz w:val="17"/>
              </w:rPr>
              <w:t>26,831</w:t>
            </w:r>
          </w:p>
        </w:tc>
        <w:tc>
          <w:tcPr>
            <w:tcW w:type="dxa" w:w="1440"/>
            <w:shd w:fill="C6EFCE" w:val="clear"/>
          </w:tcPr>
          <w:p>
            <w:r>
              <w:rPr>
                <w:sz w:val="17"/>
              </w:rPr>
              <w:t>30,018</w:t>
            </w:r>
          </w:p>
        </w:tc>
        <w:tc>
          <w:tcPr>
            <w:tcW w:type="dxa" w:w="1440"/>
            <w:shd w:fill="C6EFCE" w:val="clear"/>
          </w:tcPr>
          <w:p>
            <w:r>
              <w:rPr>
                <w:b/>
                <w:color w:val="008000"/>
                <w:sz w:val="17"/>
              </w:rPr>
              <w:t>+7.4%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23,647</w:t>
            </w:r>
          </w:p>
        </w:tc>
        <w:tc>
          <w:tcPr>
            <w:tcW w:type="dxa" w:w="1440"/>
            <w:shd w:fill="C6EFCE" w:val="clear"/>
          </w:tcPr>
          <w:p>
            <w:r>
              <w:rPr>
                <w:b/>
                <w:sz w:val="17"/>
              </w:rPr>
              <w:t>27,056</w:t>
            </w:r>
          </w:p>
        </w:tc>
        <w:tc>
          <w:tcPr>
            <w:tcW w:type="dxa" w:w="1440"/>
            <w:shd w:fill="C6EFCE" w:val="clear"/>
          </w:tcPr>
          <w:p>
            <w:r>
              <w:rPr>
                <w:sz w:val="17"/>
              </w:rPr>
              <w:t>30,465</w:t>
            </w:r>
          </w:p>
        </w:tc>
        <w:tc>
          <w:tcPr>
            <w:tcW w:type="dxa" w:w="1440"/>
            <w:shd w:fill="C6EFCE" w:val="clear"/>
          </w:tcPr>
          <w:p>
            <w:r>
              <w:rPr>
                <w:b/>
                <w:color w:val="008000"/>
                <w:sz w:val="17"/>
              </w:rPr>
              <w:t>+8.3%</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23,652</w:t>
            </w:r>
          </w:p>
        </w:tc>
        <w:tc>
          <w:tcPr>
            <w:tcW w:type="dxa" w:w="1440"/>
            <w:shd w:fill="C6EFCE" w:val="clear"/>
          </w:tcPr>
          <w:p>
            <w:r>
              <w:rPr>
                <w:b/>
                <w:sz w:val="17"/>
              </w:rPr>
              <w:t>27,275</w:t>
            </w:r>
          </w:p>
        </w:tc>
        <w:tc>
          <w:tcPr>
            <w:tcW w:type="dxa" w:w="1440"/>
            <w:shd w:fill="C6EFCE" w:val="clear"/>
          </w:tcPr>
          <w:p>
            <w:r>
              <w:rPr>
                <w:sz w:val="17"/>
              </w:rPr>
              <w:t>30,897</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448,52 milliards FCFA positionne STBC comme une valeur de premier plan sur la BRVM, reflétant son statut de leader sur le marché ivoirien du tabac. Le BPA de 2 014 FCFA indique que chaque action génère un bénéfice substantiel, justifiant un PER de 12,4x, légèrement au-dessus de la moyenne historique de la place (~8-12x), ce qui traduit une valorisation raisonnable mais non bon marché. Le P/B de 9,89x est particulièrement élevé, signifiant que le marché valorise fortement les actifs nets de l'entreprise, une prime qui s'explique par une rentabilité exceptionnelle (ROE de 79,75%). Enfin, l'EV/EBITDA de 9,0x confirme une évaluation cohérente avec la capacité opérationnelle de la société, dans une fourchette considérée comme saine pour le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remarquable de +15,65%, avec une variation quasi nulle de -0,08% lors de la dernière séance, suggérant une consolidation après une phase ascendante. Le cours a évolué dans une fourchette de 19 705 FCFA (plus bas) à 25 000 FCFA (plus haut), démontrant une dynamique haussière soutenue. La moyenne (22 104 FCFA) étant supérieure à la médiane (21 830 FCFA), on observe une asymétrie positive (skewness de 0,604), indiquant que les journées sous la moyenne sont plus fréquentes mais que les fortes hausses tirent la moyenne vers le haut. L'écart-type de 1 334 FCFA (CV de 6,0%) révèle une dispersion modérée des cours, tandis que le kurtosis de -0,655 (mésokurtique) suggère une distribution proche de la normale, sans risque de pics extrêmes. La volatilité annualisée de 28,6% classe le titre dans une zone modérée à élevée, reflétant une certaine nervosité du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(24 980 FCFA) se situe nettement au-dessus de la MM20 (23 620 FCFA) et de la MM50 (23 099,3 FCFA), confirmant une tendance haussière solide. L'écart positif entre les deux moyennes et le prix indique une dynamique positive, justifiant la décision d'achat.</w:t>
      </w:r>
    </w:p>
    <w:p>
      <w:pPr>
        <w:spacing w:after="120" w:line="276" w:lineRule="auto"/>
      </w:pPr>
      <w:r>
        <w:t>**Bandes de Bollinger** : Le prix évolue à proximité de la borne supérieure (24 995 FCFA), ce qui témoigne d'une pression acheteuse forte. La largeur des bandes (écart de 2 750 FCFA entre les bornes) reflète une volatilité accrue. La décision neutre s'explique par le fait que le cours touche la borne supérieure sans la dépasser, ce qui pourrait signaler une résistance proche.</w:t>
      </w:r>
    </w:p>
    <w:p>
      <w:pPr>
        <w:spacing w:after="120" w:line="276" w:lineRule="auto"/>
      </w:pPr>
      <w:r>
        <w:t>**MACD** : La valeur du MACD (311,488) est nettement supérieure à son signal (176,603), indiquant un momentum haussier robuste. Cette configuration positive suggère que la tendance haussière pourrait se poursuivre à court terme, justifiant la décision d'achat.</w:t>
      </w:r>
    </w:p>
    <w:p>
      <w:pPr>
        <w:spacing w:after="120" w:line="276" w:lineRule="auto"/>
      </w:pPr>
      <w:r>
        <w:t>**RSI** : À 68,243, le RSI se situe en zone neutre-haute, proche du seuil de surachat (70). Cette valeur indique que le titre a fortement progressé mais n'est pas encore en situation de surachat extrême, laissant une marge de progression avant un éventuel retournement.</w:t>
      </w:r>
    </w:p>
    <w:p>
      <w:pPr>
        <w:spacing w:after="120" w:line="276" w:lineRule="auto"/>
      </w:pPr>
      <w:r>
        <w:t>**Stochastique** : Les valeurs de %K (99,002) et %D (99,667) sont extrêmement élevées, signalant une condition de surachat sévère. La décision de vente est justifiée par ce niveau extrême, qui suggère un risque élevé de correction technique à court terme.</w:t>
      </w:r>
    </w:p>
    <w:p>
      <w:pPr>
        <w:spacing w:after="120" w:line="276" w:lineRule="auto"/>
      </w:pPr>
      <w:r>
        <w:t>**Conclusion technique** : Les indicateurs de tendance (MM, MACD) sont positifs et confirment une dynamique haussière, mais les oscillateurs (RSI, Stochastique) signalent des conditions de surachat. Cette divergence suggère qu'un repli technique est probable à court terme, bien que la tendance de fond reste haussière. La prudence est donc recommandée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performance financière contrastée pour STBC. Le chiffre d'affaires a atteint 268,537 milliards FCFA, en hausse de 25,3% par rapport à 2024, démontrant une dynamique commerciale exceptionnelle. Cependant, le résultat net s'établit à 36,158 milliards FCFA, en baisse de 17,5% par rapport aux 44,2 milliards de 2024, illustrant une dégradation de la rentabilité. La marge nette a chuté de 20,4% à 13,5%, principalement en raison de l'augmentation des droits d'accise (de 49% à 70%) et d'un contrôle fiscal ayant impacté les charges. Le ROE reste excellent à 79,75% et le ROA à 48,09%, témoignant d'une utilisation très efficace des capitaux propres et des actifs. La structure financière est saine avec une autonomie financière de 60,3% et une trésorerie nette de 30,763 milliards FCFA, bien que celle-ci ait diminué de 36% par rapport à 2024 (48,2 milliards). Le BFR de 5,639 milliards FCFA est positif mais maîtrisé, avec un délai client de 42,57 jours et une durée de stockage de 5,73 jours, indiquant une gestion opérationnelle correcte. Selon les rapports trimestriels 2025, le T1 a été exceptionnel (résultat net de 9,4 milliards, +146%), le S1 a confirmé cette tendance (+87,3% à 18,06 milliards), mais le T4 a subi une forte baisse (-74% à 5,1 milliards) en raison de charges exceptionnelles. Le rapport T1 2026 montre un CA en hausse de 12% à 68,8 milliards mais un résultat net stable à 9,3 milliards, suggérant une stabilisation. La politique de dividende reste généreuse avec 1 940 FCFA par action proposé pour 2025, soit un taux de distribution de 84,9%. Les perspectives 2026 sont encourageantes, soutenues par la loi de finances favorisant les fabricants locaux et une amélioration des capacités de production.</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STBC. La valorisation (PER de 12,4x, P/B de 9,89x) indique une prime de marché justifiée par une rentabilité exceptionnelle, mais qui laisse peu de marge de sécurité. Le comportement du cours sur 100 jours est très positif (+15,65%) avec une volatilité modérée (28,6%), mais les statistiques suggèrent une possible consolidation après une forte progression. Les signaux techniques sont partagés : la tendance haussière (MM, MACD) est contrebalancée par des conditions de surachat (RSI, Stochastique), signalant un risque de correction à court terme. Les fondamentaux sont solides avec une croissance du CA de 25,3%, mais la baisse de 17,5% du résultat net et la pression fiscale croissante constituent des points de vigilance. Les prédictions IA (25 178 à 26 132 FCFA sur 10 jours) confirment une poursuite de la hausse, en cohérence avec la tendance technique. Au vu de ces éléments, la recommandation finale est **CONSERVER** avec un niveau de confiance **Moyen** et un risque global **Moyen**. L'horizon d'investissement optimal est le **moyen terme (3-12 mois)**, en attendant une clarification sur la maîtrise des coûts et l'évolution de la réglementation fiscale. Les investisseurs pourront profiter du dividende attractif (1 940 FCFA/action) tout en surveillant les prochains résultats semestriels pour valider la stabilisation de la rentabilité.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176.61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8,997 titres</w:t>
            </w:r>
          </w:p>
        </w:tc>
        <w:tc>
          <w:tcPr>
            <w:tcW w:type="dxa" w:w="2268"/>
            <w:shd w:fill="FFF2CC" w:val="clear"/>
          </w:tcPr>
          <w:p>
            <w:r>
              <w:rPr>
                <w:b/>
                <w:color w:val="503200"/>
                <w:sz w:val="16"/>
              </w:rPr>
              <w:t xml:space="preserve">Cours actuel : </w:t>
            </w:r>
            <w:r>
              <w:rPr>
                <w:color w:val="000000"/>
                <w:sz w:val="17"/>
              </w:rPr>
              <w:t>2,805 FCFA</w:t>
            </w:r>
          </w:p>
          <w:p>
            <w:r>
              <w:rPr>
                <w:b/>
                <w:color w:val="503200"/>
                <w:sz w:val="16"/>
              </w:rPr>
              <w:t xml:space="preserve">Var. 100 jours : </w:t>
            </w:r>
            <w:r>
              <w:rPr>
                <w:b/>
                <w:color w:val="B40000"/>
                <w:sz w:val="17"/>
              </w:rPr>
              <w:t>-1.58%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3.27% (Faible) — μ=2,848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β=-0.2028 (Contre-cyclique) — Cov=-0.000007, Var(idx)=0.000036, ρ=-0.048,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2,670</w:t>
            </w:r>
          </w:p>
        </w:tc>
        <w:tc>
          <w:tcPr>
            <w:tcW w:type="dxa" w:w="1440"/>
            <w:shd w:fill="FAFAFA" w:val="clear"/>
          </w:tcPr>
          <w:p>
            <w:r>
              <w:rPr>
                <w:b/>
                <w:sz w:val="17"/>
              </w:rPr>
              <w:t>2,820</w:t>
            </w:r>
          </w:p>
        </w:tc>
        <w:tc>
          <w:tcPr>
            <w:tcW w:type="dxa" w:w="1440"/>
            <w:shd w:fill="FAFAFA" w:val="clear"/>
          </w:tcPr>
          <w:p>
            <w:r>
              <w:rPr>
                <w:sz w:val="17"/>
              </w:rPr>
              <w:t>2,970</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2,601</w:t>
            </w:r>
          </w:p>
        </w:tc>
        <w:tc>
          <w:tcPr>
            <w:tcW w:type="dxa" w:w="1440"/>
            <w:shd w:fill="FAFAFA" w:val="clear"/>
          </w:tcPr>
          <w:p>
            <w:r>
              <w:rPr>
                <w:b/>
                <w:sz w:val="17"/>
              </w:rPr>
              <w:t>2,813</w:t>
            </w:r>
          </w:p>
        </w:tc>
        <w:tc>
          <w:tcPr>
            <w:tcW w:type="dxa" w:w="1440"/>
            <w:shd w:fill="FAFAFA" w:val="clear"/>
          </w:tcPr>
          <w:p>
            <w:r>
              <w:rPr>
                <w:sz w:val="17"/>
              </w:rPr>
              <w:t>3,024</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2,554</w:t>
            </w:r>
          </w:p>
        </w:tc>
        <w:tc>
          <w:tcPr>
            <w:tcW w:type="dxa" w:w="1440"/>
            <w:shd w:fill="FAFAFA" w:val="clear"/>
          </w:tcPr>
          <w:p>
            <w:r>
              <w:rPr>
                <w:b/>
                <w:sz w:val="17"/>
              </w:rPr>
              <w:t>2,813</w:t>
            </w:r>
          </w:p>
        </w:tc>
        <w:tc>
          <w:tcPr>
            <w:tcW w:type="dxa" w:w="1440"/>
            <w:shd w:fill="FAFAFA" w:val="clear"/>
          </w:tcPr>
          <w:p>
            <w:r>
              <w:rPr>
                <w:sz w:val="17"/>
              </w:rPr>
              <w:t>3,072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2,512</w:t>
            </w:r>
          </w:p>
        </w:tc>
        <w:tc>
          <w:tcPr>
            <w:tcW w:type="dxa" w:w="1440"/>
            <w:shd w:fill="FAFAFA" w:val="clear"/>
          </w:tcPr>
          <w:p>
            <w:r>
              <w:rPr>
                <w:b/>
                <w:sz w:val="17"/>
              </w:rPr>
              <w:t>2,811</w:t>
            </w:r>
          </w:p>
        </w:tc>
        <w:tc>
          <w:tcPr>
            <w:tcW w:type="dxa" w:w="1440"/>
            <w:shd w:fill="FAFAFA" w:val="clear"/>
          </w:tcPr>
          <w:p>
            <w:r>
              <w:rPr>
                <w:sz w:val="17"/>
              </w:rPr>
              <w:t>3,111</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2,474</w:t>
            </w:r>
          </w:p>
        </w:tc>
        <w:tc>
          <w:tcPr>
            <w:tcW w:type="dxa" w:w="1440"/>
            <w:shd w:fill="FAFAFA" w:val="clear"/>
          </w:tcPr>
          <w:p>
            <w:r>
              <w:rPr>
                <w:b/>
                <w:sz w:val="17"/>
              </w:rPr>
              <w:t>2,808</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2,439</w:t>
            </w:r>
          </w:p>
        </w:tc>
        <w:tc>
          <w:tcPr>
            <w:tcW w:type="dxa" w:w="1440"/>
            <w:shd w:fill="FAFAFA" w:val="clear"/>
          </w:tcPr>
          <w:p>
            <w:r>
              <w:rPr>
                <w:b/>
                <w:sz w:val="17"/>
              </w:rPr>
              <w:t>2,805</w:t>
            </w:r>
          </w:p>
        </w:tc>
        <w:tc>
          <w:tcPr>
            <w:tcW w:type="dxa" w:w="1440"/>
            <w:shd w:fill="FAFAFA" w:val="clear"/>
          </w:tcPr>
          <w:p>
            <w:r>
              <w:rPr>
                <w:sz w:val="17"/>
              </w:rPr>
              <w:t>3,171</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2,407</w:t>
            </w:r>
          </w:p>
        </w:tc>
        <w:tc>
          <w:tcPr>
            <w:tcW w:type="dxa" w:w="1440"/>
            <w:shd w:fill="FAFAFA" w:val="clear"/>
          </w:tcPr>
          <w:p>
            <w:r>
              <w:rPr>
                <w:b/>
                <w:sz w:val="17"/>
              </w:rPr>
              <w:t>2,801</w:t>
            </w:r>
          </w:p>
        </w:tc>
        <w:tc>
          <w:tcPr>
            <w:tcW w:type="dxa" w:w="1440"/>
            <w:shd w:fill="FAFAFA" w:val="clear"/>
          </w:tcPr>
          <w:p>
            <w:r>
              <w:rPr>
                <w:sz w:val="17"/>
              </w:rPr>
              <w:t>3,196</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2,376</w:t>
            </w:r>
          </w:p>
        </w:tc>
        <w:tc>
          <w:tcPr>
            <w:tcW w:type="dxa" w:w="1440"/>
            <w:shd w:fill="FAFAFA" w:val="clear"/>
          </w:tcPr>
          <w:p>
            <w:r>
              <w:rPr>
                <w:b/>
                <w:sz w:val="17"/>
              </w:rPr>
              <w:t>2,798</w:t>
            </w:r>
          </w:p>
        </w:tc>
        <w:tc>
          <w:tcPr>
            <w:tcW w:type="dxa" w:w="1440"/>
            <w:shd w:fill="FAFAFA" w:val="clear"/>
          </w:tcPr>
          <w:p>
            <w:r>
              <w:rPr>
                <w:sz w:val="17"/>
              </w:rPr>
              <w:t>3,219</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2,348</w:t>
            </w:r>
          </w:p>
        </w:tc>
        <w:tc>
          <w:tcPr>
            <w:tcW w:type="dxa" w:w="1440"/>
            <w:shd w:fill="FAFAFA" w:val="clear"/>
          </w:tcPr>
          <w:p>
            <w:r>
              <w:rPr>
                <w:b/>
                <w:sz w:val="17"/>
              </w:rPr>
              <w:t>2,794</w:t>
            </w:r>
          </w:p>
        </w:tc>
        <w:tc>
          <w:tcPr>
            <w:tcW w:type="dxa" w:w="1440"/>
            <w:shd w:fill="FAFAFA" w:val="clear"/>
          </w:tcPr>
          <w:p>
            <w:r>
              <w:rPr>
                <w:sz w:val="17"/>
              </w:rPr>
              <w:t>3,240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2,321</w:t>
            </w:r>
          </w:p>
        </w:tc>
        <w:tc>
          <w:tcPr>
            <w:tcW w:type="dxa" w:w="1440"/>
            <w:shd w:fill="FAFAFA" w:val="clear"/>
          </w:tcPr>
          <w:p>
            <w:r>
              <w:rPr>
                <w:b/>
                <w:sz w:val="17"/>
              </w:rPr>
              <w:t>2,790</w:t>
            </w:r>
          </w:p>
        </w:tc>
        <w:tc>
          <w:tcPr>
            <w:tcW w:type="dxa" w:w="1440"/>
            <w:shd w:fill="FAFAFA" w:val="clear"/>
          </w:tcPr>
          <w:p>
            <w:r>
              <w:rPr>
                <w:sz w:val="17"/>
              </w:rPr>
              <w:t>3,260</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176,61 milliards FCFA, ce qui en fait une valeur de première ligne sur la BRVM, représentative du secteur de la distribution d'hydrocarbures. Avec un BPA de 144 FCFA, le titre se négocie à un PER de 19,4x, nettement supérieur à la moyenne historique de la BRVM (8-12x), indiquant que les investisseurs paient une prime substantielle pour les bénéfices de la société. Cette prime est confirmée par un P/B de 4,88x, signifiant que le marché valorise l'actif net comptable près de cinq fois sa valeur, ce qui est exigeant et reflète des attentes de croissance ou de rendement élevées. Enfin, le ratio EV/EBITDA de 10,3x, bien que dans la fourchette haute (10-15x), suggère que la valeur totale de l'entreprise (dette incluse) reste à un niveau soutenable par rapport à sa capacité opérationnelle,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TTLC affiche une variation totale légèrement négative de -1,58%, avec une chute marquée de -5,87% lors de la dernière séance, signe d'une pression vendeuse récente. Le titre a évolué dans un range de 2 650 FCFA (plus bas) à 3 060 FCFA (plus haut), montrant une amplitude de 410 FCFA. La moyenne (2 848 FCFA) et la médiane (2 855 FCFA) étant très proches, la distribution des prix est quasi symétrique, ce que confirme le skewness de -0,151. L'écart-type de 93 FCFA (CV=3,3%) indique une dispersion très faible autour de la moyenne, suggérant une stabilité relative des prix sur la période. Le kurtosis de -0,651 (mésokurtique) indique l'absence de valeurs extrêmes ou de pics de volatilité. Cependant, la volatilité annualisée de 40,0% est considérée comme élevée, signalant un risque de prix important pour un investisseur à long terme, malgré une apparence de calme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Les MM20 (2 922 FCFA) et MM50 (2 893 FCFA) sont toutes deux situées au-dessus du cours actuel (2 805 FCFA), ce qui indique une tendance baissière à court et moyen terme. La décision d'achat générée par cet indicateur semble être un artefact d'un croisement passé, mais la configuration actuelle suggère que le prix est sous ses moyennes, un signal classiquement vendeur.</w:t>
      </w:r>
    </w:p>
    <w:p>
      <w:pPr>
        <w:spacing w:after="120" w:line="276" w:lineRule="auto"/>
      </w:pPr>
      <w:r>
        <w:t>**Bandes de Bollinger:** Le cours (2 805 FCFA) se situe près de la borne inférieure (2 766,7 FCFA) et nettement sous la moyenne mobile centrale (MM20). Cela indique que le titre est dans la partie basse de son canal de volatilité, ce qui peut signaler une condition de survente à court terme. La décision "Neutre" est cohérente avec un prix qui n'a pas encore franchi de niveau extrême, mais la pression est clairement orientée à la baisse.</w:t>
      </w:r>
    </w:p>
    <w:p>
      <w:pPr>
        <w:spacing w:after="120" w:line="276" w:lineRule="auto"/>
      </w:pPr>
      <w:r>
        <w:t>**MACD:** Avec une valeur de 5,802 et un signal à 15,956, le MACD est positif mais sous sa ligne de signal. Cette configuration est un signal de vente classique, indiquant un affaiblissement du momentum haussier. La dynamique récente du prix est donc négative, et le MACD confirme que la tendance de fond perd de la vigueur.</w:t>
      </w:r>
    </w:p>
    <w:p>
      <w:pPr>
        <w:spacing w:after="120" w:line="276" w:lineRule="auto"/>
      </w:pPr>
      <w:r>
        <w:t>**RSI:** Le RSI à 45,026 est en zone neutre (30-70), ce qui signifie que le titre n'est ni suracheté ni survendu. Cependant, sa position sous la barre des 50 indique que le momentum est légèrement baissier. La décision "Neutre" est correcte, mais elle ne fournit aucun signal d'achat, suggérant une faiblesse relative.</w:t>
      </w:r>
    </w:p>
    <w:p>
      <w:pPr>
        <w:spacing w:after="120" w:line="276" w:lineRule="auto"/>
      </w:pPr>
      <w:r>
        <w:t>**Stochastique:** Le %K (15,217) est très bas et sous le %D (55,072), ce qui est un fort signal de survente. Ce croisement baissier en zone de survente indique que le mouvement de baisse récent pourrait être excessif, ouvrant la porte à un rebond technique à très court terme. La décision "Achat" est donc justifiée par ce potentiel de correction haussière.</w:t>
      </w:r>
    </w:p>
    <w:p>
      <w:pPr>
        <w:spacing w:after="120" w:line="276" w:lineRule="auto"/>
      </w:pPr>
      <w:r>
        <w:t>**Conclusion technique :** Les indicateurs sont mitigés. Les moyennes mobiles et le MACD signalent une tendance baissière, tandis que le RSI est neutre et le stochastique suggère une survente. La configuration des bandes de Bollinger renforce l'idée d'une pression vendeuse. Globalement, le signal est baissier à moyen terme, mais un rebond technique est possible à très court terme vu les conditions de survente.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TTLC a réalisé un chiffre d'affaires de 588,709 milliards FCFA, en baisse de 5,2% par rapport à 2024 (621 Md FCFA). Le résultat net s'établit à 9,087 milliards FCFA, en léger repli de -3%, mais la marge nette s'améliore légèrement à 1,54%. La rentabilité des capitaux propres (ROE) est excellente à 25,1%, et le ROA est de 4,82%. En tant qu'entreprise de distribution, le BFR est négatif (-9,662 Mds FCFA), ce qui est très favorable, indiquant que la société finance son cycle d'exploitation grâce à ses fournisseurs (délai fournisseurs de 49,7 jours contre 13,8 jours de stockage). Cependant, la structure financière montre une dépendance accrue avec un endettement total de 90,2% des capitaux propres et une trésorerie nette négative de -21,9 Mds FCFA. Les rapports trimestriels de 2025 (S1 et 9 mois) confirment la tendance de baisse du CA (-7,1% au S1) et du résultat net (-30% sur 9 mois), principalement due à un effet de base défavorable. Le rapport du T1 2026, daté de 2026, montre une reprise avec un CA en hausse de 4,3% et un résultat net en progression de 5,5%, laissant présager une amélioration pour l'exercice en cours. La politique de dividende reste très généreuse (10 Mds FCFA proposés pour 2025, soit un payout &gt;100%), ce qui, combiné à la dégradation de la trésorerie, constitue un risque de soutenabilité à surveiller.</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19,4x, P/B 4,88x), ne laissant que peu de marge en cas de déception, malgré un EV/EBITDA de 10,3x. Le comportement du cours sur 100 jours est stable mais avec une volatilité annualisée élevée (40%) et une récente chute de -5,87%, signalant une nervosité des investisseurs. Les signaux techniques sont majoritairement baissiers à moyen terme (MM, MACD), bien qu'un rebond technique soit possible à très court terme (Stochastique). Les fondamentaux de 2025 montrent une résilience opérationnelle (ROE &gt;25%) mais une dégradation de la trésorerie et un chiffre d'affaires en baisse, même si les données du T1 2026 suggèrent un retour à la croissance. Les prédictions IA (2 820 à 2 808 FCFA) indiquent une stabilisation du cours autour des niveaux actuels, sans rebond majeur, ce qui contredit le signal de survente du stochastique mais confirme la faiblesse du momentum. En synthèse, la convergence des signaux est mitigée, avec une valorisation riche et des signaux techniques baissiers contre des fondamentaux solides et une amélioration récente. Par conséquent, la recommandation est de **CONSERVER** le titre. Le niveau de confiance est **Moyen**, le risque global est **Élevé** en raison de la volatilité et de la valorisation. L'horizon d'investissement optimal serait de **moyen terme (3-12 mois)**, en attendant de voir si la reprise du T1 2026 se confirme et si la société parvient à assainir sa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μ=3,432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β=1.2654 (Agressif) — Cov=0.000046, Var(idx)=0.000036, ρ=0.240,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3,240</w:t>
            </w:r>
          </w:p>
        </w:tc>
        <w:tc>
          <w:tcPr>
            <w:tcW w:type="dxa" w:w="1440"/>
            <w:shd w:fill="FAFAFA" w:val="clear"/>
          </w:tcPr>
          <w:p>
            <w:r>
              <w:rPr>
                <w:b/>
                <w:sz w:val="17"/>
              </w:rPr>
              <w:t>3,450</w:t>
            </w:r>
          </w:p>
        </w:tc>
        <w:tc>
          <w:tcPr>
            <w:tcW w:type="dxa" w:w="1440"/>
            <w:shd w:fill="FAFAFA" w:val="clear"/>
          </w:tcPr>
          <w:p>
            <w:r>
              <w:rPr>
                <w:sz w:val="17"/>
              </w:rPr>
              <w:t>3,660</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3,111</w:t>
            </w:r>
          </w:p>
        </w:tc>
        <w:tc>
          <w:tcPr>
            <w:tcW w:type="dxa" w:w="1440"/>
            <w:shd w:fill="FFDCE0" w:val="clear"/>
          </w:tcPr>
          <w:p>
            <w:r>
              <w:rPr>
                <w:b/>
                <w:sz w:val="17"/>
              </w:rPr>
              <w:t>3,405</w:t>
            </w:r>
          </w:p>
        </w:tc>
        <w:tc>
          <w:tcPr>
            <w:tcW w:type="dxa" w:w="1440"/>
            <w:shd w:fill="FFDCE0" w:val="clear"/>
          </w:tcPr>
          <w:p>
            <w:r>
              <w:rPr>
                <w:sz w:val="17"/>
              </w:rPr>
              <w:t>3,698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3,010</w:t>
            </w:r>
          </w:p>
        </w:tc>
        <w:tc>
          <w:tcPr>
            <w:tcW w:type="dxa" w:w="1440"/>
            <w:shd w:fill="FFDCE0" w:val="clear"/>
          </w:tcPr>
          <w:p>
            <w:r>
              <w:rPr>
                <w:b/>
                <w:sz w:val="17"/>
              </w:rPr>
              <w:t>3,365</w:t>
            </w:r>
          </w:p>
        </w:tc>
        <w:tc>
          <w:tcPr>
            <w:tcW w:type="dxa" w:w="1440"/>
            <w:shd w:fill="FFDCE0" w:val="clear"/>
          </w:tcPr>
          <w:p>
            <w:r>
              <w:rPr>
                <w:sz w:val="17"/>
              </w:rPr>
              <w:t>3,720</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2,924</w:t>
            </w:r>
          </w:p>
        </w:tc>
        <w:tc>
          <w:tcPr>
            <w:tcW w:type="dxa" w:w="1440"/>
            <w:shd w:fill="FFDCE0" w:val="clear"/>
          </w:tcPr>
          <w:p>
            <w:r>
              <w:rPr>
                <w:b/>
                <w:sz w:val="17"/>
              </w:rPr>
              <w:t>3,329</w:t>
            </w:r>
          </w:p>
        </w:tc>
        <w:tc>
          <w:tcPr>
            <w:tcW w:type="dxa" w:w="1440"/>
            <w:shd w:fill="FFDCE0" w:val="clear"/>
          </w:tcPr>
          <w:p>
            <w:r>
              <w:rPr>
                <w:sz w:val="17"/>
              </w:rPr>
              <w:t>3,735</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2,847</w:t>
            </w:r>
          </w:p>
        </w:tc>
        <w:tc>
          <w:tcPr>
            <w:tcW w:type="dxa" w:w="1440"/>
            <w:shd w:fill="FFDCE0" w:val="clear"/>
          </w:tcPr>
          <w:p>
            <w:r>
              <w:rPr>
                <w:b/>
                <w:sz w:val="17"/>
              </w:rPr>
              <w:t>3,296</w:t>
            </w:r>
          </w:p>
        </w:tc>
        <w:tc>
          <w:tcPr>
            <w:tcW w:type="dxa" w:w="1440"/>
            <w:shd w:fill="FFDCE0" w:val="clear"/>
          </w:tcPr>
          <w:p>
            <w:r>
              <w:rPr>
                <w:sz w:val="17"/>
              </w:rPr>
              <w:t>3,745</w:t>
            </w:r>
          </w:p>
        </w:tc>
        <w:tc>
          <w:tcPr>
            <w:tcW w:type="dxa" w:w="1440"/>
            <w:shd w:fill="FFDCE0" w:val="clear"/>
          </w:tcPr>
          <w:p>
            <w:r>
              <w:rPr>
                <w:b/>
                <w:color w:val="C00000"/>
                <w:sz w:val="17"/>
              </w:rPr>
              <w:t>-5.8%</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2,778</w:t>
            </w:r>
          </w:p>
        </w:tc>
        <w:tc>
          <w:tcPr>
            <w:tcW w:type="dxa" w:w="1440"/>
            <w:shd w:fill="FFDCE0" w:val="clear"/>
          </w:tcPr>
          <w:p>
            <w:r>
              <w:rPr>
                <w:b/>
                <w:sz w:val="17"/>
              </w:rPr>
              <w:t>3,265</w:t>
            </w:r>
          </w:p>
        </w:tc>
        <w:tc>
          <w:tcPr>
            <w:tcW w:type="dxa" w:w="1440"/>
            <w:shd w:fill="FFDCE0" w:val="clear"/>
          </w:tcPr>
          <w:p>
            <w:r>
              <w:rPr>
                <w:sz w:val="17"/>
              </w:rPr>
              <w:t>3,753</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2,714</w:t>
            </w:r>
          </w:p>
        </w:tc>
        <w:tc>
          <w:tcPr>
            <w:tcW w:type="dxa" w:w="1440"/>
            <w:shd w:fill="FFDCE0" w:val="clear"/>
          </w:tcPr>
          <w:p>
            <w:r>
              <w:rPr>
                <w:b/>
                <w:sz w:val="17"/>
              </w:rPr>
              <w:t>3,236</w:t>
            </w:r>
          </w:p>
        </w:tc>
        <w:tc>
          <w:tcPr>
            <w:tcW w:type="dxa" w:w="1440"/>
            <w:shd w:fill="FFDCE0" w:val="clear"/>
          </w:tcPr>
          <w:p>
            <w:r>
              <w:rPr>
                <w:sz w:val="17"/>
              </w:rPr>
              <w:t>3,758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2,655</w:t>
            </w:r>
          </w:p>
        </w:tc>
        <w:tc>
          <w:tcPr>
            <w:tcW w:type="dxa" w:w="1440"/>
            <w:shd w:fill="FFDCE0" w:val="clear"/>
          </w:tcPr>
          <w:p>
            <w:r>
              <w:rPr>
                <w:b/>
                <w:sz w:val="17"/>
              </w:rPr>
              <w:t>3,208</w:t>
            </w:r>
          </w:p>
        </w:tc>
        <w:tc>
          <w:tcPr>
            <w:tcW w:type="dxa" w:w="1440"/>
            <w:shd w:fill="FFDCE0" w:val="clear"/>
          </w:tcPr>
          <w:p>
            <w:r>
              <w:rPr>
                <w:sz w:val="17"/>
              </w:rPr>
              <w:t>3,761</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2,600</w:t>
            </w:r>
          </w:p>
        </w:tc>
        <w:tc>
          <w:tcPr>
            <w:tcW w:type="dxa" w:w="1440"/>
            <w:shd w:fill="FFDCE0" w:val="clear"/>
          </w:tcPr>
          <w:p>
            <w:r>
              <w:rPr>
                <w:b/>
                <w:sz w:val="17"/>
              </w:rPr>
              <w:t>3,182</w:t>
            </w:r>
          </w:p>
        </w:tc>
        <w:tc>
          <w:tcPr>
            <w:tcW w:type="dxa" w:w="1440"/>
            <w:shd w:fill="FFDCE0" w:val="clear"/>
          </w:tcPr>
          <w:p>
            <w:r>
              <w:rPr>
                <w:sz w:val="17"/>
              </w:rPr>
              <w:t>3,764</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2,548</w:t>
            </w:r>
          </w:p>
        </w:tc>
        <w:tc>
          <w:tcPr>
            <w:tcW w:type="dxa" w:w="1440"/>
            <w:shd w:fill="FFDCE0" w:val="clear"/>
          </w:tcPr>
          <w:p>
            <w:r>
              <w:rPr>
                <w:b/>
                <w:sz w:val="17"/>
              </w:rPr>
              <w:t>3,157</w:t>
            </w:r>
          </w:p>
        </w:tc>
        <w:tc>
          <w:tcPr>
            <w:tcW w:type="dxa" w:w="1440"/>
            <w:shd w:fill="FFDCE0" w:val="clear"/>
          </w:tcPr>
          <w:p>
            <w:r>
              <w:rPr>
                <w:sz w:val="17"/>
              </w:rPr>
              <w:t>3,765</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114,02 milliards FCFA, ce qui en fait une valeur de taille moyenne sur la BRVM, reflétant la position dominante de l'entreprise sur le marché sénégalais des produits pétroliers. Avec un BPA de 208 FCFA, le PER de 16,8x se situe nettement au-dessus de la moyenne historique de la BRVM (8-12x), indiquant que les investisseurs acceptent de payer une prime pour la qualité perçue du titre et sa stabilité actionnariale. Le P/B de 4,04x confirme cette valorisation exigeante, le marché valorisant fortement les actifs nets de la société, bien au-delà de leur valeur comptable. Enfin, l'EV/EBITDA de 7,1x, dans la fourchette raisonnable de 5-10x, tempère cette lecture en montrant que la valeur totale de l'entreprise reste cohérente avec sa capacité opérationnelle à générer des profits.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de +8,36%, mais la dernière séance enregistre un recul marqué de -3,58%, ramenant le cours à 3 500 FCFA. Le titre a évolué dans une fourchette très large de 2 845 à 4 500 FCFA, illustrant une volatilité importante. La moyenne (3 432 FCFA) et la médiane (3 358 FCFA) sont proches, mais le mode à 3 250 FCFA et le skewness positif (0,965) indiquent une asymétrie avec davantage de journées sous la moyenne, ponctuées par des pics haussiers. L'écart-type de 372 FCFA (CV=10,8%) montre une dispersion modérée, tandis que le kurtosis de 0,405 (mésokurtique) suggère une distribution proche de la normale, sans risque de variations extrêmes. La volatilité annualisée de 50,5% est élevée, signalant un titre spéculatif à court terme malgré sa tendance haussière globale.</w:t>
      </w:r>
    </w:p>
    <w:p>
      <w:pPr>
        <w:spacing w:after="120" w:line="276" w:lineRule="auto" w:before="240"/>
      </w:pPr>
      <w:r>
        <w:rPr>
          <w:b/>
          <w:color w:val="003366"/>
          <w:sz w:val="24"/>
        </w:rPr>
        <w:t>**PARTIE 2 : ANALYSE TECHNIQUE DÉTAILLÉE**</w:t>
      </w:r>
    </w:p>
    <w:p>
      <w:pPr>
        <w:spacing w:after="120" w:line="276" w:lineRule="auto"/>
      </w:pPr>
      <w:r>
        <w:t>Les **Moyennes Mobiles** (MM20=3818,5 et MM50=3710,6) sont toutes deux supérieures au cours actuel de 3 500 FCFA, ce qui indique une pression baissière à court et moyen terme. Cependant, la décision globale reste "Achat", car la tendance de fond sur 100 jours demeure positive et le cours pourrait rebondir vers ces moyennes. La configuration suggère un repli technique dans une tendance haussière plus large.</w:t>
      </w:r>
    </w:p>
    <w:p>
      <w:pPr>
        <w:spacing w:after="120" w:line="276" w:lineRule="auto"/>
      </w:pPr>
      <w:r>
        <w:t>Les **Bandes de Bollinger** (borne supérieure à 4351,4 et borne inférieure à 3285,6) montrent un cours à 3 500 FCFA, proche de la borne inférieure, ce qui traduit une volatilité élevée et une possible zone de survente. La décision "Neutre" est cohérente : le titre n'est pas en situation extrême, mais la proximité de la borne basse pourrait offrir un point d'entrée si le support tient.</w:t>
      </w:r>
    </w:p>
    <w:p>
      <w:pPr>
        <w:spacing w:after="120" w:line="276" w:lineRule="auto"/>
      </w:pPr>
      <w:r>
        <w:t>Le **MACD** affiche une valeur de -67,673 contre un signal à -19,779, soit une divergence négative marquée. Cette configuration indique un momentum baissier fort, avec une dynamique vendeuse qui s'accélère. La décision "Vente" est justifiée par cette divergence, signalant que la pression vendeuse domine actuellement le marché.</w:t>
      </w:r>
    </w:p>
    <w:p>
      <w:pPr>
        <w:spacing w:after="120" w:line="276" w:lineRule="auto"/>
      </w:pPr>
      <w:r>
        <w:t>Le **RSI** à 25,616 est en zone de survente (sous le seuil de 30), ce qui suggère que le titre est techniquement survendu et pourrait connaître un rebond technique. La décision "Achat" repose sur ce postulat, les vendeurs étant potentiellement épuisés à ce niveau.</w:t>
      </w:r>
    </w:p>
    <w:p>
      <w:pPr>
        <w:spacing w:after="120" w:line="276" w:lineRule="auto"/>
      </w:pPr>
      <w:r>
        <w:t>Le **Stochastique** (%K=0,0 et %D=8,754) confirme la survente extrême, avec %K à zéro, indiquant que le cours clôture au plus bas de la période. La décision "Achat" est justifiée par la probabilité d'un retournement haussier imminent, bien que la faiblesse du %D suggère que la tendance baissière pourrait persister quelques séances.</w:t>
      </w:r>
    </w:p>
    <w:p>
      <w:pPr>
        <w:spacing w:after="120" w:line="276" w:lineRule="auto"/>
      </w:pPr>
      <w:r>
        <w:t>En conclusion technique, les indicateurs sont partagés : les moyennes mobiles et le MACD signalent une faiblesse persistante, tandis que le RSI et le stochastique indiquent une survente extrême. Cette divergence suggère un possible rebond technique à court terme, mais la tendance baissière dominante incite à la prudence.</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(484,945 milliards), principalement due à l'arrêt stratégique de la commercialisation du fuel lourd. Le résultat net s'établit à 6,779 milliards FCFA, en repli de 5,1% par rapport à 2024 (7,140 milliards), avec une marge nette de 1,49%, typique du secteur de distribution pétrolière. Le ROE de 24% est excellent, démontrant une forte rentabilité des capitaux propres (28,239 milliards FCFA), tandis que le ROA de 3,95% reflète une utilisation modérée des actifs (171,778 milliards FCFA). Le BFR négatif de -36,899 milliards FCFA est un signal très favorable, indiquant que l'entreprise finance son exploitation grâce aux délais fournisseurs (97,76 jours) supérieurs aux délais clients (47,43 jours). Sur la base du rapport T1 2026 (CA de 99,9 milliards FCFA, -10% mais résultat net en hausse de +5% à 1,585 milliards), on estime que l'exercice 2026 pourrait voir une stabilisation du résultat net autour de 7 milliards FCFA, grâce à l'amélioration des marges sur les lubrifiants et la maîtrise des coûts opérationnels. La trésorerie s'est nettement améliorée, passant de 8,4 milliards en 2024 à 20,6 milliards en 2025, renforçant la solidité financière. La recommandation fondamentale est de conserver, la société démontrant une résilience opérationnelle remarquable malgré un environnement réglementaire contraignant.</w:t>
      </w:r>
    </w:p>
    <w:p>
      <w:pPr>
        <w:spacing w:after="120" w:line="276" w:lineRule="auto" w:before="240"/>
      </w:pPr>
      <w:r>
        <w:rPr>
          <w:b/>
          <w:color w:val="003366"/>
          <w:sz w:val="24"/>
        </w:rPr>
        <w:t>**PARTIE 4 : CONCLUSION D'INVESTISSEMENT**</w:t>
      </w:r>
    </w:p>
    <w:p>
      <w:pPr>
        <w:spacing w:after="120" w:line="276" w:lineRule="auto"/>
      </w:pPr>
      <w:r>
        <w:t>La valorisation de TTLS (PER 16,8x, P/B 4,04x) apparaît exigeante par rapport aux standards BRVM, mais l'EV/EBITDA de 7,1x tempère cette lecture, suggérant une surévaluation modérée. Le comportement du cours, avec une hausse de 8,36% sur 100 jours mais une volatilité élevée (50,5%) et un skewness positif, indique un titre spéculatif avec des pics haussiers ponctuels. Les signaux techniques sont divergents : les moyennes mobiles et le MACD signalent une faiblesse, tandis que le RSI et le stochastique en survente extrême suggèrent un rebond imminent. Les fondamentaux restent solides avec un ROE de 24%, un BFR négatif favorable et une trésorerie renforcée, malgré une baisse du CA et du résultat net. Les prédictions IA (3 450 à 3 296 FCFA sur 10 jours) confirment la tendance baissière à court terme, en cohérence avec les signaux techniques baissiers. La synthèse globale indique une convergence entre la faiblesse technique et les prédictions IA, mais une divergence avec des fondamentaux solides. Nous recommandons donc **CONSERVER** avec un niveau de confiance **Moyen**, un risque global **Moyen**, et un horizon d'investissement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-19.71%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μ=57,569 FCFA, σ=4,676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β=2.1629 (Très agressif) — Cov=0.000078, Var(idx)=0.000036, ρ=0.299,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σ_j=4.33%/j (Modérée) — Vol. annualisée≈68.8%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52,096</w:t>
            </w:r>
          </w:p>
        </w:tc>
        <w:tc>
          <w:tcPr>
            <w:tcW w:type="dxa" w:w="1440"/>
            <w:shd w:fill="FAFAFA" w:val="clear"/>
          </w:tcPr>
          <w:p>
            <w:r>
              <w:rPr>
                <w:b/>
                <w:sz w:val="17"/>
              </w:rPr>
              <w:t>55,446</w:t>
            </w:r>
          </w:p>
        </w:tc>
        <w:tc>
          <w:tcPr>
            <w:tcW w:type="dxa" w:w="1440"/>
            <w:shd w:fill="FAFAFA" w:val="clear"/>
          </w:tcPr>
          <w:p>
            <w:r>
              <w:rPr>
                <w:sz w:val="17"/>
              </w:rPr>
              <w:t>58,795</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2026-08-11</w:t>
            </w:r>
          </w:p>
        </w:tc>
        <w:tc>
          <w:tcPr>
            <w:tcW w:type="dxa" w:w="1440"/>
            <w:shd w:fill="C6EFCE" w:val="clear"/>
          </w:tcPr>
          <w:p>
            <w:r>
              <w:rPr>
                <w:sz w:val="17"/>
              </w:rPr>
              <w:t>51,270</w:t>
            </w:r>
          </w:p>
        </w:tc>
        <w:tc>
          <w:tcPr>
            <w:tcW w:type="dxa" w:w="1440"/>
            <w:shd w:fill="C6EFCE" w:val="clear"/>
          </w:tcPr>
          <w:p>
            <w:r>
              <w:rPr>
                <w:b/>
                <w:sz w:val="17"/>
              </w:rPr>
              <w:t>56,059</w:t>
            </w:r>
          </w:p>
        </w:tc>
        <w:tc>
          <w:tcPr>
            <w:tcW w:type="dxa" w:w="1440"/>
            <w:shd w:fill="C6EFCE" w:val="clear"/>
          </w:tcPr>
          <w:p>
            <w:r>
              <w:rPr>
                <w:sz w:val="17"/>
              </w:rPr>
              <w:t>60,848</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50,758</w:t>
            </w:r>
          </w:p>
        </w:tc>
        <w:tc>
          <w:tcPr>
            <w:tcW w:type="dxa" w:w="1440"/>
            <w:shd w:fill="C6EFCE" w:val="clear"/>
          </w:tcPr>
          <w:p>
            <w:r>
              <w:rPr>
                <w:b/>
                <w:sz w:val="17"/>
              </w:rPr>
              <w:t>56,690</w:t>
            </w:r>
          </w:p>
        </w:tc>
        <w:tc>
          <w:tcPr>
            <w:tcW w:type="dxa" w:w="1440"/>
            <w:shd w:fill="C6EFCE" w:val="clear"/>
          </w:tcPr>
          <w:p>
            <w:r>
              <w:rPr>
                <w:sz w:val="17"/>
              </w:rPr>
              <w:t>62,621</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50,402</w:t>
            </w:r>
          </w:p>
        </w:tc>
        <w:tc>
          <w:tcPr>
            <w:tcW w:type="dxa" w:w="1440"/>
            <w:shd w:fill="C6EFCE" w:val="clear"/>
          </w:tcPr>
          <w:p>
            <w:r>
              <w:rPr>
                <w:b/>
                <w:sz w:val="17"/>
              </w:rPr>
              <w:t>57,328</w:t>
            </w:r>
          </w:p>
        </w:tc>
        <w:tc>
          <w:tcPr>
            <w:tcW w:type="dxa" w:w="1440"/>
            <w:shd w:fill="C6EFCE" w:val="clear"/>
          </w:tcPr>
          <w:p>
            <w:r>
              <w:rPr>
                <w:sz w:val="17"/>
              </w:rPr>
              <w:t>64,254</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50,142</w:t>
            </w:r>
          </w:p>
        </w:tc>
        <w:tc>
          <w:tcPr>
            <w:tcW w:type="dxa" w:w="1440"/>
            <w:shd w:fill="C6EFCE" w:val="clear"/>
          </w:tcPr>
          <w:p>
            <w:r>
              <w:rPr>
                <w:b/>
                <w:sz w:val="17"/>
              </w:rPr>
              <w:t>57,972</w:t>
            </w:r>
          </w:p>
        </w:tc>
        <w:tc>
          <w:tcPr>
            <w:tcW w:type="dxa" w:w="1440"/>
            <w:shd w:fill="C6EFCE" w:val="clear"/>
          </w:tcPr>
          <w:p>
            <w:r>
              <w:rPr>
                <w:sz w:val="17"/>
              </w:rPr>
              <w:t>65,802</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49,946</w:t>
            </w:r>
          </w:p>
        </w:tc>
        <w:tc>
          <w:tcPr>
            <w:tcW w:type="dxa" w:w="1440"/>
            <w:shd w:fill="C6EFCE" w:val="clear"/>
          </w:tcPr>
          <w:p>
            <w:r>
              <w:rPr>
                <w:b/>
                <w:sz w:val="17"/>
              </w:rPr>
              <w:t>58,620</w:t>
            </w:r>
          </w:p>
        </w:tc>
        <w:tc>
          <w:tcPr>
            <w:tcW w:type="dxa" w:w="1440"/>
            <w:shd w:fill="C6EFCE" w:val="clear"/>
          </w:tcPr>
          <w:p>
            <w:r>
              <w:rPr>
                <w:sz w:val="17"/>
              </w:rPr>
              <w:t>67,293</w:t>
            </w:r>
          </w:p>
        </w:tc>
        <w:tc>
          <w:tcPr>
            <w:tcW w:type="dxa" w:w="1440"/>
            <w:shd w:fill="C6EFCE" w:val="clear"/>
          </w:tcPr>
          <w:p>
            <w:r>
              <w:rPr>
                <w:b/>
                <w:color w:val="008000"/>
                <w:sz w:val="17"/>
              </w:rPr>
              <w:t>+7.4%</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49,798</w:t>
            </w:r>
          </w:p>
        </w:tc>
        <w:tc>
          <w:tcPr>
            <w:tcW w:type="dxa" w:w="1440"/>
            <w:shd w:fill="C6EFCE" w:val="clear"/>
          </w:tcPr>
          <w:p>
            <w:r>
              <w:rPr>
                <w:b/>
                <w:sz w:val="17"/>
              </w:rPr>
              <w:t>59,270</w:t>
            </w:r>
          </w:p>
        </w:tc>
        <w:tc>
          <w:tcPr>
            <w:tcW w:type="dxa" w:w="1440"/>
            <w:shd w:fill="C6EFCE" w:val="clear"/>
          </w:tcPr>
          <w:p>
            <w:r>
              <w:rPr>
                <w:sz w:val="17"/>
              </w:rPr>
              <w:t>68,743</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49,685</w:t>
            </w:r>
          </w:p>
        </w:tc>
        <w:tc>
          <w:tcPr>
            <w:tcW w:type="dxa" w:w="1440"/>
            <w:shd w:fill="C6EFCE" w:val="clear"/>
          </w:tcPr>
          <w:p>
            <w:r>
              <w:rPr>
                <w:b/>
                <w:sz w:val="17"/>
              </w:rPr>
              <w:t>59,924</w:t>
            </w:r>
          </w:p>
        </w:tc>
        <w:tc>
          <w:tcPr>
            <w:tcW w:type="dxa" w:w="1440"/>
            <w:shd w:fill="C6EFCE" w:val="clear"/>
          </w:tcPr>
          <w:p>
            <w:r>
              <w:rPr>
                <w:sz w:val="17"/>
              </w:rPr>
              <w:t>70,162</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49,601</w:t>
            </w:r>
          </w:p>
        </w:tc>
        <w:tc>
          <w:tcPr>
            <w:tcW w:type="dxa" w:w="1440"/>
            <w:shd w:fill="C6EFCE" w:val="clear"/>
          </w:tcPr>
          <w:p>
            <w:r>
              <w:rPr>
                <w:b/>
                <w:sz w:val="17"/>
              </w:rPr>
              <w:t>60,579</w:t>
            </w:r>
          </w:p>
        </w:tc>
        <w:tc>
          <w:tcPr>
            <w:tcW w:type="dxa" w:w="1440"/>
            <w:shd w:fill="C6EFCE" w:val="clear"/>
          </w:tcPr>
          <w:p>
            <w:r>
              <w:rPr>
                <w:sz w:val="17"/>
              </w:rPr>
              <w:t>71,557</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49,539</w:t>
            </w:r>
          </w:p>
        </w:tc>
        <w:tc>
          <w:tcPr>
            <w:tcW w:type="dxa" w:w="1440"/>
            <w:shd w:fill="C6EFCE" w:val="clear"/>
          </w:tcPr>
          <w:p>
            <w:r>
              <w:rPr>
                <w:b/>
                <w:sz w:val="17"/>
              </w:rPr>
              <w:t>61,236</w:t>
            </w:r>
          </w:p>
        </w:tc>
        <w:tc>
          <w:tcPr>
            <w:tcW w:type="dxa" w:w="1440"/>
            <w:shd w:fill="C6EFCE" w:val="clear"/>
          </w:tcPr>
          <w:p>
            <w:r>
              <w:rPr>
                <w:sz w:val="17"/>
              </w:rPr>
              <w:t>72,934</w:t>
            </w:r>
          </w:p>
        </w:tc>
        <w:tc>
          <w:tcPr>
            <w:tcW w:type="dxa" w:w="1440"/>
            <w:shd w:fill="C6EFCE" w:val="clear"/>
          </w:tcPr>
          <w:p>
            <w:r>
              <w:rPr>
                <w:b/>
                <w:color w:val="008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UNLC,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501,37 milliards FCFA, ce qui en fait une valeur de première importance sur la BRVM, reflétant la présence d'un géant des biens de consommation. Cependant, les ratios de valorisation clés (BPA, PER, P/B, EV/EBITDA) ne sont pas calculables en l'absence de données financières structurées récentes dans la base. Cette absence est due à la non-disponibilité de ces données chiffrées consolidées pour l'exercice en cours. En se basant sur les rapports narratifs de 2023 (bénéfice net de 640 millions FCFA), le BPA serait d'environ 70 FCFA, ce qui, rapporté au cours actuel de 54 595 FCFA, donnerait un PER extrêmement élevé (supérieur à 700x), indiquant que le marché valorise très fortement les actifs et la marque, ou anticipe une reprise majeure des bénéfices. Sans ces ratios, l'évaluation relative est difficile, mais la prime de risque semble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 subi une forte correction de -19,71%, avec un cours actuel de 54 595 FCFA, en stagnation sur la dernière séance. Le titre a évolué dans une fourchette large de 49 630 FCFA (plus bas) à 72 000 FCFA (plus haut), illustrant une forte amplitude de trading. La moyenne (57 569 FCFA) est supérieure à la médiane (57 042 FCFA), et le skewness positif de 1.026 confirme une asymétrie avec des journées plus fréquentes sous la moyenne, tirant le cours vers le bas. L'écart-type de 4 699 FCFA (CV=8.2%) montre une dispersion modérée, mais le kurtosis élevé (1.297) signale un risque de mouvements extrêmes. La volatilité annualisée de 68.8% est extrêmement élevée, classant UNLC comme un titre à très haut risque spéculatif sur cette période.</w:t>
      </w:r>
    </w:p>
    <w:p>
      <w:pPr>
        <w:spacing w:after="120" w:line="276" w:lineRule="auto"/>
      </w:pPr>
      <w:r>
        <w:t>---</w:t>
      </w:r>
    </w:p>
    <w:p>
      <w:pPr>
        <w:spacing w:after="120" w:line="276" w:lineRule="auto"/>
      </w:pPr>
      <w:r>
        <w:t>### **PARTIE 2 : ANALYSE TECHNIQUE DÉTAILLÉE**</w:t>
      </w:r>
    </w:p>
    <w:p>
      <w:pPr>
        <w:spacing w:after="120" w:line="276" w:lineRule="auto"/>
      </w:pPr>
      <w:r>
        <w:t>**Moyennes Mobiles:** Le cours (54 595 FCFA) est supérieur à la MM20 (52 923 FCFA) mais inférieur à la MM50 (54 923 FCFA). Cette configuration, avec une MM20 sous la MM50, indique une tendance de fond baissière, mais un rebond à court terme en cours. La décision de "Vente" est justifiée par la persistance de la tendance moyen terme négative.</w:t>
      </w:r>
    </w:p>
    <w:p>
      <w:pPr>
        <w:spacing w:after="120" w:line="276" w:lineRule="auto"/>
      </w:pPr>
      <w:r>
        <w:t>**Bandes de Bollinger:** Le prix se situe dans la partie supérieure des bandes (borne inférieure à 49 538, borne supérieure à 56 309), après avoir touché des niveaux plus bas. Cela suggère une réduction de la volatilité et un mouvement de retour vers la moyenne. La décision "Neutre" est cohérente avec une phase de consolidation après une forte baisse.</w:t>
      </w:r>
    </w:p>
    <w:p>
      <w:pPr>
        <w:spacing w:after="120" w:line="276" w:lineRule="auto"/>
      </w:pPr>
      <w:r>
        <w:t>**MACD:** Le MACD (-279.29) est négatif mais se situe au-dessus de sa ligne de signal (-678.38). Ce croisement haussier, bien que sous la ligne zéro, indique un ralentissement de la dynamique baissière et un potentiel de rebond technique. La décision "Achat" reflète ce début de momentum positif.</w:t>
      </w:r>
    </w:p>
    <w:p>
      <w:pPr>
        <w:spacing w:after="120" w:line="276" w:lineRule="auto"/>
      </w:pPr>
      <w:r>
        <w:t>**RSI:** Le RSI à 50.25 est en zone neutre, indiquant un équilibre entre les forces acheteuses et vendeuses. Il n'y a pas de pression d'achat ou de vente excessive, ce qui laisse place à une évolution dans un sens ou dans l'autre. La décision "Neutre" est donc appropriée.</w:t>
      </w:r>
    </w:p>
    <w:p>
      <w:pPr>
        <w:spacing w:after="120" w:line="276" w:lineRule="auto"/>
      </w:pPr>
      <w:r>
        <w:t>**Stochastique:** Le %K (76.19) et le %D (76.84) sont élevés, proches de la zone de surachat. Bien que le %D soit légèrement supérieur au %K, le titre semble avoir déjà effectué un rebond technique. La décision "Neutre" suggère que le mouvement haussier pourrait perdre de la vigueur à court terme.</w:t>
      </w:r>
    </w:p>
    <w:p>
      <w:pPr>
        <w:spacing w:after="120" w:line="276" w:lineRule="auto"/>
      </w:pPr>
      <w:r>
        <w:t>**Conclusion technique:** Les signaux sont mitigés. La tendance de fond reste baissière (MM50), mais des signes de rebond technique apparaissent (MACD, position dans les bandes). Le RSI neutre et le stochastique élevé suggèrent une possible consolidation. Le titre est dans une phase de stabilisation après une chute, avec un biais haussier à très court terme, mais sans confirmation d'un retournement de tendance majeur.</w:t>
      </w:r>
    </w:p>
    <w:p>
      <w:pPr>
        <w:spacing w:after="120" w:line="276" w:lineRule="auto"/>
      </w:pPr>
      <w:r>
        <w:t>---</w:t>
      </w:r>
    </w:p>
    <w:p>
      <w:pPr>
        <w:spacing w:after="120" w:line="276" w:lineRule="auto"/>
      </w:pPr>
      <w:r>
        <w:t>### **PARTIE 3 : ANALYSE FONDAMENTALE (SECTION CRITIQUE)**</w:t>
      </w:r>
    </w:p>
    <w:p>
      <w:pPr>
        <w:spacing w:after="120" w:line="276" w:lineRule="auto"/>
      </w:pPr>
      <w:r>
        <w:t>L'analyse fondamentale s'appuie sur les rapports annuels disponibles, datant de 2024-12-31 (pour l'exercice 2023) et 2023-12-31 (pour l'exercice 2022). **En 2023**, UNLC a réalisé un chiffre d'affaires stable de 24,336 milliards FCFA, avec un résultat net de 640 millions FCFA, soit une marge nette de 2,63%, en nette amélioration par rapport à la perte massive de 6,9 milliards FCFA en 2022. Le résultat d'exploitation est redevenu positif à +3,34 milliards FCFA. Cependant, la structure financière reste fragile avec des capitaux propres négatifs (-10,658 milliards FCFA) et un endettement financier de 4,379 milliards FCFA. **En 2022**, le CA était de 24,336 milliards FCFA (selon un rapport) ou 36,17 milliards FCFA (selon un autre, incluant l'activité thé cédée), avec une perte nette de -6,38 milliards FCFA. La société a traversé une crise profonde, mais montre des signes de redressement opérationnel. Les capitaux propres négatifs constituent un risque majeur de solvabilité. La politique de dividende est nulle. Les perspectives de croissance sont incertaines, dépendant d'une amélioration durable de la rentabilité et d'une réduction de l'endettement.</w:t>
      </w:r>
    </w:p>
    <w:p>
      <w:pPr>
        <w:spacing w:after="120" w:line="276" w:lineRule="auto"/>
      </w:pPr>
      <w:r>
        <w:t>---</w:t>
      </w:r>
    </w:p>
    <w:p>
      <w:pPr>
        <w:spacing w:after="120" w:line="276" w:lineRule="auto"/>
      </w:pPr>
      <w:r>
        <w:t>### **PARTIE 4 : CONCLUSION D'INVESTISSEMENT**</w:t>
      </w:r>
    </w:p>
    <w:p>
      <w:pPr>
        <w:spacing w:after="120" w:line="276" w:lineRule="auto"/>
      </w:pPr>
      <w:r>
        <w:t>La valorisation d'UNLC est difficile à appréhender faute de ratios fiables, mais le PER implicite est extrêmement élevé, signalant une possible surévaluation. Le comportement du cours est préoccupant avec une chute de 19,71% sur 100 jours et une volatilité annualisée de 68,8%, renforcée par un kurtosis élevé (risque de pics). Les signaux techniques sont mitigés, avec une tendance de fond baissière mais des signes de rebond à court terme (MACD positif). Les fondamentaux, bien qu'en amélioration en 2023, restent très fragiles avec des capitaux propres négatifs et une rentabilité faible, ce qui contraste fortement avec le cours de bourse. Les prédictions IA (54 446 à 57 972 FCFA) suggèrent une légère hausse, contredisant la tendance baissière passée mais confirmant le rebond technique court terme. En synthèse, la situation est très risquée : le marché semble anticiper une forte reprise que les fondamentaux ne confirment pas encore. **Recommandation : VENTE**. La divergence entre la valorisation élevée, la faiblesse des fondamentaux et la forte volatilité justifie cette position. **Niveau de confiance : Moyen. Niveau de risque : Élevé.** Horizon d'investissement : court terme (&lt;3 mois) pour les spéculateurs, mais à éviter pour les investisseurs long terme.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12,373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-9.52%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8.99% (Moyenne) — μ=1,868 FCFA, σ=168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β=-0.8056 (Contre-cyclique) — Cov=-0.000029, Var(idx)=0.000036, ρ=-0.158,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1,737</w:t>
            </w:r>
          </w:p>
        </w:tc>
        <w:tc>
          <w:tcPr>
            <w:tcW w:type="dxa" w:w="1440"/>
            <w:shd w:fill="FAFAFA" w:val="clear"/>
          </w:tcPr>
          <w:p>
            <w:r>
              <w:rPr>
                <w:b/>
                <w:sz w:val="17"/>
              </w:rPr>
              <w:t>1,878</w:t>
            </w:r>
          </w:p>
        </w:tc>
        <w:tc>
          <w:tcPr>
            <w:tcW w:type="dxa" w:w="1440"/>
            <w:shd w:fill="FAFAFA" w:val="clear"/>
          </w:tcPr>
          <w:p>
            <w:r>
              <w:rPr>
                <w:sz w:val="17"/>
              </w:rPr>
              <w:t>2,019</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1,669</w:t>
            </w:r>
          </w:p>
        </w:tc>
        <w:tc>
          <w:tcPr>
            <w:tcW w:type="dxa" w:w="1440"/>
            <w:shd w:fill="FAFAFA" w:val="clear"/>
          </w:tcPr>
          <w:p>
            <w:r>
              <w:rPr>
                <w:b/>
                <w:sz w:val="17"/>
              </w:rPr>
              <w:t>1,870</w:t>
            </w:r>
          </w:p>
        </w:tc>
        <w:tc>
          <w:tcPr>
            <w:tcW w:type="dxa" w:w="1440"/>
            <w:shd w:fill="FAFAFA" w:val="clear"/>
          </w:tcPr>
          <w:p>
            <w:r>
              <w:rPr>
                <w:sz w:val="17"/>
              </w:rPr>
              <w:t>2,071</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1,616</w:t>
            </w:r>
          </w:p>
        </w:tc>
        <w:tc>
          <w:tcPr>
            <w:tcW w:type="dxa" w:w="1440"/>
            <w:shd w:fill="FFDCE0" w:val="clear"/>
          </w:tcPr>
          <w:p>
            <w:r>
              <w:rPr>
                <w:b/>
                <w:sz w:val="17"/>
              </w:rPr>
              <w:t>1,861</w:t>
            </w:r>
          </w:p>
        </w:tc>
        <w:tc>
          <w:tcPr>
            <w:tcW w:type="dxa" w:w="1440"/>
            <w:shd w:fill="FFDCE0" w:val="clear"/>
          </w:tcPr>
          <w:p>
            <w:r>
              <w:rPr>
                <w:sz w:val="17"/>
              </w:rPr>
              <w:t>2,105</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1,570</w:t>
            </w:r>
          </w:p>
        </w:tc>
        <w:tc>
          <w:tcPr>
            <w:tcW w:type="dxa" w:w="1440"/>
            <w:shd w:fill="FFDCE0" w:val="clear"/>
          </w:tcPr>
          <w:p>
            <w:r>
              <w:rPr>
                <w:b/>
                <w:sz w:val="17"/>
              </w:rPr>
              <w:t>1,851</w:t>
            </w:r>
          </w:p>
        </w:tc>
        <w:tc>
          <w:tcPr>
            <w:tcW w:type="dxa" w:w="1440"/>
            <w:shd w:fill="FFDCE0" w:val="clear"/>
          </w:tcPr>
          <w:p>
            <w:r>
              <w:rPr>
                <w:sz w:val="17"/>
              </w:rPr>
              <w:t>2,133</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1,529</w:t>
            </w:r>
          </w:p>
        </w:tc>
        <w:tc>
          <w:tcPr>
            <w:tcW w:type="dxa" w:w="1440"/>
            <w:shd w:fill="FFDCE0" w:val="clear"/>
          </w:tcPr>
          <w:p>
            <w:r>
              <w:rPr>
                <w:b/>
                <w:sz w:val="17"/>
              </w:rPr>
              <w:t>1,842</w:t>
            </w:r>
          </w:p>
        </w:tc>
        <w:tc>
          <w:tcPr>
            <w:tcW w:type="dxa" w:w="1440"/>
            <w:shd w:fill="FFDCE0" w:val="clear"/>
          </w:tcPr>
          <w:p>
            <w:r>
              <w:rPr>
                <w:sz w:val="17"/>
              </w:rPr>
              <w:t>2,155</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1,492</w:t>
            </w:r>
          </w:p>
        </w:tc>
        <w:tc>
          <w:tcPr>
            <w:tcW w:type="dxa" w:w="1440"/>
            <w:shd w:fill="FFDCE0" w:val="clear"/>
          </w:tcPr>
          <w:p>
            <w:r>
              <w:rPr>
                <w:b/>
                <w:sz w:val="17"/>
              </w:rPr>
              <w:t>1,833</w:t>
            </w:r>
          </w:p>
        </w:tc>
        <w:tc>
          <w:tcPr>
            <w:tcW w:type="dxa" w:w="1440"/>
            <w:shd w:fill="FFDCE0" w:val="clear"/>
          </w:tcPr>
          <w:p>
            <w:r>
              <w:rPr>
                <w:sz w:val="17"/>
              </w:rPr>
              <w:t>2,174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1,458</w:t>
            </w:r>
          </w:p>
        </w:tc>
        <w:tc>
          <w:tcPr>
            <w:tcW w:type="dxa" w:w="1440"/>
            <w:shd w:fill="FFDCE0" w:val="clear"/>
          </w:tcPr>
          <w:p>
            <w:r>
              <w:rPr>
                <w:b/>
                <w:sz w:val="17"/>
              </w:rPr>
              <w:t>1,824</w:t>
            </w:r>
          </w:p>
        </w:tc>
        <w:tc>
          <w:tcPr>
            <w:tcW w:type="dxa" w:w="1440"/>
            <w:shd w:fill="FFDCE0" w:val="clear"/>
          </w:tcPr>
          <w:p>
            <w:r>
              <w:rPr>
                <w:sz w:val="17"/>
              </w:rPr>
              <w:t>2,191</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1,425</w:t>
            </w:r>
          </w:p>
        </w:tc>
        <w:tc>
          <w:tcPr>
            <w:tcW w:type="dxa" w:w="1440"/>
            <w:shd w:fill="FFDCE0" w:val="clear"/>
          </w:tcPr>
          <w:p>
            <w:r>
              <w:rPr>
                <w:b/>
                <w:sz w:val="17"/>
              </w:rPr>
              <w:t>1,815</w:t>
            </w:r>
          </w:p>
        </w:tc>
        <w:tc>
          <w:tcPr>
            <w:tcW w:type="dxa" w:w="1440"/>
            <w:shd w:fill="FFDCE0" w:val="clear"/>
          </w:tcPr>
          <w:p>
            <w:r>
              <w:rPr>
                <w:sz w:val="17"/>
              </w:rPr>
              <w:t>2,205</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1,395</w:t>
            </w:r>
          </w:p>
        </w:tc>
        <w:tc>
          <w:tcPr>
            <w:tcW w:type="dxa" w:w="1440"/>
            <w:shd w:fill="FFDCE0" w:val="clear"/>
          </w:tcPr>
          <w:p>
            <w:r>
              <w:rPr>
                <w:b/>
                <w:sz w:val="17"/>
              </w:rPr>
              <w:t>1,807</w:t>
            </w:r>
          </w:p>
        </w:tc>
        <w:tc>
          <w:tcPr>
            <w:tcW w:type="dxa" w:w="1440"/>
            <w:shd w:fill="FFDCE0" w:val="clear"/>
          </w:tcPr>
          <w:p>
            <w:r>
              <w:rPr>
                <w:sz w:val="17"/>
              </w:rPr>
              <w:t>2,218</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1,366</w:t>
            </w:r>
          </w:p>
        </w:tc>
        <w:tc>
          <w:tcPr>
            <w:tcW w:type="dxa" w:w="1440"/>
            <w:shd w:fill="FFDCE0" w:val="clear"/>
          </w:tcPr>
          <w:p>
            <w:r>
              <w:rPr>
                <w:b/>
                <w:sz w:val="17"/>
              </w:rPr>
              <w:t>1,798</w:t>
            </w:r>
          </w:p>
        </w:tc>
        <w:tc>
          <w:tcPr>
            <w:tcW w:type="dxa" w:w="1440"/>
            <w:shd w:fill="FFDCE0" w:val="clear"/>
          </w:tcPr>
          <w:p>
            <w:r>
              <w:rPr>
                <w:sz w:val="17"/>
              </w:rPr>
              <w:t>2,230</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un niveau qui la positionne comme une valeur de taille moyenne sur la BRVM. Le BPA est négatif à -105 FCFA, reflétant les pertes nettes de l'exercice 2024, ce qui rend le PER non significatif (-18,0x). En revanche, le P/B de 2,53x indique que le marché valorise la société à plus de 2,5 fois ses capitaux propres, suggérant que les investisseurs anticipent une amélioration future de la rentabilité et accordent une prime de croissance à l'actif net. Le ratio EV/EBITDA n'est pas calculable en raison de l'EBITDA négatif, ce qui est cohérent avec la situation déficitaire de l'entreprise. Cette valorisation relative est donc à interpréter avec prudence, car elle repose sur des anticipations de redressement plutôt que sur des bénéfices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variation totale de -9,52%, avec une légère hausse de +0,26% lors de la dernière séance, clôturant à 1 900 FCFA. Le cours a évolué dans une fourchette large de 1 250 à 2 100 FCFA, illustrant une volatilité marquée. La moyenne (1 868 FCFA) est très proche de la médiane (1 900 FCFA), indiquant une distribution relativement symétrique des prix, mais le skewness de -1,749 révèle une asymétrie négative, avec des épisodes de fortes baisses plus fréquents que des hausses équivalentes. Le kurtosis excédentaire de 3,399 signale un risque de variations extrêmes (queues épaisses). La volatilité annualisée de 49,0% est élevée, confirmant un profil de risque important pour ce titre. Le coefficient de variation de 9,0% montre une dispersion modérée autour de la moyenne sur la période.</w:t>
      </w:r>
    </w:p>
    <w:p>
      <w:pPr>
        <w:spacing w:after="120" w:line="276" w:lineRule="auto" w:before="240"/>
      </w:pPr>
      <w:r>
        <w:rPr>
          <w:b/>
          <w:color w:val="003366"/>
          <w:sz w:val="24"/>
        </w:rPr>
        <w:t>**PARTIE 2 : ANALYSE TECHNIQUE DÉTAILLÉE**</w:t>
      </w:r>
    </w:p>
    <w:p>
      <w:pPr>
        <w:spacing w:after="120" w:line="276" w:lineRule="auto"/>
      </w:pPr>
      <w:r>
        <w:t>**Moyennes Mobiles** : Les MM20 (1 809 FCFA) et MM50 (1 806,8 FCFA) sont très proches l'une de l'autre et inférieures au cours actuel de 1 900 FCFA. Cette configuration haussière (cours au-dessus des moyennes) génère un signal d'achat, indiquant une dynamique positive à court et moyen terme, bien que la faible pente des moyennes suggère un momentum modéré.</w:t>
      </w:r>
    </w:p>
    <w:p>
      <w:pPr>
        <w:spacing w:after="120" w:line="276" w:lineRule="auto"/>
      </w:pPr>
      <w:r>
        <w:t>**Bandes de Bollinger** : Le cours à 1 900 FCFA se situe dans la partie médiane du canal formé par les bornes (1 459,8 à 2 158,2 FCFA). Cette position neutre indique que le prix n'est ni suracheté ni survendu, avec une volatilité qui, bien que présente, ne pousse pas le cours vers les extrêmes. La décision est donc neutre, le titre évoluant dans une zone de consolidation.</w:t>
      </w:r>
    </w:p>
    <w:p>
      <w:pPr>
        <w:spacing w:after="120" w:line="276" w:lineRule="auto"/>
      </w:pPr>
      <w:r>
        <w:t>**MACD** : La ligne MACD (49,78) est au-dessus de sa ligne de signal (40,07), confirmant un momentum haussier. Cette configuration positive, bien que les valeurs soient modestes, suggère une poursuite de la tendance haussière à court terme. La décision d'achat est justifiée par cette divergence positive.</w:t>
      </w:r>
    </w:p>
    <w:p>
      <w:pPr>
        <w:spacing w:after="120" w:line="276" w:lineRule="auto"/>
      </w:pPr>
      <w:r>
        <w:t>**RSI** : Le RSI s'établit à 56,47, dans la zone neutre (30-70). Il n'indique ni surachat ni survente, laissant une marge de manœuvre pour une évolution dans les deux sens. La décision neutre est cohérente avec une absence de signal directionnel fort.</w:t>
      </w:r>
    </w:p>
    <w:p>
      <w:pPr>
        <w:spacing w:after="120" w:line="276" w:lineRule="auto"/>
      </w:pPr>
      <w:r>
        <w:t>**Stochastique** : Le %K (50,0) et le %D (51,44) sont quasi identiques et à un niveau médian, indiquant une absence de dynamique claire. Le croisement n'est pas significatif, et la décision neutre reflète un marché sans impulsion directionnelle.</w:t>
      </w:r>
    </w:p>
    <w:p>
      <w:pPr>
        <w:spacing w:after="120" w:line="276" w:lineRule="auto"/>
      </w:pPr>
      <w:r>
        <w:t>**Conclusion technique** : Les indicateurs sont partagés entre des signaux d'achat (MM, MACD) et des signaux neutres (Bollinger, RSI, Stochastique). La tendance de fond reste positive avec un cours au-dessus des moyennes mobiles, mais l'absence de confirmation des oscillateurs suggère une prudence. Le titre est dans une phase de consolidation haussière, avec un potentiel de hausse si le cours parvient à dépasser les 2 000 FCFA.</w:t>
      </w:r>
    </w:p>
    <w:p>
      <w:pPr>
        <w:spacing w:after="120" w:line="276" w:lineRule="auto" w:before="240"/>
      </w:pPr>
      <w:r>
        <w:rPr>
          <w:b/>
          <w:color w:val="003366"/>
          <w:sz w:val="24"/>
        </w:rPr>
        <w:t>**PARTIE 3 : ANALYSE FONDAMENTALE (SECTION CRITIQUE)**</w:t>
      </w:r>
    </w:p>
    <w:p>
      <w:pPr>
        <w:spacing w:after="120" w:line="276" w:lineRule="auto"/>
      </w:pPr>
      <w:r>
        <w:t>En 2024, UNXC a réalisé un chiffre d'affaires de 27,33 milliards FCFA, en hausse de 15,4% par rapport à 2023, mais a enregistré une perte nette de -2,19 milliards FCFA, contre un bénéfice de 4,19 milliards FCFA en 2023 (selon les états financiers 2024). Le ROE est négatif à -14,04% et le ROA à -6,39%, reflétant une rentabilité dégradée. La marge opérationnelle est de -7,81%, et le coefficient d'exploitation atteint 106,99%, indiquant que les charges dépassent les revenus. Le BFR est positif à 2,15 milliards FCFA, avec un délai de stockage élevé de 254,72 jours et un délai clients de 51 jours, ce qui pèse sur la trésorerie. Cependant, les capitaux propres restent solides à 15,59 milliards FCFA (autonomie financière de 45,5%). Les rapports trimestriels 2025 montrent une amélioration : le CA S1 2025 atteint 15,71 milliards FCFA (+12,5%), mais le résultat net de 8,22 milliards est artificiellement gonflé par une cession-bail exceptionnelle de 9,99 milliards. Le résultat d'exploitation reste déficitaire à -314 millions FCFA. Le rapport S1 2026 (publié en 2026) confirme un tournant : le résultat d'exploitation redevient positif à 771 millions FCFA, avec un CA de 15,75 milliards FCFA. On estime que l'exercice 2026 pourrait voir un retour à l'équilibre opérationnel durable, avec une perte nette réduite à -624 millions en 2025 (rapport annuel 2025), contre -2,19 milliards en 2024.</w:t>
      </w:r>
    </w:p>
    <w:p>
      <w:pPr>
        <w:spacing w:after="120" w:line="276" w:lineRule="auto" w:before="240"/>
      </w:pPr>
      <w:r>
        <w:rPr>
          <w:b/>
          <w:color w:val="003366"/>
          <w:sz w:val="24"/>
        </w:rPr>
        <w:t>**PARTIE 4 : CONCLUSION D'INVESTISSEMENT**</w:t>
      </w:r>
    </w:p>
    <w:p>
      <w:pPr>
        <w:spacing w:after="120" w:line="276" w:lineRule="auto"/>
      </w:pPr>
      <w:r>
        <w:t>La valorisation d'UNXC est délicate : le PER négatif et le P/B de 2,53x indiquent que le marché paie une prime pour un redressement anticipé, ce qui est risqué. Le comportement du cours sur 100 jours est baissier (-9,52%) avec une volatilité élevée (49%) et une asymétrie négative, signalant une fragilité. Les indicateurs techniques sont mitigés, avec des signaux d'achat (MM, MACD) mais une absence de confirmation des oscillateurs. Les fondamentaux montrent une amélioration nette en 2026 (résultat d'exploitation positif à 771 millions FCFA au S1 2026), mais la société reste endettée et dépendante de cessions d'actifs pour équilibrer ses comptes. Les prédictions IA prévoient une baisse progressive du cours vers 1 842 FCFA sur 10 jours, contredisant les signaux techniques haussiers. En synthèse, la convergence est faible entre les signaux techniques et les prédictions, tandis que les fondamentaux s'améliorent lentement. **Recommandation : CONSERVER**, avec un niveau de confiance **Moyen** et un risque global **Élevé**. L'horizon d'investissement optimal est le **moyen terme (3-12 mois)**, en attendant la confirmation d'une rentabilité opérationnelle durable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